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28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1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28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366" w:lineRule="exact"/>
        <w:rPr>
          <w:sz w:val="24"/>
          <w:szCs w:val="24"/>
          <w:color w:val="auto"/>
        </w:rPr>
      </w:pPr>
    </w:p>
    <w:p>
      <w:pPr>
        <w:ind w:left="4"/>
        <w:spacing w:after="0" w:line="207" w:lineRule="exact"/>
        <w:tabs>
          <w:tab w:leader="none" w:pos="2064" w:val="left"/>
          <w:tab w:leader="none" w:pos="2244" w:val="left"/>
          <w:tab w:leader="none" w:pos="2424" w:val="left"/>
          <w:tab w:leader="none" w:pos="2604" w:val="left"/>
          <w:tab w:leader="none" w:pos="2784" w:val="left"/>
          <w:tab w:leader="none" w:pos="2964" w:val="left"/>
          <w:tab w:leader="none" w:pos="3184"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tab/>
        <w:t> </w:t>
        <w:tab/>
        <w:t> </w:t>
        <w:tab/>
        <w:t> </w:t>
        <w:tab/>
        <w:t> </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6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1"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ind w:left="4"/>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7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79" w:lineRule="exact"/>
        <w:rPr>
          <w:sz w:val="24"/>
          <w:szCs w:val="24"/>
          <w:color w:val="auto"/>
        </w:rPr>
      </w:pPr>
    </w:p>
    <w:p>
      <w:pPr>
        <w:jc w:val="center"/>
        <w:ind w:left="440"/>
        <w:spacing w:after="0"/>
        <w:rPr>
          <w:sz w:val="20"/>
          <w:szCs w:val="20"/>
          <w:color w:val="auto"/>
        </w:rPr>
      </w:pPr>
      <w:r>
        <w:rPr>
          <w:rFonts w:ascii="Arial" w:cs="Arial" w:eastAsia="Arial" w:hAnsi="Arial"/>
          <w:sz w:val="43"/>
          <w:szCs w:val="43"/>
          <w:b w:val="1"/>
          <w:bCs w:val="1"/>
          <w:color w:val="auto"/>
        </w:rPr>
        <w:t>Installed Building Products, Inc.</w:t>
      </w:r>
    </w:p>
    <w:p>
      <w:pPr>
        <w:spacing w:after="0" w:line="138" w:lineRule="exact"/>
        <w:rPr>
          <w:sz w:val="24"/>
          <w:szCs w:val="24"/>
          <w:color w:val="auto"/>
        </w:rPr>
      </w:pPr>
    </w:p>
    <w:p>
      <w:pPr>
        <w:jc w:val="center"/>
        <w:ind w:left="44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25" w:lineRule="exact"/>
        <w:rPr>
          <w:sz w:val="24"/>
          <w:szCs w:val="24"/>
          <w:color w:val="auto"/>
        </w:rPr>
      </w:pPr>
    </w:p>
    <w:p>
      <w:pPr>
        <w:jc w:val="center"/>
        <w:ind w:right="-1304"/>
        <w:spacing w:after="0"/>
        <w:rPr>
          <w:sz w:val="20"/>
          <w:szCs w:val="20"/>
          <w:color w:val="auto"/>
        </w:rPr>
      </w:pPr>
      <w:r>
        <w:rPr>
          <w:rFonts w:ascii="Arial" w:cs="Arial" w:eastAsia="Arial" w:hAnsi="Arial"/>
          <w:sz w:val="18"/>
          <w:szCs w:val="18"/>
          <w:color w:val="auto"/>
        </w:rPr>
        <w:t xml:space="preserve">    </w:t>
      </w:r>
    </w:p>
    <w:p>
      <w:pPr>
        <w:spacing w:after="0" w:line="127" w:lineRule="exact"/>
        <w:rPr>
          <w:sz w:val="24"/>
          <w:szCs w:val="24"/>
          <w:color w:val="auto"/>
        </w:rPr>
      </w:pPr>
    </w:p>
    <w:p>
      <w:pPr>
        <w:ind w:left="3284"/>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37"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all boxes that apply):</w:t>
      </w:r>
    </w:p>
    <w:p>
      <w:pPr>
        <w:spacing w:after="0" w:line="225" w:lineRule="exact"/>
        <w:rPr>
          <w:sz w:val="24"/>
          <w:szCs w:val="24"/>
          <w:color w:val="auto"/>
        </w:rPr>
      </w:pPr>
    </w:p>
    <w:p>
      <w:pPr>
        <w:ind w:left="444" w:hanging="444"/>
        <w:spacing w:after="0"/>
        <w:tabs>
          <w:tab w:leader="none" w:pos="4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44" w:hanging="444"/>
        <w:spacing w:after="0"/>
        <w:tabs>
          <w:tab w:leader="none" w:pos="4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44" w:hanging="444"/>
        <w:spacing w:after="0"/>
        <w:tabs>
          <w:tab w:leader="none" w:pos="4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ectPr>
          <w:pgSz w:w="11900" w:h="16838" w:orient="portrait"/>
          <w:cols w:equalWidth="0" w:num="1">
            <w:col w:w="10023"/>
          </w:cols>
          <w:pgMar w:left="436" w:top="376" w:right="1440" w:bottom="1440" w:gutter="0" w:footer="0" w:header="0"/>
        </w:sectPr>
      </w:pPr>
    </w:p>
    <w:bookmarkStart w:id="1" w:name="page2"/>
    <w:bookmarkEnd w:id="1"/>
    <w:p>
      <w:pPr>
        <w:spacing w:after="0"/>
        <w:tabs>
          <w:tab w:leader="none" w:pos="44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3407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8340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44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340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8340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40"/>
          <w:szCs w:val="40"/>
          <w:b w:val="1"/>
          <w:bCs w:val="1"/>
          <w:color w:val="0070C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Installed Building Products, Inc.</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0070C0"/>
        </w:rPr>
        <w:t>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358"/>
        </w:trPr>
        <w:tc>
          <w:tcPr>
            <w:tcW w:w="3080" w:type="dxa"/>
            <w:vAlign w:val="bottom"/>
            <w:tcBorders>
              <w:bottom w:val="single" w:sz="8" w:color="D5DCE4"/>
            </w:tcBorders>
            <w:shd w:val="clear" w:color="auto" w:fill="D5DCE4"/>
          </w:tcPr>
          <w:p>
            <w:pPr>
              <w:ind w:left="100"/>
              <w:spacing w:after="0"/>
              <w:rPr>
                <w:sz w:val="20"/>
                <w:szCs w:val="20"/>
                <w:color w:val="auto"/>
              </w:rPr>
            </w:pPr>
            <w:r>
              <w:rPr>
                <w:rFonts w:ascii="Arial" w:cs="Arial" w:eastAsia="Arial" w:hAnsi="Arial"/>
                <w:sz w:val="20"/>
                <w:szCs w:val="20"/>
                <w:b w:val="1"/>
                <w:bCs w:val="1"/>
                <w:color w:val="002060"/>
              </w:rPr>
              <w:t>Date and Time</w:t>
            </w:r>
          </w:p>
        </w:tc>
        <w:tc>
          <w:tcPr>
            <w:tcW w:w="7940" w:type="dxa"/>
            <w:vAlign w:val="bottom"/>
            <w:gridSpan w:val="3"/>
          </w:tcPr>
          <w:p>
            <w:pPr>
              <w:ind w:left="120"/>
              <w:spacing w:after="0"/>
              <w:rPr>
                <w:sz w:val="20"/>
                <w:szCs w:val="20"/>
                <w:color w:val="auto"/>
              </w:rPr>
            </w:pPr>
            <w:r>
              <w:rPr>
                <w:rFonts w:ascii="Arial" w:cs="Arial" w:eastAsia="Arial" w:hAnsi="Arial"/>
                <w:sz w:val="20"/>
                <w:szCs w:val="20"/>
                <w:color w:val="auto"/>
              </w:rPr>
              <w:t>May 23, 2024, 10 a.m. Eastern Time</w:t>
            </w:r>
          </w:p>
        </w:tc>
      </w:tr>
      <w:tr>
        <w:trPr>
          <w:trHeight w:val="203"/>
        </w:trPr>
        <w:tc>
          <w:tcPr>
            <w:tcW w:w="3080" w:type="dxa"/>
            <w:vAlign w:val="bottom"/>
            <w:tcBorders>
              <w:top w:val="single" w:sz="8" w:color="0070C0"/>
            </w:tcBorders>
            <w:shd w:val="clear" w:color="auto" w:fill="D5DCE4"/>
          </w:tcPr>
          <w:p>
            <w:pPr>
              <w:ind w:left="100"/>
              <w:spacing w:after="0" w:line="203" w:lineRule="exact"/>
              <w:rPr>
                <w:sz w:val="20"/>
                <w:szCs w:val="20"/>
                <w:color w:val="auto"/>
              </w:rPr>
            </w:pPr>
            <w:r>
              <w:rPr>
                <w:rFonts w:ascii="Arial" w:cs="Arial" w:eastAsia="Arial" w:hAnsi="Arial"/>
                <w:sz w:val="20"/>
                <w:szCs w:val="20"/>
                <w:b w:val="1"/>
                <w:bCs w:val="1"/>
                <w:color w:val="002060"/>
              </w:rPr>
              <w:t>Virtual Meeting Audio</w:t>
            </w:r>
          </w:p>
        </w:tc>
        <w:tc>
          <w:tcPr>
            <w:tcW w:w="7940" w:type="dxa"/>
            <w:vAlign w:val="bottom"/>
            <w:tcBorders>
              <w:top w:val="single" w:sz="8" w:color="0070C0"/>
            </w:tcBorders>
            <w:gridSpan w:val="3"/>
          </w:tcPr>
          <w:p>
            <w:pPr>
              <w:ind w:left="120"/>
              <w:spacing w:after="0" w:line="203" w:lineRule="exact"/>
              <w:rPr>
                <w:sz w:val="20"/>
                <w:szCs w:val="20"/>
                <w:color w:val="auto"/>
              </w:rPr>
            </w:pPr>
            <w:r>
              <w:rPr>
                <w:rFonts w:ascii="Arial" w:cs="Arial" w:eastAsia="Arial" w:hAnsi="Arial"/>
                <w:sz w:val="20"/>
                <w:szCs w:val="20"/>
                <w:b w:val="1"/>
                <w:bCs w:val="1"/>
                <w:color w:val="0070C0"/>
              </w:rPr>
              <w:t>https://meetnow.global/MJUTAUG</w:t>
            </w:r>
          </w:p>
        </w:tc>
      </w:tr>
      <w:tr>
        <w:trPr>
          <w:trHeight w:val="257"/>
        </w:trPr>
        <w:tc>
          <w:tcPr>
            <w:tcW w:w="3080" w:type="dxa"/>
            <w:vAlign w:val="bottom"/>
            <w:tcBorders>
              <w:top w:val="single" w:sz="8" w:color="D5DCE4"/>
            </w:tcBorders>
            <w:shd w:val="clear" w:color="auto" w:fill="D5DCE4"/>
          </w:tcPr>
          <w:p>
            <w:pPr>
              <w:ind w:left="100"/>
              <w:spacing w:after="0"/>
              <w:rPr>
                <w:sz w:val="20"/>
                <w:szCs w:val="20"/>
                <w:color w:val="auto"/>
              </w:rPr>
            </w:pPr>
            <w:r>
              <w:rPr>
                <w:rFonts w:ascii="Arial" w:cs="Arial" w:eastAsia="Arial" w:hAnsi="Arial"/>
                <w:sz w:val="20"/>
                <w:szCs w:val="20"/>
                <w:b w:val="1"/>
                <w:bCs w:val="1"/>
                <w:color w:val="002060"/>
              </w:rPr>
              <w:t>Webcast</w:t>
            </w:r>
          </w:p>
        </w:tc>
        <w:tc>
          <w:tcPr>
            <w:tcW w:w="120" w:type="dxa"/>
            <w:vAlign w:val="bottom"/>
          </w:tcPr>
          <w:p>
            <w:pPr>
              <w:spacing w:after="0"/>
              <w:rPr>
                <w:sz w:val="22"/>
                <w:szCs w:val="22"/>
                <w:color w:val="auto"/>
              </w:rPr>
            </w:pPr>
          </w:p>
        </w:tc>
        <w:tc>
          <w:tcPr>
            <w:tcW w:w="3160" w:type="dxa"/>
            <w:vAlign w:val="bottom"/>
            <w:tcBorders>
              <w:top w:val="single" w:sz="8" w:color="0070C0"/>
            </w:tcBorders>
          </w:tcPr>
          <w:p>
            <w:pPr>
              <w:spacing w:after="0"/>
              <w:rPr>
                <w:sz w:val="22"/>
                <w:szCs w:val="22"/>
                <w:color w:val="auto"/>
              </w:rPr>
            </w:pPr>
          </w:p>
        </w:tc>
        <w:tc>
          <w:tcPr>
            <w:tcW w:w="4660" w:type="dxa"/>
            <w:vAlign w:val="bottom"/>
          </w:tcPr>
          <w:p>
            <w:pPr>
              <w:spacing w:after="0"/>
              <w:rPr>
                <w:sz w:val="22"/>
                <w:szCs w:val="22"/>
                <w:color w:val="auto"/>
              </w:rPr>
            </w:pPr>
          </w:p>
        </w:tc>
      </w:tr>
      <w:tr>
        <w:trPr>
          <w:trHeight w:val="68"/>
        </w:trPr>
        <w:tc>
          <w:tcPr>
            <w:tcW w:w="3080" w:type="dxa"/>
            <w:vAlign w:val="bottom"/>
            <w:tcBorders>
              <w:bottom w:val="single" w:sz="8" w:color="0070C0"/>
            </w:tcBorders>
            <w:shd w:val="clear" w:color="auto" w:fill="D5DCE4"/>
          </w:tcPr>
          <w:p>
            <w:pPr>
              <w:spacing w:after="0"/>
              <w:rPr>
                <w:sz w:val="5"/>
                <w:szCs w:val="5"/>
                <w:color w:val="auto"/>
              </w:rPr>
            </w:pPr>
          </w:p>
        </w:tc>
        <w:tc>
          <w:tcPr>
            <w:tcW w:w="120" w:type="dxa"/>
            <w:vAlign w:val="bottom"/>
            <w:tcBorders>
              <w:bottom w:val="single" w:sz="8" w:color="0070C0"/>
            </w:tcBorders>
          </w:tcPr>
          <w:p>
            <w:pPr>
              <w:spacing w:after="0"/>
              <w:rPr>
                <w:sz w:val="5"/>
                <w:szCs w:val="5"/>
                <w:color w:val="auto"/>
              </w:rPr>
            </w:pPr>
          </w:p>
        </w:tc>
        <w:tc>
          <w:tcPr>
            <w:tcW w:w="3160" w:type="dxa"/>
            <w:vAlign w:val="bottom"/>
            <w:tcBorders>
              <w:bottom w:val="single" w:sz="8" w:color="0070C0"/>
            </w:tcBorders>
          </w:tcPr>
          <w:p>
            <w:pPr>
              <w:spacing w:after="0"/>
              <w:rPr>
                <w:sz w:val="5"/>
                <w:szCs w:val="5"/>
                <w:color w:val="auto"/>
              </w:rPr>
            </w:pPr>
          </w:p>
        </w:tc>
        <w:tc>
          <w:tcPr>
            <w:tcW w:w="4660" w:type="dxa"/>
            <w:vAlign w:val="bottom"/>
            <w:tcBorders>
              <w:bottom w:val="single" w:sz="8" w:color="0070C0"/>
            </w:tcBorders>
          </w:tcPr>
          <w:p>
            <w:pPr>
              <w:spacing w:after="0"/>
              <w:rPr>
                <w:sz w:val="5"/>
                <w:szCs w:val="5"/>
                <w:color w:val="auto"/>
              </w:rPr>
            </w:pPr>
          </w:p>
        </w:tc>
      </w:tr>
      <w:tr>
        <w:trPr>
          <w:trHeight w:val="331"/>
        </w:trPr>
        <w:tc>
          <w:tcPr>
            <w:tcW w:w="3080" w:type="dxa"/>
            <w:vAlign w:val="bottom"/>
            <w:tcBorders>
              <w:bottom w:val="single" w:sz="8" w:color="D5DCE4"/>
            </w:tcBorders>
            <w:shd w:val="clear" w:color="auto" w:fill="D5DCE4"/>
          </w:tcPr>
          <w:p>
            <w:pPr>
              <w:ind w:left="100"/>
              <w:spacing w:after="0"/>
              <w:rPr>
                <w:sz w:val="20"/>
                <w:szCs w:val="20"/>
                <w:color w:val="auto"/>
              </w:rPr>
            </w:pPr>
            <w:r>
              <w:rPr>
                <w:rFonts w:ascii="Arial" w:cs="Arial" w:eastAsia="Arial" w:hAnsi="Arial"/>
                <w:sz w:val="20"/>
                <w:szCs w:val="20"/>
                <w:b w:val="1"/>
                <w:bCs w:val="1"/>
                <w:color w:val="002060"/>
              </w:rPr>
              <w:t>Record Date</w:t>
            </w:r>
          </w:p>
        </w:tc>
        <w:tc>
          <w:tcPr>
            <w:tcW w:w="7940" w:type="dxa"/>
            <w:vAlign w:val="bottom"/>
            <w:gridSpan w:val="3"/>
          </w:tcPr>
          <w:p>
            <w:pPr>
              <w:ind w:left="120"/>
              <w:spacing w:after="0"/>
              <w:rPr>
                <w:sz w:val="20"/>
                <w:szCs w:val="20"/>
                <w:color w:val="auto"/>
              </w:rPr>
            </w:pPr>
            <w:r>
              <w:rPr>
                <w:rFonts w:ascii="Arial" w:cs="Arial" w:eastAsia="Arial" w:hAnsi="Arial"/>
                <w:sz w:val="20"/>
                <w:szCs w:val="20"/>
                <w:color w:val="auto"/>
              </w:rPr>
              <w:t>March 28, 2024</w:t>
            </w:r>
          </w:p>
        </w:tc>
      </w:tr>
      <w:tr>
        <w:trPr>
          <w:trHeight w:val="206"/>
        </w:trPr>
        <w:tc>
          <w:tcPr>
            <w:tcW w:w="3080" w:type="dxa"/>
            <w:vAlign w:val="bottom"/>
            <w:tcBorders>
              <w:top w:val="single" w:sz="8" w:color="0070C0"/>
            </w:tcBorders>
            <w:shd w:val="clear" w:color="auto" w:fill="D5DCE4"/>
          </w:tcPr>
          <w:p>
            <w:pPr>
              <w:ind w:left="100"/>
              <w:spacing w:after="0" w:line="206" w:lineRule="exact"/>
              <w:rPr>
                <w:sz w:val="20"/>
                <w:szCs w:val="20"/>
                <w:color w:val="auto"/>
              </w:rPr>
            </w:pPr>
            <w:r>
              <w:rPr>
                <w:rFonts w:ascii="Arial" w:cs="Arial" w:eastAsia="Arial" w:hAnsi="Arial"/>
                <w:sz w:val="20"/>
                <w:szCs w:val="20"/>
                <w:b w:val="1"/>
                <w:bCs w:val="1"/>
                <w:color w:val="002060"/>
              </w:rPr>
              <w:t>Mailing Date for Distribution of</w:t>
            </w:r>
          </w:p>
        </w:tc>
        <w:tc>
          <w:tcPr>
            <w:tcW w:w="7940" w:type="dxa"/>
            <w:vAlign w:val="bottom"/>
            <w:tcBorders>
              <w:top w:val="single" w:sz="8" w:color="0070C0"/>
            </w:tcBorders>
            <w:gridSpan w:val="3"/>
          </w:tcPr>
          <w:p>
            <w:pPr>
              <w:ind w:left="120"/>
              <w:spacing w:after="0" w:line="206" w:lineRule="exact"/>
              <w:rPr>
                <w:sz w:val="20"/>
                <w:szCs w:val="20"/>
                <w:color w:val="auto"/>
              </w:rPr>
            </w:pPr>
            <w:r>
              <w:rPr>
                <w:rFonts w:ascii="Arial" w:cs="Arial" w:eastAsia="Arial" w:hAnsi="Arial"/>
                <w:sz w:val="20"/>
                <w:szCs w:val="20"/>
                <w:color w:val="auto"/>
                <w:w w:val="99"/>
              </w:rPr>
              <w:t>On or about April 11, 2024, we will mail a Notice of Internet Availability of Proxy Materials</w:t>
            </w:r>
          </w:p>
        </w:tc>
      </w:tr>
      <w:tr>
        <w:trPr>
          <w:trHeight w:val="218"/>
        </w:trPr>
        <w:tc>
          <w:tcPr>
            <w:tcW w:w="3080" w:type="dxa"/>
            <w:vAlign w:val="bottom"/>
            <w:shd w:val="clear" w:color="auto" w:fill="D5DCE4"/>
          </w:tcPr>
          <w:p>
            <w:pPr>
              <w:ind w:left="100"/>
              <w:spacing w:after="0" w:line="218" w:lineRule="exact"/>
              <w:rPr>
                <w:sz w:val="20"/>
                <w:szCs w:val="20"/>
                <w:color w:val="auto"/>
              </w:rPr>
            </w:pPr>
            <w:r>
              <w:rPr>
                <w:rFonts w:ascii="Arial" w:cs="Arial" w:eastAsia="Arial" w:hAnsi="Arial"/>
                <w:sz w:val="20"/>
                <w:szCs w:val="20"/>
                <w:b w:val="1"/>
                <w:bCs w:val="1"/>
                <w:color w:val="002060"/>
              </w:rPr>
              <w:t>Proxy Materials</w:t>
            </w:r>
          </w:p>
        </w:tc>
        <w:tc>
          <w:tcPr>
            <w:tcW w:w="7940" w:type="dxa"/>
            <w:vAlign w:val="bottom"/>
            <w:gridSpan w:val="3"/>
          </w:tcPr>
          <w:p>
            <w:pPr>
              <w:ind w:left="120"/>
              <w:spacing w:after="0" w:line="218" w:lineRule="exact"/>
              <w:rPr>
                <w:sz w:val="20"/>
                <w:szCs w:val="20"/>
                <w:color w:val="auto"/>
              </w:rPr>
            </w:pPr>
            <w:r>
              <w:rPr>
                <w:rFonts w:ascii="Arial" w:cs="Arial" w:eastAsia="Arial" w:hAnsi="Arial"/>
                <w:sz w:val="20"/>
                <w:szCs w:val="20"/>
                <w:color w:val="auto"/>
                <w:w w:val="99"/>
              </w:rPr>
              <w:t>to our stockholders of record on the record date. The notice has instructions on obtaining</w:t>
            </w:r>
          </w:p>
        </w:tc>
      </w:tr>
      <w:tr>
        <w:trPr>
          <w:trHeight w:val="216"/>
        </w:trPr>
        <w:tc>
          <w:tcPr>
            <w:tcW w:w="3080" w:type="dxa"/>
            <w:vAlign w:val="bottom"/>
            <w:shd w:val="clear" w:color="auto" w:fill="D5DCE4"/>
          </w:tcPr>
          <w:p>
            <w:pPr>
              <w:spacing w:after="0"/>
              <w:rPr>
                <w:sz w:val="18"/>
                <w:szCs w:val="18"/>
                <w:color w:val="auto"/>
              </w:rPr>
            </w:pPr>
          </w:p>
        </w:tc>
        <w:tc>
          <w:tcPr>
            <w:tcW w:w="7940" w:type="dxa"/>
            <w:vAlign w:val="bottom"/>
            <w:gridSpan w:val="3"/>
          </w:tcPr>
          <w:p>
            <w:pPr>
              <w:ind w:left="120"/>
              <w:spacing w:after="0" w:line="216" w:lineRule="exact"/>
              <w:rPr>
                <w:sz w:val="20"/>
                <w:szCs w:val="20"/>
                <w:color w:val="auto"/>
              </w:rPr>
            </w:pPr>
            <w:r>
              <w:rPr>
                <w:rFonts w:ascii="Arial" w:cs="Arial" w:eastAsia="Arial" w:hAnsi="Arial"/>
                <w:sz w:val="20"/>
                <w:szCs w:val="20"/>
                <w:color w:val="auto"/>
              </w:rPr>
              <w:t>internet access to our Proxy Statement and Annual Report, including our Form 10-K for</w:t>
            </w:r>
          </w:p>
        </w:tc>
      </w:tr>
      <w:tr>
        <w:trPr>
          <w:trHeight w:val="216"/>
        </w:trPr>
        <w:tc>
          <w:tcPr>
            <w:tcW w:w="3080" w:type="dxa"/>
            <w:vAlign w:val="bottom"/>
            <w:shd w:val="clear" w:color="auto" w:fill="D5DCE4"/>
          </w:tcPr>
          <w:p>
            <w:pPr>
              <w:spacing w:after="0"/>
              <w:rPr>
                <w:sz w:val="18"/>
                <w:szCs w:val="18"/>
                <w:color w:val="auto"/>
              </w:rPr>
            </w:pPr>
          </w:p>
        </w:tc>
        <w:tc>
          <w:tcPr>
            <w:tcW w:w="7940" w:type="dxa"/>
            <w:vAlign w:val="bottom"/>
            <w:gridSpan w:val="3"/>
          </w:tcPr>
          <w:p>
            <w:pPr>
              <w:ind w:left="120"/>
              <w:spacing w:after="0" w:line="216" w:lineRule="exact"/>
              <w:rPr>
                <w:sz w:val="20"/>
                <w:szCs w:val="20"/>
                <w:color w:val="auto"/>
              </w:rPr>
            </w:pPr>
            <w:r>
              <w:rPr>
                <w:rFonts w:ascii="Arial" w:cs="Arial" w:eastAsia="Arial" w:hAnsi="Arial"/>
                <w:sz w:val="20"/>
                <w:szCs w:val="20"/>
                <w:color w:val="auto"/>
              </w:rPr>
              <w:t>the 2023 fiscal year. The notice also has instructions on requesting a paper copy of the</w:t>
            </w:r>
          </w:p>
        </w:tc>
      </w:tr>
      <w:tr>
        <w:trPr>
          <w:trHeight w:val="216"/>
        </w:trPr>
        <w:tc>
          <w:tcPr>
            <w:tcW w:w="3080" w:type="dxa"/>
            <w:vAlign w:val="bottom"/>
            <w:shd w:val="clear" w:color="auto" w:fill="D5DCE4"/>
          </w:tcPr>
          <w:p>
            <w:pPr>
              <w:spacing w:after="0"/>
              <w:rPr>
                <w:sz w:val="18"/>
                <w:szCs w:val="18"/>
                <w:color w:val="auto"/>
              </w:rPr>
            </w:pPr>
          </w:p>
        </w:tc>
        <w:tc>
          <w:tcPr>
            <w:tcW w:w="7940" w:type="dxa"/>
            <w:vAlign w:val="bottom"/>
            <w:gridSpan w:val="3"/>
          </w:tcPr>
          <w:p>
            <w:pPr>
              <w:ind w:left="120"/>
              <w:spacing w:after="0" w:line="216" w:lineRule="exact"/>
              <w:rPr>
                <w:sz w:val="20"/>
                <w:szCs w:val="20"/>
                <w:color w:val="auto"/>
              </w:rPr>
            </w:pPr>
            <w:r>
              <w:rPr>
                <w:rFonts w:ascii="Arial" w:cs="Arial" w:eastAsia="Arial" w:hAnsi="Arial"/>
                <w:sz w:val="20"/>
                <w:szCs w:val="20"/>
                <w:color w:val="auto"/>
              </w:rPr>
              <w:t>proxy materials. We are making our proxy materials available to our stockholders</w:t>
            </w:r>
          </w:p>
        </w:tc>
      </w:tr>
      <w:tr>
        <w:trPr>
          <w:trHeight w:val="216"/>
        </w:trPr>
        <w:tc>
          <w:tcPr>
            <w:tcW w:w="3080" w:type="dxa"/>
            <w:vAlign w:val="bottom"/>
            <w:shd w:val="clear" w:color="auto" w:fill="D5DCE4"/>
          </w:tcPr>
          <w:p>
            <w:pPr>
              <w:spacing w:after="0"/>
              <w:rPr>
                <w:sz w:val="18"/>
                <w:szCs w:val="18"/>
                <w:color w:val="auto"/>
              </w:rPr>
            </w:pPr>
          </w:p>
        </w:tc>
        <w:tc>
          <w:tcPr>
            <w:tcW w:w="7940" w:type="dxa"/>
            <w:vAlign w:val="bottom"/>
            <w:gridSpan w:val="3"/>
          </w:tcPr>
          <w:p>
            <w:pPr>
              <w:ind w:left="120"/>
              <w:spacing w:after="0" w:line="216" w:lineRule="exact"/>
              <w:rPr>
                <w:sz w:val="20"/>
                <w:szCs w:val="20"/>
                <w:color w:val="auto"/>
              </w:rPr>
            </w:pPr>
            <w:r>
              <w:rPr>
                <w:rFonts w:ascii="Arial" w:cs="Arial" w:eastAsia="Arial" w:hAnsi="Arial"/>
                <w:sz w:val="20"/>
                <w:szCs w:val="20"/>
                <w:color w:val="auto"/>
              </w:rPr>
              <w:t>electronically instead of mailing a full set of proxy materials, which allows us to provide</w:t>
            </w:r>
          </w:p>
        </w:tc>
      </w:tr>
      <w:tr>
        <w:trPr>
          <w:trHeight w:val="216"/>
        </w:trPr>
        <w:tc>
          <w:tcPr>
            <w:tcW w:w="3080" w:type="dxa"/>
            <w:vAlign w:val="bottom"/>
            <w:shd w:val="clear" w:color="auto" w:fill="D5DCE4"/>
          </w:tcPr>
          <w:p>
            <w:pPr>
              <w:spacing w:after="0"/>
              <w:rPr>
                <w:sz w:val="18"/>
                <w:szCs w:val="18"/>
                <w:color w:val="auto"/>
              </w:rPr>
            </w:pPr>
          </w:p>
        </w:tc>
        <w:tc>
          <w:tcPr>
            <w:tcW w:w="7940" w:type="dxa"/>
            <w:vAlign w:val="bottom"/>
            <w:gridSpan w:val="3"/>
          </w:tcPr>
          <w:p>
            <w:pPr>
              <w:ind w:left="120"/>
              <w:spacing w:after="0" w:line="216" w:lineRule="exact"/>
              <w:rPr>
                <w:sz w:val="20"/>
                <w:szCs w:val="20"/>
                <w:color w:val="auto"/>
              </w:rPr>
            </w:pPr>
            <w:r>
              <w:rPr>
                <w:rFonts w:ascii="Arial" w:cs="Arial" w:eastAsia="Arial" w:hAnsi="Arial"/>
                <w:sz w:val="20"/>
                <w:szCs w:val="20"/>
                <w:color w:val="auto"/>
              </w:rPr>
              <w:t>you with the information you need in a timely manner, while reducing our impact on the</w:t>
            </w:r>
          </w:p>
        </w:tc>
      </w:tr>
      <w:tr>
        <w:trPr>
          <w:trHeight w:val="261"/>
        </w:trPr>
        <w:tc>
          <w:tcPr>
            <w:tcW w:w="3080" w:type="dxa"/>
            <w:vAlign w:val="bottom"/>
            <w:shd w:val="clear" w:color="auto" w:fill="D5DCE4"/>
          </w:tcPr>
          <w:p>
            <w:pPr>
              <w:spacing w:after="0"/>
              <w:rPr>
                <w:sz w:val="22"/>
                <w:szCs w:val="22"/>
                <w:color w:val="auto"/>
              </w:rPr>
            </w:pPr>
          </w:p>
        </w:tc>
        <w:tc>
          <w:tcPr>
            <w:tcW w:w="7940" w:type="dxa"/>
            <w:vAlign w:val="bottom"/>
            <w:gridSpan w:val="3"/>
          </w:tcPr>
          <w:p>
            <w:pPr>
              <w:ind w:left="120"/>
              <w:spacing w:after="0"/>
              <w:rPr>
                <w:sz w:val="20"/>
                <w:szCs w:val="20"/>
                <w:color w:val="auto"/>
              </w:rPr>
            </w:pPr>
            <w:r>
              <w:rPr>
                <w:rFonts w:ascii="Arial" w:cs="Arial" w:eastAsia="Arial" w:hAnsi="Arial"/>
                <w:sz w:val="20"/>
                <w:szCs w:val="20"/>
                <w:color w:val="auto"/>
              </w:rPr>
              <w:t>environment and lowering the costs of printing and distributing our proxy materials.</w:t>
            </w:r>
          </w:p>
        </w:tc>
      </w:tr>
      <w:tr>
        <w:trPr>
          <w:trHeight w:val="78"/>
        </w:trPr>
        <w:tc>
          <w:tcPr>
            <w:tcW w:w="3080" w:type="dxa"/>
            <w:vAlign w:val="bottom"/>
            <w:tcBorders>
              <w:bottom w:val="single" w:sz="8" w:color="0070C0"/>
            </w:tcBorders>
            <w:shd w:val="clear" w:color="auto" w:fill="D5DCE4"/>
          </w:tcPr>
          <w:p>
            <w:pPr>
              <w:spacing w:after="0"/>
              <w:rPr>
                <w:sz w:val="6"/>
                <w:szCs w:val="6"/>
                <w:color w:val="auto"/>
              </w:rPr>
            </w:pPr>
          </w:p>
        </w:tc>
        <w:tc>
          <w:tcPr>
            <w:tcW w:w="120" w:type="dxa"/>
            <w:vAlign w:val="bottom"/>
            <w:tcBorders>
              <w:bottom w:val="single" w:sz="8" w:color="0070C0"/>
            </w:tcBorders>
          </w:tcPr>
          <w:p>
            <w:pPr>
              <w:spacing w:after="0"/>
              <w:rPr>
                <w:sz w:val="6"/>
                <w:szCs w:val="6"/>
                <w:color w:val="auto"/>
              </w:rPr>
            </w:pPr>
          </w:p>
        </w:tc>
        <w:tc>
          <w:tcPr>
            <w:tcW w:w="3160" w:type="dxa"/>
            <w:vAlign w:val="bottom"/>
            <w:tcBorders>
              <w:bottom w:val="single" w:sz="8" w:color="0070C0"/>
            </w:tcBorders>
          </w:tcPr>
          <w:p>
            <w:pPr>
              <w:spacing w:after="0"/>
              <w:rPr>
                <w:sz w:val="6"/>
                <w:szCs w:val="6"/>
                <w:color w:val="auto"/>
              </w:rPr>
            </w:pPr>
          </w:p>
        </w:tc>
        <w:tc>
          <w:tcPr>
            <w:tcW w:w="4660" w:type="dxa"/>
            <w:vAlign w:val="bottom"/>
            <w:tcBorders>
              <w:bottom w:val="single" w:sz="8" w:color="0070C0"/>
            </w:tcBorders>
          </w:tcPr>
          <w:p>
            <w:pPr>
              <w:spacing w:after="0"/>
              <w:rPr>
                <w:sz w:val="6"/>
                <w:szCs w:val="6"/>
                <w:color w:val="auto"/>
              </w:rPr>
            </w:pPr>
          </w:p>
        </w:tc>
      </w:tr>
      <w:tr>
        <w:trPr>
          <w:trHeight w:val="208"/>
        </w:trPr>
        <w:tc>
          <w:tcPr>
            <w:tcW w:w="3080" w:type="dxa"/>
            <w:vAlign w:val="bottom"/>
            <w:shd w:val="clear" w:color="auto" w:fill="D5DCE4"/>
          </w:tcPr>
          <w:p>
            <w:pPr>
              <w:ind w:left="100"/>
              <w:spacing w:after="0" w:line="207" w:lineRule="exact"/>
              <w:rPr>
                <w:sz w:val="20"/>
                <w:szCs w:val="20"/>
                <w:color w:val="auto"/>
              </w:rPr>
            </w:pPr>
            <w:r>
              <w:rPr>
                <w:rFonts w:ascii="Arial" w:cs="Arial" w:eastAsia="Arial" w:hAnsi="Arial"/>
                <w:sz w:val="20"/>
                <w:szCs w:val="20"/>
                <w:b w:val="1"/>
                <w:bCs w:val="1"/>
                <w:color w:val="002060"/>
              </w:rPr>
              <w:t>Agenda</w:t>
            </w:r>
          </w:p>
        </w:tc>
        <w:tc>
          <w:tcPr>
            <w:tcW w:w="7940" w:type="dxa"/>
            <w:vAlign w:val="bottom"/>
            <w:gridSpan w:val="3"/>
          </w:tcPr>
          <w:p>
            <w:pPr>
              <w:ind w:left="120"/>
              <w:spacing w:after="0" w:line="207" w:lineRule="exact"/>
              <w:rPr>
                <w:sz w:val="20"/>
                <w:szCs w:val="20"/>
                <w:color w:val="auto"/>
              </w:rPr>
            </w:pPr>
            <w:r>
              <w:rPr>
                <w:rFonts w:ascii="MS PGothic" w:cs="MS PGothic" w:eastAsia="MS PGothic" w:hAnsi="MS PGothic"/>
                <w:sz w:val="24"/>
                <w:szCs w:val="24"/>
                <w:color w:val="0070C0"/>
                <w:vertAlign w:val="superscript"/>
              </w:rPr>
              <w:t>∎</w:t>
            </w:r>
            <w:r>
              <w:rPr>
                <w:rFonts w:ascii="Arial" w:cs="Arial" w:eastAsia="Arial" w:hAnsi="Arial"/>
                <w:sz w:val="20"/>
                <w:szCs w:val="20"/>
                <w:color w:val="auto"/>
              </w:rPr>
              <w:t xml:space="preserve">  Election of Margot L. Carter, David R. Meuse and Michael H. Thomas as directors to</w:t>
            </w:r>
          </w:p>
        </w:tc>
      </w:tr>
      <w:tr>
        <w:trPr>
          <w:trHeight w:val="237"/>
        </w:trPr>
        <w:tc>
          <w:tcPr>
            <w:tcW w:w="3080" w:type="dxa"/>
            <w:vAlign w:val="bottom"/>
            <w:shd w:val="clear" w:color="auto" w:fill="D5DCE4"/>
          </w:tcPr>
          <w:p>
            <w:pPr>
              <w:spacing w:after="0"/>
              <w:rPr>
                <w:sz w:val="20"/>
                <w:szCs w:val="20"/>
                <w:color w:val="auto"/>
              </w:rPr>
            </w:pPr>
          </w:p>
        </w:tc>
        <w:tc>
          <w:tcPr>
            <w:tcW w:w="120" w:type="dxa"/>
            <w:vAlign w:val="bottom"/>
          </w:tcPr>
          <w:p>
            <w:pPr>
              <w:spacing w:after="0"/>
              <w:rPr>
                <w:sz w:val="20"/>
                <w:szCs w:val="20"/>
                <w:color w:val="auto"/>
              </w:rPr>
            </w:pPr>
          </w:p>
        </w:tc>
        <w:tc>
          <w:tcPr>
            <w:tcW w:w="7820" w:type="dxa"/>
            <w:vAlign w:val="bottom"/>
            <w:gridSpan w:val="2"/>
          </w:tcPr>
          <w:p>
            <w:pPr>
              <w:ind w:left="200"/>
              <w:spacing w:after="0"/>
              <w:rPr>
                <w:sz w:val="20"/>
                <w:szCs w:val="20"/>
                <w:color w:val="auto"/>
              </w:rPr>
            </w:pPr>
            <w:r>
              <w:rPr>
                <w:rFonts w:ascii="Arial" w:cs="Arial" w:eastAsia="Arial" w:hAnsi="Arial"/>
                <w:sz w:val="20"/>
                <w:szCs w:val="20"/>
                <w:color w:val="auto"/>
              </w:rPr>
              <w:t>serve for three-year terms;</w:t>
            </w:r>
          </w:p>
        </w:tc>
      </w:tr>
      <w:tr>
        <w:trPr>
          <w:trHeight w:val="235"/>
        </w:trPr>
        <w:tc>
          <w:tcPr>
            <w:tcW w:w="3080" w:type="dxa"/>
            <w:vAlign w:val="bottom"/>
            <w:shd w:val="clear" w:color="auto" w:fill="D5DCE4"/>
          </w:tcPr>
          <w:p>
            <w:pPr>
              <w:spacing w:after="0"/>
              <w:rPr>
                <w:sz w:val="20"/>
                <w:szCs w:val="20"/>
                <w:color w:val="auto"/>
              </w:rPr>
            </w:pPr>
          </w:p>
        </w:tc>
        <w:tc>
          <w:tcPr>
            <w:tcW w:w="7940" w:type="dxa"/>
            <w:vAlign w:val="bottom"/>
            <w:gridSpan w:val="3"/>
          </w:tcPr>
          <w:p>
            <w:pPr>
              <w:ind w:left="120"/>
              <w:spacing w:after="0" w:line="235" w:lineRule="exact"/>
              <w:rPr>
                <w:sz w:val="20"/>
                <w:szCs w:val="20"/>
                <w:color w:val="auto"/>
              </w:rPr>
            </w:pPr>
            <w:r>
              <w:rPr>
                <w:rFonts w:ascii="MS PGothic" w:cs="MS PGothic" w:eastAsia="MS PGothic" w:hAnsi="MS PGothic"/>
                <w:sz w:val="24"/>
                <w:szCs w:val="24"/>
                <w:color w:val="0070C0"/>
                <w:w w:val="98"/>
                <w:vertAlign w:val="superscript"/>
              </w:rPr>
              <w:t>∎</w:t>
            </w:r>
            <w:r>
              <w:rPr>
                <w:rFonts w:ascii="Arial" w:cs="Arial" w:eastAsia="Arial" w:hAnsi="Arial"/>
                <w:sz w:val="20"/>
                <w:szCs w:val="20"/>
                <w:color w:val="auto"/>
                <w:w w:val="98"/>
              </w:rPr>
              <w:t xml:space="preserve">  Ratification of the appointment of Deloitte &amp; Touche LLP as our independent registered</w:t>
            </w:r>
          </w:p>
        </w:tc>
      </w:tr>
      <w:tr>
        <w:trPr>
          <w:trHeight w:val="237"/>
        </w:trPr>
        <w:tc>
          <w:tcPr>
            <w:tcW w:w="3080" w:type="dxa"/>
            <w:vAlign w:val="bottom"/>
            <w:shd w:val="clear" w:color="auto" w:fill="D5DCE4"/>
          </w:tcPr>
          <w:p>
            <w:pPr>
              <w:spacing w:after="0"/>
              <w:rPr>
                <w:sz w:val="20"/>
                <w:szCs w:val="20"/>
                <w:color w:val="auto"/>
              </w:rPr>
            </w:pPr>
          </w:p>
        </w:tc>
        <w:tc>
          <w:tcPr>
            <w:tcW w:w="120" w:type="dxa"/>
            <w:vAlign w:val="bottom"/>
          </w:tcPr>
          <w:p>
            <w:pPr>
              <w:spacing w:after="0"/>
              <w:rPr>
                <w:sz w:val="20"/>
                <w:szCs w:val="20"/>
                <w:color w:val="auto"/>
              </w:rPr>
            </w:pPr>
          </w:p>
        </w:tc>
        <w:tc>
          <w:tcPr>
            <w:tcW w:w="7820" w:type="dxa"/>
            <w:vAlign w:val="bottom"/>
            <w:gridSpan w:val="2"/>
          </w:tcPr>
          <w:p>
            <w:pPr>
              <w:ind w:left="200"/>
              <w:spacing w:after="0"/>
              <w:rPr>
                <w:sz w:val="20"/>
                <w:szCs w:val="20"/>
                <w:color w:val="auto"/>
              </w:rPr>
            </w:pPr>
            <w:r>
              <w:rPr>
                <w:rFonts w:ascii="Arial" w:cs="Arial" w:eastAsia="Arial" w:hAnsi="Arial"/>
                <w:sz w:val="20"/>
                <w:szCs w:val="20"/>
                <w:color w:val="auto"/>
              </w:rPr>
              <w:t>public accounting firm for 2024;</w:t>
            </w:r>
          </w:p>
        </w:tc>
      </w:tr>
      <w:tr>
        <w:trPr>
          <w:trHeight w:val="235"/>
        </w:trPr>
        <w:tc>
          <w:tcPr>
            <w:tcW w:w="3080" w:type="dxa"/>
            <w:vAlign w:val="bottom"/>
            <w:shd w:val="clear" w:color="auto" w:fill="D5DCE4"/>
          </w:tcPr>
          <w:p>
            <w:pPr>
              <w:spacing w:after="0"/>
              <w:rPr>
                <w:sz w:val="20"/>
                <w:szCs w:val="20"/>
                <w:color w:val="auto"/>
              </w:rPr>
            </w:pPr>
          </w:p>
        </w:tc>
        <w:tc>
          <w:tcPr>
            <w:tcW w:w="7940" w:type="dxa"/>
            <w:vAlign w:val="bottom"/>
            <w:gridSpan w:val="3"/>
          </w:tcPr>
          <w:p>
            <w:pPr>
              <w:ind w:left="120"/>
              <w:spacing w:after="0" w:line="235" w:lineRule="exact"/>
              <w:rPr>
                <w:sz w:val="20"/>
                <w:szCs w:val="20"/>
                <w:color w:val="auto"/>
              </w:rPr>
            </w:pPr>
            <w:r>
              <w:rPr>
                <w:rFonts w:ascii="MS PGothic" w:cs="MS PGothic" w:eastAsia="MS PGothic" w:hAnsi="MS PGothic"/>
                <w:sz w:val="24"/>
                <w:szCs w:val="24"/>
                <w:color w:val="0070C0"/>
                <w:vertAlign w:val="superscript"/>
              </w:rPr>
              <w:t>∎</w:t>
            </w:r>
            <w:r>
              <w:rPr>
                <w:rFonts w:ascii="Arial" w:cs="Arial" w:eastAsia="Arial" w:hAnsi="Arial"/>
                <w:sz w:val="20"/>
                <w:szCs w:val="20"/>
                <w:color w:val="auto"/>
              </w:rPr>
              <w:t xml:space="preserve">  Approval, on an advisory basis, of the compensation of our named executive officers;</w:t>
            </w:r>
          </w:p>
        </w:tc>
      </w:tr>
      <w:tr>
        <w:trPr>
          <w:trHeight w:val="237"/>
        </w:trPr>
        <w:tc>
          <w:tcPr>
            <w:tcW w:w="3080" w:type="dxa"/>
            <w:vAlign w:val="bottom"/>
            <w:shd w:val="clear" w:color="auto" w:fill="D5DCE4"/>
          </w:tcPr>
          <w:p>
            <w:pPr>
              <w:spacing w:after="0"/>
              <w:rPr>
                <w:sz w:val="20"/>
                <w:szCs w:val="20"/>
                <w:color w:val="auto"/>
              </w:rPr>
            </w:pPr>
          </w:p>
        </w:tc>
        <w:tc>
          <w:tcPr>
            <w:tcW w:w="120" w:type="dxa"/>
            <w:vAlign w:val="bottom"/>
          </w:tcPr>
          <w:p>
            <w:pPr>
              <w:spacing w:after="0"/>
              <w:rPr>
                <w:sz w:val="20"/>
                <w:szCs w:val="20"/>
                <w:color w:val="auto"/>
              </w:rPr>
            </w:pPr>
          </w:p>
        </w:tc>
        <w:tc>
          <w:tcPr>
            <w:tcW w:w="7820" w:type="dxa"/>
            <w:vAlign w:val="bottom"/>
            <w:gridSpan w:val="2"/>
          </w:tcPr>
          <w:p>
            <w:pPr>
              <w:ind w:left="200"/>
              <w:spacing w:after="0"/>
              <w:rPr>
                <w:sz w:val="20"/>
                <w:szCs w:val="20"/>
                <w:color w:val="auto"/>
              </w:rPr>
            </w:pPr>
            <w:r>
              <w:rPr>
                <w:rFonts w:ascii="Arial" w:cs="Arial" w:eastAsia="Arial" w:hAnsi="Arial"/>
                <w:sz w:val="20"/>
                <w:szCs w:val="20"/>
                <w:color w:val="auto"/>
              </w:rPr>
              <w:t>and</w:t>
            </w:r>
          </w:p>
        </w:tc>
      </w:tr>
      <w:tr>
        <w:trPr>
          <w:trHeight w:val="235"/>
        </w:trPr>
        <w:tc>
          <w:tcPr>
            <w:tcW w:w="3080" w:type="dxa"/>
            <w:vAlign w:val="bottom"/>
            <w:shd w:val="clear" w:color="auto" w:fill="D5DCE4"/>
          </w:tcPr>
          <w:p>
            <w:pPr>
              <w:spacing w:after="0"/>
              <w:rPr>
                <w:sz w:val="20"/>
                <w:szCs w:val="20"/>
                <w:color w:val="auto"/>
              </w:rPr>
            </w:pPr>
          </w:p>
        </w:tc>
        <w:tc>
          <w:tcPr>
            <w:tcW w:w="7940" w:type="dxa"/>
            <w:vAlign w:val="bottom"/>
            <w:gridSpan w:val="3"/>
          </w:tcPr>
          <w:p>
            <w:pPr>
              <w:ind w:left="120"/>
              <w:spacing w:after="0" w:line="235" w:lineRule="exact"/>
              <w:rPr>
                <w:sz w:val="20"/>
                <w:szCs w:val="20"/>
                <w:color w:val="auto"/>
              </w:rPr>
            </w:pPr>
            <w:r>
              <w:rPr>
                <w:rFonts w:ascii="MS PGothic" w:cs="MS PGothic" w:eastAsia="MS PGothic" w:hAnsi="MS PGothic"/>
                <w:sz w:val="24"/>
                <w:szCs w:val="24"/>
                <w:color w:val="0070C0"/>
                <w:vertAlign w:val="superscript"/>
              </w:rPr>
              <w:t>∎</w:t>
            </w:r>
            <w:r>
              <w:rPr>
                <w:rFonts w:ascii="Arial" w:cs="Arial" w:eastAsia="Arial" w:hAnsi="Arial"/>
                <w:sz w:val="20"/>
                <w:szCs w:val="20"/>
                <w:color w:val="auto"/>
              </w:rPr>
              <w:t xml:space="preserve">  Transaction of any other business that may properly come before the meeting or any</w:t>
            </w:r>
          </w:p>
        </w:tc>
      </w:tr>
      <w:tr>
        <w:trPr>
          <w:trHeight w:val="261"/>
        </w:trPr>
        <w:tc>
          <w:tcPr>
            <w:tcW w:w="3080" w:type="dxa"/>
            <w:vAlign w:val="bottom"/>
            <w:shd w:val="clear" w:color="auto" w:fill="D5DCE4"/>
          </w:tcPr>
          <w:p>
            <w:pPr>
              <w:spacing w:after="0"/>
              <w:rPr>
                <w:sz w:val="22"/>
                <w:szCs w:val="22"/>
                <w:color w:val="auto"/>
              </w:rPr>
            </w:pPr>
          </w:p>
        </w:tc>
        <w:tc>
          <w:tcPr>
            <w:tcW w:w="120" w:type="dxa"/>
            <w:vAlign w:val="bottom"/>
          </w:tcPr>
          <w:p>
            <w:pPr>
              <w:spacing w:after="0"/>
              <w:rPr>
                <w:sz w:val="22"/>
                <w:szCs w:val="22"/>
                <w:color w:val="auto"/>
              </w:rPr>
            </w:pPr>
          </w:p>
        </w:tc>
        <w:tc>
          <w:tcPr>
            <w:tcW w:w="7820" w:type="dxa"/>
            <w:vAlign w:val="bottom"/>
            <w:gridSpan w:val="2"/>
          </w:tcPr>
          <w:p>
            <w:pPr>
              <w:ind w:left="200"/>
              <w:spacing w:after="0"/>
              <w:rPr>
                <w:sz w:val="20"/>
                <w:szCs w:val="20"/>
                <w:color w:val="auto"/>
              </w:rPr>
            </w:pPr>
            <w:r>
              <w:rPr>
                <w:rFonts w:ascii="Arial" w:cs="Arial" w:eastAsia="Arial" w:hAnsi="Arial"/>
                <w:sz w:val="20"/>
                <w:szCs w:val="20"/>
                <w:color w:val="auto"/>
              </w:rPr>
              <w:t>adjournment thereof.</w:t>
            </w:r>
          </w:p>
        </w:tc>
      </w:tr>
      <w:tr>
        <w:trPr>
          <w:trHeight w:val="78"/>
        </w:trPr>
        <w:tc>
          <w:tcPr>
            <w:tcW w:w="3080" w:type="dxa"/>
            <w:vAlign w:val="bottom"/>
            <w:tcBorders>
              <w:bottom w:val="single" w:sz="8" w:color="0070C0"/>
            </w:tcBorders>
            <w:shd w:val="clear" w:color="auto" w:fill="D5DCE4"/>
          </w:tcPr>
          <w:p>
            <w:pPr>
              <w:spacing w:after="0"/>
              <w:rPr>
                <w:sz w:val="6"/>
                <w:szCs w:val="6"/>
                <w:color w:val="auto"/>
              </w:rPr>
            </w:pPr>
          </w:p>
        </w:tc>
        <w:tc>
          <w:tcPr>
            <w:tcW w:w="120" w:type="dxa"/>
            <w:vAlign w:val="bottom"/>
            <w:tcBorders>
              <w:bottom w:val="single" w:sz="8" w:color="0070C0"/>
            </w:tcBorders>
          </w:tcPr>
          <w:p>
            <w:pPr>
              <w:spacing w:after="0"/>
              <w:rPr>
                <w:sz w:val="6"/>
                <w:szCs w:val="6"/>
                <w:color w:val="auto"/>
              </w:rPr>
            </w:pPr>
          </w:p>
        </w:tc>
        <w:tc>
          <w:tcPr>
            <w:tcW w:w="3160" w:type="dxa"/>
            <w:vAlign w:val="bottom"/>
            <w:tcBorders>
              <w:bottom w:val="single" w:sz="8" w:color="0070C0"/>
            </w:tcBorders>
          </w:tcPr>
          <w:p>
            <w:pPr>
              <w:spacing w:after="0"/>
              <w:rPr>
                <w:sz w:val="6"/>
                <w:szCs w:val="6"/>
                <w:color w:val="auto"/>
              </w:rPr>
            </w:pPr>
          </w:p>
        </w:tc>
        <w:tc>
          <w:tcPr>
            <w:tcW w:w="4660" w:type="dxa"/>
            <w:vAlign w:val="bottom"/>
            <w:tcBorders>
              <w:bottom w:val="single" w:sz="8" w:color="0070C0"/>
            </w:tcBorders>
          </w:tcPr>
          <w:p>
            <w:pPr>
              <w:spacing w:after="0"/>
              <w:rPr>
                <w:sz w:val="6"/>
                <w:szCs w:val="6"/>
                <w:color w:val="auto"/>
              </w:rPr>
            </w:pPr>
          </w:p>
        </w:tc>
      </w:tr>
      <w:tr>
        <w:trPr>
          <w:trHeight w:val="208"/>
        </w:trPr>
        <w:tc>
          <w:tcPr>
            <w:tcW w:w="3080" w:type="dxa"/>
            <w:vAlign w:val="bottom"/>
            <w:shd w:val="clear" w:color="auto" w:fill="D5DCE4"/>
          </w:tcPr>
          <w:p>
            <w:pPr>
              <w:ind w:left="100"/>
              <w:spacing w:after="0" w:line="207" w:lineRule="exact"/>
              <w:rPr>
                <w:sz w:val="20"/>
                <w:szCs w:val="20"/>
                <w:color w:val="auto"/>
              </w:rPr>
            </w:pPr>
            <w:r>
              <w:rPr>
                <w:rFonts w:ascii="Arial" w:cs="Arial" w:eastAsia="Arial" w:hAnsi="Arial"/>
                <w:sz w:val="20"/>
                <w:szCs w:val="20"/>
                <w:b w:val="1"/>
                <w:bCs w:val="1"/>
                <w:color w:val="002060"/>
              </w:rPr>
              <w:t>Voting</w:t>
            </w:r>
          </w:p>
        </w:tc>
        <w:tc>
          <w:tcPr>
            <w:tcW w:w="7940" w:type="dxa"/>
            <w:vAlign w:val="bottom"/>
            <w:gridSpan w:val="3"/>
          </w:tcPr>
          <w:p>
            <w:pPr>
              <w:ind w:left="120"/>
              <w:spacing w:after="0" w:line="207" w:lineRule="exact"/>
              <w:rPr>
                <w:sz w:val="20"/>
                <w:szCs w:val="20"/>
                <w:color w:val="auto"/>
              </w:rPr>
            </w:pPr>
            <w:r>
              <w:rPr>
                <w:rFonts w:ascii="Arial" w:cs="Arial" w:eastAsia="Arial" w:hAnsi="Arial"/>
                <w:sz w:val="20"/>
                <w:szCs w:val="20"/>
                <w:color w:val="auto"/>
              </w:rPr>
              <w:t>Stockholders may vote online at www.envisionreports.com/IBP or by phone at</w:t>
            </w:r>
          </w:p>
        </w:tc>
      </w:tr>
      <w:tr>
        <w:trPr>
          <w:trHeight w:val="216"/>
        </w:trPr>
        <w:tc>
          <w:tcPr>
            <w:tcW w:w="3080" w:type="dxa"/>
            <w:vAlign w:val="bottom"/>
            <w:shd w:val="clear" w:color="auto" w:fill="D5DCE4"/>
          </w:tcPr>
          <w:p>
            <w:pPr>
              <w:spacing w:after="0"/>
              <w:rPr>
                <w:sz w:val="18"/>
                <w:szCs w:val="18"/>
                <w:color w:val="auto"/>
              </w:rPr>
            </w:pPr>
          </w:p>
        </w:tc>
        <w:tc>
          <w:tcPr>
            <w:tcW w:w="7940" w:type="dxa"/>
            <w:vAlign w:val="bottom"/>
            <w:gridSpan w:val="3"/>
          </w:tcPr>
          <w:p>
            <w:pPr>
              <w:ind w:left="120"/>
              <w:spacing w:after="0" w:line="216" w:lineRule="exact"/>
              <w:rPr>
                <w:sz w:val="20"/>
                <w:szCs w:val="20"/>
                <w:color w:val="auto"/>
              </w:rPr>
            </w:pPr>
            <w:r>
              <w:rPr>
                <w:rFonts w:ascii="Arial" w:cs="Arial" w:eastAsia="Arial" w:hAnsi="Arial"/>
                <w:sz w:val="20"/>
                <w:szCs w:val="20"/>
                <w:color w:val="auto"/>
              </w:rPr>
              <w:t>1-800-652-8683, 24 hours a day, seven days a week. If you have a printed proxy card,</w:t>
            </w:r>
          </w:p>
        </w:tc>
      </w:tr>
      <w:tr>
        <w:trPr>
          <w:trHeight w:val="216"/>
        </w:trPr>
        <w:tc>
          <w:tcPr>
            <w:tcW w:w="3080" w:type="dxa"/>
            <w:vAlign w:val="bottom"/>
            <w:shd w:val="clear" w:color="auto" w:fill="D5DCE4"/>
          </w:tcPr>
          <w:p>
            <w:pPr>
              <w:spacing w:after="0"/>
              <w:rPr>
                <w:sz w:val="18"/>
                <w:szCs w:val="18"/>
                <w:color w:val="auto"/>
              </w:rPr>
            </w:pPr>
          </w:p>
        </w:tc>
        <w:tc>
          <w:tcPr>
            <w:tcW w:w="7940" w:type="dxa"/>
            <w:vAlign w:val="bottom"/>
            <w:gridSpan w:val="3"/>
          </w:tcPr>
          <w:p>
            <w:pPr>
              <w:ind w:left="120"/>
              <w:spacing w:after="0" w:line="216" w:lineRule="exact"/>
              <w:rPr>
                <w:sz w:val="20"/>
                <w:szCs w:val="20"/>
                <w:color w:val="auto"/>
              </w:rPr>
            </w:pPr>
            <w:r>
              <w:rPr>
                <w:rFonts w:ascii="Arial" w:cs="Arial" w:eastAsia="Arial" w:hAnsi="Arial"/>
                <w:sz w:val="20"/>
                <w:szCs w:val="20"/>
                <w:color w:val="auto"/>
                <w:w w:val="99"/>
              </w:rPr>
              <w:t>you may vote by completing, signing, dating and returning each proxy card in the prepaid</w:t>
            </w:r>
          </w:p>
        </w:tc>
      </w:tr>
      <w:tr>
        <w:trPr>
          <w:trHeight w:val="216"/>
        </w:trPr>
        <w:tc>
          <w:tcPr>
            <w:tcW w:w="3080" w:type="dxa"/>
            <w:vAlign w:val="bottom"/>
            <w:shd w:val="clear" w:color="auto" w:fill="D5DCE4"/>
          </w:tcPr>
          <w:p>
            <w:pPr>
              <w:spacing w:after="0"/>
              <w:rPr>
                <w:sz w:val="18"/>
                <w:szCs w:val="18"/>
                <w:color w:val="auto"/>
              </w:rPr>
            </w:pPr>
          </w:p>
        </w:tc>
        <w:tc>
          <w:tcPr>
            <w:tcW w:w="7940" w:type="dxa"/>
            <w:vAlign w:val="bottom"/>
            <w:gridSpan w:val="3"/>
          </w:tcPr>
          <w:p>
            <w:pPr>
              <w:ind w:left="120"/>
              <w:spacing w:after="0" w:line="216" w:lineRule="exact"/>
              <w:rPr>
                <w:sz w:val="20"/>
                <w:szCs w:val="20"/>
                <w:color w:val="auto"/>
              </w:rPr>
            </w:pPr>
            <w:r>
              <w:rPr>
                <w:rFonts w:ascii="Arial" w:cs="Arial" w:eastAsia="Arial" w:hAnsi="Arial"/>
                <w:sz w:val="20"/>
                <w:szCs w:val="20"/>
                <w:color w:val="auto"/>
              </w:rPr>
              <w:t>envelope provided. If you choose to vote during the 2024 Annual Meeting of</w:t>
            </w:r>
          </w:p>
        </w:tc>
      </w:tr>
      <w:tr>
        <w:trPr>
          <w:trHeight w:val="216"/>
        </w:trPr>
        <w:tc>
          <w:tcPr>
            <w:tcW w:w="3080" w:type="dxa"/>
            <w:vAlign w:val="bottom"/>
            <w:shd w:val="clear" w:color="auto" w:fill="D5DCE4"/>
          </w:tcPr>
          <w:p>
            <w:pPr>
              <w:spacing w:after="0"/>
              <w:rPr>
                <w:sz w:val="18"/>
                <w:szCs w:val="18"/>
                <w:color w:val="auto"/>
              </w:rPr>
            </w:pPr>
          </w:p>
        </w:tc>
        <w:tc>
          <w:tcPr>
            <w:tcW w:w="7940" w:type="dxa"/>
            <w:vAlign w:val="bottom"/>
            <w:gridSpan w:val="3"/>
          </w:tcPr>
          <w:p>
            <w:pPr>
              <w:ind w:left="120"/>
              <w:spacing w:after="0" w:line="216" w:lineRule="exact"/>
              <w:rPr>
                <w:sz w:val="20"/>
                <w:szCs w:val="20"/>
                <w:color w:val="auto"/>
              </w:rPr>
            </w:pPr>
            <w:r>
              <w:rPr>
                <w:rFonts w:ascii="Arial" w:cs="Arial" w:eastAsia="Arial" w:hAnsi="Arial"/>
                <w:sz w:val="20"/>
                <w:szCs w:val="20"/>
                <w:color w:val="auto"/>
              </w:rPr>
              <w:t>Stockholders (“Annual Meeting”), follow the instructions posted at</w:t>
            </w:r>
          </w:p>
        </w:tc>
      </w:tr>
      <w:tr>
        <w:trPr>
          <w:trHeight w:val="216"/>
        </w:trPr>
        <w:tc>
          <w:tcPr>
            <w:tcW w:w="3080" w:type="dxa"/>
            <w:vAlign w:val="bottom"/>
            <w:shd w:val="clear" w:color="auto" w:fill="D5DCE4"/>
          </w:tcPr>
          <w:p>
            <w:pPr>
              <w:spacing w:after="0"/>
              <w:rPr>
                <w:sz w:val="18"/>
                <w:szCs w:val="18"/>
                <w:color w:val="auto"/>
              </w:rPr>
            </w:pPr>
          </w:p>
        </w:tc>
        <w:tc>
          <w:tcPr>
            <w:tcW w:w="7940" w:type="dxa"/>
            <w:vAlign w:val="bottom"/>
            <w:gridSpan w:val="3"/>
          </w:tcPr>
          <w:p>
            <w:pPr>
              <w:ind w:left="120"/>
              <w:spacing w:after="0" w:line="216" w:lineRule="exact"/>
              <w:rPr>
                <w:sz w:val="20"/>
                <w:szCs w:val="20"/>
                <w:color w:val="auto"/>
              </w:rPr>
            </w:pPr>
            <w:r>
              <w:rPr>
                <w:rFonts w:ascii="Arial" w:cs="Arial" w:eastAsia="Arial" w:hAnsi="Arial"/>
                <w:sz w:val="20"/>
                <w:szCs w:val="20"/>
                <w:color w:val="auto"/>
                <w:w w:val="99"/>
              </w:rPr>
              <w:t>https://meetnow.global/MJUTAUG. All votes must be received no later than the closing of</w:t>
            </w:r>
          </w:p>
        </w:tc>
      </w:tr>
      <w:tr>
        <w:trPr>
          <w:trHeight w:val="261"/>
        </w:trPr>
        <w:tc>
          <w:tcPr>
            <w:tcW w:w="3080" w:type="dxa"/>
            <w:vAlign w:val="bottom"/>
            <w:shd w:val="clear" w:color="auto" w:fill="D5DCE4"/>
          </w:tcPr>
          <w:p>
            <w:pPr>
              <w:spacing w:after="0"/>
              <w:rPr>
                <w:sz w:val="22"/>
                <w:szCs w:val="22"/>
                <w:color w:val="auto"/>
              </w:rPr>
            </w:pPr>
          </w:p>
        </w:tc>
        <w:tc>
          <w:tcPr>
            <w:tcW w:w="7940" w:type="dxa"/>
            <w:vAlign w:val="bottom"/>
            <w:gridSpan w:val="3"/>
          </w:tcPr>
          <w:p>
            <w:pPr>
              <w:ind w:left="120"/>
              <w:spacing w:after="0"/>
              <w:rPr>
                <w:sz w:val="20"/>
                <w:szCs w:val="20"/>
                <w:color w:val="auto"/>
              </w:rPr>
            </w:pPr>
            <w:r>
              <w:rPr>
                <w:rFonts w:ascii="Arial" w:cs="Arial" w:eastAsia="Arial" w:hAnsi="Arial"/>
                <w:sz w:val="20"/>
                <w:szCs w:val="20"/>
                <w:color w:val="auto"/>
              </w:rPr>
              <w:t>the polls at the Annual Meeting.</w:t>
            </w:r>
          </w:p>
        </w:tc>
      </w:tr>
      <w:tr>
        <w:trPr>
          <w:trHeight w:val="78"/>
        </w:trPr>
        <w:tc>
          <w:tcPr>
            <w:tcW w:w="3080" w:type="dxa"/>
            <w:vAlign w:val="bottom"/>
            <w:tcBorders>
              <w:bottom w:val="single" w:sz="8" w:color="0070C0"/>
            </w:tcBorders>
            <w:shd w:val="clear" w:color="auto" w:fill="D5DCE4"/>
          </w:tcPr>
          <w:p>
            <w:pPr>
              <w:spacing w:after="0"/>
              <w:rPr>
                <w:sz w:val="6"/>
                <w:szCs w:val="6"/>
                <w:color w:val="auto"/>
              </w:rPr>
            </w:pPr>
          </w:p>
        </w:tc>
        <w:tc>
          <w:tcPr>
            <w:tcW w:w="120" w:type="dxa"/>
            <w:vAlign w:val="bottom"/>
            <w:tcBorders>
              <w:bottom w:val="single" w:sz="8" w:color="0070C0"/>
            </w:tcBorders>
          </w:tcPr>
          <w:p>
            <w:pPr>
              <w:spacing w:after="0"/>
              <w:rPr>
                <w:sz w:val="6"/>
                <w:szCs w:val="6"/>
                <w:color w:val="auto"/>
              </w:rPr>
            </w:pPr>
          </w:p>
        </w:tc>
        <w:tc>
          <w:tcPr>
            <w:tcW w:w="3160" w:type="dxa"/>
            <w:vAlign w:val="bottom"/>
            <w:tcBorders>
              <w:bottom w:val="single" w:sz="8" w:color="0070C0"/>
            </w:tcBorders>
          </w:tcPr>
          <w:p>
            <w:pPr>
              <w:spacing w:after="0"/>
              <w:rPr>
                <w:sz w:val="6"/>
                <w:szCs w:val="6"/>
                <w:color w:val="auto"/>
              </w:rPr>
            </w:pPr>
          </w:p>
        </w:tc>
        <w:tc>
          <w:tcPr>
            <w:tcW w:w="4660" w:type="dxa"/>
            <w:vAlign w:val="bottom"/>
            <w:tcBorders>
              <w:bottom w:val="single" w:sz="8" w:color="0070C0"/>
            </w:tcBorders>
          </w:tcPr>
          <w:p>
            <w:pPr>
              <w:spacing w:after="0"/>
              <w:rPr>
                <w:sz w:val="6"/>
                <w:szCs w:val="6"/>
                <w:color w:val="auto"/>
              </w:rPr>
            </w:pPr>
          </w:p>
        </w:tc>
      </w:tr>
      <w:tr>
        <w:trPr>
          <w:trHeight w:val="208"/>
        </w:trPr>
        <w:tc>
          <w:tcPr>
            <w:tcW w:w="3080" w:type="dxa"/>
            <w:vAlign w:val="bottom"/>
            <w:shd w:val="clear" w:color="auto" w:fill="D5DCE4"/>
          </w:tcPr>
          <w:p>
            <w:pPr>
              <w:ind w:left="100"/>
              <w:spacing w:after="0" w:line="207" w:lineRule="exact"/>
              <w:rPr>
                <w:sz w:val="20"/>
                <w:szCs w:val="20"/>
                <w:color w:val="auto"/>
              </w:rPr>
            </w:pPr>
            <w:r>
              <w:rPr>
                <w:rFonts w:ascii="Arial" w:cs="Arial" w:eastAsia="Arial" w:hAnsi="Arial"/>
                <w:sz w:val="20"/>
                <w:szCs w:val="20"/>
                <w:b w:val="1"/>
                <w:bCs w:val="1"/>
                <w:color w:val="002060"/>
              </w:rPr>
              <w:t>Meeting and Voting Details</w:t>
            </w:r>
          </w:p>
        </w:tc>
        <w:tc>
          <w:tcPr>
            <w:tcW w:w="7940" w:type="dxa"/>
            <w:vAlign w:val="bottom"/>
            <w:gridSpan w:val="3"/>
          </w:tcPr>
          <w:p>
            <w:pPr>
              <w:ind w:left="120"/>
              <w:spacing w:after="0" w:line="207" w:lineRule="exact"/>
              <w:rPr>
                <w:sz w:val="20"/>
                <w:szCs w:val="20"/>
                <w:color w:val="auto"/>
              </w:rPr>
            </w:pPr>
            <w:r>
              <w:rPr>
                <w:rFonts w:ascii="Arial" w:cs="Arial" w:eastAsia="Arial" w:hAnsi="Arial"/>
                <w:sz w:val="20"/>
                <w:szCs w:val="20"/>
                <w:color w:val="auto"/>
              </w:rPr>
              <w:t>For more detailed information on attending and voting at the Annual Meeting, see</w:t>
            </w:r>
          </w:p>
        </w:tc>
      </w:tr>
      <w:tr>
        <w:trPr>
          <w:trHeight w:val="261"/>
        </w:trPr>
        <w:tc>
          <w:tcPr>
            <w:tcW w:w="3080" w:type="dxa"/>
            <w:vAlign w:val="bottom"/>
            <w:shd w:val="clear" w:color="auto" w:fill="D5DCE4"/>
          </w:tcPr>
          <w:p>
            <w:pPr>
              <w:spacing w:after="0"/>
              <w:rPr>
                <w:sz w:val="22"/>
                <w:szCs w:val="22"/>
                <w:color w:val="auto"/>
              </w:rPr>
            </w:pPr>
          </w:p>
        </w:tc>
        <w:tc>
          <w:tcPr>
            <w:tcW w:w="7940" w:type="dxa"/>
            <w:vAlign w:val="bottom"/>
            <w:gridSpan w:val="3"/>
          </w:tcPr>
          <w:p>
            <w:pPr>
              <w:ind w:left="1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Meeting and Voting Information</w:t>
            </w:r>
            <w:r>
              <w:rPr>
                <w:rFonts w:ascii="Arial" w:cs="Arial" w:eastAsia="Arial" w:hAnsi="Arial"/>
                <w:sz w:val="20"/>
                <w:szCs w:val="20"/>
                <w:color w:val="auto"/>
              </w:rPr>
              <w:t>” beginning on page 83.</w:t>
            </w:r>
          </w:p>
        </w:tc>
      </w:tr>
      <w:tr>
        <w:trPr>
          <w:trHeight w:val="71"/>
        </w:trPr>
        <w:tc>
          <w:tcPr>
            <w:tcW w:w="3080" w:type="dxa"/>
            <w:vAlign w:val="bottom"/>
            <w:shd w:val="clear" w:color="auto" w:fill="D5DCE4"/>
          </w:tcPr>
          <w:p>
            <w:pPr>
              <w:spacing w:after="0"/>
              <w:rPr>
                <w:sz w:val="6"/>
                <w:szCs w:val="6"/>
                <w:color w:val="auto"/>
              </w:rPr>
            </w:pPr>
          </w:p>
        </w:tc>
        <w:tc>
          <w:tcPr>
            <w:tcW w:w="120" w:type="dxa"/>
            <w:vAlign w:val="bottom"/>
          </w:tcPr>
          <w:p>
            <w:pPr>
              <w:spacing w:after="0"/>
              <w:rPr>
                <w:sz w:val="6"/>
                <w:szCs w:val="6"/>
                <w:color w:val="auto"/>
              </w:rPr>
            </w:pPr>
          </w:p>
        </w:tc>
        <w:tc>
          <w:tcPr>
            <w:tcW w:w="3160" w:type="dxa"/>
            <w:vAlign w:val="bottom"/>
          </w:tcPr>
          <w:p>
            <w:pPr>
              <w:spacing w:after="0"/>
              <w:rPr>
                <w:sz w:val="6"/>
                <w:szCs w:val="6"/>
                <w:color w:val="auto"/>
              </w:rPr>
            </w:pPr>
          </w:p>
        </w:tc>
        <w:tc>
          <w:tcPr>
            <w:tcW w:w="4660" w:type="dxa"/>
            <w:vAlign w:val="bottom"/>
          </w:tcPr>
          <w:p>
            <w:pPr>
              <w:spacing w:after="0"/>
              <w:rPr>
                <w:sz w:val="6"/>
                <w:szCs w:val="6"/>
                <w:color w:val="auto"/>
              </w:rPr>
            </w:pPr>
          </w:p>
        </w:tc>
      </w:tr>
      <w:tr>
        <w:trPr>
          <w:trHeight w:val="564"/>
        </w:trPr>
        <w:tc>
          <w:tcPr>
            <w:tcW w:w="3080" w:type="dxa"/>
            <w:vAlign w:val="bottom"/>
          </w:tcPr>
          <w:p>
            <w:pPr>
              <w:spacing w:after="0"/>
              <w:rPr>
                <w:sz w:val="20"/>
                <w:szCs w:val="20"/>
                <w:color w:val="auto"/>
              </w:rPr>
            </w:pPr>
            <w:r>
              <w:rPr>
                <w:rFonts w:ascii="Arial" w:cs="Arial" w:eastAsia="Arial" w:hAnsi="Arial"/>
                <w:sz w:val="20"/>
                <w:szCs w:val="20"/>
                <w:color w:val="auto"/>
              </w:rPr>
              <w:t>By Order of the Board of Directors</w:t>
            </w:r>
          </w:p>
        </w:tc>
        <w:tc>
          <w:tcPr>
            <w:tcW w:w="1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886"/>
        </w:trPr>
        <w:tc>
          <w:tcPr>
            <w:tcW w:w="3080" w:type="dxa"/>
            <w:vAlign w:val="bottom"/>
          </w:tcPr>
          <w:p>
            <w:pPr>
              <w:spacing w:after="0"/>
              <w:rPr>
                <w:sz w:val="20"/>
                <w:szCs w:val="20"/>
                <w:color w:val="auto"/>
              </w:rPr>
            </w:pPr>
            <w:r>
              <w:rPr>
                <w:rFonts w:ascii="Arial" w:cs="Arial" w:eastAsia="Arial" w:hAnsi="Arial"/>
                <w:sz w:val="20"/>
                <w:szCs w:val="20"/>
                <w:color w:val="auto"/>
              </w:rPr>
              <w:t>Shelley A. McBride</w:t>
            </w:r>
          </w:p>
        </w:tc>
        <w:tc>
          <w:tcPr>
            <w:tcW w:w="1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16"/>
        </w:trPr>
        <w:tc>
          <w:tcPr>
            <w:tcW w:w="3080" w:type="dxa"/>
            <w:vAlign w:val="bottom"/>
          </w:tcPr>
          <w:p>
            <w:pPr>
              <w:spacing w:after="0" w:line="216" w:lineRule="exact"/>
              <w:rPr>
                <w:sz w:val="20"/>
                <w:szCs w:val="20"/>
                <w:color w:val="auto"/>
              </w:rPr>
            </w:pPr>
            <w:r>
              <w:rPr>
                <w:rFonts w:ascii="Arial" w:cs="Arial" w:eastAsia="Arial" w:hAnsi="Arial"/>
                <w:sz w:val="20"/>
                <w:szCs w:val="20"/>
                <w:color w:val="auto"/>
              </w:rPr>
              <w:t>General Counsel and Secretary</w:t>
            </w:r>
          </w:p>
        </w:tc>
        <w:tc>
          <w:tcPr>
            <w:tcW w:w="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61"/>
        </w:trPr>
        <w:tc>
          <w:tcPr>
            <w:tcW w:w="3080" w:type="dxa"/>
            <w:vAlign w:val="bottom"/>
          </w:tcPr>
          <w:p>
            <w:pPr>
              <w:spacing w:after="0"/>
              <w:rPr>
                <w:sz w:val="20"/>
                <w:szCs w:val="20"/>
                <w:color w:val="auto"/>
              </w:rPr>
            </w:pPr>
            <w:r>
              <w:rPr>
                <w:rFonts w:ascii="Arial" w:cs="Arial" w:eastAsia="Arial" w:hAnsi="Arial"/>
                <w:sz w:val="20"/>
                <w:szCs w:val="20"/>
                <w:color w:val="auto"/>
              </w:rPr>
              <w:t>April 11, 2024</w:t>
            </w:r>
          </w:p>
        </w:tc>
        <w:tc>
          <w:tcPr>
            <w:tcW w:w="12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46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-803275</wp:posOffset>
            </wp:positionV>
            <wp:extent cx="1379855"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9855" cy="377190"/>
                    </a:xfrm>
                    <a:prstGeom prst="rect">
                      <a:avLst/>
                    </a:prstGeom>
                    <a:noFill/>
                  </pic:spPr>
                </pic:pic>
              </a:graphicData>
            </a:graphic>
          </wp:anchor>
        </w:drawing>
      </w:r>
    </w:p>
    <w:p>
      <w:pPr>
        <w:sectPr>
          <w:pgSz w:w="11900" w:h="16838" w:orient="portrait"/>
          <w:cols w:equalWidth="0" w:num="1">
            <w:col w:w="11020"/>
          </w:cols>
          <w:pgMar w:left="440" w:top="261" w:right="439" w:bottom="1440" w:gutter="0" w:footer="0" w:header="0"/>
        </w:sectPr>
      </w:pPr>
    </w:p>
    <w:bookmarkStart w:id="4" w:name="page5"/>
    <w:bookmarkEnd w:id="4"/>
    <w:p>
      <w:pPr>
        <w:jc w:val="center"/>
        <w:ind w:right="300"/>
        <w:spacing w:after="0"/>
        <w:rPr>
          <w:sz w:val="20"/>
          <w:szCs w:val="20"/>
          <w:color w:val="auto"/>
        </w:rPr>
      </w:pPr>
      <w:r>
        <w:rPr>
          <w:rFonts w:ascii="Times New Roman" w:cs="Times New Roman" w:eastAsia="Times New Roman" w:hAnsi="Times New Roman"/>
          <w:sz w:val="39"/>
          <w:szCs w:val="39"/>
          <w:b w:val="1"/>
          <w:bCs w:val="1"/>
          <w:color w:val="0070C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Message from Our Chairman and Our Presiding</w:t>
      </w:r>
    </w:p>
    <w:p>
      <w:pPr>
        <w:spacing w:after="0" w:line="4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40"/>
          <w:szCs w:val="40"/>
          <w:b w:val="1"/>
          <w:bCs w:val="1"/>
          <w:color w:val="0070C0"/>
        </w:rPr>
        <w:t>Independent Director</w:t>
      </w:r>
    </w:p>
    <w:p>
      <w:pPr>
        <w:sectPr>
          <w:pgSz w:w="11900" w:h="16838" w:orient="portrait"/>
          <w:cols w:equalWidth="0" w:num="1">
            <w:col w:w="10700"/>
          </w:cols>
          <w:pgMar w:left="740" w:top="26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color w:val="002060"/>
        </w:rPr>
        <w:t xml:space="preserve">Jeffrey W. Edwards </w:t>
      </w:r>
      <w:r>
        <w:rPr>
          <w:rFonts w:ascii="Arial" w:cs="Arial" w:eastAsia="Arial" w:hAnsi="Arial"/>
          <w:sz w:val="18"/>
          <w:szCs w:val="18"/>
          <w:i w:val="1"/>
          <w:iCs w:val="1"/>
          <w:color w:val="002060"/>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-2281555</wp:posOffset>
            </wp:positionV>
            <wp:extent cx="1423035" cy="1945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1945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TO OUR STOCKHOLDERS:</w:t>
      </w:r>
    </w:p>
    <w:p>
      <w:pPr>
        <w:spacing w:after="0" w:line="15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February 2024, Installed Building Products, Inc. (“we,” “us,” “our” or the “Company”) celebrated 10 years of being a publicly-traded company. During its first 10 years, IBP has established a strong track record of excellent operational and financial performance. The Company has grown annual sales and net income each year from our first full year as a public company in 2015 through 2023, representing compounded annual growth rates of 20% and 32%, respectively. The Company’s continued success is due to the hard work of its valued and dedicated employees, longstanding customers, vendors and surrounding communities. Each stakeholder has played an integral part of our success. IBP has continued to invest back into our employees, their families and our communities. As economic and social complexities continue to rapidly change, IBP’s Board of Directors (“Board”) is proud that the IBP leadership team’s culture of “doing the right thing” has endured throughout its history. Our special culture has helped retain and attract new leaders and continues to position the Company for future success. We care deeply about our people, the environment, sustainability, and our neighbors, and we continue to strive for excellence in corporate governance.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CONTINUING TO POST RECORD RESULTS WITH GROWING DIVIDEND DISTRIBUTIONS</w:t>
      </w:r>
    </w:p>
    <w:p>
      <w:pPr>
        <w:spacing w:after="0" w:line="311" w:lineRule="exact"/>
        <w:rPr>
          <w:sz w:val="20"/>
          <w:szCs w:val="20"/>
          <w:color w:val="auto"/>
        </w:rPr>
      </w:pPr>
    </w:p>
    <w:p>
      <w:pPr>
        <w:sectPr>
          <w:pgSz w:w="11900" w:h="16838" w:orient="portrait"/>
          <w:cols w:equalWidth="0" w:num="2">
            <w:col w:w="1820" w:space="420"/>
            <w:col w:w="8460"/>
          </w:cols>
          <w:pgMar w:left="740" w:top="261"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20"/>
        <w:spacing w:after="0" w:line="253" w:lineRule="auto"/>
        <w:rPr>
          <w:sz w:val="20"/>
          <w:szCs w:val="20"/>
          <w:color w:val="auto"/>
        </w:rPr>
      </w:pPr>
      <w:r>
        <w:rPr>
          <w:rFonts w:ascii="Arial" w:cs="Arial" w:eastAsia="Arial" w:hAnsi="Arial"/>
          <w:sz w:val="18"/>
          <w:szCs w:val="18"/>
          <w:color w:val="002060"/>
        </w:rPr>
        <w:t xml:space="preserve">Margot L. Carter </w:t>
      </w:r>
      <w:r>
        <w:rPr>
          <w:rFonts w:ascii="Arial" w:cs="Arial" w:eastAsia="Arial" w:hAnsi="Arial"/>
          <w:sz w:val="18"/>
          <w:szCs w:val="18"/>
          <w:i w:val="1"/>
          <w:iCs w:val="1"/>
          <w:color w:val="002060"/>
        </w:rPr>
        <w:t>Presiding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-2366010</wp:posOffset>
            </wp:positionV>
            <wp:extent cx="1440180" cy="1911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0180" cy="1911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IBP achieved another year of record financial results in 2023 as revenues increased 4% to $2.8 billion and net income increased 9% to $244 million, or $8.61 per diluted share. While organic revenue growth was roughly flat in 2023, the Company continued to benefit, in part, from sales driven by the eight acquisitions completed in 2023 and the 88 acquisitions since 2014. Allocating capital toward future acquisitions remains the top priority for IBP and as net income and cash from operations increased, quarterly dividend payments have increased approximately 5% per share each year since dividends were first paid 2021. Additionally, the Board declared a 2024 annual variable dividend of $1.60 per share, up $0.70 per share from the variable dividend paid in the prior year.</w:t>
      </w:r>
    </w:p>
    <w:p>
      <w:pPr>
        <w:spacing w:after="0" w:line="302" w:lineRule="exact"/>
        <w:rPr>
          <w:sz w:val="20"/>
          <w:szCs w:val="20"/>
          <w:color w:val="auto"/>
        </w:rPr>
      </w:pPr>
    </w:p>
    <w:p>
      <w:pPr>
        <w:ind w:right="200"/>
        <w:spacing w:after="0" w:line="281" w:lineRule="auto"/>
        <w:rPr>
          <w:sz w:val="20"/>
          <w:szCs w:val="20"/>
          <w:color w:val="auto"/>
        </w:rPr>
      </w:pPr>
      <w:r>
        <w:rPr>
          <w:rFonts w:ascii="Arial" w:cs="Arial" w:eastAsia="Arial" w:hAnsi="Arial"/>
          <w:sz w:val="18"/>
          <w:szCs w:val="18"/>
          <w:b w:val="1"/>
          <w:bCs w:val="1"/>
          <w:color w:val="002060"/>
        </w:rPr>
        <w:t>SUPPORTING OUR EMPLOYEES, FAMILIES AND OUR NEIGHBORS WHILE INVESTING FOR THE FUTURE</w:t>
      </w:r>
    </w:p>
    <w:p>
      <w:pPr>
        <w:spacing w:after="0" w:line="25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commitment we have to our employees and their families goes well beyond simply issuing a paycheck, and includes offering programs related to health and safety, financial education, personal development, and emotional well-being. Lead with Safety is our cornerstone program for promoting workplace safety, maintaining a safety-first culture remains IBP’s top priority. In March 2019, we created a foundation that has committed nearly $4 million in scholarships and financial assistance for employees and their family members. In addition, we are thankful for the communities we serve and have worked with 136 nonprofits primarily focusing on education, housing, veterans and community strengthening. These organizations have helped our neighbors in over 50 cities and granted nearly $7 million since 2019.</w:t>
      </w:r>
    </w:p>
    <w:p>
      <w:pPr>
        <w:sectPr>
          <w:pgSz w:w="11900" w:h="16838" w:orient="portrait"/>
          <w:cols w:equalWidth="0" w:num="2">
            <w:col w:w="1820" w:space="420"/>
            <w:col w:w="8460"/>
          </w:cols>
          <w:pgMar w:left="740" w:top="261" w:right="4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00206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ENVIRONMENTAL STEWARDSHIP/LEADERSHIP</w:t>
      </w:r>
    </w:p>
    <w:p>
      <w:pPr>
        <w:spacing w:after="0" w:line="360"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IBP’s core business of installing insulation improves energy efficiency within residential homes and commercial buildings, which helps reduce carbon emissions. Helping to mitigate climate risks and the environment is at the center of our business. The IBP leadership team, Nominating and Governance Committee and the full Board meet quarterly to better understand how the Company’s operations across the United States impact the environment and the best ways to monitor climate changing activity. The Company published its third annual Environmental, Social and Governance (“ESG”) Report in August 2023, highlighting the Company’s achievements as the Company’s ongoing commitment to the environment and sustainability. We expect to publish our fourth ESG Report in August 2024.</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ENHANCING OUR DIVERSITY, EQUITY, INCLUSION, AND BELONGING (“DEI&amp;B”) EFFORTS</w:t>
      </w:r>
    </w:p>
    <w:p>
      <w:pPr>
        <w:spacing w:after="0" w:line="25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are proud to report that over the past year, IBP has taken significant strides in advancing DEI&amp;B initiatives with particular attention devoted to fostering a culture of belonging. With oversight from the Compensation and Human Capital Committee of our Board, leadership is held accountable for our objective to establish and maintain an environment where all employees feel as if they belong and customers, suppliers, and stockholders value our commitment to diversity. We believe that in today’s rapidly evolving global landscape, embracing DEI&amp;B is a necessity for driving innovation, fostering resilience, and ensuring growth. Current initiatives include management training, promoting relationships with minority and women owned vendors and suppliers, and encouraging inclusion and understanding.</w:t>
      </w:r>
    </w:p>
    <w:p>
      <w:pPr>
        <w:spacing w:after="0" w:line="246"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auto"/>
        </w:rPr>
        <w:t>Our full policy against discrimination can be found in our Human Rights Policy, which applies to all employees and our customers, suppliers, vendors, and partners.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PROMOTING TALENT IN LEADERSHIP POSITIONS</w:t>
      </w:r>
    </w:p>
    <w:p>
      <w:pPr>
        <w:spacing w:after="0" w:line="252"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Succession planning is a priority for the Board. Effective January 1, 2024, IBP named Brad A. Wheeler to succeed Jay P. Elliott as COO. We thank Mr. Elliott for over 20 years of exceptional commitment and service as COO and for his ongoing contributions in a new role within the Company. Mr. Wheeler joined IBP in 2010 as a Regional Manager and has served as a Regional President since January 2015. His appointment as COO reflects the Board’s commitment to identify, recruit, and retain talent to drive its successful strategy for another 10 years and beyond.</w:t>
      </w:r>
    </w:p>
    <w:p>
      <w:pPr>
        <w:spacing w:after="0" w:line="244"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In May 2023, Marchelle E. Moore was elected as an independent director to the Company’s Board. Ms. Moore, SVP, External Affairs, Chief Diversity Officer at Encova Mutual Insurance Group and President of its Foundation, is a proven leader and highly experienced executive, with unique perspectives in human capital, labor relations, corporate governance, regulatory compliance and risk. Of our nine-member Board, 44% of our directors represent gender, racial, ethnic, or orientation diversity.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WE APPRECIATE YOUR SUPPORT AND FEEDBACK</w:t>
      </w:r>
    </w:p>
    <w:p>
      <w:pPr>
        <w:spacing w:after="0" w:line="239"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IBP is a company that values and is committed to strong performance, excellent corporate governance, and corporate responsibility. Please read the accompanying Proxy Statement carefully and attend our Virtual Annual Meeting on May 23, 2024. Please vote your shares as soon as possible, whether or not you are planning to attend the Annual Meeting. You may vote by telephone or Internet, or by signing, dating and returning the proxy card in the prepaid envelope provided if you requested printed proxy materials.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We thank you for your continued support, trust, and investment in Installed Building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240665</wp:posOffset>
            </wp:positionV>
            <wp:extent cx="1868805"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68805" cy="30861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197485</wp:posOffset>
            </wp:positionV>
            <wp:extent cx="1405890" cy="351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05890" cy="351155"/>
                    </a:xfrm>
                    <a:prstGeom prst="rect">
                      <a:avLst/>
                    </a:prstGeom>
                    <a:noFill/>
                  </pic:spPr>
                </pic:pic>
              </a:graphicData>
            </a:graphic>
          </wp:anchor>
        </w:drawing>
      </w:r>
    </w:p>
    <w:p>
      <w:pPr>
        <w:sectPr>
          <w:pgSz w:w="11900" w:h="16838" w:orient="portrait"/>
          <w:cols w:equalWidth="0" w:num="1">
            <w:col w:w="10980"/>
          </w:cols>
          <w:pgMar w:left="440" w:top="296"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JEFFREY W. EDWARDS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002060"/>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MARGOT L. CARTER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002060"/>
        </w:rPr>
        <w:t>PRESIDING INDEPENDENT DIRECTOR</w:t>
      </w:r>
    </w:p>
    <w:p>
      <w:pPr>
        <w:sectPr>
          <w:pgSz w:w="11900" w:h="16838" w:orient="portrait"/>
          <w:cols w:equalWidth="0" w:num="2">
            <w:col w:w="4900" w:space="720"/>
            <w:col w:w="5360"/>
          </w:cols>
          <w:pgMar w:left="440" w:top="296" w:right="479" w:bottom="1440" w:gutter="0" w:footer="0" w:header="0"/>
          <w:type w:val="continuous"/>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39"/>
          <w:szCs w:val="39"/>
          <w:b w:val="1"/>
          <w:bCs w:val="1"/>
          <w:color w:val="0070C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61" w:right="499" w:bottom="899" w:gutter="0" w:footer="0" w:header="0"/>
        </w:sect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PROXY SUMMARY</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A</w:t>
      </w:r>
      <w:r>
        <w:rPr>
          <w:rFonts w:ascii="Arial" w:cs="Arial" w:eastAsia="Arial" w:hAnsi="Arial"/>
          <w:sz w:val="13"/>
          <w:szCs w:val="13"/>
          <w:b w:val="1"/>
          <w:bCs w:val="1"/>
          <w:u w:val="single" w:color="auto"/>
          <w:color w:val="0000EE"/>
        </w:rPr>
        <w:t>NNUAL</w:t>
      </w:r>
      <w:r>
        <w:rPr>
          <w:rFonts w:ascii="Arial" w:cs="Arial" w:eastAsia="Arial" w:hAnsi="Arial"/>
          <w:sz w:val="16"/>
          <w:szCs w:val="16"/>
          <w:b w:val="1"/>
          <w:bCs w:val="1"/>
          <w:u w:val="single" w:color="auto"/>
          <w:color w:val="0000EE"/>
        </w:rPr>
        <w:t xml:space="preserve"> M</w:t>
      </w:r>
      <w:r>
        <w:rPr>
          <w:rFonts w:ascii="Arial" w:cs="Arial" w:eastAsia="Arial" w:hAnsi="Arial"/>
          <w:sz w:val="13"/>
          <w:szCs w:val="13"/>
          <w:b w:val="1"/>
          <w:bCs w:val="1"/>
          <w:u w:val="single" w:color="auto"/>
          <w:color w:val="0000EE"/>
        </w:rPr>
        <w:t>EETING</w:t>
      </w:r>
      <w:r>
        <w:rPr>
          <w:rFonts w:ascii="Arial" w:cs="Arial" w:eastAsia="Arial" w:hAnsi="Arial"/>
          <w:sz w:val="16"/>
          <w:szCs w:val="16"/>
          <w:b w:val="1"/>
          <w:bCs w:val="1"/>
          <w:u w:val="single" w:color="auto"/>
          <w:color w:val="0000EE"/>
        </w:rPr>
        <w:t xml:space="preserve"> P</w:t>
      </w:r>
      <w:r>
        <w:rPr>
          <w:rFonts w:ascii="Arial" w:cs="Arial" w:eastAsia="Arial" w:hAnsi="Arial"/>
          <w:sz w:val="13"/>
          <w:szCs w:val="13"/>
          <w:b w:val="1"/>
          <w:bCs w:val="1"/>
          <w:u w:val="single" w:color="auto"/>
          <w:color w:val="0000EE"/>
        </w:rPr>
        <w:t>ROPOSALS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B</w:t>
      </w:r>
      <w:r>
        <w:rPr>
          <w:rFonts w:ascii="Arial" w:cs="Arial" w:eastAsia="Arial" w:hAnsi="Arial"/>
          <w:sz w:val="13"/>
          <w:szCs w:val="13"/>
          <w:b w:val="1"/>
          <w:bCs w:val="1"/>
          <w:u w:val="single" w:color="auto"/>
          <w:color w:val="0000EE"/>
        </w:rPr>
        <w:t>USINESS</w:t>
      </w:r>
      <w:r>
        <w:rPr>
          <w:rFonts w:ascii="Arial" w:cs="Arial" w:eastAsia="Arial" w:hAnsi="Arial"/>
          <w:sz w:val="16"/>
          <w:szCs w:val="16"/>
          <w:b w:val="1"/>
          <w:bCs w:val="1"/>
          <w:u w:val="single" w:color="auto"/>
          <w:color w:val="0000EE"/>
        </w:rPr>
        <w:t xml:space="preserve"> O</w:t>
      </w:r>
      <w:r>
        <w:rPr>
          <w:rFonts w:ascii="Arial" w:cs="Arial" w:eastAsia="Arial" w:hAnsi="Arial"/>
          <w:sz w:val="13"/>
          <w:szCs w:val="13"/>
          <w:b w:val="1"/>
          <w:bCs w:val="1"/>
          <w:u w:val="single" w:color="auto"/>
          <w:color w:val="0000EE"/>
        </w:rPr>
        <w:t>VERVIEW</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O</w:t>
      </w:r>
      <w:r>
        <w:rPr>
          <w:rFonts w:ascii="Arial" w:cs="Arial" w:eastAsia="Arial" w:hAnsi="Arial"/>
          <w:sz w:val="13"/>
          <w:szCs w:val="13"/>
          <w:b w:val="1"/>
          <w:bCs w:val="1"/>
          <w:u w:val="single" w:color="auto"/>
          <w:color w:val="0000EE"/>
        </w:rPr>
        <w:t>UR</w:t>
      </w:r>
      <w:r>
        <w:rPr>
          <w:rFonts w:ascii="Arial" w:cs="Arial" w:eastAsia="Arial" w:hAnsi="Arial"/>
          <w:sz w:val="16"/>
          <w:szCs w:val="16"/>
          <w:b w:val="1"/>
          <w:bCs w:val="1"/>
          <w:u w:val="single" w:color="auto"/>
          <w:color w:val="0000EE"/>
        </w:rPr>
        <w:t xml:space="preserve"> G</w:t>
      </w:r>
      <w:r>
        <w:rPr>
          <w:rFonts w:ascii="Arial" w:cs="Arial" w:eastAsia="Arial" w:hAnsi="Arial"/>
          <w:sz w:val="13"/>
          <w:szCs w:val="13"/>
          <w:b w:val="1"/>
          <w:bCs w:val="1"/>
          <w:u w:val="single" w:color="auto"/>
          <w:color w:val="0000EE"/>
        </w:rPr>
        <w:t>ROWTH</w:t>
      </w:r>
      <w:r>
        <w:rPr>
          <w:rFonts w:ascii="Arial" w:cs="Arial" w:eastAsia="Arial" w:hAnsi="Arial"/>
          <w:sz w:val="16"/>
          <w:szCs w:val="16"/>
          <w:b w:val="1"/>
          <w:bCs w:val="1"/>
          <w:u w:val="single" w:color="auto"/>
          <w:color w:val="0000EE"/>
        </w:rPr>
        <w:t xml:space="preserve"> S</w:t>
      </w:r>
      <w:r>
        <w:rPr>
          <w:rFonts w:ascii="Arial" w:cs="Arial" w:eastAsia="Arial" w:hAnsi="Arial"/>
          <w:sz w:val="13"/>
          <w:szCs w:val="13"/>
          <w:b w:val="1"/>
          <w:bCs w:val="1"/>
          <w:u w:val="single" w:color="auto"/>
          <w:color w:val="0000EE"/>
        </w:rPr>
        <w:t>TRATEGY</w:t>
      </w:r>
    </w:p>
    <w:p>
      <w:pPr>
        <w:spacing w:after="0" w:line="86" w:lineRule="exact"/>
        <w:rPr>
          <w:sz w:val="20"/>
          <w:szCs w:val="20"/>
          <w:color w:val="auto"/>
        </w:rPr>
      </w:pPr>
    </w:p>
    <w:p>
      <w:pPr>
        <w:ind w:right="2000"/>
        <w:spacing w:after="0" w:line="352" w:lineRule="auto"/>
        <w:rPr>
          <w:sz w:val="20"/>
          <w:szCs w:val="20"/>
          <w:color w:val="auto"/>
        </w:rPr>
      </w:pPr>
      <w:r>
        <w:rPr>
          <w:rFonts w:ascii="Arial" w:cs="Arial" w:eastAsia="Arial" w:hAnsi="Arial"/>
          <w:sz w:val="16"/>
          <w:szCs w:val="16"/>
          <w:b w:val="1"/>
          <w:bCs w:val="1"/>
          <w:u w:val="single" w:color="auto"/>
          <w:color w:val="0000EE"/>
        </w:rPr>
        <w:t>O</w:t>
      </w:r>
      <w:r>
        <w:rPr>
          <w:rFonts w:ascii="Arial" w:cs="Arial" w:eastAsia="Arial" w:hAnsi="Arial"/>
          <w:sz w:val="13"/>
          <w:szCs w:val="13"/>
          <w:b w:val="1"/>
          <w:bCs w:val="1"/>
          <w:u w:val="single" w:color="auto"/>
          <w:color w:val="0000EE"/>
        </w:rPr>
        <w:t>UR</w:t>
      </w:r>
      <w:r>
        <w:rPr>
          <w:rFonts w:ascii="Arial" w:cs="Arial" w:eastAsia="Arial" w:hAnsi="Arial"/>
          <w:sz w:val="16"/>
          <w:szCs w:val="16"/>
          <w:b w:val="1"/>
          <w:bCs w:val="1"/>
          <w:u w:val="single" w:color="auto"/>
          <w:color w:val="0000EE"/>
        </w:rPr>
        <w:t xml:space="preserve"> C</w:t>
      </w:r>
      <w:r>
        <w:rPr>
          <w:rFonts w:ascii="Arial" w:cs="Arial" w:eastAsia="Arial" w:hAnsi="Arial"/>
          <w:sz w:val="13"/>
          <w:szCs w:val="13"/>
          <w:b w:val="1"/>
          <w:bCs w:val="1"/>
          <w:u w:val="single" w:color="auto"/>
          <w:color w:val="0000EE"/>
        </w:rPr>
        <w:t>APITAL</w:t>
      </w:r>
      <w:r>
        <w:rPr>
          <w:rFonts w:ascii="Arial" w:cs="Arial" w:eastAsia="Arial" w:hAnsi="Arial"/>
          <w:sz w:val="16"/>
          <w:szCs w:val="16"/>
          <w:b w:val="1"/>
          <w:bCs w:val="1"/>
          <w:u w:val="single" w:color="auto"/>
          <w:color w:val="0000EE"/>
        </w:rPr>
        <w:t xml:space="preserve"> A</w:t>
      </w:r>
      <w:r>
        <w:rPr>
          <w:rFonts w:ascii="Arial" w:cs="Arial" w:eastAsia="Arial" w:hAnsi="Arial"/>
          <w:sz w:val="13"/>
          <w:szCs w:val="13"/>
          <w:b w:val="1"/>
          <w:bCs w:val="1"/>
          <w:u w:val="single" w:color="auto"/>
          <w:color w:val="0000EE"/>
        </w:rPr>
        <w:t>LLOCATION</w:t>
      </w:r>
      <w:r>
        <w:rPr>
          <w:rFonts w:ascii="Arial" w:cs="Arial" w:eastAsia="Arial" w:hAnsi="Arial"/>
          <w:sz w:val="16"/>
          <w:szCs w:val="16"/>
          <w:b w:val="1"/>
          <w:bCs w:val="1"/>
          <w:u w:val="single" w:color="auto"/>
          <w:color w:val="0000EE"/>
        </w:rPr>
        <w:t xml:space="preserve"> S</w:t>
      </w:r>
      <w:r>
        <w:rPr>
          <w:rFonts w:ascii="Arial" w:cs="Arial" w:eastAsia="Arial" w:hAnsi="Arial"/>
          <w:sz w:val="13"/>
          <w:szCs w:val="13"/>
          <w:b w:val="1"/>
          <w:bCs w:val="1"/>
          <w:u w:val="single" w:color="auto"/>
          <w:color w:val="0000EE"/>
        </w:rPr>
        <w:t>TRATEGY</w:t>
      </w:r>
      <w:r>
        <w:rPr>
          <w:rFonts w:ascii="Arial" w:cs="Arial" w:eastAsia="Arial" w:hAnsi="Arial"/>
          <w:sz w:val="16"/>
          <w:szCs w:val="16"/>
          <w:b w:val="1"/>
          <w:bCs w:val="1"/>
          <w:u w:val="single" w:color="auto"/>
          <w:color w:val="0000EE"/>
        </w:rPr>
        <w:t xml:space="preserve"> O</w:t>
      </w:r>
      <w:r>
        <w:rPr>
          <w:rFonts w:ascii="Arial" w:cs="Arial" w:eastAsia="Arial" w:hAnsi="Arial"/>
          <w:sz w:val="13"/>
          <w:szCs w:val="13"/>
          <w:b w:val="1"/>
          <w:bCs w:val="1"/>
          <w:u w:val="single" w:color="auto"/>
          <w:color w:val="0000EE"/>
        </w:rPr>
        <w:t>UR</w:t>
      </w:r>
      <w:r>
        <w:rPr>
          <w:rFonts w:ascii="Arial" w:cs="Arial" w:eastAsia="Arial" w:hAnsi="Arial"/>
          <w:sz w:val="16"/>
          <w:szCs w:val="16"/>
          <w:b w:val="1"/>
          <w:bCs w:val="1"/>
          <w:u w:val="single" w:color="auto"/>
          <w:color w:val="0000EE"/>
        </w:rPr>
        <w:t xml:space="preserve"> A</w:t>
      </w:r>
      <w:r>
        <w:rPr>
          <w:rFonts w:ascii="Arial" w:cs="Arial" w:eastAsia="Arial" w:hAnsi="Arial"/>
          <w:sz w:val="13"/>
          <w:szCs w:val="13"/>
          <w:b w:val="1"/>
          <w:bCs w:val="1"/>
          <w:u w:val="single" w:color="auto"/>
          <w:color w:val="0000EE"/>
        </w:rPr>
        <w:t>CQUISITION</w:t>
      </w:r>
      <w:r>
        <w:rPr>
          <w:rFonts w:ascii="Arial" w:cs="Arial" w:eastAsia="Arial" w:hAnsi="Arial"/>
          <w:sz w:val="16"/>
          <w:szCs w:val="16"/>
          <w:b w:val="1"/>
          <w:bCs w:val="1"/>
          <w:u w:val="single" w:color="auto"/>
          <w:color w:val="0000EE"/>
        </w:rPr>
        <w:t xml:space="preserve"> S</w:t>
      </w:r>
      <w:r>
        <w:rPr>
          <w:rFonts w:ascii="Arial" w:cs="Arial" w:eastAsia="Arial" w:hAnsi="Arial"/>
          <w:sz w:val="13"/>
          <w:szCs w:val="13"/>
          <w:b w:val="1"/>
          <w:bCs w:val="1"/>
          <w:u w:val="single" w:color="auto"/>
          <w:color w:val="0000EE"/>
        </w:rPr>
        <w:t>TRATEGY</w:t>
      </w:r>
      <w:r>
        <w:rPr>
          <w:rFonts w:ascii="Arial" w:cs="Arial" w:eastAsia="Arial" w:hAnsi="Arial"/>
          <w:sz w:val="16"/>
          <w:szCs w:val="16"/>
          <w:b w:val="1"/>
          <w:bCs w:val="1"/>
          <w:u w:val="single" w:color="auto"/>
          <w:color w:val="0000EE"/>
        </w:rPr>
        <w:t xml:space="preserve"> 2023 F</w:t>
      </w:r>
      <w:r>
        <w:rPr>
          <w:rFonts w:ascii="Arial" w:cs="Arial" w:eastAsia="Arial" w:hAnsi="Arial"/>
          <w:sz w:val="13"/>
          <w:szCs w:val="13"/>
          <w:b w:val="1"/>
          <w:bCs w:val="1"/>
          <w:u w:val="single" w:color="auto"/>
          <w:color w:val="0000EE"/>
        </w:rPr>
        <w:t>INANCIAL</w:t>
      </w:r>
      <w:r>
        <w:rPr>
          <w:rFonts w:ascii="Arial" w:cs="Arial" w:eastAsia="Arial" w:hAnsi="Arial"/>
          <w:sz w:val="16"/>
          <w:szCs w:val="16"/>
          <w:b w:val="1"/>
          <w:bCs w:val="1"/>
          <w:u w:val="single" w:color="auto"/>
          <w:color w:val="0000EE"/>
        </w:rPr>
        <w:t xml:space="preserve"> H</w:t>
      </w:r>
      <w:r>
        <w:rPr>
          <w:rFonts w:ascii="Arial" w:cs="Arial" w:eastAsia="Arial" w:hAnsi="Arial"/>
          <w:sz w:val="13"/>
          <w:szCs w:val="13"/>
          <w:b w:val="1"/>
          <w:bCs w:val="1"/>
          <w:u w:val="single" w:color="auto"/>
          <w:color w:val="0000EE"/>
        </w:rPr>
        <w:t>IGHLIGHTS</w:t>
      </w:r>
    </w:p>
    <w:p>
      <w:pPr>
        <w:spacing w:after="0"/>
        <w:rPr>
          <w:sz w:val="20"/>
          <w:szCs w:val="20"/>
          <w:color w:val="auto"/>
        </w:rPr>
      </w:pPr>
      <w:r>
        <w:rPr>
          <w:rFonts w:ascii="Arial" w:cs="Arial" w:eastAsia="Arial" w:hAnsi="Arial"/>
          <w:sz w:val="16"/>
          <w:szCs w:val="16"/>
          <w:b w:val="1"/>
          <w:bCs w:val="1"/>
          <w:u w:val="single" w:color="auto"/>
          <w:color w:val="0000EE"/>
        </w:rPr>
        <w:t>C</w:t>
      </w:r>
      <w:r>
        <w:rPr>
          <w:rFonts w:ascii="Arial" w:cs="Arial" w:eastAsia="Arial" w:hAnsi="Arial"/>
          <w:sz w:val="13"/>
          <w:szCs w:val="13"/>
          <w:b w:val="1"/>
          <w:bCs w:val="1"/>
          <w:u w:val="single" w:color="auto"/>
          <w:color w:val="0000EE"/>
        </w:rPr>
        <w:t>ORPORATE</w:t>
      </w:r>
      <w:r>
        <w:rPr>
          <w:rFonts w:ascii="Arial" w:cs="Arial" w:eastAsia="Arial" w:hAnsi="Arial"/>
          <w:sz w:val="16"/>
          <w:szCs w:val="16"/>
          <w:b w:val="1"/>
          <w:bCs w:val="1"/>
          <w:u w:val="single" w:color="auto"/>
          <w:color w:val="0000EE"/>
        </w:rPr>
        <w:t xml:space="preserve"> R</w:t>
      </w:r>
      <w:r>
        <w:rPr>
          <w:rFonts w:ascii="Arial" w:cs="Arial" w:eastAsia="Arial" w:hAnsi="Arial"/>
          <w:sz w:val="13"/>
          <w:szCs w:val="13"/>
          <w:b w:val="1"/>
          <w:bCs w:val="1"/>
          <w:u w:val="single" w:color="auto"/>
          <w:color w:val="0000EE"/>
        </w:rPr>
        <w:t>ESPONSIBILITY</w:t>
      </w:r>
    </w:p>
    <w:p>
      <w:pPr>
        <w:spacing w:after="0" w:line="86" w:lineRule="exact"/>
        <w:rPr>
          <w:sz w:val="20"/>
          <w:szCs w:val="20"/>
          <w:color w:val="auto"/>
        </w:rPr>
      </w:pPr>
    </w:p>
    <w:p>
      <w:pPr>
        <w:ind w:right="1140"/>
        <w:spacing w:after="0" w:line="350" w:lineRule="auto"/>
        <w:rPr>
          <w:sz w:val="20"/>
          <w:szCs w:val="20"/>
          <w:color w:val="auto"/>
        </w:rPr>
      </w:pPr>
      <w:r>
        <w:rPr>
          <w:rFonts w:ascii="Arial" w:cs="Arial" w:eastAsia="Arial" w:hAnsi="Arial"/>
          <w:sz w:val="16"/>
          <w:szCs w:val="16"/>
          <w:b w:val="1"/>
          <w:bCs w:val="1"/>
          <w:u w:val="single" w:color="auto"/>
          <w:color w:val="0000EE"/>
        </w:rPr>
        <w:t>B</w:t>
      </w:r>
      <w:r>
        <w:rPr>
          <w:rFonts w:ascii="Arial" w:cs="Arial" w:eastAsia="Arial" w:hAnsi="Arial"/>
          <w:sz w:val="13"/>
          <w:szCs w:val="13"/>
          <w:b w:val="1"/>
          <w:bCs w:val="1"/>
          <w:u w:val="single" w:color="auto"/>
          <w:color w:val="0000EE"/>
        </w:rPr>
        <w:t>OARD OF</w:t>
      </w:r>
      <w:r>
        <w:rPr>
          <w:rFonts w:ascii="Arial" w:cs="Arial" w:eastAsia="Arial" w:hAnsi="Arial"/>
          <w:sz w:val="16"/>
          <w:szCs w:val="16"/>
          <w:b w:val="1"/>
          <w:bCs w:val="1"/>
          <w:u w:val="single" w:color="auto"/>
          <w:color w:val="0000EE"/>
        </w:rPr>
        <w:t xml:space="preserve"> D</w:t>
      </w:r>
      <w:r>
        <w:rPr>
          <w:rFonts w:ascii="Arial" w:cs="Arial" w:eastAsia="Arial" w:hAnsi="Arial"/>
          <w:sz w:val="13"/>
          <w:szCs w:val="13"/>
          <w:b w:val="1"/>
          <w:bCs w:val="1"/>
          <w:u w:val="single" w:color="auto"/>
          <w:color w:val="0000EE"/>
        </w:rPr>
        <w:t>IRECTORS</w:t>
      </w:r>
      <w:r>
        <w:rPr>
          <w:rFonts w:ascii="Arial" w:cs="Arial" w:eastAsia="Arial" w:hAnsi="Arial"/>
          <w:sz w:val="16"/>
          <w:szCs w:val="16"/>
          <w:b w:val="1"/>
          <w:bCs w:val="1"/>
          <w:u w:val="single" w:color="auto"/>
          <w:color w:val="0000EE"/>
        </w:rPr>
        <w:t xml:space="preserve"> D</w:t>
      </w:r>
      <w:r>
        <w:rPr>
          <w:rFonts w:ascii="Arial" w:cs="Arial" w:eastAsia="Arial" w:hAnsi="Arial"/>
          <w:sz w:val="13"/>
          <w:szCs w:val="13"/>
          <w:b w:val="1"/>
          <w:bCs w:val="1"/>
          <w:u w:val="single" w:color="auto"/>
          <w:color w:val="0000EE"/>
        </w:rPr>
        <w:t>IVERSITY AND</w:t>
      </w:r>
      <w:r>
        <w:rPr>
          <w:rFonts w:ascii="Arial" w:cs="Arial" w:eastAsia="Arial" w:hAnsi="Arial"/>
          <w:sz w:val="16"/>
          <w:szCs w:val="16"/>
          <w:b w:val="1"/>
          <w:bCs w:val="1"/>
          <w:u w:val="single" w:color="auto"/>
          <w:color w:val="0000EE"/>
        </w:rPr>
        <w:t xml:space="preserve"> S</w:t>
      </w:r>
      <w:r>
        <w:rPr>
          <w:rFonts w:ascii="Arial" w:cs="Arial" w:eastAsia="Arial" w:hAnsi="Arial"/>
          <w:sz w:val="13"/>
          <w:szCs w:val="13"/>
          <w:b w:val="1"/>
          <w:bCs w:val="1"/>
          <w:u w:val="single" w:color="auto"/>
          <w:color w:val="0000EE"/>
        </w:rPr>
        <w:t>KILLS</w:t>
      </w:r>
      <w:r>
        <w:rPr>
          <w:rFonts w:ascii="Arial" w:cs="Arial" w:eastAsia="Arial" w:hAnsi="Arial"/>
          <w:sz w:val="16"/>
          <w:szCs w:val="16"/>
          <w:b w:val="1"/>
          <w:bCs w:val="1"/>
          <w:u w:val="single" w:color="auto"/>
          <w:color w:val="0000EE"/>
        </w:rPr>
        <w:t xml:space="preserve"> 2023 E</w:t>
      </w:r>
      <w:r>
        <w:rPr>
          <w:rFonts w:ascii="Arial" w:cs="Arial" w:eastAsia="Arial" w:hAnsi="Arial"/>
          <w:sz w:val="13"/>
          <w:szCs w:val="13"/>
          <w:b w:val="1"/>
          <w:bCs w:val="1"/>
          <w:u w:val="single" w:color="auto"/>
          <w:color w:val="0000EE"/>
        </w:rPr>
        <w:t>XECUTIVE</w:t>
      </w:r>
      <w:r>
        <w:rPr>
          <w:rFonts w:ascii="Arial" w:cs="Arial" w:eastAsia="Arial" w:hAnsi="Arial"/>
          <w:sz w:val="16"/>
          <w:szCs w:val="16"/>
          <w:b w:val="1"/>
          <w:bCs w:val="1"/>
          <w:u w:val="single" w:color="auto"/>
          <w:color w:val="0000EE"/>
        </w:rPr>
        <w:t xml:space="preserve"> C</w:t>
      </w:r>
      <w:r>
        <w:rPr>
          <w:rFonts w:ascii="Arial" w:cs="Arial" w:eastAsia="Arial" w:hAnsi="Arial"/>
          <w:sz w:val="13"/>
          <w:szCs w:val="13"/>
          <w:b w:val="1"/>
          <w:bCs w:val="1"/>
          <w:u w:val="single" w:color="auto"/>
          <w:color w:val="0000EE"/>
        </w:rPr>
        <w:t>OMPENSATION AT A</w:t>
      </w:r>
      <w:r>
        <w:rPr>
          <w:rFonts w:ascii="Arial" w:cs="Arial" w:eastAsia="Arial" w:hAnsi="Arial"/>
          <w:sz w:val="16"/>
          <w:szCs w:val="16"/>
          <w:b w:val="1"/>
          <w:bCs w:val="1"/>
          <w:u w:val="single" w:color="auto"/>
          <w:color w:val="0000EE"/>
        </w:rPr>
        <w:t xml:space="preserve"> G</w:t>
      </w:r>
      <w:r>
        <w:rPr>
          <w:rFonts w:ascii="Arial" w:cs="Arial" w:eastAsia="Arial" w:hAnsi="Arial"/>
          <w:sz w:val="13"/>
          <w:szCs w:val="13"/>
          <w:b w:val="1"/>
          <w:bCs w:val="1"/>
          <w:u w:val="single" w:color="auto"/>
          <w:color w:val="0000EE"/>
        </w:rPr>
        <w:t>LANCE</w:t>
      </w:r>
      <w:r>
        <w:rPr>
          <w:rFonts w:ascii="Arial" w:cs="Arial" w:eastAsia="Arial" w:hAnsi="Arial"/>
          <w:sz w:val="16"/>
          <w:szCs w:val="16"/>
          <w:b w:val="1"/>
          <w:bCs w:val="1"/>
          <w:u w:val="single" w:color="auto"/>
          <w:color w:val="0000EE"/>
        </w:rPr>
        <w:t xml:space="preserve"> K</w:t>
      </w:r>
      <w:r>
        <w:rPr>
          <w:rFonts w:ascii="Arial" w:cs="Arial" w:eastAsia="Arial" w:hAnsi="Arial"/>
          <w:sz w:val="13"/>
          <w:szCs w:val="13"/>
          <w:b w:val="1"/>
          <w:bCs w:val="1"/>
          <w:u w:val="single" w:color="auto"/>
          <w:color w:val="0000EE"/>
        </w:rPr>
        <w:t>EY</w:t>
      </w:r>
      <w:r>
        <w:rPr>
          <w:rFonts w:ascii="Arial" w:cs="Arial" w:eastAsia="Arial" w:hAnsi="Arial"/>
          <w:sz w:val="16"/>
          <w:szCs w:val="16"/>
          <w:b w:val="1"/>
          <w:bCs w:val="1"/>
          <w:u w:val="single" w:color="auto"/>
          <w:color w:val="0000EE"/>
        </w:rPr>
        <w:t xml:space="preserve"> C</w:t>
      </w:r>
      <w:r>
        <w:rPr>
          <w:rFonts w:ascii="Arial" w:cs="Arial" w:eastAsia="Arial" w:hAnsi="Arial"/>
          <w:sz w:val="13"/>
          <w:szCs w:val="13"/>
          <w:b w:val="1"/>
          <w:bCs w:val="1"/>
          <w:u w:val="single" w:color="auto"/>
          <w:color w:val="0000EE"/>
        </w:rPr>
        <w:t>OMPENSATION</w:t>
      </w:r>
      <w:r>
        <w:rPr>
          <w:rFonts w:ascii="Arial" w:cs="Arial" w:eastAsia="Arial" w:hAnsi="Arial"/>
          <w:sz w:val="16"/>
          <w:szCs w:val="16"/>
          <w:b w:val="1"/>
          <w:bCs w:val="1"/>
          <w:u w:val="single" w:color="auto"/>
          <w:color w:val="0000EE"/>
        </w:rPr>
        <w:t xml:space="preserve"> P</w:t>
      </w:r>
      <w:r>
        <w:rPr>
          <w:rFonts w:ascii="Arial" w:cs="Arial" w:eastAsia="Arial" w:hAnsi="Arial"/>
          <w:sz w:val="13"/>
          <w:szCs w:val="13"/>
          <w:b w:val="1"/>
          <w:bCs w:val="1"/>
          <w:u w:val="single" w:color="auto"/>
          <w:color w:val="0000EE"/>
        </w:rPr>
        <w:t>RACTICES FOR</w:t>
      </w:r>
      <w:r>
        <w:rPr>
          <w:rFonts w:ascii="Arial" w:cs="Arial" w:eastAsia="Arial" w:hAnsi="Arial"/>
          <w:sz w:val="16"/>
          <w:szCs w:val="16"/>
          <w:b w:val="1"/>
          <w:bCs w:val="1"/>
          <w:u w:val="single" w:color="auto"/>
          <w:color w:val="0000EE"/>
        </w:rPr>
        <w:t xml:space="preserve"> E</w:t>
      </w:r>
      <w:r>
        <w:rPr>
          <w:rFonts w:ascii="Arial" w:cs="Arial" w:eastAsia="Arial" w:hAnsi="Arial"/>
          <w:sz w:val="13"/>
          <w:szCs w:val="13"/>
          <w:b w:val="1"/>
          <w:bCs w:val="1"/>
          <w:u w:val="single" w:color="auto"/>
          <w:color w:val="0000EE"/>
        </w:rPr>
        <w:t>XECUTIVES</w:t>
      </w:r>
    </w:p>
    <w:p>
      <w:pPr>
        <w:spacing w:after="0"/>
        <w:rPr>
          <w:sz w:val="20"/>
          <w:szCs w:val="20"/>
          <w:color w:val="auto"/>
        </w:rPr>
      </w:pPr>
      <w:r>
        <w:rPr>
          <w:rFonts w:ascii="Arial" w:cs="Arial" w:eastAsia="Arial" w:hAnsi="Arial"/>
          <w:sz w:val="18"/>
          <w:szCs w:val="18"/>
          <w:b w:val="1"/>
          <w:bCs w:val="1"/>
          <w:u w:val="single" w:color="auto"/>
          <w:color w:val="0000EE"/>
        </w:rPr>
        <w:t>PROPOSAL 1 – ELECTION OF DIRECTORS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O</w:t>
      </w:r>
      <w:r>
        <w:rPr>
          <w:rFonts w:ascii="Arial" w:cs="Arial" w:eastAsia="Arial" w:hAnsi="Arial"/>
          <w:sz w:val="13"/>
          <w:szCs w:val="13"/>
          <w:b w:val="1"/>
          <w:bCs w:val="1"/>
          <w:u w:val="single" w:color="auto"/>
          <w:color w:val="0000EE"/>
        </w:rPr>
        <w:t>VERVIEW OF THE</w:t>
      </w:r>
      <w:r>
        <w:rPr>
          <w:rFonts w:ascii="Arial" w:cs="Arial" w:eastAsia="Arial" w:hAnsi="Arial"/>
          <w:sz w:val="16"/>
          <w:szCs w:val="16"/>
          <w:b w:val="1"/>
          <w:bCs w:val="1"/>
          <w:u w:val="single" w:color="auto"/>
          <w:color w:val="0000EE"/>
        </w:rPr>
        <w:t xml:space="preserve"> B</w:t>
      </w:r>
      <w:r>
        <w:rPr>
          <w:rFonts w:ascii="Arial" w:cs="Arial" w:eastAsia="Arial" w:hAnsi="Arial"/>
          <w:sz w:val="13"/>
          <w:szCs w:val="13"/>
          <w:b w:val="1"/>
          <w:bCs w:val="1"/>
          <w:u w:val="single" w:color="auto"/>
          <w:color w:val="0000EE"/>
        </w:rPr>
        <w:t>OARD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D</w:t>
      </w:r>
      <w:r>
        <w:rPr>
          <w:rFonts w:ascii="Arial" w:cs="Arial" w:eastAsia="Arial" w:hAnsi="Arial"/>
          <w:sz w:val="13"/>
          <w:szCs w:val="13"/>
          <w:b w:val="1"/>
          <w:bCs w:val="1"/>
          <w:u w:val="single" w:color="auto"/>
          <w:color w:val="0000EE"/>
        </w:rPr>
        <w:t>IRECTOR</w:t>
      </w:r>
      <w:r>
        <w:rPr>
          <w:rFonts w:ascii="Arial" w:cs="Arial" w:eastAsia="Arial" w:hAnsi="Arial"/>
          <w:sz w:val="16"/>
          <w:szCs w:val="16"/>
          <w:b w:val="1"/>
          <w:bCs w:val="1"/>
          <w:u w:val="single" w:color="auto"/>
          <w:color w:val="0000EE"/>
        </w:rPr>
        <w:t xml:space="preserve"> Q</w:t>
      </w:r>
      <w:r>
        <w:rPr>
          <w:rFonts w:ascii="Arial" w:cs="Arial" w:eastAsia="Arial" w:hAnsi="Arial"/>
          <w:sz w:val="13"/>
          <w:szCs w:val="13"/>
          <w:b w:val="1"/>
          <w:bCs w:val="1"/>
          <w:u w:val="single" w:color="auto"/>
          <w:color w:val="0000EE"/>
        </w:rPr>
        <w:t>UALIFICATIONS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B</w:t>
      </w:r>
      <w:r>
        <w:rPr>
          <w:rFonts w:ascii="Arial" w:cs="Arial" w:eastAsia="Arial" w:hAnsi="Arial"/>
          <w:sz w:val="13"/>
          <w:szCs w:val="13"/>
          <w:b w:val="1"/>
          <w:bCs w:val="1"/>
          <w:u w:val="single" w:color="auto"/>
          <w:color w:val="0000EE"/>
        </w:rPr>
        <w:t>OARD</w:t>
      </w:r>
      <w:r>
        <w:rPr>
          <w:rFonts w:ascii="Arial" w:cs="Arial" w:eastAsia="Arial" w:hAnsi="Arial"/>
          <w:sz w:val="16"/>
          <w:szCs w:val="16"/>
          <w:b w:val="1"/>
          <w:bCs w:val="1"/>
          <w:u w:val="single" w:color="auto"/>
          <w:color w:val="0000EE"/>
        </w:rPr>
        <w:t xml:space="preserve"> C</w:t>
      </w:r>
      <w:r>
        <w:rPr>
          <w:rFonts w:ascii="Arial" w:cs="Arial" w:eastAsia="Arial" w:hAnsi="Arial"/>
          <w:sz w:val="13"/>
          <w:szCs w:val="13"/>
          <w:b w:val="1"/>
          <w:bCs w:val="1"/>
          <w:u w:val="single" w:color="auto"/>
          <w:color w:val="0000EE"/>
        </w:rPr>
        <w:t>OMPOSITION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D</w:t>
      </w:r>
      <w:r>
        <w:rPr>
          <w:rFonts w:ascii="Arial" w:cs="Arial" w:eastAsia="Arial" w:hAnsi="Arial"/>
          <w:sz w:val="13"/>
          <w:szCs w:val="13"/>
          <w:b w:val="1"/>
          <w:bCs w:val="1"/>
          <w:u w:val="single" w:color="auto"/>
          <w:color w:val="0000EE"/>
        </w:rPr>
        <w:t>IRECTOR</w:t>
      </w:r>
      <w:r>
        <w:rPr>
          <w:rFonts w:ascii="Arial" w:cs="Arial" w:eastAsia="Arial" w:hAnsi="Arial"/>
          <w:sz w:val="16"/>
          <w:szCs w:val="16"/>
          <w:b w:val="1"/>
          <w:bCs w:val="1"/>
          <w:u w:val="single" w:color="auto"/>
          <w:color w:val="0000EE"/>
        </w:rPr>
        <w:t xml:space="preserve"> S</w:t>
      </w:r>
      <w:r>
        <w:rPr>
          <w:rFonts w:ascii="Arial" w:cs="Arial" w:eastAsia="Arial" w:hAnsi="Arial"/>
          <w:sz w:val="13"/>
          <w:szCs w:val="13"/>
          <w:b w:val="1"/>
          <w:bCs w:val="1"/>
          <w:u w:val="single" w:color="auto"/>
          <w:color w:val="0000EE"/>
        </w:rPr>
        <w:t>KILLS</w:t>
      </w:r>
      <w:r>
        <w:rPr>
          <w:rFonts w:ascii="Arial" w:cs="Arial" w:eastAsia="Arial" w:hAnsi="Arial"/>
          <w:sz w:val="16"/>
          <w:szCs w:val="16"/>
          <w:b w:val="1"/>
          <w:bCs w:val="1"/>
          <w:u w:val="single" w:color="auto"/>
          <w:color w:val="0000EE"/>
        </w:rPr>
        <w:t>, E</w:t>
      </w:r>
      <w:r>
        <w:rPr>
          <w:rFonts w:ascii="Arial" w:cs="Arial" w:eastAsia="Arial" w:hAnsi="Arial"/>
          <w:sz w:val="13"/>
          <w:szCs w:val="13"/>
          <w:b w:val="1"/>
          <w:bCs w:val="1"/>
          <w:u w:val="single" w:color="auto"/>
          <w:color w:val="0000EE"/>
        </w:rPr>
        <w:t>XPERIENCE AND</w:t>
      </w:r>
      <w:r>
        <w:rPr>
          <w:rFonts w:ascii="Arial" w:cs="Arial" w:eastAsia="Arial" w:hAnsi="Arial"/>
          <w:sz w:val="16"/>
          <w:szCs w:val="16"/>
          <w:b w:val="1"/>
          <w:bCs w:val="1"/>
          <w:u w:val="single" w:color="auto"/>
          <w:color w:val="0000EE"/>
        </w:rPr>
        <w:t xml:space="preserve"> B</w:t>
      </w:r>
      <w:r>
        <w:rPr>
          <w:rFonts w:ascii="Arial" w:cs="Arial" w:eastAsia="Arial" w:hAnsi="Arial"/>
          <w:sz w:val="13"/>
          <w:szCs w:val="13"/>
          <w:b w:val="1"/>
          <w:bCs w:val="1"/>
          <w:u w:val="single" w:color="auto"/>
          <w:color w:val="0000EE"/>
        </w:rPr>
        <w:t>ACKGROUND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D</w:t>
      </w:r>
      <w:r>
        <w:rPr>
          <w:rFonts w:ascii="Arial" w:cs="Arial" w:eastAsia="Arial" w:hAnsi="Arial"/>
          <w:sz w:val="13"/>
          <w:szCs w:val="13"/>
          <w:b w:val="1"/>
          <w:bCs w:val="1"/>
          <w:u w:val="single" w:color="auto"/>
          <w:color w:val="0000EE"/>
        </w:rPr>
        <w:t>IRECTOR</w:t>
      </w:r>
      <w:r>
        <w:rPr>
          <w:rFonts w:ascii="Arial" w:cs="Arial" w:eastAsia="Arial" w:hAnsi="Arial"/>
          <w:sz w:val="16"/>
          <w:szCs w:val="16"/>
          <w:b w:val="1"/>
          <w:bCs w:val="1"/>
          <w:u w:val="single" w:color="auto"/>
          <w:color w:val="0000EE"/>
        </w:rPr>
        <w:t xml:space="preserve"> C</w:t>
      </w:r>
      <w:r>
        <w:rPr>
          <w:rFonts w:ascii="Arial" w:cs="Arial" w:eastAsia="Arial" w:hAnsi="Arial"/>
          <w:sz w:val="13"/>
          <w:szCs w:val="13"/>
          <w:b w:val="1"/>
          <w:bCs w:val="1"/>
          <w:u w:val="single" w:color="auto"/>
          <w:color w:val="0000EE"/>
        </w:rPr>
        <w:t>OMPENSATION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D</w:t>
      </w:r>
      <w:r>
        <w:rPr>
          <w:rFonts w:ascii="Arial" w:cs="Arial" w:eastAsia="Arial" w:hAnsi="Arial"/>
          <w:sz w:val="13"/>
          <w:szCs w:val="13"/>
          <w:b w:val="1"/>
          <w:bCs w:val="1"/>
          <w:u w:val="single" w:color="auto"/>
          <w:color w:val="0000EE"/>
        </w:rPr>
        <w:t>IRECTOR</w:t>
      </w:r>
      <w:r>
        <w:rPr>
          <w:rFonts w:ascii="Arial" w:cs="Arial" w:eastAsia="Arial" w:hAnsi="Arial"/>
          <w:sz w:val="16"/>
          <w:szCs w:val="16"/>
          <w:b w:val="1"/>
          <w:bCs w:val="1"/>
          <w:u w:val="single" w:color="auto"/>
          <w:color w:val="0000EE"/>
        </w:rPr>
        <w:t xml:space="preserve"> C</w:t>
      </w:r>
      <w:r>
        <w:rPr>
          <w:rFonts w:ascii="Arial" w:cs="Arial" w:eastAsia="Arial" w:hAnsi="Arial"/>
          <w:sz w:val="13"/>
          <w:szCs w:val="13"/>
          <w:b w:val="1"/>
          <w:bCs w:val="1"/>
          <w:u w:val="single" w:color="auto"/>
          <w:color w:val="0000EE"/>
        </w:rPr>
        <w:t>OMPENSATION</w:t>
      </w:r>
      <w:r>
        <w:rPr>
          <w:rFonts w:ascii="Arial" w:cs="Arial" w:eastAsia="Arial" w:hAnsi="Arial"/>
          <w:sz w:val="16"/>
          <w:szCs w:val="16"/>
          <w:b w:val="1"/>
          <w:bCs w:val="1"/>
          <w:u w:val="single" w:color="auto"/>
          <w:color w:val="0000EE"/>
        </w:rPr>
        <w:t xml:space="preserve"> T</w:t>
      </w:r>
      <w:r>
        <w:rPr>
          <w:rFonts w:ascii="Arial" w:cs="Arial" w:eastAsia="Arial" w:hAnsi="Arial"/>
          <w:sz w:val="13"/>
          <w:szCs w:val="13"/>
          <w:b w:val="1"/>
          <w:bCs w:val="1"/>
          <w:u w:val="single" w:color="auto"/>
          <w:color w:val="0000EE"/>
        </w:rPr>
        <w:t>ABLE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D</w:t>
      </w:r>
      <w:r>
        <w:rPr>
          <w:rFonts w:ascii="Arial" w:cs="Arial" w:eastAsia="Arial" w:hAnsi="Arial"/>
          <w:sz w:val="13"/>
          <w:szCs w:val="13"/>
          <w:b w:val="1"/>
          <w:bCs w:val="1"/>
          <w:u w:val="single" w:color="auto"/>
          <w:color w:val="0000EE"/>
        </w:rPr>
        <w:t>IRECTOR</w:t>
      </w:r>
      <w:r>
        <w:rPr>
          <w:rFonts w:ascii="Arial" w:cs="Arial" w:eastAsia="Arial" w:hAnsi="Arial"/>
          <w:sz w:val="16"/>
          <w:szCs w:val="16"/>
          <w:b w:val="1"/>
          <w:bCs w:val="1"/>
          <w:u w:val="single" w:color="auto"/>
          <w:color w:val="0000EE"/>
        </w:rPr>
        <w:t xml:space="preserve"> S</w:t>
      </w:r>
      <w:r>
        <w:rPr>
          <w:rFonts w:ascii="Arial" w:cs="Arial" w:eastAsia="Arial" w:hAnsi="Arial"/>
          <w:sz w:val="13"/>
          <w:szCs w:val="13"/>
          <w:b w:val="1"/>
          <w:bCs w:val="1"/>
          <w:u w:val="single" w:color="auto"/>
          <w:color w:val="0000EE"/>
        </w:rPr>
        <w:t>TOCK</w:t>
      </w:r>
      <w:r>
        <w:rPr>
          <w:rFonts w:ascii="Arial" w:cs="Arial" w:eastAsia="Arial" w:hAnsi="Arial"/>
          <w:sz w:val="16"/>
          <w:szCs w:val="16"/>
          <w:b w:val="1"/>
          <w:bCs w:val="1"/>
          <w:u w:val="single" w:color="auto"/>
          <w:color w:val="0000EE"/>
        </w:rPr>
        <w:t xml:space="preserve"> O</w:t>
      </w:r>
      <w:r>
        <w:rPr>
          <w:rFonts w:ascii="Arial" w:cs="Arial" w:eastAsia="Arial" w:hAnsi="Arial"/>
          <w:sz w:val="13"/>
          <w:szCs w:val="13"/>
          <w:b w:val="1"/>
          <w:bCs w:val="1"/>
          <w:u w:val="single" w:color="auto"/>
          <w:color w:val="0000EE"/>
        </w:rPr>
        <w:t>WNERSHIP</w:t>
      </w:r>
      <w:r>
        <w:rPr>
          <w:rFonts w:ascii="Arial" w:cs="Arial" w:eastAsia="Arial" w:hAnsi="Arial"/>
          <w:sz w:val="16"/>
          <w:szCs w:val="16"/>
          <w:b w:val="1"/>
          <w:bCs w:val="1"/>
          <w:u w:val="single" w:color="auto"/>
          <w:color w:val="0000EE"/>
        </w:rPr>
        <w:t xml:space="preserve"> P</w:t>
      </w:r>
      <w:r>
        <w:rPr>
          <w:rFonts w:ascii="Arial" w:cs="Arial" w:eastAsia="Arial" w:hAnsi="Arial"/>
          <w:sz w:val="13"/>
          <w:szCs w:val="13"/>
          <w:b w:val="1"/>
          <w:bCs w:val="1"/>
          <w:u w:val="single" w:color="auto"/>
          <w:color w:val="0000EE"/>
        </w:rPr>
        <w:t>OLICY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R</w:t>
      </w:r>
      <w:r>
        <w:rPr>
          <w:rFonts w:ascii="Arial" w:cs="Arial" w:eastAsia="Arial" w:hAnsi="Arial"/>
          <w:sz w:val="13"/>
          <w:szCs w:val="13"/>
          <w:b w:val="1"/>
          <w:bCs w:val="1"/>
          <w:u w:val="single" w:color="auto"/>
          <w:color w:val="0000EE"/>
        </w:rPr>
        <w:t>EQUIRED</w:t>
      </w:r>
      <w:r>
        <w:rPr>
          <w:rFonts w:ascii="Arial" w:cs="Arial" w:eastAsia="Arial" w:hAnsi="Arial"/>
          <w:sz w:val="16"/>
          <w:szCs w:val="16"/>
          <w:b w:val="1"/>
          <w:bCs w:val="1"/>
          <w:u w:val="single" w:color="auto"/>
          <w:color w:val="0000EE"/>
        </w:rPr>
        <w:t xml:space="preserve"> V</w:t>
      </w:r>
      <w:r>
        <w:rPr>
          <w:rFonts w:ascii="Arial" w:cs="Arial" w:eastAsia="Arial" w:hAnsi="Arial"/>
          <w:sz w:val="13"/>
          <w:szCs w:val="13"/>
          <w:b w:val="1"/>
          <w:bCs w:val="1"/>
          <w:u w:val="single" w:color="auto"/>
          <w:color w:val="0000EE"/>
        </w:rPr>
        <w:t>OTE AND</w:t>
      </w:r>
      <w:r>
        <w:rPr>
          <w:rFonts w:ascii="Arial" w:cs="Arial" w:eastAsia="Arial" w:hAnsi="Arial"/>
          <w:sz w:val="16"/>
          <w:szCs w:val="16"/>
          <w:b w:val="1"/>
          <w:bCs w:val="1"/>
          <w:u w:val="single" w:color="auto"/>
          <w:color w:val="0000EE"/>
        </w:rPr>
        <w:t xml:space="preserve"> R</w:t>
      </w:r>
      <w:r>
        <w:rPr>
          <w:rFonts w:ascii="Arial" w:cs="Arial" w:eastAsia="Arial" w:hAnsi="Arial"/>
          <w:sz w:val="13"/>
          <w:szCs w:val="13"/>
          <w:b w:val="1"/>
          <w:bCs w:val="1"/>
          <w:u w:val="single" w:color="auto"/>
          <w:color w:val="0000EE"/>
        </w:rPr>
        <w:t>ECOMMENDATION OF THE</w:t>
      </w:r>
      <w:r>
        <w:rPr>
          <w:rFonts w:ascii="Arial" w:cs="Arial" w:eastAsia="Arial" w:hAnsi="Arial"/>
          <w:sz w:val="16"/>
          <w:szCs w:val="16"/>
          <w:b w:val="1"/>
          <w:bCs w:val="1"/>
          <w:u w:val="single" w:color="auto"/>
          <w:color w:val="0000EE"/>
        </w:rPr>
        <w:t xml:space="preserve"> B</w:t>
      </w:r>
      <w:r>
        <w:rPr>
          <w:rFonts w:ascii="Arial" w:cs="Arial" w:eastAsia="Arial" w:hAnsi="Arial"/>
          <w:sz w:val="13"/>
          <w:szCs w:val="13"/>
          <w:b w:val="1"/>
          <w:bCs w:val="1"/>
          <w:u w:val="single" w:color="auto"/>
          <w:color w:val="0000EE"/>
        </w:rPr>
        <w:t>OARD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CORPORATE GOVERNANCE</w:t>
      </w:r>
    </w:p>
    <w:p>
      <w:pPr>
        <w:spacing w:after="0" w:line="81" w:lineRule="exact"/>
        <w:rPr>
          <w:sz w:val="20"/>
          <w:szCs w:val="20"/>
          <w:color w:val="auto"/>
        </w:rPr>
      </w:pPr>
    </w:p>
    <w:p>
      <w:pPr>
        <w:ind w:right="1620"/>
        <w:spacing w:after="0" w:line="352" w:lineRule="auto"/>
        <w:rPr>
          <w:sz w:val="20"/>
          <w:szCs w:val="20"/>
          <w:color w:val="auto"/>
        </w:rPr>
      </w:pPr>
      <w:r>
        <w:rPr>
          <w:rFonts w:ascii="Arial" w:cs="Arial" w:eastAsia="Arial" w:hAnsi="Arial"/>
          <w:sz w:val="16"/>
          <w:szCs w:val="16"/>
          <w:b w:val="1"/>
          <w:bCs w:val="1"/>
          <w:u w:val="single" w:color="auto"/>
          <w:color w:val="0000EE"/>
        </w:rPr>
        <w:t>B</w:t>
      </w:r>
      <w:r>
        <w:rPr>
          <w:rFonts w:ascii="Arial" w:cs="Arial" w:eastAsia="Arial" w:hAnsi="Arial"/>
          <w:sz w:val="13"/>
          <w:szCs w:val="13"/>
          <w:b w:val="1"/>
          <w:bCs w:val="1"/>
          <w:u w:val="single" w:color="auto"/>
          <w:color w:val="0000EE"/>
        </w:rPr>
        <w:t>OARD</w:t>
      </w:r>
      <w:r>
        <w:rPr>
          <w:rFonts w:ascii="Arial" w:cs="Arial" w:eastAsia="Arial" w:hAnsi="Arial"/>
          <w:sz w:val="16"/>
          <w:szCs w:val="16"/>
          <w:b w:val="1"/>
          <w:bCs w:val="1"/>
          <w:u w:val="single" w:color="auto"/>
          <w:color w:val="0000EE"/>
        </w:rPr>
        <w:t xml:space="preserve"> S</w:t>
      </w:r>
      <w:r>
        <w:rPr>
          <w:rFonts w:ascii="Arial" w:cs="Arial" w:eastAsia="Arial" w:hAnsi="Arial"/>
          <w:sz w:val="13"/>
          <w:szCs w:val="13"/>
          <w:b w:val="1"/>
          <w:bCs w:val="1"/>
          <w:u w:val="single" w:color="auto"/>
          <w:color w:val="0000EE"/>
        </w:rPr>
        <w:t>TRUCTURE AND</w:t>
      </w:r>
      <w:r>
        <w:rPr>
          <w:rFonts w:ascii="Arial" w:cs="Arial" w:eastAsia="Arial" w:hAnsi="Arial"/>
          <w:sz w:val="16"/>
          <w:szCs w:val="16"/>
          <w:b w:val="1"/>
          <w:bCs w:val="1"/>
          <w:u w:val="single" w:color="auto"/>
          <w:color w:val="0000EE"/>
        </w:rPr>
        <w:t xml:space="preserve"> R</w:t>
      </w:r>
      <w:r>
        <w:rPr>
          <w:rFonts w:ascii="Arial" w:cs="Arial" w:eastAsia="Arial" w:hAnsi="Arial"/>
          <w:sz w:val="13"/>
          <w:szCs w:val="13"/>
          <w:b w:val="1"/>
          <w:bCs w:val="1"/>
          <w:u w:val="single" w:color="auto"/>
          <w:color w:val="0000EE"/>
        </w:rPr>
        <w:t>ESPONSIBILITIES</w:t>
      </w:r>
      <w:r>
        <w:rPr>
          <w:rFonts w:ascii="Arial" w:cs="Arial" w:eastAsia="Arial" w:hAnsi="Arial"/>
          <w:sz w:val="16"/>
          <w:szCs w:val="16"/>
          <w:b w:val="1"/>
          <w:bCs w:val="1"/>
          <w:u w:val="single" w:color="auto"/>
          <w:color w:val="0000EE"/>
        </w:rPr>
        <w:t xml:space="preserve"> C</w:t>
      </w:r>
      <w:r>
        <w:rPr>
          <w:rFonts w:ascii="Arial" w:cs="Arial" w:eastAsia="Arial" w:hAnsi="Arial"/>
          <w:sz w:val="13"/>
          <w:szCs w:val="13"/>
          <w:b w:val="1"/>
          <w:bCs w:val="1"/>
          <w:u w:val="single" w:color="auto"/>
          <w:color w:val="0000EE"/>
        </w:rPr>
        <w:t>ORPORATE</w:t>
      </w:r>
      <w:r>
        <w:rPr>
          <w:rFonts w:ascii="Arial" w:cs="Arial" w:eastAsia="Arial" w:hAnsi="Arial"/>
          <w:sz w:val="16"/>
          <w:szCs w:val="16"/>
          <w:b w:val="1"/>
          <w:bCs w:val="1"/>
          <w:u w:val="single" w:color="auto"/>
          <w:color w:val="0000EE"/>
        </w:rPr>
        <w:t xml:space="preserve"> G</w:t>
      </w:r>
      <w:r>
        <w:rPr>
          <w:rFonts w:ascii="Arial" w:cs="Arial" w:eastAsia="Arial" w:hAnsi="Arial"/>
          <w:sz w:val="13"/>
          <w:szCs w:val="13"/>
          <w:b w:val="1"/>
          <w:bCs w:val="1"/>
          <w:u w:val="single" w:color="auto"/>
          <w:color w:val="0000EE"/>
        </w:rPr>
        <w:t>OVERNANCE</w:t>
      </w:r>
      <w:r>
        <w:rPr>
          <w:rFonts w:ascii="Arial" w:cs="Arial" w:eastAsia="Arial" w:hAnsi="Arial"/>
          <w:sz w:val="16"/>
          <w:szCs w:val="16"/>
          <w:b w:val="1"/>
          <w:bCs w:val="1"/>
          <w:u w:val="single" w:color="auto"/>
          <w:color w:val="0000EE"/>
        </w:rPr>
        <w:t xml:space="preserve"> G</w:t>
      </w:r>
      <w:r>
        <w:rPr>
          <w:rFonts w:ascii="Arial" w:cs="Arial" w:eastAsia="Arial" w:hAnsi="Arial"/>
          <w:sz w:val="13"/>
          <w:szCs w:val="13"/>
          <w:b w:val="1"/>
          <w:bCs w:val="1"/>
          <w:u w:val="single" w:color="auto"/>
          <w:color w:val="0000EE"/>
        </w:rPr>
        <w:t>UIDELINES</w:t>
      </w:r>
      <w:r>
        <w:rPr>
          <w:rFonts w:ascii="Arial" w:cs="Arial" w:eastAsia="Arial" w:hAnsi="Arial"/>
          <w:sz w:val="16"/>
          <w:szCs w:val="16"/>
          <w:b w:val="1"/>
          <w:bCs w:val="1"/>
          <w:u w:val="single" w:color="auto"/>
          <w:color w:val="0000EE"/>
        </w:rPr>
        <w:t xml:space="preserve"> B</w:t>
      </w:r>
      <w:r>
        <w:rPr>
          <w:rFonts w:ascii="Arial" w:cs="Arial" w:eastAsia="Arial" w:hAnsi="Arial"/>
          <w:sz w:val="13"/>
          <w:szCs w:val="13"/>
          <w:b w:val="1"/>
          <w:bCs w:val="1"/>
          <w:u w:val="single" w:color="auto"/>
          <w:color w:val="0000EE"/>
        </w:rPr>
        <w:t>OARD</w:t>
      </w:r>
      <w:r>
        <w:rPr>
          <w:rFonts w:ascii="Arial" w:cs="Arial" w:eastAsia="Arial" w:hAnsi="Arial"/>
          <w:sz w:val="16"/>
          <w:szCs w:val="16"/>
          <w:b w:val="1"/>
          <w:bCs w:val="1"/>
          <w:u w:val="single" w:color="auto"/>
          <w:color w:val="0000EE"/>
        </w:rPr>
        <w:t xml:space="preserve"> L</w:t>
      </w:r>
      <w:r>
        <w:rPr>
          <w:rFonts w:ascii="Arial" w:cs="Arial" w:eastAsia="Arial" w:hAnsi="Arial"/>
          <w:sz w:val="13"/>
          <w:szCs w:val="13"/>
          <w:b w:val="1"/>
          <w:bCs w:val="1"/>
          <w:u w:val="single" w:color="auto"/>
          <w:color w:val="0000EE"/>
        </w:rPr>
        <w:t>EADERSHIP</w:t>
      </w:r>
      <w:r>
        <w:rPr>
          <w:rFonts w:ascii="Arial" w:cs="Arial" w:eastAsia="Arial" w:hAnsi="Arial"/>
          <w:sz w:val="16"/>
          <w:szCs w:val="16"/>
          <w:b w:val="1"/>
          <w:bCs w:val="1"/>
          <w:u w:val="single" w:color="auto"/>
          <w:color w:val="0000EE"/>
        </w:rPr>
        <w:t xml:space="preserve"> S</w:t>
      </w:r>
      <w:r>
        <w:rPr>
          <w:rFonts w:ascii="Arial" w:cs="Arial" w:eastAsia="Arial" w:hAnsi="Arial"/>
          <w:sz w:val="13"/>
          <w:szCs w:val="13"/>
          <w:b w:val="1"/>
          <w:bCs w:val="1"/>
          <w:u w:val="single" w:color="auto"/>
          <w:color w:val="0000EE"/>
        </w:rPr>
        <w:t>TRUCTURE</w:t>
      </w:r>
    </w:p>
    <w:p>
      <w:pPr>
        <w:ind w:right="1760"/>
        <w:spacing w:after="0" w:line="352" w:lineRule="auto"/>
        <w:rPr>
          <w:sz w:val="20"/>
          <w:szCs w:val="20"/>
          <w:color w:val="auto"/>
        </w:rPr>
      </w:pPr>
      <w:r>
        <w:rPr>
          <w:rFonts w:ascii="Arial" w:cs="Arial" w:eastAsia="Arial" w:hAnsi="Arial"/>
          <w:sz w:val="16"/>
          <w:szCs w:val="16"/>
          <w:b w:val="1"/>
          <w:bCs w:val="1"/>
          <w:u w:val="single" w:color="auto"/>
          <w:color w:val="0000EE"/>
        </w:rPr>
        <w:t>R</w:t>
      </w:r>
      <w:r>
        <w:rPr>
          <w:rFonts w:ascii="Arial" w:cs="Arial" w:eastAsia="Arial" w:hAnsi="Arial"/>
          <w:sz w:val="13"/>
          <w:szCs w:val="13"/>
          <w:b w:val="1"/>
          <w:bCs w:val="1"/>
          <w:u w:val="single" w:color="auto"/>
          <w:color w:val="0000EE"/>
        </w:rPr>
        <w:t>OLE OF THE</w:t>
      </w:r>
      <w:r>
        <w:rPr>
          <w:rFonts w:ascii="Arial" w:cs="Arial" w:eastAsia="Arial" w:hAnsi="Arial"/>
          <w:sz w:val="16"/>
          <w:szCs w:val="16"/>
          <w:b w:val="1"/>
          <w:bCs w:val="1"/>
          <w:u w:val="single" w:color="auto"/>
          <w:color w:val="0000EE"/>
        </w:rPr>
        <w:t xml:space="preserve"> B</w:t>
      </w:r>
      <w:r>
        <w:rPr>
          <w:rFonts w:ascii="Arial" w:cs="Arial" w:eastAsia="Arial" w:hAnsi="Arial"/>
          <w:sz w:val="13"/>
          <w:szCs w:val="13"/>
          <w:b w:val="1"/>
          <w:bCs w:val="1"/>
          <w:u w:val="single" w:color="auto"/>
          <w:color w:val="0000EE"/>
        </w:rPr>
        <w:t>OARD IN</w:t>
      </w:r>
      <w:r>
        <w:rPr>
          <w:rFonts w:ascii="Arial" w:cs="Arial" w:eastAsia="Arial" w:hAnsi="Arial"/>
          <w:sz w:val="16"/>
          <w:szCs w:val="16"/>
          <w:b w:val="1"/>
          <w:bCs w:val="1"/>
          <w:u w:val="single" w:color="auto"/>
          <w:color w:val="0000EE"/>
        </w:rPr>
        <w:t xml:space="preserve"> R</w:t>
      </w:r>
      <w:r>
        <w:rPr>
          <w:rFonts w:ascii="Arial" w:cs="Arial" w:eastAsia="Arial" w:hAnsi="Arial"/>
          <w:sz w:val="13"/>
          <w:szCs w:val="13"/>
          <w:b w:val="1"/>
          <w:bCs w:val="1"/>
          <w:u w:val="single" w:color="auto"/>
          <w:color w:val="0000EE"/>
        </w:rPr>
        <w:t>ISK</w:t>
      </w:r>
      <w:r>
        <w:rPr>
          <w:rFonts w:ascii="Arial" w:cs="Arial" w:eastAsia="Arial" w:hAnsi="Arial"/>
          <w:sz w:val="16"/>
          <w:szCs w:val="16"/>
          <w:b w:val="1"/>
          <w:bCs w:val="1"/>
          <w:u w:val="single" w:color="auto"/>
          <w:color w:val="0000EE"/>
        </w:rPr>
        <w:t xml:space="preserve"> O</w:t>
      </w:r>
      <w:r>
        <w:rPr>
          <w:rFonts w:ascii="Arial" w:cs="Arial" w:eastAsia="Arial" w:hAnsi="Arial"/>
          <w:sz w:val="13"/>
          <w:szCs w:val="13"/>
          <w:b w:val="1"/>
          <w:bCs w:val="1"/>
          <w:u w:val="single" w:color="auto"/>
          <w:color w:val="0000EE"/>
        </w:rPr>
        <w:t>VERSIGHT</w:t>
      </w:r>
      <w:r>
        <w:rPr>
          <w:rFonts w:ascii="Arial" w:cs="Arial" w:eastAsia="Arial" w:hAnsi="Arial"/>
          <w:sz w:val="16"/>
          <w:szCs w:val="16"/>
          <w:b w:val="1"/>
          <w:bCs w:val="1"/>
          <w:u w:val="single" w:color="auto"/>
          <w:color w:val="0000EE"/>
        </w:rPr>
        <w:t xml:space="preserve"> C</w:t>
      </w:r>
      <w:r>
        <w:rPr>
          <w:rFonts w:ascii="Arial" w:cs="Arial" w:eastAsia="Arial" w:hAnsi="Arial"/>
          <w:sz w:val="13"/>
          <w:szCs w:val="13"/>
          <w:b w:val="1"/>
          <w:bCs w:val="1"/>
          <w:u w:val="single" w:color="auto"/>
          <w:color w:val="0000EE"/>
        </w:rPr>
        <w:t>YBERSECURITY</w:t>
      </w:r>
      <w:r>
        <w:rPr>
          <w:rFonts w:ascii="Arial" w:cs="Arial" w:eastAsia="Arial" w:hAnsi="Arial"/>
          <w:sz w:val="16"/>
          <w:szCs w:val="16"/>
          <w:b w:val="1"/>
          <w:bCs w:val="1"/>
          <w:u w:val="single" w:color="auto"/>
          <w:color w:val="0000EE"/>
        </w:rPr>
        <w:t xml:space="preserve"> O</w:t>
      </w:r>
      <w:r>
        <w:rPr>
          <w:rFonts w:ascii="Arial" w:cs="Arial" w:eastAsia="Arial" w:hAnsi="Arial"/>
          <w:sz w:val="13"/>
          <w:szCs w:val="13"/>
          <w:b w:val="1"/>
          <w:bCs w:val="1"/>
          <w:u w:val="single" w:color="auto"/>
          <w:color w:val="0000EE"/>
        </w:rPr>
        <w:t>VERSIGHT</w:t>
      </w:r>
      <w:r>
        <w:rPr>
          <w:rFonts w:ascii="Arial" w:cs="Arial" w:eastAsia="Arial" w:hAnsi="Arial"/>
          <w:sz w:val="16"/>
          <w:szCs w:val="16"/>
          <w:b w:val="1"/>
          <w:bCs w:val="1"/>
          <w:u w:val="single" w:color="auto"/>
          <w:color w:val="0000EE"/>
        </w:rPr>
        <w:t xml:space="preserve"> E</w:t>
      </w:r>
      <w:r>
        <w:rPr>
          <w:rFonts w:ascii="Arial" w:cs="Arial" w:eastAsia="Arial" w:hAnsi="Arial"/>
          <w:sz w:val="13"/>
          <w:szCs w:val="13"/>
          <w:b w:val="1"/>
          <w:bCs w:val="1"/>
          <w:u w:val="single" w:color="auto"/>
          <w:color w:val="0000EE"/>
        </w:rPr>
        <w:t>SG</w:t>
      </w:r>
      <w:r>
        <w:rPr>
          <w:rFonts w:ascii="Arial" w:cs="Arial" w:eastAsia="Arial" w:hAnsi="Arial"/>
          <w:sz w:val="16"/>
          <w:szCs w:val="16"/>
          <w:b w:val="1"/>
          <w:bCs w:val="1"/>
          <w:u w:val="single" w:color="auto"/>
          <w:color w:val="0000EE"/>
        </w:rPr>
        <w:t xml:space="preserve"> O</w:t>
      </w:r>
      <w:r>
        <w:rPr>
          <w:rFonts w:ascii="Arial" w:cs="Arial" w:eastAsia="Arial" w:hAnsi="Arial"/>
          <w:sz w:val="13"/>
          <w:szCs w:val="13"/>
          <w:b w:val="1"/>
          <w:bCs w:val="1"/>
          <w:u w:val="single" w:color="auto"/>
          <w:color w:val="0000EE"/>
        </w:rPr>
        <w:t>VERSIGHT</w:t>
      </w:r>
    </w:p>
    <w:p>
      <w:pPr>
        <w:spacing w:after="0"/>
        <w:rPr>
          <w:sz w:val="20"/>
          <w:szCs w:val="20"/>
          <w:color w:val="auto"/>
        </w:rPr>
      </w:pPr>
      <w:r>
        <w:rPr>
          <w:rFonts w:ascii="Arial" w:cs="Arial" w:eastAsia="Arial" w:hAnsi="Arial"/>
          <w:sz w:val="16"/>
          <w:szCs w:val="16"/>
          <w:b w:val="1"/>
          <w:bCs w:val="1"/>
          <w:u w:val="single" w:color="auto"/>
          <w:color w:val="0000EE"/>
        </w:rPr>
        <w:t>B</w:t>
      </w:r>
      <w:r>
        <w:rPr>
          <w:rFonts w:ascii="Arial" w:cs="Arial" w:eastAsia="Arial" w:hAnsi="Arial"/>
          <w:sz w:val="13"/>
          <w:szCs w:val="13"/>
          <w:b w:val="1"/>
          <w:bCs w:val="1"/>
          <w:u w:val="single" w:color="auto"/>
          <w:color w:val="0000EE"/>
        </w:rPr>
        <w:t>OARD</w:t>
      </w:r>
      <w:r>
        <w:rPr>
          <w:rFonts w:ascii="Arial" w:cs="Arial" w:eastAsia="Arial" w:hAnsi="Arial"/>
          <w:sz w:val="16"/>
          <w:szCs w:val="16"/>
          <w:b w:val="1"/>
          <w:bCs w:val="1"/>
          <w:u w:val="single" w:color="auto"/>
          <w:color w:val="0000EE"/>
        </w:rPr>
        <w:t xml:space="preserve"> C</w:t>
      </w:r>
      <w:r>
        <w:rPr>
          <w:rFonts w:ascii="Arial" w:cs="Arial" w:eastAsia="Arial" w:hAnsi="Arial"/>
          <w:sz w:val="13"/>
          <w:szCs w:val="13"/>
          <w:b w:val="1"/>
          <w:bCs w:val="1"/>
          <w:u w:val="single" w:color="auto"/>
          <w:color w:val="0000EE"/>
        </w:rPr>
        <w:t>OMMITTEE</w:t>
      </w:r>
      <w:r>
        <w:rPr>
          <w:rFonts w:ascii="Arial" w:cs="Arial" w:eastAsia="Arial" w:hAnsi="Arial"/>
          <w:sz w:val="16"/>
          <w:szCs w:val="16"/>
          <w:b w:val="1"/>
          <w:bCs w:val="1"/>
          <w:u w:val="single" w:color="auto"/>
          <w:color w:val="0000EE"/>
        </w:rPr>
        <w:t xml:space="preserve"> O</w:t>
      </w:r>
      <w:r>
        <w:rPr>
          <w:rFonts w:ascii="Arial" w:cs="Arial" w:eastAsia="Arial" w:hAnsi="Arial"/>
          <w:sz w:val="13"/>
          <w:szCs w:val="13"/>
          <w:b w:val="1"/>
          <w:bCs w:val="1"/>
          <w:u w:val="single" w:color="auto"/>
          <w:color w:val="0000EE"/>
        </w:rPr>
        <w:t>VERSIGHT</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D</w:t>
      </w:r>
      <w:r>
        <w:rPr>
          <w:rFonts w:ascii="Arial" w:cs="Arial" w:eastAsia="Arial" w:hAnsi="Arial"/>
          <w:sz w:val="13"/>
          <w:szCs w:val="13"/>
          <w:b w:val="1"/>
          <w:bCs w:val="1"/>
          <w:u w:val="single" w:color="auto"/>
          <w:color w:val="0000EE"/>
        </w:rPr>
        <w:t>IRECTOR</w:t>
      </w:r>
      <w:r>
        <w:rPr>
          <w:rFonts w:ascii="Arial" w:cs="Arial" w:eastAsia="Arial" w:hAnsi="Arial"/>
          <w:sz w:val="16"/>
          <w:szCs w:val="16"/>
          <w:b w:val="1"/>
          <w:bCs w:val="1"/>
          <w:u w:val="single" w:color="auto"/>
          <w:color w:val="0000EE"/>
        </w:rPr>
        <w:t xml:space="preserve"> I</w:t>
      </w:r>
      <w:r>
        <w:rPr>
          <w:rFonts w:ascii="Arial" w:cs="Arial" w:eastAsia="Arial" w:hAnsi="Arial"/>
          <w:sz w:val="13"/>
          <w:szCs w:val="13"/>
          <w:b w:val="1"/>
          <w:bCs w:val="1"/>
          <w:u w:val="single" w:color="auto"/>
          <w:color w:val="0000EE"/>
        </w:rPr>
        <w:t>NDEPENDENCE</w:t>
      </w:r>
    </w:p>
    <w:p>
      <w:pPr>
        <w:spacing w:after="0" w:line="62" w:lineRule="exact"/>
        <w:rPr>
          <w:sz w:val="20"/>
          <w:szCs w:val="20"/>
          <w:color w:val="auto"/>
        </w:rPr>
      </w:pPr>
    </w:p>
    <w:p>
      <w:pPr>
        <w:ind w:right="740"/>
        <w:spacing w:after="0" w:line="352" w:lineRule="auto"/>
        <w:rPr>
          <w:sz w:val="20"/>
          <w:szCs w:val="20"/>
          <w:color w:val="auto"/>
        </w:rPr>
      </w:pPr>
      <w:r>
        <w:rPr>
          <w:rFonts w:ascii="Arial" w:cs="Arial" w:eastAsia="Arial" w:hAnsi="Arial"/>
          <w:sz w:val="16"/>
          <w:szCs w:val="16"/>
          <w:b w:val="1"/>
          <w:bCs w:val="1"/>
          <w:u w:val="single" w:color="auto"/>
          <w:color w:val="0000EE"/>
        </w:rPr>
        <w:t>A</w:t>
      </w:r>
      <w:r>
        <w:rPr>
          <w:rFonts w:ascii="Arial" w:cs="Arial" w:eastAsia="Arial" w:hAnsi="Arial"/>
          <w:sz w:val="13"/>
          <w:szCs w:val="13"/>
          <w:b w:val="1"/>
          <w:bCs w:val="1"/>
          <w:u w:val="single" w:color="auto"/>
          <w:color w:val="0000EE"/>
        </w:rPr>
        <w:t>NNUAL</w:t>
      </w:r>
      <w:r>
        <w:rPr>
          <w:rFonts w:ascii="Arial" w:cs="Arial" w:eastAsia="Arial" w:hAnsi="Arial"/>
          <w:sz w:val="16"/>
          <w:szCs w:val="16"/>
          <w:b w:val="1"/>
          <w:bCs w:val="1"/>
          <w:u w:val="single" w:color="auto"/>
          <w:color w:val="0000EE"/>
        </w:rPr>
        <w:t xml:space="preserve"> B</w:t>
      </w:r>
      <w:r>
        <w:rPr>
          <w:rFonts w:ascii="Arial" w:cs="Arial" w:eastAsia="Arial" w:hAnsi="Arial"/>
          <w:sz w:val="13"/>
          <w:szCs w:val="13"/>
          <w:b w:val="1"/>
          <w:bCs w:val="1"/>
          <w:u w:val="single" w:color="auto"/>
          <w:color w:val="0000EE"/>
        </w:rPr>
        <w:t>OARD AND</w:t>
      </w:r>
      <w:r>
        <w:rPr>
          <w:rFonts w:ascii="Arial" w:cs="Arial" w:eastAsia="Arial" w:hAnsi="Arial"/>
          <w:sz w:val="16"/>
          <w:szCs w:val="16"/>
          <w:b w:val="1"/>
          <w:bCs w:val="1"/>
          <w:u w:val="single" w:color="auto"/>
          <w:color w:val="0000EE"/>
        </w:rPr>
        <w:t xml:space="preserve"> C</w:t>
      </w:r>
      <w:r>
        <w:rPr>
          <w:rFonts w:ascii="Arial" w:cs="Arial" w:eastAsia="Arial" w:hAnsi="Arial"/>
          <w:sz w:val="13"/>
          <w:szCs w:val="13"/>
          <w:b w:val="1"/>
          <w:bCs w:val="1"/>
          <w:u w:val="single" w:color="auto"/>
          <w:color w:val="0000EE"/>
        </w:rPr>
        <w:t>OMMITTEE</w:t>
      </w:r>
      <w:r>
        <w:rPr>
          <w:rFonts w:ascii="Arial" w:cs="Arial" w:eastAsia="Arial" w:hAnsi="Arial"/>
          <w:sz w:val="16"/>
          <w:szCs w:val="16"/>
          <w:b w:val="1"/>
          <w:bCs w:val="1"/>
          <w:u w:val="single" w:color="auto"/>
          <w:color w:val="0000EE"/>
        </w:rPr>
        <w:t xml:space="preserve"> S</w:t>
      </w:r>
      <w:r>
        <w:rPr>
          <w:rFonts w:ascii="Arial" w:cs="Arial" w:eastAsia="Arial" w:hAnsi="Arial"/>
          <w:sz w:val="13"/>
          <w:szCs w:val="13"/>
          <w:b w:val="1"/>
          <w:bCs w:val="1"/>
          <w:u w:val="single" w:color="auto"/>
          <w:color w:val="0000EE"/>
        </w:rPr>
        <w:t>ELF</w:t>
      </w:r>
      <w:r>
        <w:rPr>
          <w:rFonts w:ascii="Arial" w:cs="Arial" w:eastAsia="Arial" w:hAnsi="Arial"/>
          <w:sz w:val="16"/>
          <w:szCs w:val="16"/>
          <w:b w:val="1"/>
          <w:bCs w:val="1"/>
          <w:u w:val="single" w:color="auto"/>
          <w:color w:val="0000EE"/>
        </w:rPr>
        <w:t>-</w:t>
      </w:r>
      <w:r>
        <w:rPr>
          <w:rFonts w:ascii="Arial" w:cs="Arial" w:eastAsia="Arial" w:hAnsi="Arial"/>
          <w:sz w:val="13"/>
          <w:szCs w:val="13"/>
          <w:b w:val="1"/>
          <w:bCs w:val="1"/>
          <w:u w:val="single" w:color="auto"/>
          <w:color w:val="0000EE"/>
        </w:rPr>
        <w:t>ASSESSMENTS</w:t>
      </w:r>
      <w:r>
        <w:rPr>
          <w:rFonts w:ascii="Arial" w:cs="Arial" w:eastAsia="Arial" w:hAnsi="Arial"/>
          <w:sz w:val="16"/>
          <w:szCs w:val="16"/>
          <w:b w:val="1"/>
          <w:bCs w:val="1"/>
          <w:u w:val="single" w:color="auto"/>
          <w:color w:val="0000EE"/>
        </w:rPr>
        <w:t xml:space="preserve"> M</w:t>
      </w:r>
      <w:r>
        <w:rPr>
          <w:rFonts w:ascii="Arial" w:cs="Arial" w:eastAsia="Arial" w:hAnsi="Arial"/>
          <w:sz w:val="13"/>
          <w:szCs w:val="13"/>
          <w:b w:val="1"/>
          <w:bCs w:val="1"/>
          <w:u w:val="single" w:color="auto"/>
          <w:color w:val="0000EE"/>
        </w:rPr>
        <w:t>EETINGS OF THE</w:t>
      </w:r>
      <w:r>
        <w:rPr>
          <w:rFonts w:ascii="Arial" w:cs="Arial" w:eastAsia="Arial" w:hAnsi="Arial"/>
          <w:sz w:val="16"/>
          <w:szCs w:val="16"/>
          <w:b w:val="1"/>
          <w:bCs w:val="1"/>
          <w:u w:val="single" w:color="auto"/>
          <w:color w:val="0000EE"/>
        </w:rPr>
        <w:t xml:space="preserve"> B</w:t>
      </w:r>
      <w:r>
        <w:rPr>
          <w:rFonts w:ascii="Arial" w:cs="Arial" w:eastAsia="Arial" w:hAnsi="Arial"/>
          <w:sz w:val="13"/>
          <w:szCs w:val="13"/>
          <w:b w:val="1"/>
          <w:bCs w:val="1"/>
          <w:u w:val="single" w:color="auto"/>
          <w:color w:val="0000EE"/>
        </w:rPr>
        <w:t>OARD AND</w:t>
      </w:r>
      <w:r>
        <w:rPr>
          <w:rFonts w:ascii="Arial" w:cs="Arial" w:eastAsia="Arial" w:hAnsi="Arial"/>
          <w:sz w:val="16"/>
          <w:szCs w:val="16"/>
          <w:b w:val="1"/>
          <w:bCs w:val="1"/>
          <w:u w:val="single" w:color="auto"/>
          <w:color w:val="0000EE"/>
        </w:rPr>
        <w:t xml:space="preserve"> D</w:t>
      </w:r>
      <w:r>
        <w:rPr>
          <w:rFonts w:ascii="Arial" w:cs="Arial" w:eastAsia="Arial" w:hAnsi="Arial"/>
          <w:sz w:val="13"/>
          <w:szCs w:val="13"/>
          <w:b w:val="1"/>
          <w:bCs w:val="1"/>
          <w:u w:val="single" w:color="auto"/>
          <w:color w:val="0000EE"/>
        </w:rPr>
        <w:t>IRECTOR</w:t>
      </w:r>
      <w:r>
        <w:rPr>
          <w:rFonts w:ascii="Arial" w:cs="Arial" w:eastAsia="Arial" w:hAnsi="Arial"/>
          <w:sz w:val="16"/>
          <w:szCs w:val="16"/>
          <w:b w:val="1"/>
          <w:bCs w:val="1"/>
          <w:u w:val="single" w:color="auto"/>
          <w:color w:val="0000EE"/>
        </w:rPr>
        <w:t xml:space="preserve"> A</w:t>
      </w:r>
      <w:r>
        <w:rPr>
          <w:rFonts w:ascii="Arial" w:cs="Arial" w:eastAsia="Arial" w:hAnsi="Arial"/>
          <w:sz w:val="13"/>
          <w:szCs w:val="13"/>
          <w:b w:val="1"/>
          <w:bCs w:val="1"/>
          <w:u w:val="single" w:color="auto"/>
          <w:color w:val="0000EE"/>
        </w:rPr>
        <w:t>TTENDANCE</w:t>
      </w:r>
      <w:r>
        <w:rPr>
          <w:rFonts w:ascii="Arial" w:cs="Arial" w:eastAsia="Arial" w:hAnsi="Arial"/>
          <w:sz w:val="16"/>
          <w:szCs w:val="16"/>
          <w:b w:val="1"/>
          <w:bCs w:val="1"/>
          <w:u w:val="single" w:color="auto"/>
          <w:color w:val="0000EE"/>
        </w:rPr>
        <w:t xml:space="preserve"> E</w:t>
      </w:r>
      <w:r>
        <w:rPr>
          <w:rFonts w:ascii="Arial" w:cs="Arial" w:eastAsia="Arial" w:hAnsi="Arial"/>
          <w:sz w:val="13"/>
          <w:szCs w:val="13"/>
          <w:b w:val="1"/>
          <w:bCs w:val="1"/>
          <w:u w:val="single" w:color="auto"/>
          <w:color w:val="0000EE"/>
        </w:rPr>
        <w:t>XECUTIVE</w:t>
      </w:r>
      <w:r>
        <w:rPr>
          <w:rFonts w:ascii="Arial" w:cs="Arial" w:eastAsia="Arial" w:hAnsi="Arial"/>
          <w:sz w:val="16"/>
          <w:szCs w:val="16"/>
          <w:b w:val="1"/>
          <w:bCs w:val="1"/>
          <w:u w:val="single" w:color="auto"/>
          <w:color w:val="0000EE"/>
        </w:rPr>
        <w:t xml:space="preserve"> S</w:t>
      </w:r>
      <w:r>
        <w:rPr>
          <w:rFonts w:ascii="Arial" w:cs="Arial" w:eastAsia="Arial" w:hAnsi="Arial"/>
          <w:sz w:val="13"/>
          <w:szCs w:val="13"/>
          <w:b w:val="1"/>
          <w:bCs w:val="1"/>
          <w:u w:val="single" w:color="auto"/>
          <w:color w:val="0000EE"/>
        </w:rPr>
        <w:t>ESSIONS OF THE</w:t>
      </w:r>
      <w:r>
        <w:rPr>
          <w:rFonts w:ascii="Arial" w:cs="Arial" w:eastAsia="Arial" w:hAnsi="Arial"/>
          <w:sz w:val="16"/>
          <w:szCs w:val="16"/>
          <w:b w:val="1"/>
          <w:bCs w:val="1"/>
          <w:u w:val="single" w:color="auto"/>
          <w:color w:val="0000EE"/>
        </w:rPr>
        <w:t xml:space="preserve"> B</w:t>
      </w:r>
      <w:r>
        <w:rPr>
          <w:rFonts w:ascii="Arial" w:cs="Arial" w:eastAsia="Arial" w:hAnsi="Arial"/>
          <w:sz w:val="13"/>
          <w:szCs w:val="13"/>
          <w:b w:val="1"/>
          <w:bCs w:val="1"/>
          <w:u w:val="single" w:color="auto"/>
          <w:color w:val="0000EE"/>
        </w:rPr>
        <w:t>OARD</w:t>
      </w:r>
    </w:p>
    <w:p>
      <w:pPr>
        <w:spacing w:after="0"/>
        <w:rPr>
          <w:sz w:val="20"/>
          <w:szCs w:val="20"/>
          <w:color w:val="auto"/>
        </w:rPr>
      </w:pPr>
      <w:r>
        <w:rPr>
          <w:rFonts w:ascii="Arial" w:cs="Arial" w:eastAsia="Arial" w:hAnsi="Arial"/>
          <w:sz w:val="16"/>
          <w:szCs w:val="16"/>
          <w:b w:val="1"/>
          <w:bCs w:val="1"/>
          <w:u w:val="single" w:color="auto"/>
          <w:color w:val="0000EE"/>
        </w:rPr>
        <w:t>C</w:t>
      </w:r>
      <w:r>
        <w:rPr>
          <w:rFonts w:ascii="Arial" w:cs="Arial" w:eastAsia="Arial" w:hAnsi="Arial"/>
          <w:sz w:val="13"/>
          <w:szCs w:val="13"/>
          <w:b w:val="1"/>
          <w:bCs w:val="1"/>
          <w:u w:val="single" w:color="auto"/>
          <w:color w:val="0000EE"/>
        </w:rPr>
        <w:t>ODE OF</w:t>
      </w:r>
      <w:r>
        <w:rPr>
          <w:rFonts w:ascii="Arial" w:cs="Arial" w:eastAsia="Arial" w:hAnsi="Arial"/>
          <w:sz w:val="16"/>
          <w:szCs w:val="16"/>
          <w:b w:val="1"/>
          <w:bCs w:val="1"/>
          <w:u w:val="single" w:color="auto"/>
          <w:color w:val="0000EE"/>
        </w:rPr>
        <w:t xml:space="preserve"> B</w:t>
      </w:r>
      <w:r>
        <w:rPr>
          <w:rFonts w:ascii="Arial" w:cs="Arial" w:eastAsia="Arial" w:hAnsi="Arial"/>
          <w:sz w:val="13"/>
          <w:szCs w:val="13"/>
          <w:b w:val="1"/>
          <w:bCs w:val="1"/>
          <w:u w:val="single" w:color="auto"/>
          <w:color w:val="0000EE"/>
        </w:rPr>
        <w:t>USINESS</w:t>
      </w:r>
      <w:r>
        <w:rPr>
          <w:rFonts w:ascii="Arial" w:cs="Arial" w:eastAsia="Arial" w:hAnsi="Arial"/>
          <w:sz w:val="16"/>
          <w:szCs w:val="16"/>
          <w:b w:val="1"/>
          <w:bCs w:val="1"/>
          <w:u w:val="single" w:color="auto"/>
          <w:color w:val="0000EE"/>
        </w:rPr>
        <w:t xml:space="preserve"> C</w:t>
      </w:r>
      <w:r>
        <w:rPr>
          <w:rFonts w:ascii="Arial" w:cs="Arial" w:eastAsia="Arial" w:hAnsi="Arial"/>
          <w:sz w:val="13"/>
          <w:szCs w:val="13"/>
          <w:b w:val="1"/>
          <w:bCs w:val="1"/>
          <w:u w:val="single" w:color="auto"/>
          <w:color w:val="0000EE"/>
        </w:rPr>
        <w:t>ONDUCT AND</w:t>
      </w:r>
      <w:r>
        <w:rPr>
          <w:rFonts w:ascii="Arial" w:cs="Arial" w:eastAsia="Arial" w:hAnsi="Arial"/>
          <w:sz w:val="16"/>
          <w:szCs w:val="16"/>
          <w:b w:val="1"/>
          <w:bCs w:val="1"/>
          <w:u w:val="single" w:color="auto"/>
          <w:color w:val="0000EE"/>
        </w:rPr>
        <w:t xml:space="preserve"> E</w:t>
      </w:r>
      <w:r>
        <w:rPr>
          <w:rFonts w:ascii="Arial" w:cs="Arial" w:eastAsia="Arial" w:hAnsi="Arial"/>
          <w:sz w:val="13"/>
          <w:szCs w:val="13"/>
          <w:b w:val="1"/>
          <w:bCs w:val="1"/>
          <w:u w:val="single" w:color="auto"/>
          <w:color w:val="0000EE"/>
        </w:rPr>
        <w:t>THICS</w:t>
      </w:r>
    </w:p>
    <w:p>
      <w:pPr>
        <w:spacing w:after="0" w:line="86" w:lineRule="exact"/>
        <w:rPr>
          <w:sz w:val="20"/>
          <w:szCs w:val="20"/>
          <w:color w:val="auto"/>
        </w:rPr>
      </w:pPr>
    </w:p>
    <w:p>
      <w:pPr>
        <w:ind w:right="740"/>
        <w:spacing w:after="0" w:line="296" w:lineRule="auto"/>
        <w:rPr>
          <w:sz w:val="20"/>
          <w:szCs w:val="20"/>
          <w:color w:val="auto"/>
        </w:rPr>
      </w:pPr>
      <w:r>
        <w:rPr>
          <w:rFonts w:ascii="Arial" w:cs="Arial" w:eastAsia="Arial" w:hAnsi="Arial"/>
          <w:sz w:val="16"/>
          <w:szCs w:val="16"/>
          <w:b w:val="1"/>
          <w:bCs w:val="1"/>
          <w:u w:val="single" w:color="auto"/>
          <w:color w:val="0000EE"/>
        </w:rPr>
        <w:t>I</w:t>
      </w:r>
      <w:r>
        <w:rPr>
          <w:rFonts w:ascii="Arial" w:cs="Arial" w:eastAsia="Arial" w:hAnsi="Arial"/>
          <w:sz w:val="13"/>
          <w:szCs w:val="13"/>
          <w:b w:val="1"/>
          <w:bCs w:val="1"/>
          <w:u w:val="single" w:color="auto"/>
          <w:color w:val="0000EE"/>
        </w:rPr>
        <w:t>NSIDER</w:t>
      </w:r>
      <w:r>
        <w:rPr>
          <w:rFonts w:ascii="Arial" w:cs="Arial" w:eastAsia="Arial" w:hAnsi="Arial"/>
          <w:sz w:val="16"/>
          <w:szCs w:val="16"/>
          <w:b w:val="1"/>
          <w:bCs w:val="1"/>
          <w:u w:val="single" w:color="auto"/>
          <w:color w:val="0000EE"/>
        </w:rPr>
        <w:t xml:space="preserve"> T</w:t>
      </w:r>
      <w:r>
        <w:rPr>
          <w:rFonts w:ascii="Arial" w:cs="Arial" w:eastAsia="Arial" w:hAnsi="Arial"/>
          <w:sz w:val="13"/>
          <w:szCs w:val="13"/>
          <w:b w:val="1"/>
          <w:bCs w:val="1"/>
          <w:u w:val="single" w:color="auto"/>
          <w:color w:val="0000EE"/>
        </w:rPr>
        <w:t>RADING</w:t>
      </w:r>
      <w:r>
        <w:rPr>
          <w:rFonts w:ascii="Arial" w:cs="Arial" w:eastAsia="Arial" w:hAnsi="Arial"/>
          <w:sz w:val="16"/>
          <w:szCs w:val="16"/>
          <w:b w:val="1"/>
          <w:bCs w:val="1"/>
          <w:u w:val="single" w:color="auto"/>
          <w:color w:val="0000EE"/>
        </w:rPr>
        <w:t xml:space="preserve"> P</w:t>
      </w:r>
      <w:r>
        <w:rPr>
          <w:rFonts w:ascii="Arial" w:cs="Arial" w:eastAsia="Arial" w:hAnsi="Arial"/>
          <w:sz w:val="13"/>
          <w:szCs w:val="13"/>
          <w:b w:val="1"/>
          <w:bCs w:val="1"/>
          <w:u w:val="single" w:color="auto"/>
          <w:color w:val="0000EE"/>
        </w:rPr>
        <w:t>OLICY AND</w:t>
      </w:r>
      <w:r>
        <w:rPr>
          <w:rFonts w:ascii="Arial" w:cs="Arial" w:eastAsia="Arial" w:hAnsi="Arial"/>
          <w:sz w:val="16"/>
          <w:szCs w:val="16"/>
          <w:b w:val="1"/>
          <w:bCs w:val="1"/>
          <w:u w:val="single" w:color="auto"/>
          <w:color w:val="0000EE"/>
        </w:rPr>
        <w:t xml:space="preserve"> H</w:t>
      </w:r>
      <w:r>
        <w:rPr>
          <w:rFonts w:ascii="Arial" w:cs="Arial" w:eastAsia="Arial" w:hAnsi="Arial"/>
          <w:sz w:val="13"/>
          <w:szCs w:val="13"/>
          <w:b w:val="1"/>
          <w:bCs w:val="1"/>
          <w:u w:val="single" w:color="auto"/>
          <w:color w:val="0000EE"/>
        </w:rPr>
        <w:t>EDGING AND</w:t>
      </w:r>
      <w:r>
        <w:rPr>
          <w:rFonts w:ascii="Arial" w:cs="Arial" w:eastAsia="Arial" w:hAnsi="Arial"/>
          <w:sz w:val="16"/>
          <w:szCs w:val="16"/>
          <w:b w:val="1"/>
          <w:bCs w:val="1"/>
          <w:u w:val="single" w:color="auto"/>
          <w:color w:val="0000EE"/>
        </w:rPr>
        <w:t xml:space="preserve"> P</w:t>
      </w:r>
      <w:r>
        <w:rPr>
          <w:rFonts w:ascii="Arial" w:cs="Arial" w:eastAsia="Arial" w:hAnsi="Arial"/>
          <w:sz w:val="13"/>
          <w:szCs w:val="13"/>
          <w:b w:val="1"/>
          <w:bCs w:val="1"/>
          <w:u w:val="single" w:color="auto"/>
          <w:color w:val="0000EE"/>
        </w:rPr>
        <w:t>LEDGING</w:t>
      </w:r>
      <w:r>
        <w:rPr>
          <w:rFonts w:ascii="Arial" w:cs="Arial" w:eastAsia="Arial" w:hAnsi="Arial"/>
          <w:sz w:val="16"/>
          <w:szCs w:val="16"/>
          <w:b w:val="1"/>
          <w:bCs w:val="1"/>
          <w:u w:val="single" w:color="auto"/>
          <w:color w:val="0000EE"/>
        </w:rPr>
        <w:t xml:space="preserve"> P</w:t>
      </w:r>
      <w:r>
        <w:rPr>
          <w:rFonts w:ascii="Arial" w:cs="Arial" w:eastAsia="Arial" w:hAnsi="Arial"/>
          <w:sz w:val="13"/>
          <w:szCs w:val="13"/>
          <w:b w:val="1"/>
          <w:bCs w:val="1"/>
          <w:u w:val="single" w:color="auto"/>
          <w:color w:val="0000EE"/>
        </w:rPr>
        <w:t>ROHIBITION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S</w:t>
      </w:r>
      <w:r>
        <w:rPr>
          <w:rFonts w:ascii="Arial" w:cs="Arial" w:eastAsia="Arial" w:hAnsi="Arial"/>
          <w:sz w:val="13"/>
          <w:szCs w:val="13"/>
          <w:b w:val="1"/>
          <w:bCs w:val="1"/>
          <w:u w:val="single" w:color="auto"/>
          <w:color w:val="0000EE"/>
        </w:rPr>
        <w:t>TOCKHOLDER</w:t>
      </w:r>
      <w:r>
        <w:rPr>
          <w:rFonts w:ascii="Arial" w:cs="Arial" w:eastAsia="Arial" w:hAnsi="Arial"/>
          <w:sz w:val="16"/>
          <w:szCs w:val="16"/>
          <w:b w:val="1"/>
          <w:bCs w:val="1"/>
          <w:u w:val="single" w:color="auto"/>
          <w:color w:val="0000EE"/>
        </w:rPr>
        <w:t xml:space="preserve"> E</w:t>
      </w:r>
      <w:r>
        <w:rPr>
          <w:rFonts w:ascii="Arial" w:cs="Arial" w:eastAsia="Arial" w:hAnsi="Arial"/>
          <w:sz w:val="13"/>
          <w:szCs w:val="13"/>
          <w:b w:val="1"/>
          <w:bCs w:val="1"/>
          <w:u w:val="single" w:color="auto"/>
          <w:color w:val="0000EE"/>
        </w:rPr>
        <w:t>NGAGEMENT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C</w:t>
      </w:r>
      <w:r>
        <w:rPr>
          <w:rFonts w:ascii="Arial" w:cs="Arial" w:eastAsia="Arial" w:hAnsi="Arial"/>
          <w:sz w:val="13"/>
          <w:szCs w:val="13"/>
          <w:b w:val="1"/>
          <w:bCs w:val="1"/>
          <w:u w:val="single" w:color="auto"/>
          <w:color w:val="0000EE"/>
        </w:rPr>
        <w:t>OMMUNICATION WITH</w:t>
      </w:r>
      <w:r>
        <w:rPr>
          <w:rFonts w:ascii="Arial" w:cs="Arial" w:eastAsia="Arial" w:hAnsi="Arial"/>
          <w:sz w:val="16"/>
          <w:szCs w:val="16"/>
          <w:b w:val="1"/>
          <w:bCs w:val="1"/>
          <w:u w:val="single" w:color="auto"/>
          <w:color w:val="0000EE"/>
        </w:rPr>
        <w:t xml:space="preserve"> D</w:t>
      </w:r>
      <w:r>
        <w:rPr>
          <w:rFonts w:ascii="Arial" w:cs="Arial" w:eastAsia="Arial" w:hAnsi="Arial"/>
          <w:sz w:val="13"/>
          <w:szCs w:val="13"/>
          <w:b w:val="1"/>
          <w:bCs w:val="1"/>
          <w:u w:val="single" w:color="auto"/>
          <w:color w:val="0000EE"/>
        </w:rPr>
        <w:t>IRECTORS</w:t>
      </w:r>
    </w:p>
    <w:p>
      <w:pPr>
        <w:spacing w:after="0" w:line="86" w:lineRule="exact"/>
        <w:rPr>
          <w:sz w:val="20"/>
          <w:szCs w:val="20"/>
          <w:color w:val="auto"/>
        </w:rPr>
      </w:pPr>
    </w:p>
    <w:p>
      <w:pPr>
        <w:ind w:right="660"/>
        <w:spacing w:after="0" w:line="349" w:lineRule="auto"/>
        <w:rPr>
          <w:sz w:val="20"/>
          <w:szCs w:val="20"/>
          <w:color w:val="auto"/>
        </w:rPr>
      </w:pPr>
      <w:r>
        <w:rPr>
          <w:rFonts w:ascii="Arial" w:cs="Arial" w:eastAsia="Arial" w:hAnsi="Arial"/>
          <w:sz w:val="16"/>
          <w:szCs w:val="16"/>
          <w:b w:val="1"/>
          <w:bCs w:val="1"/>
          <w:u w:val="single" w:color="auto"/>
          <w:color w:val="0000EE"/>
        </w:rPr>
        <w:t>S</w:t>
      </w:r>
      <w:r>
        <w:rPr>
          <w:rFonts w:ascii="Arial" w:cs="Arial" w:eastAsia="Arial" w:hAnsi="Arial"/>
          <w:sz w:val="13"/>
          <w:szCs w:val="13"/>
          <w:b w:val="1"/>
          <w:bCs w:val="1"/>
          <w:u w:val="single" w:color="auto"/>
          <w:color w:val="0000EE"/>
        </w:rPr>
        <w:t>TOCKHOLDER</w:t>
      </w:r>
      <w:r>
        <w:rPr>
          <w:rFonts w:ascii="Arial" w:cs="Arial" w:eastAsia="Arial" w:hAnsi="Arial"/>
          <w:sz w:val="16"/>
          <w:szCs w:val="16"/>
          <w:b w:val="1"/>
          <w:bCs w:val="1"/>
          <w:u w:val="single" w:color="auto"/>
          <w:color w:val="0000EE"/>
        </w:rPr>
        <w:t xml:space="preserve"> N</w:t>
      </w:r>
      <w:r>
        <w:rPr>
          <w:rFonts w:ascii="Arial" w:cs="Arial" w:eastAsia="Arial" w:hAnsi="Arial"/>
          <w:sz w:val="13"/>
          <w:szCs w:val="13"/>
          <w:b w:val="1"/>
          <w:bCs w:val="1"/>
          <w:u w:val="single" w:color="auto"/>
          <w:color w:val="0000EE"/>
        </w:rPr>
        <w:t>OMINATIONS OF</w:t>
      </w:r>
      <w:r>
        <w:rPr>
          <w:rFonts w:ascii="Arial" w:cs="Arial" w:eastAsia="Arial" w:hAnsi="Arial"/>
          <w:sz w:val="16"/>
          <w:szCs w:val="16"/>
          <w:b w:val="1"/>
          <w:bCs w:val="1"/>
          <w:u w:val="single" w:color="auto"/>
          <w:color w:val="0000EE"/>
        </w:rPr>
        <w:t xml:space="preserve"> D</w:t>
      </w:r>
      <w:r>
        <w:rPr>
          <w:rFonts w:ascii="Arial" w:cs="Arial" w:eastAsia="Arial" w:hAnsi="Arial"/>
          <w:sz w:val="13"/>
          <w:szCs w:val="13"/>
          <w:b w:val="1"/>
          <w:bCs w:val="1"/>
          <w:u w:val="single" w:color="auto"/>
          <w:color w:val="0000EE"/>
        </w:rPr>
        <w:t>IRECTOR</w:t>
      </w:r>
      <w:r>
        <w:rPr>
          <w:rFonts w:ascii="Arial" w:cs="Arial" w:eastAsia="Arial" w:hAnsi="Arial"/>
          <w:sz w:val="16"/>
          <w:szCs w:val="16"/>
          <w:b w:val="1"/>
          <w:bCs w:val="1"/>
          <w:u w:val="single" w:color="auto"/>
          <w:color w:val="0000EE"/>
        </w:rPr>
        <w:t xml:space="preserve"> C</w:t>
      </w:r>
      <w:r>
        <w:rPr>
          <w:rFonts w:ascii="Arial" w:cs="Arial" w:eastAsia="Arial" w:hAnsi="Arial"/>
          <w:sz w:val="13"/>
          <w:szCs w:val="13"/>
          <w:b w:val="1"/>
          <w:bCs w:val="1"/>
          <w:u w:val="single" w:color="auto"/>
          <w:color w:val="0000EE"/>
        </w:rPr>
        <w:t>ANDIDATES</w:t>
      </w:r>
      <w:r>
        <w:rPr>
          <w:rFonts w:ascii="Arial" w:cs="Arial" w:eastAsia="Arial" w:hAnsi="Arial"/>
          <w:sz w:val="16"/>
          <w:szCs w:val="16"/>
          <w:b w:val="1"/>
          <w:bCs w:val="1"/>
          <w:u w:val="single" w:color="auto"/>
          <w:color w:val="0000EE"/>
        </w:rPr>
        <w:t xml:space="preserve"> C</w:t>
      </w:r>
      <w:r>
        <w:rPr>
          <w:rFonts w:ascii="Arial" w:cs="Arial" w:eastAsia="Arial" w:hAnsi="Arial"/>
          <w:sz w:val="13"/>
          <w:szCs w:val="13"/>
          <w:b w:val="1"/>
          <w:bCs w:val="1"/>
          <w:u w:val="single" w:color="auto"/>
          <w:color w:val="0000EE"/>
        </w:rPr>
        <w:t>ORPORATE</w:t>
      </w:r>
      <w:r>
        <w:rPr>
          <w:rFonts w:ascii="Arial" w:cs="Arial" w:eastAsia="Arial" w:hAnsi="Arial"/>
          <w:sz w:val="16"/>
          <w:szCs w:val="16"/>
          <w:b w:val="1"/>
          <w:bCs w:val="1"/>
          <w:u w:val="single" w:color="auto"/>
          <w:color w:val="0000EE"/>
        </w:rPr>
        <w:t xml:space="preserve"> G</w:t>
      </w:r>
      <w:r>
        <w:rPr>
          <w:rFonts w:ascii="Arial" w:cs="Arial" w:eastAsia="Arial" w:hAnsi="Arial"/>
          <w:sz w:val="13"/>
          <w:szCs w:val="13"/>
          <w:b w:val="1"/>
          <w:bCs w:val="1"/>
          <w:u w:val="single" w:color="auto"/>
          <w:color w:val="0000EE"/>
        </w:rPr>
        <w:t>OVERNANCE</w:t>
      </w:r>
      <w:r>
        <w:rPr>
          <w:rFonts w:ascii="Arial" w:cs="Arial" w:eastAsia="Arial" w:hAnsi="Arial"/>
          <w:sz w:val="16"/>
          <w:szCs w:val="16"/>
          <w:b w:val="1"/>
          <w:bCs w:val="1"/>
          <w:u w:val="single" w:color="auto"/>
          <w:color w:val="0000EE"/>
        </w:rPr>
        <w:t xml:space="preserve"> M</w:t>
      </w:r>
      <w:r>
        <w:rPr>
          <w:rFonts w:ascii="Arial" w:cs="Arial" w:eastAsia="Arial" w:hAnsi="Arial"/>
          <w:sz w:val="13"/>
          <w:szCs w:val="13"/>
          <w:b w:val="1"/>
          <w:bCs w:val="1"/>
          <w:u w:val="single" w:color="auto"/>
          <w:color w:val="0000EE"/>
        </w:rPr>
        <w:t>ATERIALS</w:t>
      </w:r>
    </w:p>
    <w:p>
      <w:pPr>
        <w:spacing w:after="0"/>
        <w:rPr>
          <w:sz w:val="20"/>
          <w:szCs w:val="20"/>
          <w:color w:val="auto"/>
        </w:rPr>
      </w:pPr>
      <w:r>
        <w:rPr>
          <w:rFonts w:ascii="Arial" w:cs="Arial" w:eastAsia="Arial" w:hAnsi="Arial"/>
          <w:sz w:val="18"/>
          <w:szCs w:val="18"/>
          <w:b w:val="1"/>
          <w:bCs w:val="1"/>
          <w:u w:val="single" w:color="auto"/>
          <w:color w:val="0000EE"/>
        </w:rPr>
        <w:t>CORPORATE RESPONSIBILITY</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G</w:t>
      </w:r>
      <w:r>
        <w:rPr>
          <w:rFonts w:ascii="Arial" w:cs="Arial" w:eastAsia="Arial" w:hAnsi="Arial"/>
          <w:sz w:val="13"/>
          <w:szCs w:val="13"/>
          <w:b w:val="1"/>
          <w:bCs w:val="1"/>
          <w:u w:val="single" w:color="auto"/>
          <w:color w:val="0000EE"/>
        </w:rPr>
        <w:t>OING</w:t>
      </w:r>
      <w:r>
        <w:rPr>
          <w:rFonts w:ascii="Arial" w:cs="Arial" w:eastAsia="Arial" w:hAnsi="Arial"/>
          <w:sz w:val="16"/>
          <w:szCs w:val="16"/>
          <w:b w:val="1"/>
          <w:bCs w:val="1"/>
          <w:u w:val="single" w:color="auto"/>
          <w:color w:val="0000EE"/>
        </w:rPr>
        <w:t xml:space="preserve"> B</w:t>
      </w:r>
      <w:r>
        <w:rPr>
          <w:rFonts w:ascii="Arial" w:cs="Arial" w:eastAsia="Arial" w:hAnsi="Arial"/>
          <w:sz w:val="13"/>
          <w:szCs w:val="13"/>
          <w:b w:val="1"/>
          <w:bCs w:val="1"/>
          <w:u w:val="single" w:color="auto"/>
          <w:color w:val="0000EE"/>
        </w:rPr>
        <w:t>EYOND THE</w:t>
      </w:r>
      <w:r>
        <w:rPr>
          <w:rFonts w:ascii="Arial" w:cs="Arial" w:eastAsia="Arial" w:hAnsi="Arial"/>
          <w:sz w:val="16"/>
          <w:szCs w:val="16"/>
          <w:b w:val="1"/>
          <w:bCs w:val="1"/>
          <w:u w:val="single" w:color="auto"/>
          <w:color w:val="0000EE"/>
        </w:rPr>
        <w:t xml:space="preserve"> B</w:t>
      </w:r>
      <w:r>
        <w:rPr>
          <w:rFonts w:ascii="Arial" w:cs="Arial" w:eastAsia="Arial" w:hAnsi="Arial"/>
          <w:sz w:val="13"/>
          <w:szCs w:val="13"/>
          <w:b w:val="1"/>
          <w:bCs w:val="1"/>
          <w:u w:val="single" w:color="auto"/>
          <w:color w:val="0000EE"/>
        </w:rPr>
        <w:t>UILDINGS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C</w:t>
      </w:r>
      <w:r>
        <w:rPr>
          <w:rFonts w:ascii="Arial" w:cs="Arial" w:eastAsia="Arial" w:hAnsi="Arial"/>
          <w:sz w:val="13"/>
          <w:szCs w:val="13"/>
          <w:b w:val="1"/>
          <w:bCs w:val="1"/>
          <w:u w:val="single" w:color="auto"/>
          <w:color w:val="0000EE"/>
        </w:rPr>
        <w:t>OMMITTING TO</w:t>
      </w:r>
      <w:r>
        <w:rPr>
          <w:rFonts w:ascii="Arial" w:cs="Arial" w:eastAsia="Arial" w:hAnsi="Arial"/>
          <w:sz w:val="16"/>
          <w:szCs w:val="16"/>
          <w:b w:val="1"/>
          <w:bCs w:val="1"/>
          <w:u w:val="single" w:color="auto"/>
          <w:color w:val="0000EE"/>
        </w:rPr>
        <w:t xml:space="preserve"> O</w:t>
      </w:r>
      <w:r>
        <w:rPr>
          <w:rFonts w:ascii="Arial" w:cs="Arial" w:eastAsia="Arial" w:hAnsi="Arial"/>
          <w:sz w:val="13"/>
          <w:szCs w:val="13"/>
          <w:b w:val="1"/>
          <w:bCs w:val="1"/>
          <w:u w:val="single" w:color="auto"/>
          <w:color w:val="0000EE"/>
        </w:rPr>
        <w:t>UR</w:t>
      </w:r>
      <w:r>
        <w:rPr>
          <w:rFonts w:ascii="Arial" w:cs="Arial" w:eastAsia="Arial" w:hAnsi="Arial"/>
          <w:sz w:val="16"/>
          <w:szCs w:val="16"/>
          <w:b w:val="1"/>
          <w:bCs w:val="1"/>
          <w:u w:val="single" w:color="auto"/>
          <w:color w:val="0000EE"/>
        </w:rPr>
        <w:t xml:space="preserve"> P</w:t>
      </w:r>
      <w:r>
        <w:rPr>
          <w:rFonts w:ascii="Arial" w:cs="Arial" w:eastAsia="Arial" w:hAnsi="Arial"/>
          <w:sz w:val="13"/>
          <w:szCs w:val="13"/>
          <w:b w:val="1"/>
          <w:bCs w:val="1"/>
          <w:u w:val="single" w:color="auto"/>
          <w:color w:val="0000EE"/>
        </w:rPr>
        <w:t>EOPLE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E</w:t>
      </w:r>
      <w:r>
        <w:rPr>
          <w:rFonts w:ascii="Arial" w:cs="Arial" w:eastAsia="Arial" w:hAnsi="Arial"/>
          <w:sz w:val="13"/>
          <w:szCs w:val="13"/>
          <w:b w:val="1"/>
          <w:bCs w:val="1"/>
          <w:u w:val="single" w:color="auto"/>
          <w:color w:val="0000EE"/>
        </w:rPr>
        <w:t>LEVATING</w:t>
      </w:r>
      <w:r>
        <w:rPr>
          <w:rFonts w:ascii="Arial" w:cs="Arial" w:eastAsia="Arial" w:hAnsi="Arial"/>
          <w:sz w:val="16"/>
          <w:szCs w:val="16"/>
          <w:b w:val="1"/>
          <w:bCs w:val="1"/>
          <w:u w:val="single" w:color="auto"/>
          <w:color w:val="0000EE"/>
        </w:rPr>
        <w:t xml:space="preserve"> O</w:t>
      </w:r>
      <w:r>
        <w:rPr>
          <w:rFonts w:ascii="Arial" w:cs="Arial" w:eastAsia="Arial" w:hAnsi="Arial"/>
          <w:sz w:val="13"/>
          <w:szCs w:val="13"/>
          <w:b w:val="1"/>
          <w:bCs w:val="1"/>
          <w:u w:val="single" w:color="auto"/>
          <w:color w:val="0000EE"/>
        </w:rPr>
        <w:t>UR</w:t>
      </w:r>
      <w:r>
        <w:rPr>
          <w:rFonts w:ascii="Arial" w:cs="Arial" w:eastAsia="Arial" w:hAnsi="Arial"/>
          <w:sz w:val="16"/>
          <w:szCs w:val="16"/>
          <w:b w:val="1"/>
          <w:bCs w:val="1"/>
          <w:u w:val="single" w:color="auto"/>
          <w:color w:val="0000EE"/>
        </w:rPr>
        <w:t xml:space="preserve"> N</w:t>
      </w:r>
      <w:r>
        <w:rPr>
          <w:rFonts w:ascii="Arial" w:cs="Arial" w:eastAsia="Arial" w:hAnsi="Arial"/>
          <w:sz w:val="13"/>
          <w:szCs w:val="13"/>
          <w:b w:val="1"/>
          <w:bCs w:val="1"/>
          <w:u w:val="single" w:color="auto"/>
          <w:color w:val="0000EE"/>
        </w:rPr>
        <w:t>EIGHBORHOODS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C</w:t>
      </w:r>
      <w:r>
        <w:rPr>
          <w:rFonts w:ascii="Arial" w:cs="Arial" w:eastAsia="Arial" w:hAnsi="Arial"/>
          <w:sz w:val="13"/>
          <w:szCs w:val="13"/>
          <w:b w:val="1"/>
          <w:bCs w:val="1"/>
          <w:u w:val="single" w:color="auto"/>
          <w:color w:val="0000EE"/>
        </w:rPr>
        <w:t>ORPORATE</w:t>
      </w:r>
      <w:r>
        <w:rPr>
          <w:rFonts w:ascii="Arial" w:cs="Arial" w:eastAsia="Arial" w:hAnsi="Arial"/>
          <w:sz w:val="16"/>
          <w:szCs w:val="16"/>
          <w:b w:val="1"/>
          <w:bCs w:val="1"/>
          <w:u w:val="single" w:color="auto"/>
          <w:color w:val="0000EE"/>
        </w:rPr>
        <w:t xml:space="preserve"> R</w:t>
      </w:r>
      <w:r>
        <w:rPr>
          <w:rFonts w:ascii="Arial" w:cs="Arial" w:eastAsia="Arial" w:hAnsi="Arial"/>
          <w:sz w:val="13"/>
          <w:szCs w:val="13"/>
          <w:b w:val="1"/>
          <w:bCs w:val="1"/>
          <w:u w:val="single" w:color="auto"/>
          <w:color w:val="0000EE"/>
        </w:rPr>
        <w:t>ESPONSIBILITY</w:t>
      </w:r>
      <w:r>
        <w:rPr>
          <w:rFonts w:ascii="Arial" w:cs="Arial" w:eastAsia="Arial" w:hAnsi="Arial"/>
          <w:sz w:val="16"/>
          <w:szCs w:val="16"/>
          <w:b w:val="1"/>
          <w:bCs w:val="1"/>
          <w:u w:val="single" w:color="auto"/>
          <w:color w:val="0000EE"/>
        </w:rPr>
        <w:t xml:space="preserve"> M</w:t>
      </w:r>
      <w:r>
        <w:rPr>
          <w:rFonts w:ascii="Arial" w:cs="Arial" w:eastAsia="Arial" w:hAnsi="Arial"/>
          <w:sz w:val="13"/>
          <w:szCs w:val="13"/>
          <w:b w:val="1"/>
          <w:bCs w:val="1"/>
          <w:u w:val="single" w:color="auto"/>
          <w:color w:val="0000EE"/>
        </w:rPr>
        <w:t>ATERIALS</w:t>
      </w:r>
    </w:p>
    <w:p>
      <w:pPr>
        <w:spacing w:after="0" w:line="81"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u w:val="single" w:color="auto"/>
          <w:color w:val="0000EE"/>
        </w:rPr>
        <w:t>PROPOSAL 2 – RATIFICATION OF THE APPOINTMENT OF OUR INDEPENDENT REGISTERED PUBLIC ACCOUNTING FIRM</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O</w:t>
      </w:r>
      <w:r>
        <w:rPr>
          <w:rFonts w:ascii="Arial" w:cs="Arial" w:eastAsia="Arial" w:hAnsi="Arial"/>
          <w:sz w:val="13"/>
          <w:szCs w:val="13"/>
          <w:b w:val="1"/>
          <w:bCs w:val="1"/>
          <w:u w:val="single" w:color="auto"/>
          <w:color w:val="0000EE"/>
        </w:rPr>
        <w:t>VERVIEW</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F</w:t>
      </w:r>
      <w:r>
        <w:rPr>
          <w:rFonts w:ascii="Arial" w:cs="Arial" w:eastAsia="Arial" w:hAnsi="Arial"/>
          <w:sz w:val="13"/>
          <w:szCs w:val="13"/>
          <w:b w:val="1"/>
          <w:bCs w:val="1"/>
          <w:u w:val="single" w:color="auto"/>
          <w:color w:val="0000EE"/>
        </w:rPr>
        <w:t>EES</w:t>
      </w:r>
      <w:r>
        <w:rPr>
          <w:rFonts w:ascii="Arial" w:cs="Arial" w:eastAsia="Arial" w:hAnsi="Arial"/>
          <w:sz w:val="16"/>
          <w:szCs w:val="16"/>
          <w:b w:val="1"/>
          <w:bCs w:val="1"/>
          <w:u w:val="single" w:color="auto"/>
          <w:color w:val="0000EE"/>
        </w:rPr>
        <w:t xml:space="preserve"> P</w:t>
      </w:r>
      <w:r>
        <w:rPr>
          <w:rFonts w:ascii="Arial" w:cs="Arial" w:eastAsia="Arial" w:hAnsi="Arial"/>
          <w:sz w:val="13"/>
          <w:szCs w:val="13"/>
          <w:b w:val="1"/>
          <w:bCs w:val="1"/>
          <w:u w:val="single" w:color="auto"/>
          <w:color w:val="0000EE"/>
        </w:rPr>
        <w:t>AID TO</w:t>
      </w:r>
      <w:r>
        <w:rPr>
          <w:rFonts w:ascii="Arial" w:cs="Arial" w:eastAsia="Arial" w:hAnsi="Arial"/>
          <w:sz w:val="16"/>
          <w:szCs w:val="16"/>
          <w:b w:val="1"/>
          <w:bCs w:val="1"/>
          <w:u w:val="single" w:color="auto"/>
          <w:color w:val="0000EE"/>
        </w:rPr>
        <w:t xml:space="preserve"> D</w:t>
      </w:r>
      <w:r>
        <w:rPr>
          <w:rFonts w:ascii="Arial" w:cs="Arial" w:eastAsia="Arial" w:hAnsi="Arial"/>
          <w:sz w:val="13"/>
          <w:szCs w:val="13"/>
          <w:b w:val="1"/>
          <w:bCs w:val="1"/>
          <w:u w:val="single" w:color="auto"/>
          <w:color w:val="0000EE"/>
        </w:rPr>
        <w:t>ELOITTE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P</w:t>
      </w:r>
      <w:r>
        <w:rPr>
          <w:rFonts w:ascii="Arial" w:cs="Arial" w:eastAsia="Arial" w:hAnsi="Arial"/>
          <w:sz w:val="13"/>
          <w:szCs w:val="13"/>
          <w:b w:val="1"/>
          <w:bCs w:val="1"/>
          <w:u w:val="single" w:color="auto"/>
          <w:color w:val="0000EE"/>
        </w:rPr>
        <w:t>RE</w:t>
      </w:r>
      <w:r>
        <w:rPr>
          <w:rFonts w:ascii="Arial" w:cs="Arial" w:eastAsia="Arial" w:hAnsi="Arial"/>
          <w:sz w:val="16"/>
          <w:szCs w:val="16"/>
          <w:b w:val="1"/>
          <w:bCs w:val="1"/>
          <w:u w:val="single" w:color="auto"/>
          <w:color w:val="0000EE"/>
        </w:rPr>
        <w:t>-</w:t>
      </w:r>
      <w:r>
        <w:rPr>
          <w:rFonts w:ascii="Arial" w:cs="Arial" w:eastAsia="Arial" w:hAnsi="Arial"/>
          <w:sz w:val="13"/>
          <w:szCs w:val="13"/>
          <w:b w:val="1"/>
          <w:bCs w:val="1"/>
          <w:u w:val="single" w:color="auto"/>
          <w:color w:val="0000EE"/>
        </w:rPr>
        <w:t>APPROVAL OF</w:t>
      </w:r>
      <w:r>
        <w:rPr>
          <w:rFonts w:ascii="Arial" w:cs="Arial" w:eastAsia="Arial" w:hAnsi="Arial"/>
          <w:sz w:val="16"/>
          <w:szCs w:val="16"/>
          <w:b w:val="1"/>
          <w:bCs w:val="1"/>
          <w:u w:val="single" w:color="auto"/>
          <w:color w:val="0000EE"/>
        </w:rPr>
        <w:t xml:space="preserve"> S</w:t>
      </w:r>
      <w:r>
        <w:rPr>
          <w:rFonts w:ascii="Arial" w:cs="Arial" w:eastAsia="Arial" w:hAnsi="Arial"/>
          <w:sz w:val="13"/>
          <w:szCs w:val="13"/>
          <w:b w:val="1"/>
          <w:bCs w:val="1"/>
          <w:u w:val="single" w:color="auto"/>
          <w:color w:val="0000EE"/>
        </w:rPr>
        <w:t>ERVICES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R</w:t>
      </w:r>
      <w:r>
        <w:rPr>
          <w:rFonts w:ascii="Arial" w:cs="Arial" w:eastAsia="Arial" w:hAnsi="Arial"/>
          <w:sz w:val="13"/>
          <w:szCs w:val="13"/>
          <w:b w:val="1"/>
          <w:bCs w:val="1"/>
          <w:u w:val="single" w:color="auto"/>
          <w:color w:val="0000EE"/>
        </w:rPr>
        <w:t>EPORT OF THE</w:t>
      </w:r>
      <w:r>
        <w:rPr>
          <w:rFonts w:ascii="Arial" w:cs="Arial" w:eastAsia="Arial" w:hAnsi="Arial"/>
          <w:sz w:val="16"/>
          <w:szCs w:val="16"/>
          <w:b w:val="1"/>
          <w:bCs w:val="1"/>
          <w:u w:val="single" w:color="auto"/>
          <w:color w:val="0000EE"/>
        </w:rPr>
        <w:t xml:space="preserve"> A</w:t>
      </w:r>
      <w:r>
        <w:rPr>
          <w:rFonts w:ascii="Arial" w:cs="Arial" w:eastAsia="Arial" w:hAnsi="Arial"/>
          <w:sz w:val="13"/>
          <w:szCs w:val="13"/>
          <w:b w:val="1"/>
          <w:bCs w:val="1"/>
          <w:u w:val="single" w:color="auto"/>
          <w:color w:val="0000EE"/>
        </w:rPr>
        <w:t>UDIT</w:t>
      </w:r>
      <w:r>
        <w:rPr>
          <w:rFonts w:ascii="Arial" w:cs="Arial" w:eastAsia="Arial" w:hAnsi="Arial"/>
          <w:sz w:val="16"/>
          <w:szCs w:val="16"/>
          <w:b w:val="1"/>
          <w:bCs w:val="1"/>
          <w:u w:val="single" w:color="auto"/>
          <w:color w:val="0000EE"/>
        </w:rPr>
        <w:t xml:space="preserve"> C</w:t>
      </w:r>
      <w:r>
        <w:rPr>
          <w:rFonts w:ascii="Arial" w:cs="Arial" w:eastAsia="Arial" w:hAnsi="Arial"/>
          <w:sz w:val="13"/>
          <w:szCs w:val="13"/>
          <w:b w:val="1"/>
          <w:bCs w:val="1"/>
          <w:u w:val="single" w:color="auto"/>
          <w:color w:val="0000EE"/>
        </w:rPr>
        <w:t>OMMITTEE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R</w:t>
      </w:r>
      <w:r>
        <w:rPr>
          <w:rFonts w:ascii="Arial" w:cs="Arial" w:eastAsia="Arial" w:hAnsi="Arial"/>
          <w:sz w:val="13"/>
          <w:szCs w:val="13"/>
          <w:b w:val="1"/>
          <w:bCs w:val="1"/>
          <w:u w:val="single" w:color="auto"/>
          <w:color w:val="0000EE"/>
        </w:rPr>
        <w:t>EQUIRED</w:t>
      </w:r>
      <w:r>
        <w:rPr>
          <w:rFonts w:ascii="Arial" w:cs="Arial" w:eastAsia="Arial" w:hAnsi="Arial"/>
          <w:sz w:val="16"/>
          <w:szCs w:val="16"/>
          <w:b w:val="1"/>
          <w:bCs w:val="1"/>
          <w:u w:val="single" w:color="auto"/>
          <w:color w:val="0000EE"/>
        </w:rPr>
        <w:t xml:space="preserve"> V</w:t>
      </w:r>
      <w:r>
        <w:rPr>
          <w:rFonts w:ascii="Arial" w:cs="Arial" w:eastAsia="Arial" w:hAnsi="Arial"/>
          <w:sz w:val="13"/>
          <w:szCs w:val="13"/>
          <w:b w:val="1"/>
          <w:bCs w:val="1"/>
          <w:u w:val="single" w:color="auto"/>
          <w:color w:val="0000EE"/>
        </w:rPr>
        <w:t>OTE AND</w:t>
      </w:r>
      <w:r>
        <w:rPr>
          <w:rFonts w:ascii="Arial" w:cs="Arial" w:eastAsia="Arial" w:hAnsi="Arial"/>
          <w:sz w:val="16"/>
          <w:szCs w:val="16"/>
          <w:b w:val="1"/>
          <w:bCs w:val="1"/>
          <w:u w:val="single" w:color="auto"/>
          <w:color w:val="0000EE"/>
        </w:rPr>
        <w:t xml:space="preserve"> R</w:t>
      </w:r>
      <w:r>
        <w:rPr>
          <w:rFonts w:ascii="Arial" w:cs="Arial" w:eastAsia="Arial" w:hAnsi="Arial"/>
          <w:sz w:val="13"/>
          <w:szCs w:val="13"/>
          <w:b w:val="1"/>
          <w:bCs w:val="1"/>
          <w:u w:val="single" w:color="auto"/>
          <w:color w:val="0000EE"/>
        </w:rPr>
        <w:t>ECOMMENDATION OF THE</w:t>
      </w:r>
      <w:r>
        <w:rPr>
          <w:rFonts w:ascii="Arial" w:cs="Arial" w:eastAsia="Arial" w:hAnsi="Arial"/>
          <w:sz w:val="16"/>
          <w:szCs w:val="16"/>
          <w:b w:val="1"/>
          <w:bCs w:val="1"/>
          <w:u w:val="single" w:color="auto"/>
          <w:color w:val="0000EE"/>
        </w:rPr>
        <w:t xml:space="preserve"> B</w:t>
      </w:r>
      <w:r>
        <w:rPr>
          <w:rFonts w:ascii="Arial" w:cs="Arial" w:eastAsia="Arial" w:hAnsi="Arial"/>
          <w:sz w:val="13"/>
          <w:szCs w:val="13"/>
          <w:b w:val="1"/>
          <w:bCs w:val="1"/>
          <w:u w:val="single" w:color="auto"/>
          <w:color w:val="0000EE"/>
        </w:rPr>
        <w:t>OARD</w:t>
      </w:r>
    </w:p>
    <w:p>
      <w:pPr>
        <w:spacing w:after="0" w:line="81" w:lineRule="exact"/>
        <w:rPr>
          <w:sz w:val="20"/>
          <w:szCs w:val="20"/>
          <w:color w:val="auto"/>
        </w:rPr>
      </w:pPr>
    </w:p>
    <w:p>
      <w:pPr>
        <w:ind w:right="260"/>
        <w:spacing w:after="0" w:line="281" w:lineRule="auto"/>
        <w:rPr>
          <w:sz w:val="20"/>
          <w:szCs w:val="20"/>
          <w:color w:val="auto"/>
        </w:rPr>
      </w:pPr>
      <w:r>
        <w:rPr>
          <w:rFonts w:ascii="Arial" w:cs="Arial" w:eastAsia="Arial" w:hAnsi="Arial"/>
          <w:sz w:val="18"/>
          <w:szCs w:val="18"/>
          <w:b w:val="1"/>
          <w:bCs w:val="1"/>
          <w:u w:val="single" w:color="auto"/>
          <w:color w:val="0000EE"/>
        </w:rPr>
        <w:t>PROPOSAL 3 – NON-BINDING ADVISORY VOTE ON EXECUTIVE COMPENSATION</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left="100"/>
        <w:spacing w:after="0"/>
        <w:tabs>
          <w:tab w:leader="none" w:pos="580" w:val="left"/>
          <w:tab w:leader="none" w:pos="5740" w:val="left"/>
        </w:tabs>
        <w:rPr>
          <w:sz w:val="20"/>
          <w:szCs w:val="20"/>
          <w:color w:val="auto"/>
        </w:rPr>
      </w:pPr>
      <w:r>
        <w:rPr>
          <w:rFonts w:ascii="Arial" w:cs="Arial" w:eastAsia="Arial" w:hAnsi="Arial"/>
          <w:sz w:val="36"/>
          <w:szCs w:val="36"/>
          <w:b w:val="1"/>
          <w:bCs w:val="1"/>
          <w:color w:val="0070C0"/>
          <w:vertAlign w:val="superscript"/>
        </w:rPr>
        <w:t>1</w:t>
      </w:r>
      <w:r>
        <w:rPr>
          <w:sz w:val="20"/>
          <w:szCs w:val="20"/>
          <w:color w:val="auto"/>
        </w:rPr>
        <w:tab/>
      </w:r>
      <w:r>
        <w:rPr>
          <w:rFonts w:ascii="Arial" w:cs="Arial" w:eastAsia="Arial" w:hAnsi="Arial"/>
          <w:sz w:val="16"/>
          <w:szCs w:val="16"/>
          <w:b w:val="1"/>
          <w:bCs w:val="1"/>
          <w:u w:val="single" w:color="auto"/>
          <w:color w:val="0000EE"/>
        </w:rPr>
        <w:t>R</w:t>
      </w:r>
      <w:r>
        <w:rPr>
          <w:rFonts w:ascii="Arial" w:cs="Arial" w:eastAsia="Arial" w:hAnsi="Arial"/>
          <w:sz w:val="13"/>
          <w:szCs w:val="13"/>
          <w:b w:val="1"/>
          <w:bCs w:val="1"/>
          <w:u w:val="single" w:color="auto"/>
          <w:color w:val="0000EE"/>
        </w:rPr>
        <w:t>EQUIRED</w:t>
      </w:r>
      <w:r>
        <w:rPr>
          <w:rFonts w:ascii="Arial" w:cs="Arial" w:eastAsia="Arial" w:hAnsi="Arial"/>
          <w:sz w:val="16"/>
          <w:szCs w:val="16"/>
          <w:b w:val="1"/>
          <w:bCs w:val="1"/>
          <w:color w:val="0000EE"/>
        </w:rPr>
        <w:t xml:space="preserve"> </w:t>
      </w:r>
      <w:r>
        <w:rPr>
          <w:rFonts w:ascii="Arial" w:cs="Arial" w:eastAsia="Arial" w:hAnsi="Arial"/>
          <w:sz w:val="16"/>
          <w:szCs w:val="16"/>
          <w:b w:val="1"/>
          <w:bCs w:val="1"/>
          <w:u w:val="single" w:color="auto"/>
          <w:color w:val="0000EE"/>
        </w:rPr>
        <w:t>V</w:t>
      </w:r>
      <w:r>
        <w:rPr>
          <w:rFonts w:ascii="Arial" w:cs="Arial" w:eastAsia="Arial" w:hAnsi="Arial"/>
          <w:sz w:val="13"/>
          <w:szCs w:val="13"/>
          <w:b w:val="1"/>
          <w:bCs w:val="1"/>
          <w:u w:val="single" w:color="auto"/>
          <w:color w:val="0000EE"/>
        </w:rPr>
        <w:t>OTE AND</w:t>
      </w:r>
      <w:r>
        <w:rPr>
          <w:rFonts w:ascii="Arial" w:cs="Arial" w:eastAsia="Arial" w:hAnsi="Arial"/>
          <w:sz w:val="16"/>
          <w:szCs w:val="16"/>
          <w:b w:val="1"/>
          <w:bCs w:val="1"/>
          <w:color w:val="0000EE"/>
        </w:rPr>
        <w:t xml:space="preserve"> </w:t>
      </w:r>
      <w:r>
        <w:rPr>
          <w:rFonts w:ascii="Arial" w:cs="Arial" w:eastAsia="Arial" w:hAnsi="Arial"/>
          <w:sz w:val="16"/>
          <w:szCs w:val="16"/>
          <w:b w:val="1"/>
          <w:bCs w:val="1"/>
          <w:u w:val="single" w:color="auto"/>
          <w:color w:val="0000EE"/>
        </w:rPr>
        <w:t>R</w:t>
      </w:r>
      <w:r>
        <w:rPr>
          <w:rFonts w:ascii="Arial" w:cs="Arial" w:eastAsia="Arial" w:hAnsi="Arial"/>
          <w:sz w:val="13"/>
          <w:szCs w:val="13"/>
          <w:b w:val="1"/>
          <w:bCs w:val="1"/>
          <w:u w:val="single" w:color="auto"/>
          <w:color w:val="0000EE"/>
        </w:rPr>
        <w:t>ECOMMENDATION OF THE</w:t>
      </w:r>
      <w:r>
        <w:rPr>
          <w:rFonts w:ascii="Arial" w:cs="Arial" w:eastAsia="Arial" w:hAnsi="Arial"/>
          <w:sz w:val="16"/>
          <w:szCs w:val="16"/>
          <w:b w:val="1"/>
          <w:bCs w:val="1"/>
          <w:color w:val="0000EE"/>
        </w:rPr>
        <w:t xml:space="preserve"> </w:t>
      </w:r>
      <w:r>
        <w:rPr>
          <w:rFonts w:ascii="Arial" w:cs="Arial" w:eastAsia="Arial" w:hAnsi="Arial"/>
          <w:sz w:val="16"/>
          <w:szCs w:val="16"/>
          <w:b w:val="1"/>
          <w:bCs w:val="1"/>
          <w:u w:val="single" w:color="auto"/>
          <w:color w:val="0000EE"/>
        </w:rPr>
        <w:t>B</w:t>
      </w:r>
      <w:r>
        <w:rPr>
          <w:rFonts w:ascii="Arial" w:cs="Arial" w:eastAsia="Arial" w:hAnsi="Arial"/>
          <w:sz w:val="13"/>
          <w:szCs w:val="13"/>
          <w:b w:val="1"/>
          <w:bCs w:val="1"/>
          <w:u w:val="single" w:color="auto"/>
          <w:color w:val="0000EE"/>
        </w:rPr>
        <w:t>OARD</w:t>
      </w:r>
      <w:r>
        <w:rPr>
          <w:sz w:val="20"/>
          <w:szCs w:val="20"/>
          <w:color w:val="auto"/>
        </w:rPr>
        <w:tab/>
      </w:r>
      <w:r>
        <w:rPr>
          <w:rFonts w:ascii="Arial" w:cs="Arial" w:eastAsia="Arial" w:hAnsi="Arial"/>
          <w:sz w:val="16"/>
          <w:szCs w:val="16"/>
          <w:b w:val="1"/>
          <w:bCs w:val="1"/>
          <w:color w:val="002060"/>
        </w:rPr>
        <w:t>43</w:t>
      </w:r>
    </w:p>
    <w:p>
      <w:pPr>
        <w:ind w:left="600" w:hanging="485"/>
        <w:spacing w:after="0" w:line="213" w:lineRule="auto"/>
        <w:tabs>
          <w:tab w:leader="none" w:pos="600" w:val="left"/>
        </w:tabs>
        <w:numPr>
          <w:ilvl w:val="0"/>
          <w:numId w:val="4"/>
        </w:numPr>
        <w:rPr>
          <w:rFonts w:ascii="Arial" w:cs="Arial" w:eastAsia="Arial" w:hAnsi="Arial"/>
          <w:sz w:val="32"/>
          <w:szCs w:val="32"/>
          <w:b w:val="1"/>
          <w:bCs w:val="1"/>
          <w:color w:val="002060"/>
          <w:vertAlign w:val="superscript"/>
        </w:rPr>
      </w:pPr>
      <w:r>
        <w:rPr>
          <w:rFonts w:ascii="Arial" w:cs="Arial" w:eastAsia="Arial" w:hAnsi="Arial"/>
          <w:sz w:val="18"/>
          <w:szCs w:val="18"/>
          <w:b w:val="1"/>
          <w:bCs w:val="1"/>
          <w:color w:val="0000EE"/>
        </w:rPr>
        <w:t>EXECUTIVE OFFICERS AND CERTAIN SIGNIFICANT</w:t>
      </w:r>
    </w:p>
    <w:tbl>
      <w:tblPr>
        <w:tblLayout w:type="fixed"/>
        <w:tblInd w:w="100" w:type="dxa"/>
        <w:tblCellMar>
          <w:top w:w="0" w:type="dxa"/>
          <w:left w:w="0" w:type="dxa"/>
          <w:bottom w:w="0" w:type="dxa"/>
          <w:right w:w="0" w:type="dxa"/>
        </w:tblCellMar>
      </w:tblPr>
      <w:tr>
        <w:trPr>
          <w:trHeight w:val="183"/>
        </w:trPr>
        <w:tc>
          <w:tcPr>
            <w:tcW w:w="500" w:type="dxa"/>
            <w:vAlign w:val="bottom"/>
          </w:tcPr>
          <w:p>
            <w:pPr>
              <w:jc w:val="right"/>
              <w:ind w:right="318"/>
              <w:spacing w:after="0" w:line="183" w:lineRule="exact"/>
              <w:rPr>
                <w:sz w:val="20"/>
                <w:szCs w:val="20"/>
                <w:color w:val="auto"/>
              </w:rPr>
            </w:pPr>
            <w:r>
              <w:rPr>
                <w:rFonts w:ascii="Arial" w:cs="Arial" w:eastAsia="Arial" w:hAnsi="Arial"/>
                <w:sz w:val="16"/>
                <w:szCs w:val="16"/>
                <w:b w:val="1"/>
                <w:bCs w:val="1"/>
                <w:color w:val="002060"/>
                <w:w w:val="89"/>
              </w:rPr>
              <w:t>1</w:t>
            </w:r>
          </w:p>
        </w:tc>
        <w:tc>
          <w:tcPr>
            <w:tcW w:w="112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b w:val="1"/>
                <w:bCs w:val="1"/>
                <w:color w:val="0000EE"/>
                <w:w w:val="98"/>
              </w:rPr>
              <w:t>EMPLOYEES</w:t>
            </w:r>
          </w:p>
        </w:tc>
        <w:tc>
          <w:tcPr>
            <w:tcW w:w="3340" w:type="dxa"/>
            <w:vAlign w:val="bottom"/>
            <w:tcBorders>
              <w:top w:val="single" w:sz="8" w:color="0000EE"/>
            </w:tcBorders>
            <w:gridSpan w:val="12"/>
          </w:tcPr>
          <w:p>
            <w:pPr>
              <w:spacing w:after="0"/>
              <w:rPr>
                <w:sz w:val="15"/>
                <w:szCs w:val="15"/>
                <w:color w:val="auto"/>
              </w:rPr>
            </w:pPr>
          </w:p>
        </w:tc>
        <w:tc>
          <w:tcPr>
            <w:tcW w:w="880" w:type="dxa"/>
            <w:vAlign w:val="bottom"/>
          </w:tcPr>
          <w:p>
            <w:pPr>
              <w:jc w:val="right"/>
              <w:spacing w:after="0" w:line="182" w:lineRule="exact"/>
              <w:rPr>
                <w:sz w:val="20"/>
                <w:szCs w:val="20"/>
                <w:color w:val="auto"/>
              </w:rPr>
            </w:pPr>
            <w:r>
              <w:rPr>
                <w:rFonts w:ascii="Arial" w:cs="Arial" w:eastAsia="Arial" w:hAnsi="Arial"/>
                <w:sz w:val="18"/>
                <w:szCs w:val="18"/>
                <w:b w:val="1"/>
                <w:bCs w:val="1"/>
                <w:color w:val="0070C0"/>
              </w:rPr>
              <w:t>44</w:t>
            </w:r>
          </w:p>
        </w:tc>
        <w:tc>
          <w:tcPr>
            <w:tcW w:w="0" w:type="dxa"/>
            <w:vAlign w:val="bottom"/>
          </w:tcPr>
          <w:p>
            <w:pPr>
              <w:spacing w:after="0"/>
              <w:rPr>
                <w:sz w:val="1"/>
                <w:szCs w:val="1"/>
                <w:color w:val="auto"/>
              </w:rPr>
            </w:pPr>
          </w:p>
        </w:tc>
      </w:tr>
      <w:tr>
        <w:trPr>
          <w:trHeight w:val="250"/>
        </w:trPr>
        <w:tc>
          <w:tcPr>
            <w:tcW w:w="500" w:type="dxa"/>
            <w:vAlign w:val="bottom"/>
          </w:tcPr>
          <w:p>
            <w:pPr>
              <w:jc w:val="right"/>
              <w:ind w:right="318"/>
              <w:spacing w:after="0"/>
              <w:rPr>
                <w:sz w:val="20"/>
                <w:szCs w:val="20"/>
                <w:color w:val="auto"/>
              </w:rPr>
            </w:pPr>
            <w:r>
              <w:rPr>
                <w:rFonts w:ascii="Arial" w:cs="Arial" w:eastAsia="Arial" w:hAnsi="Arial"/>
                <w:sz w:val="16"/>
                <w:szCs w:val="16"/>
                <w:b w:val="1"/>
                <w:bCs w:val="1"/>
                <w:color w:val="002060"/>
                <w:w w:val="89"/>
              </w:rPr>
              <w:t>2</w:t>
            </w:r>
          </w:p>
        </w:tc>
        <w:tc>
          <w:tcPr>
            <w:tcW w:w="154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b w:val="1"/>
                <w:bCs w:val="1"/>
                <w:color w:val="0000EE"/>
              </w:rPr>
              <w:t>E</w:t>
            </w:r>
            <w:r>
              <w:rPr>
                <w:rFonts w:ascii="Arial" w:cs="Arial" w:eastAsia="Arial" w:hAnsi="Arial"/>
                <w:sz w:val="13"/>
                <w:szCs w:val="13"/>
                <w:b w:val="1"/>
                <w:bCs w:val="1"/>
                <w:color w:val="0000EE"/>
              </w:rPr>
              <w:t>XECUTIVE</w:t>
            </w:r>
            <w:r>
              <w:rPr>
                <w:rFonts w:ascii="Arial" w:cs="Arial" w:eastAsia="Arial" w:hAnsi="Arial"/>
                <w:sz w:val="16"/>
                <w:szCs w:val="16"/>
                <w:b w:val="1"/>
                <w:bCs w:val="1"/>
                <w:color w:val="0000EE"/>
              </w:rPr>
              <w:t xml:space="preserve"> O</w:t>
            </w:r>
            <w:r>
              <w:rPr>
                <w:rFonts w:ascii="Arial" w:cs="Arial" w:eastAsia="Arial" w:hAnsi="Arial"/>
                <w:sz w:val="13"/>
                <w:szCs w:val="13"/>
                <w:b w:val="1"/>
                <w:bCs w:val="1"/>
                <w:color w:val="0000EE"/>
              </w:rPr>
              <w:t>FFICERS</w:t>
            </w:r>
          </w:p>
        </w:tc>
        <w:tc>
          <w:tcPr>
            <w:tcW w:w="2920" w:type="dxa"/>
            <w:vAlign w:val="bottom"/>
            <w:gridSpan w:val="10"/>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002060"/>
              </w:rPr>
              <w:t>44</w:t>
            </w:r>
          </w:p>
        </w:tc>
        <w:tc>
          <w:tcPr>
            <w:tcW w:w="0" w:type="dxa"/>
            <w:vAlign w:val="bottom"/>
          </w:tcPr>
          <w:p>
            <w:pPr>
              <w:spacing w:after="0"/>
              <w:rPr>
                <w:sz w:val="1"/>
                <w:szCs w:val="1"/>
                <w:color w:val="auto"/>
              </w:rPr>
            </w:pPr>
          </w:p>
        </w:tc>
      </w:tr>
      <w:tr>
        <w:trPr>
          <w:trHeight w:val="250"/>
        </w:trPr>
        <w:tc>
          <w:tcPr>
            <w:tcW w:w="500" w:type="dxa"/>
            <w:vAlign w:val="bottom"/>
          </w:tcPr>
          <w:p>
            <w:pPr>
              <w:jc w:val="right"/>
              <w:ind w:right="318"/>
              <w:spacing w:after="0"/>
              <w:rPr>
                <w:sz w:val="20"/>
                <w:szCs w:val="20"/>
                <w:color w:val="auto"/>
              </w:rPr>
            </w:pPr>
            <w:r>
              <w:rPr>
                <w:rFonts w:ascii="Arial" w:cs="Arial" w:eastAsia="Arial" w:hAnsi="Arial"/>
                <w:sz w:val="16"/>
                <w:szCs w:val="16"/>
                <w:b w:val="1"/>
                <w:bCs w:val="1"/>
                <w:color w:val="002060"/>
                <w:w w:val="89"/>
              </w:rPr>
              <w:t>2</w:t>
            </w:r>
          </w:p>
        </w:tc>
        <w:tc>
          <w:tcPr>
            <w:tcW w:w="244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b w:val="1"/>
                <w:bCs w:val="1"/>
                <w:color w:val="0000EE"/>
              </w:rPr>
              <w:t>C</w:t>
            </w:r>
            <w:r>
              <w:rPr>
                <w:rFonts w:ascii="Arial" w:cs="Arial" w:eastAsia="Arial" w:hAnsi="Arial"/>
                <w:sz w:val="13"/>
                <w:szCs w:val="13"/>
                <w:b w:val="1"/>
                <w:bCs w:val="1"/>
                <w:color w:val="0000EE"/>
              </w:rPr>
              <w:t>ERTAIN</w:t>
            </w:r>
            <w:r>
              <w:rPr>
                <w:rFonts w:ascii="Arial" w:cs="Arial" w:eastAsia="Arial" w:hAnsi="Arial"/>
                <w:sz w:val="16"/>
                <w:szCs w:val="16"/>
                <w:b w:val="1"/>
                <w:bCs w:val="1"/>
                <w:color w:val="0000EE"/>
              </w:rPr>
              <w:t xml:space="preserve"> S</w:t>
            </w:r>
            <w:r>
              <w:rPr>
                <w:rFonts w:ascii="Arial" w:cs="Arial" w:eastAsia="Arial" w:hAnsi="Arial"/>
                <w:sz w:val="13"/>
                <w:szCs w:val="13"/>
                <w:b w:val="1"/>
                <w:bCs w:val="1"/>
                <w:color w:val="0000EE"/>
              </w:rPr>
              <w:t>IGNIFICANT</w:t>
            </w:r>
            <w:r>
              <w:rPr>
                <w:rFonts w:ascii="Arial" w:cs="Arial" w:eastAsia="Arial" w:hAnsi="Arial"/>
                <w:sz w:val="16"/>
                <w:szCs w:val="16"/>
                <w:b w:val="1"/>
                <w:bCs w:val="1"/>
                <w:color w:val="0000EE"/>
              </w:rPr>
              <w:t xml:space="preserve"> E</w:t>
            </w:r>
            <w:r>
              <w:rPr>
                <w:rFonts w:ascii="Arial" w:cs="Arial" w:eastAsia="Arial" w:hAnsi="Arial"/>
                <w:sz w:val="13"/>
                <w:szCs w:val="13"/>
                <w:b w:val="1"/>
                <w:bCs w:val="1"/>
                <w:color w:val="0000EE"/>
              </w:rPr>
              <w:t>MPLOYEES</w:t>
            </w:r>
          </w:p>
        </w:tc>
        <w:tc>
          <w:tcPr>
            <w:tcW w:w="2020" w:type="dxa"/>
            <w:vAlign w:val="bottom"/>
            <w:gridSpan w:val="6"/>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002060"/>
              </w:rPr>
              <w:t>45</w:t>
            </w:r>
          </w:p>
        </w:tc>
        <w:tc>
          <w:tcPr>
            <w:tcW w:w="0" w:type="dxa"/>
            <w:vAlign w:val="bottom"/>
          </w:tcPr>
          <w:p>
            <w:pPr>
              <w:spacing w:after="0"/>
              <w:rPr>
                <w:sz w:val="1"/>
                <w:szCs w:val="1"/>
                <w:color w:val="auto"/>
              </w:rPr>
            </w:pPr>
          </w:p>
        </w:tc>
      </w:tr>
      <w:tr>
        <w:trPr>
          <w:trHeight w:val="264"/>
        </w:trPr>
        <w:tc>
          <w:tcPr>
            <w:tcW w:w="500" w:type="dxa"/>
            <w:vAlign w:val="bottom"/>
          </w:tcPr>
          <w:p>
            <w:pPr>
              <w:jc w:val="right"/>
              <w:ind w:right="318"/>
              <w:spacing w:after="0"/>
              <w:rPr>
                <w:sz w:val="20"/>
                <w:szCs w:val="20"/>
                <w:color w:val="auto"/>
              </w:rPr>
            </w:pPr>
            <w:r>
              <w:rPr>
                <w:rFonts w:ascii="Arial" w:cs="Arial" w:eastAsia="Arial" w:hAnsi="Arial"/>
                <w:sz w:val="16"/>
                <w:szCs w:val="16"/>
                <w:b w:val="1"/>
                <w:bCs w:val="1"/>
                <w:color w:val="002060"/>
                <w:w w:val="89"/>
              </w:rPr>
              <w:t>2</w:t>
            </w:r>
          </w:p>
        </w:tc>
        <w:tc>
          <w:tcPr>
            <w:tcW w:w="4460" w:type="dxa"/>
            <w:vAlign w:val="bottom"/>
            <w:gridSpan w:val="13"/>
          </w:tcPr>
          <w:p>
            <w:pPr>
              <w:spacing w:after="0"/>
              <w:rPr>
                <w:sz w:val="20"/>
                <w:szCs w:val="20"/>
                <w:color w:val="auto"/>
              </w:rPr>
            </w:pPr>
            <w:r>
              <w:rPr>
                <w:rFonts w:ascii="Arial" w:cs="Arial" w:eastAsia="Arial" w:hAnsi="Arial"/>
                <w:sz w:val="18"/>
                <w:szCs w:val="18"/>
                <w:b w:val="1"/>
                <w:bCs w:val="1"/>
                <w:color w:val="0000EE"/>
              </w:rPr>
              <w:t>COMPENSATION DISCUSSION AND ANALYSIS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0070C0"/>
              </w:rPr>
              <w:t>47</w:t>
            </w:r>
          </w:p>
        </w:tc>
        <w:tc>
          <w:tcPr>
            <w:tcW w:w="0" w:type="dxa"/>
            <w:vAlign w:val="bottom"/>
          </w:tcPr>
          <w:p>
            <w:pPr>
              <w:spacing w:after="0"/>
              <w:rPr>
                <w:sz w:val="1"/>
                <w:szCs w:val="1"/>
                <w:color w:val="auto"/>
              </w:rPr>
            </w:pPr>
          </w:p>
        </w:tc>
      </w:tr>
      <w:tr>
        <w:trPr>
          <w:trHeight w:val="250"/>
        </w:trPr>
        <w:tc>
          <w:tcPr>
            <w:tcW w:w="500" w:type="dxa"/>
            <w:vAlign w:val="bottom"/>
          </w:tcPr>
          <w:p>
            <w:pPr>
              <w:jc w:val="right"/>
              <w:ind w:right="318"/>
              <w:spacing w:after="0"/>
              <w:rPr>
                <w:sz w:val="20"/>
                <w:szCs w:val="20"/>
                <w:color w:val="auto"/>
              </w:rPr>
            </w:pPr>
            <w:r>
              <w:rPr>
                <w:rFonts w:ascii="Arial" w:cs="Arial" w:eastAsia="Arial" w:hAnsi="Arial"/>
                <w:sz w:val="16"/>
                <w:szCs w:val="16"/>
                <w:b w:val="1"/>
                <w:bCs w:val="1"/>
                <w:color w:val="002060"/>
                <w:w w:val="89"/>
              </w:rPr>
              <w:t>3</w:t>
            </w:r>
          </w:p>
        </w:tc>
        <w:tc>
          <w:tcPr>
            <w:tcW w:w="186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6"/>
                <w:szCs w:val="16"/>
                <w:b w:val="1"/>
                <w:bCs w:val="1"/>
                <w:color w:val="0000EE"/>
              </w:rPr>
              <w:t>CHC C</w:t>
            </w:r>
            <w:r>
              <w:rPr>
                <w:rFonts w:ascii="Arial" w:cs="Arial" w:eastAsia="Arial" w:hAnsi="Arial"/>
                <w:sz w:val="13"/>
                <w:szCs w:val="13"/>
                <w:b w:val="1"/>
                <w:bCs w:val="1"/>
                <w:color w:val="0000EE"/>
              </w:rPr>
              <w:t>OMMITTEE</w:t>
            </w:r>
            <w:r>
              <w:rPr>
                <w:rFonts w:ascii="Arial" w:cs="Arial" w:eastAsia="Arial" w:hAnsi="Arial"/>
                <w:sz w:val="16"/>
                <w:szCs w:val="16"/>
                <w:b w:val="1"/>
                <w:bCs w:val="1"/>
                <w:color w:val="0000EE"/>
              </w:rPr>
              <w:t xml:space="preserve"> R</w:t>
            </w:r>
            <w:r>
              <w:rPr>
                <w:rFonts w:ascii="Arial" w:cs="Arial" w:eastAsia="Arial" w:hAnsi="Arial"/>
                <w:sz w:val="13"/>
                <w:szCs w:val="13"/>
                <w:b w:val="1"/>
                <w:bCs w:val="1"/>
                <w:color w:val="0000EE"/>
              </w:rPr>
              <w:t>EPORT</w:t>
            </w:r>
          </w:p>
        </w:tc>
        <w:tc>
          <w:tcPr>
            <w:tcW w:w="2140" w:type="dxa"/>
            <w:vAlign w:val="bottom"/>
            <w:tcBorders>
              <w:top w:val="single" w:sz="8" w:color="0000EE"/>
            </w:tcBorders>
            <w:gridSpan w:val="8"/>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002060"/>
              </w:rPr>
              <w:t>47</w:t>
            </w:r>
          </w:p>
        </w:tc>
        <w:tc>
          <w:tcPr>
            <w:tcW w:w="0" w:type="dxa"/>
            <w:vAlign w:val="bottom"/>
          </w:tcPr>
          <w:p>
            <w:pPr>
              <w:spacing w:after="0"/>
              <w:rPr>
                <w:sz w:val="1"/>
                <w:szCs w:val="1"/>
                <w:color w:val="auto"/>
              </w:rPr>
            </w:pPr>
          </w:p>
        </w:tc>
      </w:tr>
      <w:tr>
        <w:trPr>
          <w:trHeight w:val="250"/>
        </w:trPr>
        <w:tc>
          <w:tcPr>
            <w:tcW w:w="500" w:type="dxa"/>
            <w:vAlign w:val="bottom"/>
          </w:tcPr>
          <w:p>
            <w:pPr>
              <w:jc w:val="right"/>
              <w:ind w:right="318"/>
              <w:spacing w:after="0"/>
              <w:rPr>
                <w:sz w:val="20"/>
                <w:szCs w:val="20"/>
                <w:color w:val="auto"/>
              </w:rPr>
            </w:pPr>
            <w:r>
              <w:rPr>
                <w:rFonts w:ascii="Arial" w:cs="Arial" w:eastAsia="Arial" w:hAnsi="Arial"/>
                <w:sz w:val="16"/>
                <w:szCs w:val="16"/>
                <w:b w:val="1"/>
                <w:bCs w:val="1"/>
                <w:color w:val="002060"/>
                <w:w w:val="89"/>
              </w:rPr>
              <w:t>3</w:t>
            </w:r>
          </w:p>
        </w:tc>
        <w:tc>
          <w:tcPr>
            <w:tcW w:w="202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b w:val="1"/>
                <w:bCs w:val="1"/>
                <w:color w:val="0000EE"/>
              </w:rPr>
              <w:t>CD&amp;A T</w:t>
            </w:r>
            <w:r>
              <w:rPr>
                <w:rFonts w:ascii="Arial" w:cs="Arial" w:eastAsia="Arial" w:hAnsi="Arial"/>
                <w:sz w:val="13"/>
                <w:szCs w:val="13"/>
                <w:b w:val="1"/>
                <w:bCs w:val="1"/>
                <w:color w:val="0000EE"/>
              </w:rPr>
              <w:t>ABLE OF</w:t>
            </w:r>
            <w:r>
              <w:rPr>
                <w:rFonts w:ascii="Arial" w:cs="Arial" w:eastAsia="Arial" w:hAnsi="Arial"/>
                <w:sz w:val="16"/>
                <w:szCs w:val="16"/>
                <w:b w:val="1"/>
                <w:bCs w:val="1"/>
                <w:color w:val="0000EE"/>
              </w:rPr>
              <w:t xml:space="preserve"> C</w:t>
            </w:r>
            <w:r>
              <w:rPr>
                <w:rFonts w:ascii="Arial" w:cs="Arial" w:eastAsia="Arial" w:hAnsi="Arial"/>
                <w:sz w:val="13"/>
                <w:szCs w:val="13"/>
                <w:b w:val="1"/>
                <w:bCs w:val="1"/>
                <w:color w:val="0000EE"/>
              </w:rPr>
              <w:t>ONTENTS</w:t>
            </w:r>
          </w:p>
        </w:tc>
        <w:tc>
          <w:tcPr>
            <w:tcW w:w="2440" w:type="dxa"/>
            <w:vAlign w:val="bottom"/>
            <w:gridSpan w:val="8"/>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002060"/>
              </w:rPr>
              <w:t>47</w:t>
            </w:r>
          </w:p>
        </w:tc>
        <w:tc>
          <w:tcPr>
            <w:tcW w:w="0" w:type="dxa"/>
            <w:vAlign w:val="bottom"/>
          </w:tcPr>
          <w:p>
            <w:pPr>
              <w:spacing w:after="0"/>
              <w:rPr>
                <w:sz w:val="1"/>
                <w:szCs w:val="1"/>
                <w:color w:val="auto"/>
              </w:rPr>
            </w:pPr>
          </w:p>
        </w:tc>
      </w:tr>
      <w:tr>
        <w:trPr>
          <w:trHeight w:val="263"/>
        </w:trPr>
        <w:tc>
          <w:tcPr>
            <w:tcW w:w="500" w:type="dxa"/>
            <w:vAlign w:val="bottom"/>
          </w:tcPr>
          <w:p>
            <w:pPr>
              <w:jc w:val="right"/>
              <w:ind w:right="318"/>
              <w:spacing w:after="0"/>
              <w:rPr>
                <w:sz w:val="20"/>
                <w:szCs w:val="20"/>
                <w:color w:val="auto"/>
              </w:rPr>
            </w:pPr>
            <w:r>
              <w:rPr>
                <w:rFonts w:ascii="Arial" w:cs="Arial" w:eastAsia="Arial" w:hAnsi="Arial"/>
                <w:sz w:val="16"/>
                <w:szCs w:val="16"/>
                <w:b w:val="1"/>
                <w:bCs w:val="1"/>
                <w:color w:val="002060"/>
                <w:w w:val="89"/>
              </w:rPr>
              <w:t>4</w:t>
            </w:r>
          </w:p>
        </w:tc>
        <w:tc>
          <w:tcPr>
            <w:tcW w:w="4460" w:type="dxa"/>
            <w:vAlign w:val="bottom"/>
            <w:gridSpan w:val="13"/>
          </w:tcPr>
          <w:p>
            <w:pPr>
              <w:spacing w:after="0"/>
              <w:rPr>
                <w:sz w:val="20"/>
                <w:szCs w:val="20"/>
                <w:color w:val="auto"/>
              </w:rPr>
            </w:pPr>
            <w:r>
              <w:rPr>
                <w:rFonts w:ascii="Arial" w:cs="Arial" w:eastAsia="Arial" w:hAnsi="Arial"/>
                <w:sz w:val="18"/>
                <w:szCs w:val="18"/>
                <w:b w:val="1"/>
                <w:bCs w:val="1"/>
                <w:color w:val="0000EE"/>
              </w:rPr>
              <w:t>EXECUTIVE COMPENSATION</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0070C0"/>
              </w:rPr>
              <w:t>63</w:t>
            </w:r>
          </w:p>
        </w:tc>
        <w:tc>
          <w:tcPr>
            <w:tcW w:w="0" w:type="dxa"/>
            <w:vAlign w:val="bottom"/>
          </w:tcPr>
          <w:p>
            <w:pPr>
              <w:spacing w:after="0"/>
              <w:rPr>
                <w:sz w:val="1"/>
                <w:szCs w:val="1"/>
                <w:color w:val="auto"/>
              </w:rPr>
            </w:pPr>
          </w:p>
        </w:tc>
      </w:tr>
      <w:tr>
        <w:trPr>
          <w:trHeight w:val="229"/>
        </w:trPr>
        <w:tc>
          <w:tcPr>
            <w:tcW w:w="500" w:type="dxa"/>
            <w:vAlign w:val="bottom"/>
          </w:tcPr>
          <w:p>
            <w:pPr>
              <w:jc w:val="right"/>
              <w:ind w:right="318"/>
              <w:spacing w:after="0"/>
              <w:rPr>
                <w:sz w:val="20"/>
                <w:szCs w:val="20"/>
                <w:color w:val="auto"/>
              </w:rPr>
            </w:pPr>
            <w:r>
              <w:rPr>
                <w:rFonts w:ascii="Arial" w:cs="Arial" w:eastAsia="Arial" w:hAnsi="Arial"/>
                <w:sz w:val="16"/>
                <w:szCs w:val="16"/>
                <w:b w:val="1"/>
                <w:bCs w:val="1"/>
                <w:color w:val="002060"/>
                <w:w w:val="89"/>
              </w:rPr>
              <w:t>5</w:t>
            </w:r>
          </w:p>
        </w:tc>
        <w:tc>
          <w:tcPr>
            <w:tcW w:w="2380" w:type="dxa"/>
            <w:vAlign w:val="bottom"/>
            <w:tcBorders>
              <w:top w:val="single" w:sz="8" w:color="0000EE"/>
            </w:tcBorders>
            <w:gridSpan w:val="6"/>
            <w:vMerge w:val="restart"/>
          </w:tcPr>
          <w:p>
            <w:pPr>
              <w:spacing w:after="0"/>
              <w:rPr>
                <w:sz w:val="20"/>
                <w:szCs w:val="20"/>
                <w:color w:val="auto"/>
              </w:rPr>
            </w:pPr>
            <w:r>
              <w:rPr>
                <w:rFonts w:ascii="Arial" w:cs="Arial" w:eastAsia="Arial" w:hAnsi="Arial"/>
                <w:sz w:val="16"/>
                <w:szCs w:val="16"/>
                <w:b w:val="1"/>
                <w:bCs w:val="1"/>
                <w:color w:val="0000EE"/>
              </w:rPr>
              <w:t>S</w:t>
            </w:r>
            <w:r>
              <w:rPr>
                <w:rFonts w:ascii="Arial" w:cs="Arial" w:eastAsia="Arial" w:hAnsi="Arial"/>
                <w:sz w:val="13"/>
                <w:szCs w:val="13"/>
                <w:b w:val="1"/>
                <w:bCs w:val="1"/>
                <w:color w:val="0000EE"/>
              </w:rPr>
              <w:t>UMMARY</w:t>
            </w:r>
            <w:r>
              <w:rPr>
                <w:rFonts w:ascii="Arial" w:cs="Arial" w:eastAsia="Arial" w:hAnsi="Arial"/>
                <w:sz w:val="16"/>
                <w:szCs w:val="16"/>
                <w:b w:val="1"/>
                <w:bCs w:val="1"/>
                <w:color w:val="0000EE"/>
              </w:rPr>
              <w:t xml:space="preserve"> C</w:t>
            </w:r>
            <w:r>
              <w:rPr>
                <w:rFonts w:ascii="Arial" w:cs="Arial" w:eastAsia="Arial" w:hAnsi="Arial"/>
                <w:sz w:val="13"/>
                <w:szCs w:val="13"/>
                <w:b w:val="1"/>
                <w:bCs w:val="1"/>
                <w:color w:val="0000EE"/>
              </w:rPr>
              <w:t>OMPENSATION</w:t>
            </w:r>
            <w:r>
              <w:rPr>
                <w:rFonts w:ascii="Arial" w:cs="Arial" w:eastAsia="Arial" w:hAnsi="Arial"/>
                <w:sz w:val="16"/>
                <w:szCs w:val="16"/>
                <w:b w:val="1"/>
                <w:bCs w:val="1"/>
                <w:color w:val="0000EE"/>
              </w:rPr>
              <w:t xml:space="preserve"> T</w:t>
            </w:r>
            <w:r>
              <w:rPr>
                <w:rFonts w:ascii="Arial" w:cs="Arial" w:eastAsia="Arial" w:hAnsi="Arial"/>
                <w:sz w:val="13"/>
                <w:szCs w:val="13"/>
                <w:b w:val="1"/>
                <w:bCs w:val="1"/>
                <w:color w:val="0000EE"/>
              </w:rPr>
              <w:t>ABLE</w:t>
            </w:r>
          </w:p>
        </w:tc>
        <w:tc>
          <w:tcPr>
            <w:tcW w:w="140" w:type="dxa"/>
            <w:vAlign w:val="bottom"/>
            <w:tcBorders>
              <w:top w:val="single" w:sz="8" w:color="0000EE"/>
            </w:tcBorders>
            <w:gridSpan w:val="2"/>
            <w:vMerge w:val="restart"/>
          </w:tcPr>
          <w:p>
            <w:pPr>
              <w:spacing w:after="0"/>
              <w:rPr>
                <w:sz w:val="19"/>
                <w:szCs w:val="19"/>
                <w:color w:val="auto"/>
              </w:rPr>
            </w:pPr>
          </w:p>
        </w:tc>
        <w:tc>
          <w:tcPr>
            <w:tcW w:w="1940" w:type="dxa"/>
            <w:vAlign w:val="bottom"/>
            <w:gridSpan w:val="5"/>
            <w:vMerge w:val="restart"/>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002060"/>
              </w:rPr>
              <w:t>63</w:t>
            </w:r>
          </w:p>
        </w:tc>
        <w:tc>
          <w:tcPr>
            <w:tcW w:w="0" w:type="dxa"/>
            <w:vAlign w:val="bottom"/>
          </w:tcPr>
          <w:p>
            <w:pPr>
              <w:spacing w:after="0"/>
              <w:rPr>
                <w:sz w:val="1"/>
                <w:szCs w:val="1"/>
                <w:color w:val="auto"/>
              </w:rPr>
            </w:pPr>
          </w:p>
        </w:tc>
      </w:tr>
      <w:tr>
        <w:trPr>
          <w:trHeight w:val="26"/>
        </w:trPr>
        <w:tc>
          <w:tcPr>
            <w:tcW w:w="500" w:type="dxa"/>
            <w:vAlign w:val="bottom"/>
            <w:vMerge w:val="restart"/>
          </w:tcPr>
          <w:p>
            <w:pPr>
              <w:jc w:val="right"/>
              <w:ind w:right="318"/>
              <w:spacing w:after="0"/>
              <w:rPr>
                <w:sz w:val="20"/>
                <w:szCs w:val="20"/>
                <w:color w:val="auto"/>
              </w:rPr>
            </w:pPr>
            <w:r>
              <w:rPr>
                <w:rFonts w:ascii="Arial" w:cs="Arial" w:eastAsia="Arial" w:hAnsi="Arial"/>
                <w:sz w:val="16"/>
                <w:szCs w:val="16"/>
                <w:b w:val="1"/>
                <w:bCs w:val="1"/>
                <w:color w:val="002060"/>
                <w:w w:val="89"/>
              </w:rPr>
              <w:t>5</w:t>
            </w:r>
          </w:p>
        </w:tc>
        <w:tc>
          <w:tcPr>
            <w:tcW w:w="2380" w:type="dxa"/>
            <w:vAlign w:val="bottom"/>
            <w:tcBorders>
              <w:bottom w:val="single" w:sz="8" w:color="0000EE"/>
            </w:tcBorders>
            <w:gridSpan w:val="6"/>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1940" w:type="dxa"/>
            <w:vAlign w:val="bottom"/>
            <w:gridSpan w:val="5"/>
            <w:vMerge w:val="continue"/>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500" w:type="dxa"/>
            <w:vAlign w:val="bottom"/>
            <w:vMerge w:val="continue"/>
          </w:tcPr>
          <w:p>
            <w:pPr>
              <w:spacing w:after="0"/>
              <w:rPr>
                <w:sz w:val="19"/>
                <w:szCs w:val="19"/>
                <w:color w:val="auto"/>
              </w:rPr>
            </w:pPr>
          </w:p>
        </w:tc>
        <w:tc>
          <w:tcPr>
            <w:tcW w:w="3200" w:type="dxa"/>
            <w:vAlign w:val="bottom"/>
            <w:gridSpan w:val="11"/>
            <w:vMerge w:val="restart"/>
          </w:tcPr>
          <w:p>
            <w:pPr>
              <w:spacing w:after="0"/>
              <w:rPr>
                <w:sz w:val="20"/>
                <w:szCs w:val="20"/>
                <w:color w:val="auto"/>
              </w:rPr>
            </w:pPr>
            <w:r>
              <w:rPr>
                <w:rFonts w:ascii="Arial" w:cs="Arial" w:eastAsia="Arial" w:hAnsi="Arial"/>
                <w:sz w:val="16"/>
                <w:szCs w:val="16"/>
                <w:b w:val="1"/>
                <w:bCs w:val="1"/>
                <w:color w:val="0000EE"/>
              </w:rPr>
              <w:t>G</w:t>
            </w:r>
            <w:r>
              <w:rPr>
                <w:rFonts w:ascii="Arial" w:cs="Arial" w:eastAsia="Arial" w:hAnsi="Arial"/>
                <w:sz w:val="13"/>
                <w:szCs w:val="13"/>
                <w:b w:val="1"/>
                <w:bCs w:val="1"/>
                <w:color w:val="0000EE"/>
              </w:rPr>
              <w:t>RANTS OF</w:t>
            </w:r>
            <w:r>
              <w:rPr>
                <w:rFonts w:ascii="Arial" w:cs="Arial" w:eastAsia="Arial" w:hAnsi="Arial"/>
                <w:sz w:val="16"/>
                <w:szCs w:val="16"/>
                <w:b w:val="1"/>
                <w:bCs w:val="1"/>
                <w:color w:val="0000EE"/>
              </w:rPr>
              <w:t xml:space="preserve"> P</w:t>
            </w:r>
            <w:r>
              <w:rPr>
                <w:rFonts w:ascii="Arial" w:cs="Arial" w:eastAsia="Arial" w:hAnsi="Arial"/>
                <w:sz w:val="13"/>
                <w:szCs w:val="13"/>
                <w:b w:val="1"/>
                <w:bCs w:val="1"/>
                <w:color w:val="0000EE"/>
              </w:rPr>
              <w:t>LAN</w:t>
            </w:r>
            <w:r>
              <w:rPr>
                <w:rFonts w:ascii="Arial" w:cs="Arial" w:eastAsia="Arial" w:hAnsi="Arial"/>
                <w:sz w:val="16"/>
                <w:szCs w:val="16"/>
                <w:b w:val="1"/>
                <w:bCs w:val="1"/>
                <w:color w:val="0000EE"/>
              </w:rPr>
              <w:t>-B</w:t>
            </w:r>
            <w:r>
              <w:rPr>
                <w:rFonts w:ascii="Arial" w:cs="Arial" w:eastAsia="Arial" w:hAnsi="Arial"/>
                <w:sz w:val="13"/>
                <w:szCs w:val="13"/>
                <w:b w:val="1"/>
                <w:bCs w:val="1"/>
                <w:color w:val="0000EE"/>
              </w:rPr>
              <w:t>ASED</w:t>
            </w:r>
            <w:r>
              <w:rPr>
                <w:rFonts w:ascii="Arial" w:cs="Arial" w:eastAsia="Arial" w:hAnsi="Arial"/>
                <w:sz w:val="16"/>
                <w:szCs w:val="16"/>
                <w:b w:val="1"/>
                <w:bCs w:val="1"/>
                <w:color w:val="0000EE"/>
              </w:rPr>
              <w:t xml:space="preserve"> A</w:t>
            </w:r>
            <w:r>
              <w:rPr>
                <w:rFonts w:ascii="Arial" w:cs="Arial" w:eastAsia="Arial" w:hAnsi="Arial"/>
                <w:sz w:val="13"/>
                <w:szCs w:val="13"/>
                <w:b w:val="1"/>
                <w:bCs w:val="1"/>
                <w:color w:val="0000EE"/>
              </w:rPr>
              <w:t>WARDS FOR</w:t>
            </w:r>
            <w:r>
              <w:rPr>
                <w:rFonts w:ascii="Arial" w:cs="Arial" w:eastAsia="Arial" w:hAnsi="Arial"/>
                <w:sz w:val="16"/>
                <w:szCs w:val="16"/>
                <w:b w:val="1"/>
                <w:bCs w:val="1"/>
                <w:color w:val="0000EE"/>
              </w:rPr>
              <w:t xml:space="preserve"> 2023</w:t>
            </w:r>
          </w:p>
        </w:tc>
        <w:tc>
          <w:tcPr>
            <w:tcW w:w="1260" w:type="dxa"/>
            <w:vAlign w:val="bottom"/>
            <w:gridSpan w:val="2"/>
            <w:vMerge w:val="restart"/>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002060"/>
              </w:rPr>
              <w:t>64</w:t>
            </w:r>
          </w:p>
        </w:tc>
        <w:tc>
          <w:tcPr>
            <w:tcW w:w="0" w:type="dxa"/>
            <w:vAlign w:val="bottom"/>
          </w:tcPr>
          <w:p>
            <w:pPr>
              <w:spacing w:after="0"/>
              <w:rPr>
                <w:sz w:val="1"/>
                <w:szCs w:val="1"/>
                <w:color w:val="auto"/>
              </w:rPr>
            </w:pPr>
          </w:p>
        </w:tc>
      </w:tr>
      <w:tr>
        <w:trPr>
          <w:trHeight w:val="26"/>
        </w:trPr>
        <w:tc>
          <w:tcPr>
            <w:tcW w:w="500" w:type="dxa"/>
            <w:vAlign w:val="bottom"/>
            <w:vMerge w:val="restart"/>
          </w:tcPr>
          <w:p>
            <w:pPr>
              <w:jc w:val="right"/>
              <w:ind w:right="318"/>
              <w:spacing w:after="0"/>
              <w:rPr>
                <w:sz w:val="20"/>
                <w:szCs w:val="20"/>
                <w:color w:val="auto"/>
              </w:rPr>
            </w:pPr>
            <w:r>
              <w:rPr>
                <w:rFonts w:ascii="Arial" w:cs="Arial" w:eastAsia="Arial" w:hAnsi="Arial"/>
                <w:sz w:val="18"/>
                <w:szCs w:val="18"/>
                <w:b w:val="1"/>
                <w:bCs w:val="1"/>
                <w:color w:val="0070C0"/>
                <w:w w:val="79"/>
              </w:rPr>
              <w:t>6</w:t>
            </w:r>
          </w:p>
        </w:tc>
        <w:tc>
          <w:tcPr>
            <w:tcW w:w="3200" w:type="dxa"/>
            <w:vAlign w:val="bottom"/>
            <w:tcBorders>
              <w:bottom w:val="single" w:sz="8" w:color="0000EE"/>
            </w:tcBorders>
            <w:gridSpan w:val="11"/>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00" w:type="dxa"/>
            <w:vAlign w:val="bottom"/>
            <w:vMerge w:val="continue"/>
          </w:tcPr>
          <w:p>
            <w:pPr>
              <w:spacing w:after="0"/>
              <w:rPr>
                <w:sz w:val="21"/>
                <w:szCs w:val="21"/>
                <w:color w:val="auto"/>
              </w:rPr>
            </w:pPr>
          </w:p>
        </w:tc>
        <w:tc>
          <w:tcPr>
            <w:tcW w:w="4460" w:type="dxa"/>
            <w:vAlign w:val="bottom"/>
            <w:gridSpan w:val="13"/>
          </w:tcPr>
          <w:p>
            <w:pPr>
              <w:spacing w:after="0"/>
              <w:rPr>
                <w:sz w:val="20"/>
                <w:szCs w:val="20"/>
                <w:color w:val="auto"/>
              </w:rPr>
            </w:pPr>
            <w:r>
              <w:rPr>
                <w:rFonts w:ascii="Arial" w:cs="Arial" w:eastAsia="Arial" w:hAnsi="Arial"/>
                <w:sz w:val="16"/>
                <w:szCs w:val="16"/>
                <w:b w:val="1"/>
                <w:bCs w:val="1"/>
                <w:color w:val="0000EE"/>
              </w:rPr>
              <w:t>O</w:t>
            </w:r>
            <w:r>
              <w:rPr>
                <w:rFonts w:ascii="Arial" w:cs="Arial" w:eastAsia="Arial" w:hAnsi="Arial"/>
                <w:sz w:val="13"/>
                <w:szCs w:val="13"/>
                <w:b w:val="1"/>
                <w:bCs w:val="1"/>
                <w:color w:val="0000EE"/>
              </w:rPr>
              <w:t>UTSTANDING</w:t>
            </w:r>
            <w:r>
              <w:rPr>
                <w:rFonts w:ascii="Arial" w:cs="Arial" w:eastAsia="Arial" w:hAnsi="Arial"/>
                <w:sz w:val="16"/>
                <w:szCs w:val="16"/>
                <w:b w:val="1"/>
                <w:bCs w:val="1"/>
                <w:color w:val="0000EE"/>
              </w:rPr>
              <w:t xml:space="preserve"> E</w:t>
            </w:r>
            <w:r>
              <w:rPr>
                <w:rFonts w:ascii="Arial" w:cs="Arial" w:eastAsia="Arial" w:hAnsi="Arial"/>
                <w:sz w:val="13"/>
                <w:szCs w:val="13"/>
                <w:b w:val="1"/>
                <w:bCs w:val="1"/>
                <w:color w:val="0000EE"/>
              </w:rPr>
              <w:t>QUITY</w:t>
            </w:r>
            <w:r>
              <w:rPr>
                <w:rFonts w:ascii="Arial" w:cs="Arial" w:eastAsia="Arial" w:hAnsi="Arial"/>
                <w:sz w:val="16"/>
                <w:szCs w:val="16"/>
                <w:b w:val="1"/>
                <w:bCs w:val="1"/>
                <w:color w:val="0000EE"/>
              </w:rPr>
              <w:t xml:space="preserve"> A</w:t>
            </w:r>
            <w:r>
              <w:rPr>
                <w:rFonts w:ascii="Arial" w:cs="Arial" w:eastAsia="Arial" w:hAnsi="Arial"/>
                <w:sz w:val="13"/>
                <w:szCs w:val="13"/>
                <w:b w:val="1"/>
                <w:bCs w:val="1"/>
                <w:color w:val="0000EE"/>
              </w:rPr>
              <w:t>WARDS</w:t>
            </w:r>
            <w:r>
              <w:rPr>
                <w:rFonts w:ascii="Arial" w:cs="Arial" w:eastAsia="Arial" w:hAnsi="Arial"/>
                <w:sz w:val="16"/>
                <w:szCs w:val="16"/>
                <w:b w:val="1"/>
                <w:bCs w:val="1"/>
                <w:color w:val="0000EE"/>
              </w:rPr>
              <w:t xml:space="preserve"> T</w:t>
            </w:r>
            <w:r>
              <w:rPr>
                <w:rFonts w:ascii="Arial" w:cs="Arial" w:eastAsia="Arial" w:hAnsi="Arial"/>
                <w:sz w:val="13"/>
                <w:szCs w:val="13"/>
                <w:b w:val="1"/>
                <w:bCs w:val="1"/>
                <w:color w:val="0000EE"/>
              </w:rPr>
              <w:t>ABLE</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002060"/>
              </w:rPr>
              <w:t>65</w:t>
            </w:r>
          </w:p>
        </w:tc>
        <w:tc>
          <w:tcPr>
            <w:tcW w:w="0" w:type="dxa"/>
            <w:vAlign w:val="bottom"/>
          </w:tcPr>
          <w:p>
            <w:pPr>
              <w:spacing w:after="0"/>
              <w:rPr>
                <w:sz w:val="1"/>
                <w:szCs w:val="1"/>
                <w:color w:val="auto"/>
              </w:rPr>
            </w:pPr>
          </w:p>
        </w:tc>
      </w:tr>
      <w:tr>
        <w:trPr>
          <w:trHeight w:val="20"/>
        </w:trPr>
        <w:tc>
          <w:tcPr>
            <w:tcW w:w="500" w:type="dxa"/>
            <w:vAlign w:val="bottom"/>
            <w:vMerge w:val="restart"/>
          </w:tcPr>
          <w:p>
            <w:pPr>
              <w:jc w:val="right"/>
              <w:ind w:right="318"/>
              <w:spacing w:after="0"/>
              <w:rPr>
                <w:sz w:val="20"/>
                <w:szCs w:val="20"/>
                <w:color w:val="auto"/>
              </w:rPr>
            </w:pPr>
            <w:r>
              <w:rPr>
                <w:rFonts w:ascii="Arial" w:cs="Arial" w:eastAsia="Arial" w:hAnsi="Arial"/>
                <w:sz w:val="16"/>
                <w:szCs w:val="16"/>
                <w:b w:val="1"/>
                <w:bCs w:val="1"/>
                <w:color w:val="002060"/>
                <w:w w:val="89"/>
              </w:rPr>
              <w:t>6</w:t>
            </w:r>
          </w:p>
        </w:tc>
        <w:tc>
          <w:tcPr>
            <w:tcW w:w="1360" w:type="dxa"/>
            <w:vAlign w:val="bottom"/>
            <w:gridSpan w:val="2"/>
            <w:shd w:val="clear" w:color="auto" w:fill="0000EE"/>
          </w:tcPr>
          <w:p>
            <w:pPr>
              <w:spacing w:after="0" w:line="20" w:lineRule="exact"/>
              <w:rPr>
                <w:sz w:val="1"/>
                <w:szCs w:val="1"/>
                <w:color w:val="auto"/>
              </w:rPr>
            </w:pPr>
          </w:p>
        </w:tc>
        <w:tc>
          <w:tcPr>
            <w:tcW w:w="1380" w:type="dxa"/>
            <w:vAlign w:val="bottom"/>
            <w:gridSpan w:val="7"/>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vMerge w:val="continue"/>
          </w:tcPr>
          <w:p>
            <w:pPr>
              <w:spacing w:after="0"/>
              <w:rPr>
                <w:sz w:val="21"/>
                <w:szCs w:val="21"/>
                <w:color w:val="auto"/>
              </w:rPr>
            </w:pPr>
          </w:p>
        </w:tc>
        <w:tc>
          <w:tcPr>
            <w:tcW w:w="4460" w:type="dxa"/>
            <w:vAlign w:val="bottom"/>
            <w:gridSpan w:val="13"/>
          </w:tcPr>
          <w:p>
            <w:pPr>
              <w:spacing w:after="0"/>
              <w:rPr>
                <w:sz w:val="20"/>
                <w:szCs w:val="20"/>
                <w:color w:val="auto"/>
              </w:rPr>
            </w:pPr>
            <w:r>
              <w:rPr>
                <w:rFonts w:ascii="Arial" w:cs="Arial" w:eastAsia="Arial" w:hAnsi="Arial"/>
                <w:sz w:val="16"/>
                <w:szCs w:val="16"/>
                <w:b w:val="1"/>
                <w:bCs w:val="1"/>
                <w:color w:val="0000EE"/>
              </w:rPr>
              <w:t>S</w:t>
            </w:r>
            <w:r>
              <w:rPr>
                <w:rFonts w:ascii="Arial" w:cs="Arial" w:eastAsia="Arial" w:hAnsi="Arial"/>
                <w:sz w:val="13"/>
                <w:szCs w:val="13"/>
                <w:b w:val="1"/>
                <w:bCs w:val="1"/>
                <w:color w:val="0000EE"/>
              </w:rPr>
              <w:t>TOCK</w:t>
            </w:r>
            <w:r>
              <w:rPr>
                <w:rFonts w:ascii="Arial" w:cs="Arial" w:eastAsia="Arial" w:hAnsi="Arial"/>
                <w:sz w:val="16"/>
                <w:szCs w:val="16"/>
                <w:b w:val="1"/>
                <w:bCs w:val="1"/>
                <w:color w:val="0000EE"/>
              </w:rPr>
              <w:t xml:space="preserve"> V</w:t>
            </w:r>
            <w:r>
              <w:rPr>
                <w:rFonts w:ascii="Arial" w:cs="Arial" w:eastAsia="Arial" w:hAnsi="Arial"/>
                <w:sz w:val="13"/>
                <w:szCs w:val="13"/>
                <w:b w:val="1"/>
                <w:bCs w:val="1"/>
                <w:color w:val="0000EE"/>
              </w:rPr>
              <w:t>ESTED AS OF</w:t>
            </w:r>
            <w:r>
              <w:rPr>
                <w:rFonts w:ascii="Arial" w:cs="Arial" w:eastAsia="Arial" w:hAnsi="Arial"/>
                <w:sz w:val="16"/>
                <w:szCs w:val="16"/>
                <w:b w:val="1"/>
                <w:bCs w:val="1"/>
                <w:color w:val="0000EE"/>
              </w:rPr>
              <w:t xml:space="preserve"> D</w:t>
            </w:r>
            <w:r>
              <w:rPr>
                <w:rFonts w:ascii="Arial" w:cs="Arial" w:eastAsia="Arial" w:hAnsi="Arial"/>
                <w:sz w:val="13"/>
                <w:szCs w:val="13"/>
                <w:b w:val="1"/>
                <w:bCs w:val="1"/>
                <w:color w:val="0000EE"/>
              </w:rPr>
              <w:t>ECEMBER</w:t>
            </w:r>
            <w:r>
              <w:rPr>
                <w:rFonts w:ascii="Arial" w:cs="Arial" w:eastAsia="Arial" w:hAnsi="Arial"/>
                <w:sz w:val="16"/>
                <w:szCs w:val="16"/>
                <w:b w:val="1"/>
                <w:bCs w:val="1"/>
                <w:color w:val="0000EE"/>
              </w:rPr>
              <w:t xml:space="preserve"> 31, 2023</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002060"/>
              </w:rPr>
              <w:t>66</w:t>
            </w:r>
          </w:p>
        </w:tc>
        <w:tc>
          <w:tcPr>
            <w:tcW w:w="0" w:type="dxa"/>
            <w:vAlign w:val="bottom"/>
          </w:tcPr>
          <w:p>
            <w:pPr>
              <w:spacing w:after="0"/>
              <w:rPr>
                <w:sz w:val="1"/>
                <w:szCs w:val="1"/>
                <w:color w:val="auto"/>
              </w:rPr>
            </w:pPr>
          </w:p>
        </w:tc>
      </w:tr>
      <w:tr>
        <w:trPr>
          <w:trHeight w:val="250"/>
        </w:trPr>
        <w:tc>
          <w:tcPr>
            <w:tcW w:w="500" w:type="dxa"/>
            <w:vAlign w:val="bottom"/>
          </w:tcPr>
          <w:p>
            <w:pPr>
              <w:jc w:val="right"/>
              <w:ind w:right="318"/>
              <w:spacing w:after="0"/>
              <w:rPr>
                <w:sz w:val="20"/>
                <w:szCs w:val="20"/>
                <w:color w:val="auto"/>
              </w:rPr>
            </w:pPr>
            <w:r>
              <w:rPr>
                <w:rFonts w:ascii="Arial" w:cs="Arial" w:eastAsia="Arial" w:hAnsi="Arial"/>
                <w:sz w:val="16"/>
                <w:szCs w:val="16"/>
                <w:b w:val="1"/>
                <w:bCs w:val="1"/>
                <w:color w:val="002060"/>
                <w:w w:val="89"/>
              </w:rPr>
              <w:t>6</w:t>
            </w:r>
          </w:p>
        </w:tc>
        <w:tc>
          <w:tcPr>
            <w:tcW w:w="136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6"/>
                <w:szCs w:val="16"/>
                <w:b w:val="1"/>
                <w:bCs w:val="1"/>
                <w:color w:val="0000EE"/>
              </w:rPr>
              <w:t>P</w:t>
            </w:r>
            <w:r>
              <w:rPr>
                <w:rFonts w:ascii="Arial" w:cs="Arial" w:eastAsia="Arial" w:hAnsi="Arial"/>
                <w:sz w:val="13"/>
                <w:szCs w:val="13"/>
                <w:b w:val="1"/>
                <w:bCs w:val="1"/>
                <w:color w:val="0000EE"/>
              </w:rPr>
              <w:t>ENSION</w:t>
            </w:r>
            <w:r>
              <w:rPr>
                <w:rFonts w:ascii="Arial" w:cs="Arial" w:eastAsia="Arial" w:hAnsi="Arial"/>
                <w:sz w:val="16"/>
                <w:szCs w:val="16"/>
                <w:b w:val="1"/>
                <w:bCs w:val="1"/>
                <w:color w:val="0000EE"/>
              </w:rPr>
              <w:t xml:space="preserve"> B</w:t>
            </w:r>
            <w:r>
              <w:rPr>
                <w:rFonts w:ascii="Arial" w:cs="Arial" w:eastAsia="Arial" w:hAnsi="Arial"/>
                <w:sz w:val="13"/>
                <w:szCs w:val="13"/>
                <w:b w:val="1"/>
                <w:bCs w:val="1"/>
                <w:color w:val="0000EE"/>
              </w:rPr>
              <w:t>ENEFITS</w:t>
            </w:r>
          </w:p>
        </w:tc>
        <w:tc>
          <w:tcPr>
            <w:tcW w:w="1720" w:type="dxa"/>
            <w:vAlign w:val="bottom"/>
            <w:tcBorders>
              <w:top w:val="single" w:sz="8" w:color="0000EE"/>
            </w:tcBorders>
            <w:gridSpan w:val="8"/>
          </w:tcPr>
          <w:p>
            <w:pPr>
              <w:spacing w:after="0"/>
              <w:rPr>
                <w:sz w:val="21"/>
                <w:szCs w:val="21"/>
                <w:color w:val="auto"/>
              </w:rPr>
            </w:pPr>
          </w:p>
        </w:tc>
        <w:tc>
          <w:tcPr>
            <w:tcW w:w="1380" w:type="dxa"/>
            <w:vAlign w:val="bottom"/>
            <w:gridSpan w:val="3"/>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002060"/>
              </w:rPr>
              <w:t>66</w:t>
            </w:r>
          </w:p>
        </w:tc>
        <w:tc>
          <w:tcPr>
            <w:tcW w:w="0" w:type="dxa"/>
            <w:vAlign w:val="bottom"/>
          </w:tcPr>
          <w:p>
            <w:pPr>
              <w:spacing w:after="0"/>
              <w:rPr>
                <w:sz w:val="1"/>
                <w:szCs w:val="1"/>
                <w:color w:val="auto"/>
              </w:rPr>
            </w:pPr>
          </w:p>
        </w:tc>
      </w:tr>
      <w:tr>
        <w:trPr>
          <w:trHeight w:val="250"/>
        </w:trPr>
        <w:tc>
          <w:tcPr>
            <w:tcW w:w="500" w:type="dxa"/>
            <w:vAlign w:val="bottom"/>
          </w:tcPr>
          <w:p>
            <w:pPr>
              <w:jc w:val="right"/>
              <w:ind w:right="318"/>
              <w:spacing w:after="0"/>
              <w:rPr>
                <w:sz w:val="20"/>
                <w:szCs w:val="20"/>
                <w:color w:val="auto"/>
              </w:rPr>
            </w:pPr>
            <w:r>
              <w:rPr>
                <w:rFonts w:ascii="Arial" w:cs="Arial" w:eastAsia="Arial" w:hAnsi="Arial"/>
                <w:sz w:val="16"/>
                <w:szCs w:val="16"/>
                <w:b w:val="1"/>
                <w:bCs w:val="1"/>
                <w:color w:val="002060"/>
                <w:w w:val="89"/>
              </w:rPr>
              <w:t>8</w:t>
            </w:r>
          </w:p>
        </w:tc>
        <w:tc>
          <w:tcPr>
            <w:tcW w:w="4460" w:type="dxa"/>
            <w:vAlign w:val="bottom"/>
            <w:gridSpan w:val="13"/>
          </w:tcPr>
          <w:p>
            <w:pPr>
              <w:spacing w:after="0"/>
              <w:rPr>
                <w:sz w:val="20"/>
                <w:szCs w:val="20"/>
                <w:color w:val="auto"/>
              </w:rPr>
            </w:pPr>
            <w:r>
              <w:rPr>
                <w:rFonts w:ascii="Arial" w:cs="Arial" w:eastAsia="Arial" w:hAnsi="Arial"/>
                <w:sz w:val="16"/>
                <w:szCs w:val="16"/>
                <w:b w:val="1"/>
                <w:bCs w:val="1"/>
                <w:color w:val="0000EE"/>
              </w:rPr>
              <w:t>N</w:t>
            </w:r>
            <w:r>
              <w:rPr>
                <w:rFonts w:ascii="Arial" w:cs="Arial" w:eastAsia="Arial" w:hAnsi="Arial"/>
                <w:sz w:val="13"/>
                <w:szCs w:val="13"/>
                <w:b w:val="1"/>
                <w:bCs w:val="1"/>
                <w:color w:val="0000EE"/>
              </w:rPr>
              <w:t>ON</w:t>
            </w:r>
            <w:r>
              <w:rPr>
                <w:rFonts w:ascii="Arial" w:cs="Arial" w:eastAsia="Arial" w:hAnsi="Arial"/>
                <w:sz w:val="16"/>
                <w:szCs w:val="16"/>
                <w:b w:val="1"/>
                <w:bCs w:val="1"/>
                <w:color w:val="0000EE"/>
              </w:rPr>
              <w:t>-Q</w:t>
            </w:r>
            <w:r>
              <w:rPr>
                <w:rFonts w:ascii="Arial" w:cs="Arial" w:eastAsia="Arial" w:hAnsi="Arial"/>
                <w:sz w:val="13"/>
                <w:szCs w:val="13"/>
                <w:b w:val="1"/>
                <w:bCs w:val="1"/>
                <w:color w:val="0000EE"/>
              </w:rPr>
              <w:t>UALIFIED</w:t>
            </w:r>
            <w:r>
              <w:rPr>
                <w:rFonts w:ascii="Arial" w:cs="Arial" w:eastAsia="Arial" w:hAnsi="Arial"/>
                <w:sz w:val="16"/>
                <w:szCs w:val="16"/>
                <w:b w:val="1"/>
                <w:bCs w:val="1"/>
                <w:color w:val="0000EE"/>
              </w:rPr>
              <w:t xml:space="preserve"> D</w:t>
            </w:r>
            <w:r>
              <w:rPr>
                <w:rFonts w:ascii="Arial" w:cs="Arial" w:eastAsia="Arial" w:hAnsi="Arial"/>
                <w:sz w:val="13"/>
                <w:szCs w:val="13"/>
                <w:b w:val="1"/>
                <w:bCs w:val="1"/>
                <w:color w:val="0000EE"/>
              </w:rPr>
              <w:t>EFERRED</w:t>
            </w:r>
            <w:r>
              <w:rPr>
                <w:rFonts w:ascii="Arial" w:cs="Arial" w:eastAsia="Arial" w:hAnsi="Arial"/>
                <w:sz w:val="16"/>
                <w:szCs w:val="16"/>
                <w:b w:val="1"/>
                <w:bCs w:val="1"/>
                <w:color w:val="0000EE"/>
              </w:rPr>
              <w:t xml:space="preserve"> C</w:t>
            </w:r>
            <w:r>
              <w:rPr>
                <w:rFonts w:ascii="Arial" w:cs="Arial" w:eastAsia="Arial" w:hAnsi="Arial"/>
                <w:sz w:val="13"/>
                <w:szCs w:val="13"/>
                <w:b w:val="1"/>
                <w:bCs w:val="1"/>
                <w:color w:val="0000EE"/>
              </w:rPr>
              <w:t>OMPENSATION</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002060"/>
              </w:rPr>
              <w:t>66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0" w:hanging="485"/>
        <w:spacing w:after="0" w:line="184" w:lineRule="auto"/>
        <w:tabs>
          <w:tab w:leader="none" w:pos="600" w:val="left"/>
        </w:tabs>
        <w:numPr>
          <w:ilvl w:val="0"/>
          <w:numId w:val="5"/>
        </w:numPr>
        <w:rPr>
          <w:rFonts w:ascii="Arial" w:cs="Arial" w:eastAsia="Arial" w:hAnsi="Arial"/>
          <w:sz w:val="29"/>
          <w:szCs w:val="29"/>
          <w:b w:val="1"/>
          <w:bCs w:val="1"/>
          <w:color w:val="002060"/>
          <w:vertAlign w:val="superscript"/>
        </w:rPr>
      </w:pPr>
      <w:r>
        <w:rPr>
          <w:rFonts w:ascii="Arial" w:cs="Arial" w:eastAsia="Arial" w:hAnsi="Arial"/>
          <w:sz w:val="15"/>
          <w:szCs w:val="15"/>
          <w:b w:val="1"/>
          <w:bCs w:val="1"/>
          <w:color w:val="0000EE"/>
        </w:rPr>
        <w:t>E</w:t>
      </w:r>
      <w:r>
        <w:rPr>
          <w:rFonts w:ascii="Arial" w:cs="Arial" w:eastAsia="Arial" w:hAnsi="Arial"/>
          <w:sz w:val="12"/>
          <w:szCs w:val="12"/>
          <w:b w:val="1"/>
          <w:bCs w:val="1"/>
          <w:color w:val="0000EE"/>
        </w:rPr>
        <w:t>MPLOYMENT</w:t>
      </w:r>
      <w:r>
        <w:rPr>
          <w:rFonts w:ascii="Arial" w:cs="Arial" w:eastAsia="Arial" w:hAnsi="Arial"/>
          <w:sz w:val="15"/>
          <w:szCs w:val="15"/>
          <w:b w:val="1"/>
          <w:bCs w:val="1"/>
          <w:color w:val="0000EE"/>
        </w:rPr>
        <w:t xml:space="preserve"> A</w:t>
      </w:r>
      <w:r>
        <w:rPr>
          <w:rFonts w:ascii="Arial" w:cs="Arial" w:eastAsia="Arial" w:hAnsi="Arial"/>
          <w:sz w:val="12"/>
          <w:szCs w:val="12"/>
          <w:b w:val="1"/>
          <w:bCs w:val="1"/>
          <w:color w:val="0000EE"/>
        </w:rPr>
        <w:t>GREEMENTS</w:t>
      </w:r>
      <w:r>
        <w:rPr>
          <w:rFonts w:ascii="Arial" w:cs="Arial" w:eastAsia="Arial" w:hAnsi="Arial"/>
          <w:sz w:val="15"/>
          <w:szCs w:val="15"/>
          <w:b w:val="1"/>
          <w:bCs w:val="1"/>
          <w:color w:val="0000EE"/>
        </w:rPr>
        <w:t>, S</w:t>
      </w:r>
      <w:r>
        <w:rPr>
          <w:rFonts w:ascii="Arial" w:cs="Arial" w:eastAsia="Arial" w:hAnsi="Arial"/>
          <w:sz w:val="12"/>
          <w:szCs w:val="12"/>
          <w:b w:val="1"/>
          <w:bCs w:val="1"/>
          <w:color w:val="0000EE"/>
        </w:rPr>
        <w:t>EVERANCE AND</w:t>
      </w:r>
      <w:r>
        <w:rPr>
          <w:rFonts w:ascii="Arial" w:cs="Arial" w:eastAsia="Arial" w:hAnsi="Arial"/>
          <w:sz w:val="15"/>
          <w:szCs w:val="15"/>
          <w:b w:val="1"/>
          <w:bCs w:val="1"/>
          <w:color w:val="0000EE"/>
        </w:rPr>
        <w:t xml:space="preserve"> C</w:t>
      </w:r>
      <w:r>
        <w:rPr>
          <w:rFonts w:ascii="Arial" w:cs="Arial" w:eastAsia="Arial" w:hAnsi="Arial"/>
          <w:sz w:val="12"/>
          <w:szCs w:val="12"/>
          <w:b w:val="1"/>
          <w:bCs w:val="1"/>
          <w:color w:val="0000EE"/>
        </w:rPr>
        <w:t>HANGE IN</w:t>
      </w:r>
      <w:r>
        <w:rPr>
          <w:rFonts w:ascii="Arial" w:cs="Arial" w:eastAsia="Arial" w:hAnsi="Arial"/>
          <w:sz w:val="15"/>
          <w:szCs w:val="15"/>
          <w:b w:val="1"/>
          <w:bCs w:val="1"/>
          <w:color w:val="0000EE"/>
        </w:rPr>
        <w:t xml:space="preserve"> C</w:t>
      </w:r>
      <w:r>
        <w:rPr>
          <w:rFonts w:ascii="Arial" w:cs="Arial" w:eastAsia="Arial" w:hAnsi="Arial"/>
          <w:sz w:val="12"/>
          <w:szCs w:val="12"/>
          <w:b w:val="1"/>
          <w:bCs w:val="1"/>
          <w:color w:val="0000EE"/>
        </w:rPr>
        <w:t>ONTROL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0" w:type="dxa"/>
            <w:vAlign w:val="bottom"/>
          </w:tcPr>
          <w:p>
            <w:pPr>
              <w:jc w:val="right"/>
              <w:ind w:right="317"/>
              <w:spacing w:after="0" w:line="169" w:lineRule="exact"/>
              <w:rPr>
                <w:sz w:val="20"/>
                <w:szCs w:val="20"/>
                <w:color w:val="auto"/>
              </w:rPr>
            </w:pPr>
            <w:r>
              <w:rPr>
                <w:rFonts w:ascii="Arial" w:cs="Arial" w:eastAsia="Arial" w:hAnsi="Arial"/>
                <w:sz w:val="16"/>
                <w:szCs w:val="16"/>
                <w:b w:val="1"/>
                <w:bCs w:val="1"/>
                <w:color w:val="002060"/>
              </w:rPr>
              <w:t>18</w:t>
            </w:r>
          </w:p>
        </w:tc>
        <w:tc>
          <w:tcPr>
            <w:tcW w:w="680" w:type="dxa"/>
            <w:vAlign w:val="bottom"/>
            <w:tcBorders>
              <w:top w:val="single" w:sz="8" w:color="0000EE"/>
              <w:bottom w:val="single" w:sz="8" w:color="0000EE"/>
            </w:tcBorders>
          </w:tcPr>
          <w:p>
            <w:pPr>
              <w:spacing w:after="0" w:line="169" w:lineRule="exact"/>
              <w:rPr>
                <w:sz w:val="20"/>
                <w:szCs w:val="20"/>
                <w:color w:val="auto"/>
              </w:rPr>
            </w:pPr>
            <w:r>
              <w:rPr>
                <w:rFonts w:ascii="Arial" w:cs="Arial" w:eastAsia="Arial" w:hAnsi="Arial"/>
                <w:sz w:val="16"/>
                <w:szCs w:val="16"/>
                <w:b w:val="1"/>
                <w:bCs w:val="1"/>
                <w:color w:val="0000EE"/>
                <w:w w:val="99"/>
              </w:rPr>
              <w:t>B</w:t>
            </w:r>
            <w:r>
              <w:rPr>
                <w:rFonts w:ascii="Arial" w:cs="Arial" w:eastAsia="Arial" w:hAnsi="Arial"/>
                <w:sz w:val="13"/>
                <w:szCs w:val="13"/>
                <w:b w:val="1"/>
                <w:bCs w:val="1"/>
                <w:color w:val="0000EE"/>
                <w:w w:val="99"/>
              </w:rPr>
              <w:t>ENEFITS</w:t>
            </w:r>
          </w:p>
        </w:tc>
        <w:tc>
          <w:tcPr>
            <w:tcW w:w="1220" w:type="dxa"/>
            <w:vAlign w:val="bottom"/>
            <w:tcBorders>
              <w:top w:val="single" w:sz="8" w:color="0000EE"/>
              <w:bottom w:val="single" w:sz="8" w:color="0000EE"/>
            </w:tcBorders>
          </w:tcPr>
          <w:p>
            <w:pPr>
              <w:spacing w:after="0"/>
              <w:rPr>
                <w:sz w:val="14"/>
                <w:szCs w:val="14"/>
                <w:color w:val="auto"/>
              </w:rPr>
            </w:pPr>
          </w:p>
        </w:tc>
        <w:tc>
          <w:tcPr>
            <w:tcW w:w="120" w:type="dxa"/>
            <w:vAlign w:val="bottom"/>
            <w:tcBorders>
              <w:top w:val="single" w:sz="8" w:color="0000EE"/>
              <w:bottom w:val="single" w:sz="8" w:color="0000EE"/>
            </w:tcBorders>
          </w:tcPr>
          <w:p>
            <w:pPr>
              <w:spacing w:after="0"/>
              <w:rPr>
                <w:sz w:val="14"/>
                <w:szCs w:val="14"/>
                <w:color w:val="auto"/>
              </w:rPr>
            </w:pPr>
          </w:p>
        </w:tc>
        <w:tc>
          <w:tcPr>
            <w:tcW w:w="700" w:type="dxa"/>
            <w:vAlign w:val="bottom"/>
            <w:tcBorders>
              <w:top w:val="single" w:sz="8" w:color="0000EE"/>
              <w:bottom w:val="single" w:sz="8" w:color="0000EE"/>
            </w:tcBorders>
          </w:tcPr>
          <w:p>
            <w:pPr>
              <w:spacing w:after="0"/>
              <w:rPr>
                <w:sz w:val="14"/>
                <w:szCs w:val="14"/>
                <w:color w:val="auto"/>
              </w:rPr>
            </w:pPr>
          </w:p>
        </w:tc>
        <w:tc>
          <w:tcPr>
            <w:tcW w:w="380" w:type="dxa"/>
            <w:vAlign w:val="bottom"/>
            <w:tcBorders>
              <w:top w:val="single" w:sz="8" w:color="0000EE"/>
              <w:bottom w:val="single" w:sz="8" w:color="0000EE"/>
            </w:tcBorders>
          </w:tcPr>
          <w:p>
            <w:pPr>
              <w:spacing w:after="0"/>
              <w:rPr>
                <w:sz w:val="14"/>
                <w:szCs w:val="14"/>
                <w:color w:val="auto"/>
              </w:rPr>
            </w:pPr>
          </w:p>
        </w:tc>
        <w:tc>
          <w:tcPr>
            <w:tcW w:w="1740" w:type="dxa"/>
            <w:vAlign w:val="bottom"/>
            <w:tcBorders>
              <w:top w:val="single" w:sz="8" w:color="0000EE"/>
              <w:bottom w:val="single" w:sz="8" w:color="0000EE"/>
            </w:tcBorders>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6"/>
                <w:szCs w:val="16"/>
                <w:b w:val="1"/>
                <w:bCs w:val="1"/>
                <w:color w:val="002060"/>
              </w:rPr>
              <w:t>67</w:t>
            </w:r>
          </w:p>
        </w:tc>
      </w:tr>
      <w:tr>
        <w:trPr>
          <w:trHeight w:val="250"/>
        </w:trPr>
        <w:tc>
          <w:tcPr>
            <w:tcW w:w="600" w:type="dxa"/>
            <w:vAlign w:val="bottom"/>
          </w:tcPr>
          <w:p>
            <w:pPr>
              <w:jc w:val="right"/>
              <w:ind w:right="317"/>
              <w:spacing w:after="0"/>
              <w:rPr>
                <w:sz w:val="20"/>
                <w:szCs w:val="20"/>
                <w:color w:val="auto"/>
              </w:rPr>
            </w:pPr>
            <w:r>
              <w:rPr>
                <w:rFonts w:ascii="Arial" w:cs="Arial" w:eastAsia="Arial" w:hAnsi="Arial"/>
                <w:sz w:val="16"/>
                <w:szCs w:val="16"/>
                <w:b w:val="1"/>
                <w:bCs w:val="1"/>
                <w:color w:val="002060"/>
              </w:rPr>
              <w:t>18</w:t>
            </w:r>
          </w:p>
        </w:tc>
        <w:tc>
          <w:tcPr>
            <w:tcW w:w="272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b w:val="1"/>
                <w:bCs w:val="1"/>
                <w:color w:val="0000EE"/>
              </w:rPr>
              <w:t>C</w:t>
            </w:r>
            <w:r>
              <w:rPr>
                <w:rFonts w:ascii="Arial" w:cs="Arial" w:eastAsia="Arial" w:hAnsi="Arial"/>
                <w:sz w:val="13"/>
                <w:szCs w:val="13"/>
                <w:b w:val="1"/>
                <w:bCs w:val="1"/>
                <w:color w:val="0000EE"/>
              </w:rPr>
              <w:t>HIEF</w:t>
            </w:r>
            <w:r>
              <w:rPr>
                <w:rFonts w:ascii="Arial" w:cs="Arial" w:eastAsia="Arial" w:hAnsi="Arial"/>
                <w:sz w:val="16"/>
                <w:szCs w:val="16"/>
                <w:b w:val="1"/>
                <w:bCs w:val="1"/>
                <w:color w:val="0000EE"/>
              </w:rPr>
              <w:t xml:space="preserve"> E</w:t>
            </w:r>
            <w:r>
              <w:rPr>
                <w:rFonts w:ascii="Arial" w:cs="Arial" w:eastAsia="Arial" w:hAnsi="Arial"/>
                <w:sz w:val="13"/>
                <w:szCs w:val="13"/>
                <w:b w:val="1"/>
                <w:bCs w:val="1"/>
                <w:color w:val="0000EE"/>
              </w:rPr>
              <w:t>XECUTIVE</w:t>
            </w:r>
            <w:r>
              <w:rPr>
                <w:rFonts w:ascii="Arial" w:cs="Arial" w:eastAsia="Arial" w:hAnsi="Arial"/>
                <w:sz w:val="16"/>
                <w:szCs w:val="16"/>
                <w:b w:val="1"/>
                <w:bCs w:val="1"/>
                <w:color w:val="0000EE"/>
              </w:rPr>
              <w:t xml:space="preserve"> O</w:t>
            </w:r>
            <w:r>
              <w:rPr>
                <w:rFonts w:ascii="Arial" w:cs="Arial" w:eastAsia="Arial" w:hAnsi="Arial"/>
                <w:sz w:val="13"/>
                <w:szCs w:val="13"/>
                <w:b w:val="1"/>
                <w:bCs w:val="1"/>
                <w:color w:val="0000EE"/>
              </w:rPr>
              <w:t>FFICER</w:t>
            </w:r>
            <w:r>
              <w:rPr>
                <w:rFonts w:ascii="Arial" w:cs="Arial" w:eastAsia="Arial" w:hAnsi="Arial"/>
                <w:sz w:val="16"/>
                <w:szCs w:val="16"/>
                <w:b w:val="1"/>
                <w:bCs w:val="1"/>
                <w:color w:val="0000EE"/>
              </w:rPr>
              <w:t xml:space="preserve"> P</w:t>
            </w:r>
            <w:r>
              <w:rPr>
                <w:rFonts w:ascii="Arial" w:cs="Arial" w:eastAsia="Arial" w:hAnsi="Arial"/>
                <w:sz w:val="13"/>
                <w:szCs w:val="13"/>
                <w:b w:val="1"/>
                <w:bCs w:val="1"/>
                <w:color w:val="0000EE"/>
              </w:rPr>
              <w:t>AY</w:t>
            </w:r>
            <w:r>
              <w:rPr>
                <w:rFonts w:ascii="Arial" w:cs="Arial" w:eastAsia="Arial" w:hAnsi="Arial"/>
                <w:sz w:val="16"/>
                <w:szCs w:val="16"/>
                <w:b w:val="1"/>
                <w:bCs w:val="1"/>
                <w:color w:val="0000EE"/>
              </w:rPr>
              <w:t xml:space="preserve"> R</w:t>
            </w:r>
            <w:r>
              <w:rPr>
                <w:rFonts w:ascii="Arial" w:cs="Arial" w:eastAsia="Arial" w:hAnsi="Arial"/>
                <w:sz w:val="13"/>
                <w:szCs w:val="13"/>
                <w:b w:val="1"/>
                <w:bCs w:val="1"/>
                <w:color w:val="0000EE"/>
              </w:rPr>
              <w:t>ATIO</w:t>
            </w:r>
          </w:p>
        </w:tc>
        <w:tc>
          <w:tcPr>
            <w:tcW w:w="3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002060"/>
              </w:rPr>
              <w:t>69</w:t>
            </w:r>
          </w:p>
        </w:tc>
      </w:tr>
      <w:tr>
        <w:trPr>
          <w:trHeight w:val="250"/>
        </w:trPr>
        <w:tc>
          <w:tcPr>
            <w:tcW w:w="600" w:type="dxa"/>
            <w:vAlign w:val="bottom"/>
          </w:tcPr>
          <w:p>
            <w:pPr>
              <w:jc w:val="right"/>
              <w:ind w:right="317"/>
              <w:spacing w:after="0"/>
              <w:rPr>
                <w:sz w:val="20"/>
                <w:szCs w:val="20"/>
                <w:color w:val="auto"/>
              </w:rPr>
            </w:pPr>
            <w:r>
              <w:rPr>
                <w:rFonts w:ascii="Arial" w:cs="Arial" w:eastAsia="Arial" w:hAnsi="Arial"/>
                <w:sz w:val="16"/>
                <w:szCs w:val="16"/>
                <w:b w:val="1"/>
                <w:bCs w:val="1"/>
                <w:color w:val="002060"/>
              </w:rPr>
              <w:t>19</w:t>
            </w:r>
          </w:p>
        </w:tc>
        <w:tc>
          <w:tcPr>
            <w:tcW w:w="202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b w:val="1"/>
                <w:bCs w:val="1"/>
                <w:color w:val="0000EE"/>
              </w:rPr>
              <w:t>P</w:t>
            </w:r>
            <w:r>
              <w:rPr>
                <w:rFonts w:ascii="Arial" w:cs="Arial" w:eastAsia="Arial" w:hAnsi="Arial"/>
                <w:sz w:val="13"/>
                <w:szCs w:val="13"/>
                <w:b w:val="1"/>
                <w:bCs w:val="1"/>
                <w:color w:val="0000EE"/>
              </w:rPr>
              <w:t>AY</w:t>
            </w:r>
            <w:r>
              <w:rPr>
                <w:rFonts w:ascii="Arial" w:cs="Arial" w:eastAsia="Arial" w:hAnsi="Arial"/>
                <w:sz w:val="16"/>
                <w:szCs w:val="16"/>
                <w:b w:val="1"/>
                <w:bCs w:val="1"/>
                <w:color w:val="0000EE"/>
              </w:rPr>
              <w:t xml:space="preserve"> V</w:t>
            </w:r>
            <w:r>
              <w:rPr>
                <w:rFonts w:ascii="Arial" w:cs="Arial" w:eastAsia="Arial" w:hAnsi="Arial"/>
                <w:sz w:val="13"/>
                <w:szCs w:val="13"/>
                <w:b w:val="1"/>
                <w:bCs w:val="1"/>
                <w:color w:val="0000EE"/>
              </w:rPr>
              <w:t>ERSUS</w:t>
            </w:r>
            <w:r>
              <w:rPr>
                <w:rFonts w:ascii="Arial" w:cs="Arial" w:eastAsia="Arial" w:hAnsi="Arial"/>
                <w:sz w:val="16"/>
                <w:szCs w:val="16"/>
                <w:b w:val="1"/>
                <w:bCs w:val="1"/>
                <w:color w:val="0000EE"/>
              </w:rPr>
              <w:t xml:space="preserve"> P</w:t>
            </w:r>
            <w:r>
              <w:rPr>
                <w:rFonts w:ascii="Arial" w:cs="Arial" w:eastAsia="Arial" w:hAnsi="Arial"/>
                <w:sz w:val="13"/>
                <w:szCs w:val="13"/>
                <w:b w:val="1"/>
                <w:bCs w:val="1"/>
                <w:color w:val="0000EE"/>
              </w:rPr>
              <w:t>ERFORMANCE</w:t>
            </w:r>
          </w:p>
        </w:tc>
        <w:tc>
          <w:tcPr>
            <w:tcW w:w="1080" w:type="dxa"/>
            <w:vAlign w:val="bottom"/>
            <w:gridSpan w:val="2"/>
          </w:tcPr>
          <w:p>
            <w:pPr>
              <w:spacing w:after="0"/>
              <w:rPr>
                <w:sz w:val="21"/>
                <w:szCs w:val="21"/>
                <w:color w:val="auto"/>
              </w:rPr>
            </w:pPr>
          </w:p>
        </w:tc>
        <w:tc>
          <w:tcPr>
            <w:tcW w:w="17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002060"/>
              </w:rPr>
              <w:t>70</w:t>
            </w:r>
          </w:p>
        </w:tc>
      </w:tr>
      <w:tr>
        <w:trPr>
          <w:trHeight w:val="264"/>
        </w:trPr>
        <w:tc>
          <w:tcPr>
            <w:tcW w:w="600" w:type="dxa"/>
            <w:vAlign w:val="bottom"/>
          </w:tcPr>
          <w:p>
            <w:pPr>
              <w:jc w:val="right"/>
              <w:ind w:right="317"/>
              <w:spacing w:after="0"/>
              <w:rPr>
                <w:sz w:val="20"/>
                <w:szCs w:val="20"/>
                <w:color w:val="auto"/>
              </w:rPr>
            </w:pPr>
            <w:r>
              <w:rPr>
                <w:rFonts w:ascii="Arial" w:cs="Arial" w:eastAsia="Arial" w:hAnsi="Arial"/>
                <w:sz w:val="16"/>
                <w:szCs w:val="16"/>
                <w:b w:val="1"/>
                <w:bCs w:val="1"/>
                <w:color w:val="002060"/>
              </w:rPr>
              <w:t>20</w:t>
            </w:r>
          </w:p>
        </w:tc>
        <w:tc>
          <w:tcPr>
            <w:tcW w:w="31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b w:val="1"/>
                <w:bCs w:val="1"/>
                <w:color w:val="0000EE"/>
                <w:w w:val="99"/>
              </w:rPr>
              <w:t>STOCK OWNERSHIP INFORMATION</w:t>
            </w:r>
          </w:p>
        </w:tc>
        <w:tc>
          <w:tcPr>
            <w:tcW w:w="17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0070C0"/>
              </w:rPr>
              <w:t>73</w:t>
            </w:r>
          </w:p>
        </w:tc>
      </w:tr>
      <w:tr>
        <w:trPr>
          <w:trHeight w:val="250"/>
        </w:trPr>
        <w:tc>
          <w:tcPr>
            <w:tcW w:w="600" w:type="dxa"/>
            <w:vAlign w:val="bottom"/>
          </w:tcPr>
          <w:p>
            <w:pPr>
              <w:jc w:val="right"/>
              <w:ind w:right="317"/>
              <w:spacing w:after="0"/>
              <w:rPr>
                <w:sz w:val="20"/>
                <w:szCs w:val="20"/>
                <w:color w:val="auto"/>
              </w:rPr>
            </w:pPr>
            <w:r>
              <w:rPr>
                <w:rFonts w:ascii="Arial" w:cs="Arial" w:eastAsia="Arial" w:hAnsi="Arial"/>
                <w:sz w:val="18"/>
                <w:szCs w:val="18"/>
                <w:b w:val="1"/>
                <w:bCs w:val="1"/>
                <w:color w:val="0070C0"/>
                <w:w w:val="89"/>
              </w:rPr>
              <w:t>21</w:t>
            </w:r>
          </w:p>
        </w:tc>
        <w:tc>
          <w:tcPr>
            <w:tcW w:w="190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b w:val="1"/>
                <w:bCs w:val="1"/>
                <w:color w:val="0000EE"/>
              </w:rPr>
              <w:t>S</w:t>
            </w:r>
            <w:r>
              <w:rPr>
                <w:rFonts w:ascii="Arial" w:cs="Arial" w:eastAsia="Arial" w:hAnsi="Arial"/>
                <w:sz w:val="13"/>
                <w:szCs w:val="13"/>
                <w:b w:val="1"/>
                <w:bCs w:val="1"/>
                <w:color w:val="0000EE"/>
              </w:rPr>
              <w:t>TOCK</w:t>
            </w:r>
            <w:r>
              <w:rPr>
                <w:rFonts w:ascii="Arial" w:cs="Arial" w:eastAsia="Arial" w:hAnsi="Arial"/>
                <w:sz w:val="16"/>
                <w:szCs w:val="16"/>
                <w:b w:val="1"/>
                <w:bCs w:val="1"/>
                <w:color w:val="0000EE"/>
              </w:rPr>
              <w:t xml:space="preserve"> O</w:t>
            </w:r>
            <w:r>
              <w:rPr>
                <w:rFonts w:ascii="Arial" w:cs="Arial" w:eastAsia="Arial" w:hAnsi="Arial"/>
                <w:sz w:val="13"/>
                <w:szCs w:val="13"/>
                <w:b w:val="1"/>
                <w:bCs w:val="1"/>
                <w:color w:val="0000EE"/>
              </w:rPr>
              <w:t>WNERSHIP</w:t>
            </w:r>
            <w:r>
              <w:rPr>
                <w:rFonts w:ascii="Arial" w:cs="Arial" w:eastAsia="Arial" w:hAnsi="Arial"/>
                <w:sz w:val="16"/>
                <w:szCs w:val="16"/>
                <w:b w:val="1"/>
                <w:bCs w:val="1"/>
                <w:color w:val="0000EE"/>
              </w:rPr>
              <w:t xml:space="preserve"> T</w:t>
            </w:r>
            <w:r>
              <w:rPr>
                <w:rFonts w:ascii="Arial" w:cs="Arial" w:eastAsia="Arial" w:hAnsi="Arial"/>
                <w:sz w:val="13"/>
                <w:szCs w:val="13"/>
                <w:b w:val="1"/>
                <w:bCs w:val="1"/>
                <w:color w:val="0000EE"/>
              </w:rPr>
              <w:t>ABLE</w:t>
            </w:r>
          </w:p>
        </w:tc>
        <w:tc>
          <w:tcPr>
            <w:tcW w:w="2940" w:type="dxa"/>
            <w:vAlign w:val="bottom"/>
            <w:gridSpan w:val="4"/>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002060"/>
              </w:rPr>
              <w:t>73</w:t>
            </w:r>
          </w:p>
        </w:tc>
      </w:tr>
    </w:tbl>
    <w:p>
      <w:pPr>
        <w:spacing w:after="0" w:line="80" w:lineRule="exact"/>
        <w:rPr>
          <w:sz w:val="20"/>
          <w:szCs w:val="20"/>
          <w:color w:val="auto"/>
        </w:rPr>
      </w:pPr>
    </w:p>
    <w:p>
      <w:pPr>
        <w:ind w:left="600" w:hanging="575"/>
        <w:spacing w:after="0"/>
        <w:tabs>
          <w:tab w:leader="none" w:pos="600" w:val="left"/>
        </w:tabs>
        <w:numPr>
          <w:ilvl w:val="0"/>
          <w:numId w:val="6"/>
        </w:numPr>
        <w:rPr>
          <w:rFonts w:ascii="Arial" w:cs="Arial" w:eastAsia="Arial" w:hAnsi="Arial"/>
          <w:sz w:val="16"/>
          <w:szCs w:val="16"/>
          <w:b w:val="1"/>
          <w:bCs w:val="1"/>
          <w:color w:val="002060"/>
        </w:rPr>
      </w:pPr>
      <w:r>
        <w:rPr>
          <w:rFonts w:ascii="Arial" w:cs="Arial" w:eastAsia="Arial" w:hAnsi="Arial"/>
          <w:sz w:val="16"/>
          <w:szCs w:val="16"/>
          <w:b w:val="1"/>
          <w:bCs w:val="1"/>
          <w:u w:val="single" w:color="auto"/>
          <w:color w:val="0000EE"/>
        </w:rPr>
        <w:t>S</w:t>
      </w:r>
      <w:r>
        <w:rPr>
          <w:rFonts w:ascii="Arial" w:cs="Arial" w:eastAsia="Arial" w:hAnsi="Arial"/>
          <w:sz w:val="13"/>
          <w:szCs w:val="13"/>
          <w:b w:val="1"/>
          <w:bCs w:val="1"/>
          <w:u w:val="single" w:color="auto"/>
          <w:color w:val="0000EE"/>
        </w:rPr>
        <w:t>ECURITIES</w:t>
      </w:r>
      <w:r>
        <w:rPr>
          <w:rFonts w:ascii="Arial" w:cs="Arial" w:eastAsia="Arial" w:hAnsi="Arial"/>
          <w:sz w:val="16"/>
          <w:szCs w:val="16"/>
          <w:b w:val="1"/>
          <w:bCs w:val="1"/>
          <w:u w:val="single" w:color="auto"/>
          <w:color w:val="0000EE"/>
        </w:rPr>
        <w:t xml:space="preserve"> A</w:t>
      </w:r>
      <w:r>
        <w:rPr>
          <w:rFonts w:ascii="Arial" w:cs="Arial" w:eastAsia="Arial" w:hAnsi="Arial"/>
          <w:sz w:val="13"/>
          <w:szCs w:val="13"/>
          <w:b w:val="1"/>
          <w:bCs w:val="1"/>
          <w:u w:val="single" w:color="auto"/>
          <w:color w:val="0000EE"/>
        </w:rPr>
        <w:t>UTHORIZED FOR</w:t>
      </w:r>
      <w:r>
        <w:rPr>
          <w:rFonts w:ascii="Arial" w:cs="Arial" w:eastAsia="Arial" w:hAnsi="Arial"/>
          <w:sz w:val="16"/>
          <w:szCs w:val="16"/>
          <w:b w:val="1"/>
          <w:bCs w:val="1"/>
          <w:u w:val="single" w:color="auto"/>
          <w:color w:val="0000EE"/>
        </w:rPr>
        <w:t xml:space="preserve"> I</w:t>
      </w:r>
      <w:r>
        <w:rPr>
          <w:rFonts w:ascii="Arial" w:cs="Arial" w:eastAsia="Arial" w:hAnsi="Arial"/>
          <w:sz w:val="13"/>
          <w:szCs w:val="13"/>
          <w:b w:val="1"/>
          <w:bCs w:val="1"/>
          <w:u w:val="single" w:color="auto"/>
          <w:color w:val="0000EE"/>
        </w:rPr>
        <w:t>SSUANCE</w:t>
      </w:r>
      <w:r>
        <w:rPr>
          <w:rFonts w:ascii="Arial" w:cs="Arial" w:eastAsia="Arial" w:hAnsi="Arial"/>
          <w:sz w:val="16"/>
          <w:szCs w:val="16"/>
          <w:b w:val="1"/>
          <w:bCs w:val="1"/>
          <w:u w:val="single" w:color="auto"/>
          <w:color w:val="0000EE"/>
        </w:rPr>
        <w:t xml:space="preserve"> U</w:t>
      </w:r>
      <w:r>
        <w:rPr>
          <w:rFonts w:ascii="Arial" w:cs="Arial" w:eastAsia="Arial" w:hAnsi="Arial"/>
          <w:sz w:val="13"/>
          <w:szCs w:val="13"/>
          <w:b w:val="1"/>
          <w:bCs w:val="1"/>
          <w:u w:val="single" w:color="auto"/>
          <w:color w:val="0000EE"/>
        </w:rPr>
        <w:t>NDER</w:t>
      </w:r>
      <w:r>
        <w:rPr>
          <w:rFonts w:ascii="Arial" w:cs="Arial" w:eastAsia="Arial" w:hAnsi="Arial"/>
          <w:sz w:val="16"/>
          <w:szCs w:val="16"/>
          <w:b w:val="1"/>
          <w:bCs w:val="1"/>
          <w:u w:val="single" w:color="auto"/>
          <w:color w:val="0000EE"/>
        </w:rPr>
        <w:t xml:space="preserve"> E</w:t>
      </w:r>
      <w:r>
        <w:rPr>
          <w:rFonts w:ascii="Arial" w:cs="Arial" w:eastAsia="Arial" w:hAnsi="Arial"/>
          <w:sz w:val="13"/>
          <w:szCs w:val="13"/>
          <w:b w:val="1"/>
          <w:bCs w:val="1"/>
          <w:u w:val="single" w:color="auto"/>
          <w:color w:val="0000EE"/>
        </w:rPr>
        <w:t>QUITY</w:t>
      </w:r>
    </w:p>
    <w:tbl>
      <w:tblPr>
        <w:tblLayout w:type="fixed"/>
        <w:tblInd w:w="20" w:type="dxa"/>
        <w:tblCellMar>
          <w:top w:w="0" w:type="dxa"/>
          <w:left w:w="0" w:type="dxa"/>
          <w:bottom w:w="0" w:type="dxa"/>
          <w:right w:w="0" w:type="dxa"/>
        </w:tblCellMar>
      </w:tblPr>
      <w:tr>
        <w:trPr>
          <w:trHeight w:val="181"/>
        </w:trPr>
        <w:tc>
          <w:tcPr>
            <w:tcW w:w="58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002060"/>
                <w:w w:val="89"/>
              </w:rPr>
              <w:t>21</w:t>
            </w:r>
          </w:p>
        </w:tc>
        <w:tc>
          <w:tcPr>
            <w:tcW w:w="1640" w:type="dxa"/>
            <w:vAlign w:val="bottom"/>
            <w:tcBorders>
              <w:bottom w:val="single" w:sz="8" w:color="0000EE"/>
            </w:tcBorders>
          </w:tcPr>
          <w:p>
            <w:pPr>
              <w:spacing w:after="0" w:line="181" w:lineRule="exact"/>
              <w:rPr>
                <w:sz w:val="20"/>
                <w:szCs w:val="20"/>
                <w:color w:val="auto"/>
              </w:rPr>
            </w:pPr>
            <w:r>
              <w:rPr>
                <w:rFonts w:ascii="Arial" w:cs="Arial" w:eastAsia="Arial" w:hAnsi="Arial"/>
                <w:sz w:val="16"/>
                <w:szCs w:val="16"/>
                <w:b w:val="1"/>
                <w:bCs w:val="1"/>
                <w:color w:val="0000EE"/>
              </w:rPr>
              <w:t>C</w:t>
            </w:r>
            <w:r>
              <w:rPr>
                <w:rFonts w:ascii="Arial" w:cs="Arial" w:eastAsia="Arial" w:hAnsi="Arial"/>
                <w:sz w:val="13"/>
                <w:szCs w:val="13"/>
                <w:b w:val="1"/>
                <w:bCs w:val="1"/>
                <w:color w:val="0000EE"/>
              </w:rPr>
              <w:t>OMPENSATION</w:t>
            </w:r>
            <w:r>
              <w:rPr>
                <w:rFonts w:ascii="Arial" w:cs="Arial" w:eastAsia="Arial" w:hAnsi="Arial"/>
                <w:sz w:val="16"/>
                <w:szCs w:val="16"/>
                <w:b w:val="1"/>
                <w:bCs w:val="1"/>
                <w:color w:val="0000EE"/>
              </w:rPr>
              <w:t xml:space="preserve"> P</w:t>
            </w:r>
            <w:r>
              <w:rPr>
                <w:rFonts w:ascii="Arial" w:cs="Arial" w:eastAsia="Arial" w:hAnsi="Arial"/>
                <w:sz w:val="13"/>
                <w:szCs w:val="13"/>
                <w:b w:val="1"/>
                <w:bCs w:val="1"/>
                <w:color w:val="0000EE"/>
              </w:rPr>
              <w:t>LANS</w:t>
            </w:r>
          </w:p>
        </w:tc>
        <w:tc>
          <w:tcPr>
            <w:tcW w:w="3700" w:type="dxa"/>
            <w:vAlign w:val="bottom"/>
          </w:tcPr>
          <w:p>
            <w:pPr>
              <w:jc w:val="right"/>
              <w:spacing w:after="0" w:line="181" w:lineRule="exact"/>
              <w:rPr>
                <w:sz w:val="20"/>
                <w:szCs w:val="20"/>
                <w:color w:val="auto"/>
              </w:rPr>
            </w:pPr>
            <w:r>
              <w:rPr>
                <w:rFonts w:ascii="Arial" w:cs="Arial" w:eastAsia="Arial" w:hAnsi="Arial"/>
                <w:sz w:val="16"/>
                <w:szCs w:val="16"/>
                <w:b w:val="1"/>
                <w:bCs w:val="1"/>
                <w:color w:val="002060"/>
              </w:rPr>
              <w:t>76</w:t>
            </w:r>
          </w:p>
        </w:tc>
        <w:tc>
          <w:tcPr>
            <w:tcW w:w="0" w:type="dxa"/>
            <w:vAlign w:val="bottom"/>
          </w:tcPr>
          <w:p>
            <w:pPr>
              <w:spacing w:after="0"/>
              <w:rPr>
                <w:sz w:val="1"/>
                <w:szCs w:val="1"/>
                <w:color w:val="auto"/>
              </w:rPr>
            </w:pPr>
          </w:p>
        </w:tc>
      </w:tr>
      <w:tr>
        <w:trPr>
          <w:trHeight w:val="87"/>
        </w:trPr>
        <w:tc>
          <w:tcPr>
            <w:tcW w:w="580" w:type="dxa"/>
            <w:vAlign w:val="bottom"/>
            <w:vMerge w:val="continue"/>
          </w:tcPr>
          <w:p>
            <w:pPr>
              <w:spacing w:after="0"/>
              <w:rPr>
                <w:sz w:val="7"/>
                <w:szCs w:val="7"/>
                <w:color w:val="auto"/>
              </w:rPr>
            </w:pPr>
          </w:p>
        </w:tc>
        <w:tc>
          <w:tcPr>
            <w:tcW w:w="1640" w:type="dxa"/>
            <w:vAlign w:val="bottom"/>
          </w:tcPr>
          <w:p>
            <w:pPr>
              <w:spacing w:after="0"/>
              <w:rPr>
                <w:sz w:val="7"/>
                <w:szCs w:val="7"/>
                <w:color w:val="auto"/>
              </w:rPr>
            </w:pPr>
          </w:p>
        </w:tc>
        <w:tc>
          <w:tcPr>
            <w:tcW w:w="3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0" w:type="dxa"/>
            <w:vAlign w:val="bottom"/>
            <w:vMerge w:val="restart"/>
          </w:tcPr>
          <w:p>
            <w:pPr>
              <w:jc w:val="right"/>
              <w:ind w:right="318"/>
              <w:spacing w:after="0"/>
              <w:rPr>
                <w:sz w:val="20"/>
                <w:szCs w:val="20"/>
                <w:color w:val="auto"/>
              </w:rPr>
            </w:pPr>
            <w:r>
              <w:rPr>
                <w:rFonts w:ascii="Arial" w:cs="Arial" w:eastAsia="Arial" w:hAnsi="Arial"/>
                <w:sz w:val="16"/>
                <w:szCs w:val="16"/>
                <w:b w:val="1"/>
                <w:bCs w:val="1"/>
                <w:color w:val="002060"/>
              </w:rPr>
              <w:t>22</w:t>
            </w:r>
          </w:p>
        </w:tc>
        <w:tc>
          <w:tcPr>
            <w:tcW w:w="4680" w:type="dxa"/>
            <w:vAlign w:val="bottom"/>
            <w:gridSpan w:val="25"/>
          </w:tcPr>
          <w:p>
            <w:pPr>
              <w:spacing w:after="0" w:line="176" w:lineRule="exact"/>
              <w:rPr>
                <w:sz w:val="20"/>
                <w:szCs w:val="20"/>
                <w:color w:val="auto"/>
              </w:rPr>
            </w:pPr>
            <w:r>
              <w:rPr>
                <w:rFonts w:ascii="Arial" w:cs="Arial" w:eastAsia="Arial" w:hAnsi="Arial"/>
                <w:sz w:val="18"/>
                <w:szCs w:val="18"/>
                <w:b w:val="1"/>
                <w:bCs w:val="1"/>
                <w:color w:val="0000EE"/>
              </w:rPr>
              <w:t>RELATED PARTY TRANSACTIONS</w:t>
            </w:r>
          </w:p>
        </w:tc>
        <w:tc>
          <w:tcPr>
            <w:tcW w:w="660" w:type="dxa"/>
            <w:vAlign w:val="bottom"/>
          </w:tcPr>
          <w:p>
            <w:pPr>
              <w:jc w:val="right"/>
              <w:spacing w:after="0" w:line="176" w:lineRule="exact"/>
              <w:rPr>
                <w:sz w:val="20"/>
                <w:szCs w:val="20"/>
                <w:color w:val="auto"/>
              </w:rPr>
            </w:pPr>
            <w:r>
              <w:rPr>
                <w:rFonts w:ascii="Arial" w:cs="Arial" w:eastAsia="Arial" w:hAnsi="Arial"/>
                <w:sz w:val="18"/>
                <w:szCs w:val="18"/>
                <w:b w:val="1"/>
                <w:bCs w:val="1"/>
                <w:color w:val="0070C0"/>
              </w:rPr>
              <w:t>77</w:t>
            </w:r>
          </w:p>
        </w:tc>
        <w:tc>
          <w:tcPr>
            <w:tcW w:w="0" w:type="dxa"/>
            <w:vAlign w:val="bottom"/>
          </w:tcPr>
          <w:p>
            <w:pPr>
              <w:spacing w:after="0"/>
              <w:rPr>
                <w:sz w:val="1"/>
                <w:szCs w:val="1"/>
                <w:color w:val="auto"/>
              </w:rPr>
            </w:pPr>
          </w:p>
        </w:tc>
      </w:tr>
      <w:tr>
        <w:trPr>
          <w:trHeight w:val="121"/>
        </w:trPr>
        <w:tc>
          <w:tcPr>
            <w:tcW w:w="600" w:type="dxa"/>
            <w:vAlign w:val="bottom"/>
            <w:vMerge w:val="continue"/>
          </w:tcPr>
          <w:p>
            <w:pPr>
              <w:spacing w:after="0"/>
              <w:rPr>
                <w:sz w:val="10"/>
                <w:szCs w:val="10"/>
                <w:color w:val="auto"/>
              </w:rPr>
            </w:pPr>
          </w:p>
        </w:tc>
        <w:tc>
          <w:tcPr>
            <w:tcW w:w="1220" w:type="dxa"/>
            <w:vAlign w:val="bottom"/>
            <w:tcBorders>
              <w:top w:val="single" w:sz="8" w:color="0000EE"/>
            </w:tcBorders>
            <w:gridSpan w:val="3"/>
            <w:vMerge w:val="restart"/>
          </w:tcPr>
          <w:p>
            <w:pPr>
              <w:spacing w:after="0"/>
              <w:rPr>
                <w:sz w:val="20"/>
                <w:szCs w:val="20"/>
                <w:color w:val="auto"/>
              </w:rPr>
            </w:pPr>
            <w:r>
              <w:rPr>
                <w:rFonts w:ascii="Arial" w:cs="Arial" w:eastAsia="Arial" w:hAnsi="Arial"/>
                <w:sz w:val="16"/>
                <w:szCs w:val="16"/>
                <w:b w:val="1"/>
                <w:bCs w:val="1"/>
                <w:color w:val="0000EE"/>
              </w:rPr>
              <w:t>A</w:t>
            </w:r>
            <w:r>
              <w:rPr>
                <w:rFonts w:ascii="Arial" w:cs="Arial" w:eastAsia="Arial" w:hAnsi="Arial"/>
                <w:sz w:val="13"/>
                <w:szCs w:val="13"/>
                <w:b w:val="1"/>
                <w:bCs w:val="1"/>
                <w:color w:val="0000EE"/>
              </w:rPr>
              <w:t>FFILIATE</w:t>
            </w:r>
            <w:r>
              <w:rPr>
                <w:rFonts w:ascii="Arial" w:cs="Arial" w:eastAsia="Arial" w:hAnsi="Arial"/>
                <w:sz w:val="16"/>
                <w:szCs w:val="16"/>
                <w:b w:val="1"/>
                <w:bCs w:val="1"/>
                <w:color w:val="0000EE"/>
              </w:rPr>
              <w:t xml:space="preserve"> S</w:t>
            </w:r>
            <w:r>
              <w:rPr>
                <w:rFonts w:ascii="Arial" w:cs="Arial" w:eastAsia="Arial" w:hAnsi="Arial"/>
                <w:sz w:val="13"/>
                <w:szCs w:val="13"/>
                <w:b w:val="1"/>
                <w:bCs w:val="1"/>
                <w:color w:val="0000EE"/>
              </w:rPr>
              <w:t>ALES</w:t>
            </w:r>
          </w:p>
        </w:tc>
        <w:tc>
          <w:tcPr>
            <w:tcW w:w="1740" w:type="dxa"/>
            <w:vAlign w:val="bottom"/>
            <w:tcBorders>
              <w:top w:val="single" w:sz="8" w:color="0000EE"/>
            </w:tcBorders>
            <w:gridSpan w:val="12"/>
            <w:vMerge w:val="restart"/>
          </w:tcPr>
          <w:p>
            <w:pPr>
              <w:spacing w:after="0"/>
              <w:rPr>
                <w:sz w:val="10"/>
                <w:szCs w:val="10"/>
                <w:color w:val="auto"/>
              </w:rPr>
            </w:pPr>
          </w:p>
        </w:tc>
        <w:tc>
          <w:tcPr>
            <w:tcW w:w="1720" w:type="dxa"/>
            <w:vAlign w:val="bottom"/>
            <w:gridSpan w:val="10"/>
            <w:vMerge w:val="restart"/>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002060"/>
              </w:rPr>
              <w:t>77</w:t>
            </w:r>
          </w:p>
        </w:tc>
        <w:tc>
          <w:tcPr>
            <w:tcW w:w="0" w:type="dxa"/>
            <w:vAlign w:val="bottom"/>
          </w:tcPr>
          <w:p>
            <w:pPr>
              <w:spacing w:after="0"/>
              <w:rPr>
                <w:sz w:val="1"/>
                <w:szCs w:val="1"/>
                <w:color w:val="auto"/>
              </w:rPr>
            </w:pPr>
          </w:p>
        </w:tc>
      </w:tr>
      <w:tr>
        <w:trPr>
          <w:trHeight w:val="134"/>
        </w:trPr>
        <w:tc>
          <w:tcPr>
            <w:tcW w:w="600" w:type="dxa"/>
            <w:vAlign w:val="bottom"/>
            <w:vMerge w:val="restart"/>
          </w:tcPr>
          <w:p>
            <w:pPr>
              <w:jc w:val="right"/>
              <w:ind w:right="318"/>
              <w:spacing w:after="0"/>
              <w:rPr>
                <w:sz w:val="20"/>
                <w:szCs w:val="20"/>
                <w:color w:val="auto"/>
              </w:rPr>
            </w:pPr>
            <w:r>
              <w:rPr>
                <w:rFonts w:ascii="Arial" w:cs="Arial" w:eastAsia="Arial" w:hAnsi="Arial"/>
                <w:sz w:val="16"/>
                <w:szCs w:val="16"/>
                <w:b w:val="1"/>
                <w:bCs w:val="1"/>
                <w:color w:val="002060"/>
              </w:rPr>
              <w:t>23</w:t>
            </w:r>
          </w:p>
        </w:tc>
        <w:tc>
          <w:tcPr>
            <w:tcW w:w="1220" w:type="dxa"/>
            <w:vAlign w:val="bottom"/>
            <w:tcBorders>
              <w:bottom w:val="single" w:sz="8" w:color="0000EE"/>
            </w:tcBorders>
            <w:gridSpan w:val="3"/>
            <w:vMerge w:val="continue"/>
          </w:tcPr>
          <w:p>
            <w:pPr>
              <w:spacing w:after="0"/>
              <w:rPr>
                <w:sz w:val="11"/>
                <w:szCs w:val="11"/>
                <w:color w:val="auto"/>
              </w:rPr>
            </w:pPr>
          </w:p>
        </w:tc>
        <w:tc>
          <w:tcPr>
            <w:tcW w:w="1740" w:type="dxa"/>
            <w:vAlign w:val="bottom"/>
            <w:gridSpan w:val="12"/>
            <w:vMerge w:val="continue"/>
          </w:tcPr>
          <w:p>
            <w:pPr>
              <w:spacing w:after="0"/>
              <w:rPr>
                <w:sz w:val="11"/>
                <w:szCs w:val="11"/>
                <w:color w:val="auto"/>
              </w:rPr>
            </w:pPr>
          </w:p>
        </w:tc>
        <w:tc>
          <w:tcPr>
            <w:tcW w:w="1720" w:type="dxa"/>
            <w:vAlign w:val="bottom"/>
            <w:gridSpan w:val="10"/>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00" w:type="dxa"/>
            <w:vAlign w:val="bottom"/>
            <w:vMerge w:val="continue"/>
          </w:tcPr>
          <w:p>
            <w:pPr>
              <w:spacing w:after="0"/>
              <w:rPr>
                <w:sz w:val="10"/>
                <w:szCs w:val="10"/>
                <w:color w:val="auto"/>
              </w:rPr>
            </w:pPr>
          </w:p>
        </w:tc>
        <w:tc>
          <w:tcPr>
            <w:tcW w:w="1800" w:type="dxa"/>
            <w:vAlign w:val="bottom"/>
            <w:gridSpan w:val="7"/>
            <w:vMerge w:val="restart"/>
          </w:tcPr>
          <w:p>
            <w:pPr>
              <w:spacing w:after="0"/>
              <w:rPr>
                <w:sz w:val="20"/>
                <w:szCs w:val="20"/>
                <w:color w:val="auto"/>
              </w:rPr>
            </w:pPr>
            <w:r>
              <w:rPr>
                <w:rFonts w:ascii="Arial" w:cs="Arial" w:eastAsia="Arial" w:hAnsi="Arial"/>
                <w:sz w:val="16"/>
                <w:szCs w:val="16"/>
                <w:b w:val="1"/>
                <w:bCs w:val="1"/>
                <w:color w:val="0000EE"/>
              </w:rPr>
              <w:t>R</w:t>
            </w:r>
            <w:r>
              <w:rPr>
                <w:rFonts w:ascii="Arial" w:cs="Arial" w:eastAsia="Arial" w:hAnsi="Arial"/>
                <w:sz w:val="13"/>
                <w:szCs w:val="13"/>
                <w:b w:val="1"/>
                <w:bCs w:val="1"/>
                <w:color w:val="0000EE"/>
              </w:rPr>
              <w:t>EAL</w:t>
            </w:r>
            <w:r>
              <w:rPr>
                <w:rFonts w:ascii="Arial" w:cs="Arial" w:eastAsia="Arial" w:hAnsi="Arial"/>
                <w:sz w:val="16"/>
                <w:szCs w:val="16"/>
                <w:b w:val="1"/>
                <w:bCs w:val="1"/>
                <w:color w:val="0000EE"/>
              </w:rPr>
              <w:t xml:space="preserve"> P</w:t>
            </w:r>
            <w:r>
              <w:rPr>
                <w:rFonts w:ascii="Arial" w:cs="Arial" w:eastAsia="Arial" w:hAnsi="Arial"/>
                <w:sz w:val="13"/>
                <w:szCs w:val="13"/>
                <w:b w:val="1"/>
                <w:bCs w:val="1"/>
                <w:color w:val="0000EE"/>
              </w:rPr>
              <w:t>ROPERTY</w:t>
            </w:r>
            <w:r>
              <w:rPr>
                <w:rFonts w:ascii="Arial" w:cs="Arial" w:eastAsia="Arial" w:hAnsi="Arial"/>
                <w:sz w:val="16"/>
                <w:szCs w:val="16"/>
                <w:b w:val="1"/>
                <w:bCs w:val="1"/>
                <w:color w:val="0000EE"/>
              </w:rPr>
              <w:t xml:space="preserve"> L</w:t>
            </w:r>
            <w:r>
              <w:rPr>
                <w:rFonts w:ascii="Arial" w:cs="Arial" w:eastAsia="Arial" w:hAnsi="Arial"/>
                <w:sz w:val="13"/>
                <w:szCs w:val="13"/>
                <w:b w:val="1"/>
                <w:bCs w:val="1"/>
                <w:color w:val="0000EE"/>
              </w:rPr>
              <w:t>EASES</w:t>
            </w:r>
          </w:p>
        </w:tc>
        <w:tc>
          <w:tcPr>
            <w:tcW w:w="2880" w:type="dxa"/>
            <w:vAlign w:val="bottom"/>
            <w:gridSpan w:val="18"/>
            <w:vMerge w:val="restart"/>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002060"/>
              </w:rPr>
              <w:t>77</w:t>
            </w:r>
          </w:p>
        </w:tc>
        <w:tc>
          <w:tcPr>
            <w:tcW w:w="0" w:type="dxa"/>
            <w:vAlign w:val="bottom"/>
          </w:tcPr>
          <w:p>
            <w:pPr>
              <w:spacing w:after="0"/>
              <w:rPr>
                <w:sz w:val="1"/>
                <w:szCs w:val="1"/>
                <w:color w:val="auto"/>
              </w:rPr>
            </w:pPr>
          </w:p>
        </w:tc>
      </w:tr>
      <w:tr>
        <w:trPr>
          <w:trHeight w:val="134"/>
        </w:trPr>
        <w:tc>
          <w:tcPr>
            <w:tcW w:w="600" w:type="dxa"/>
            <w:vAlign w:val="bottom"/>
            <w:vMerge w:val="restart"/>
          </w:tcPr>
          <w:p>
            <w:pPr>
              <w:jc w:val="right"/>
              <w:ind w:right="318"/>
              <w:spacing w:after="0"/>
              <w:rPr>
                <w:sz w:val="20"/>
                <w:szCs w:val="20"/>
                <w:color w:val="auto"/>
              </w:rPr>
            </w:pPr>
            <w:r>
              <w:rPr>
                <w:rFonts w:ascii="Arial" w:cs="Arial" w:eastAsia="Arial" w:hAnsi="Arial"/>
                <w:sz w:val="16"/>
                <w:szCs w:val="16"/>
                <w:b w:val="1"/>
                <w:bCs w:val="1"/>
                <w:color w:val="002060"/>
              </w:rPr>
              <w:t>24</w:t>
            </w:r>
          </w:p>
        </w:tc>
        <w:tc>
          <w:tcPr>
            <w:tcW w:w="1800" w:type="dxa"/>
            <w:vAlign w:val="bottom"/>
            <w:tcBorders>
              <w:bottom w:val="single" w:sz="8" w:color="0000EE"/>
            </w:tcBorders>
            <w:gridSpan w:val="7"/>
            <w:vMerge w:val="continue"/>
          </w:tcPr>
          <w:p>
            <w:pPr>
              <w:spacing w:after="0"/>
              <w:rPr>
                <w:sz w:val="11"/>
                <w:szCs w:val="11"/>
                <w:color w:val="auto"/>
              </w:rPr>
            </w:pPr>
          </w:p>
        </w:tc>
        <w:tc>
          <w:tcPr>
            <w:tcW w:w="2880" w:type="dxa"/>
            <w:vAlign w:val="bottom"/>
            <w:gridSpan w:val="18"/>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00" w:type="dxa"/>
            <w:vAlign w:val="bottom"/>
            <w:vMerge w:val="continue"/>
          </w:tcPr>
          <w:p>
            <w:pPr>
              <w:spacing w:after="0"/>
              <w:rPr>
                <w:sz w:val="10"/>
                <w:szCs w:val="10"/>
                <w:color w:val="auto"/>
              </w:rPr>
            </w:pPr>
          </w:p>
        </w:tc>
        <w:tc>
          <w:tcPr>
            <w:tcW w:w="4680" w:type="dxa"/>
            <w:vAlign w:val="bottom"/>
            <w:gridSpan w:val="25"/>
            <w:vMerge w:val="restart"/>
          </w:tcPr>
          <w:p>
            <w:pPr>
              <w:spacing w:after="0"/>
              <w:rPr>
                <w:sz w:val="20"/>
                <w:szCs w:val="20"/>
                <w:color w:val="auto"/>
              </w:rPr>
            </w:pPr>
            <w:r>
              <w:rPr>
                <w:rFonts w:ascii="Arial" w:cs="Arial" w:eastAsia="Arial" w:hAnsi="Arial"/>
                <w:sz w:val="16"/>
                <w:szCs w:val="16"/>
                <w:b w:val="1"/>
                <w:bCs w:val="1"/>
                <w:color w:val="0000EE"/>
              </w:rPr>
              <w:t>E</w:t>
            </w:r>
            <w:r>
              <w:rPr>
                <w:rFonts w:ascii="Arial" w:cs="Arial" w:eastAsia="Arial" w:hAnsi="Arial"/>
                <w:sz w:val="13"/>
                <w:szCs w:val="13"/>
                <w:b w:val="1"/>
                <w:bCs w:val="1"/>
                <w:color w:val="0000EE"/>
              </w:rPr>
              <w:t>STIMATING</w:t>
            </w:r>
            <w:r>
              <w:rPr>
                <w:rFonts w:ascii="Arial" w:cs="Arial" w:eastAsia="Arial" w:hAnsi="Arial"/>
                <w:sz w:val="16"/>
                <w:szCs w:val="16"/>
                <w:b w:val="1"/>
                <w:bCs w:val="1"/>
                <w:color w:val="0000EE"/>
              </w:rPr>
              <w:t xml:space="preserve"> A</w:t>
            </w:r>
            <w:r>
              <w:rPr>
                <w:rFonts w:ascii="Arial" w:cs="Arial" w:eastAsia="Arial" w:hAnsi="Arial"/>
                <w:sz w:val="13"/>
                <w:szCs w:val="13"/>
                <w:b w:val="1"/>
                <w:bCs w:val="1"/>
                <w:color w:val="0000EE"/>
              </w:rPr>
              <w:t>GREEMENT</w:t>
            </w: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002060"/>
              </w:rPr>
              <w:t>77</w:t>
            </w:r>
          </w:p>
        </w:tc>
        <w:tc>
          <w:tcPr>
            <w:tcW w:w="0" w:type="dxa"/>
            <w:vAlign w:val="bottom"/>
          </w:tcPr>
          <w:p>
            <w:pPr>
              <w:spacing w:after="0"/>
              <w:rPr>
                <w:sz w:val="1"/>
                <w:szCs w:val="1"/>
                <w:color w:val="auto"/>
              </w:rPr>
            </w:pPr>
          </w:p>
        </w:tc>
      </w:tr>
      <w:tr>
        <w:trPr>
          <w:trHeight w:val="129"/>
        </w:trPr>
        <w:tc>
          <w:tcPr>
            <w:tcW w:w="600" w:type="dxa"/>
            <w:vAlign w:val="bottom"/>
            <w:vMerge w:val="restart"/>
          </w:tcPr>
          <w:p>
            <w:pPr>
              <w:jc w:val="right"/>
              <w:ind w:right="318"/>
              <w:spacing w:after="0"/>
              <w:rPr>
                <w:sz w:val="20"/>
                <w:szCs w:val="20"/>
                <w:color w:val="auto"/>
              </w:rPr>
            </w:pPr>
            <w:r>
              <w:rPr>
                <w:rFonts w:ascii="Arial" w:cs="Arial" w:eastAsia="Arial" w:hAnsi="Arial"/>
                <w:sz w:val="16"/>
                <w:szCs w:val="16"/>
                <w:b w:val="1"/>
                <w:bCs w:val="1"/>
                <w:color w:val="002060"/>
              </w:rPr>
              <w:t>24</w:t>
            </w:r>
          </w:p>
        </w:tc>
        <w:tc>
          <w:tcPr>
            <w:tcW w:w="4680" w:type="dxa"/>
            <w:vAlign w:val="bottom"/>
            <w:gridSpan w:val="25"/>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00" w:type="dxa"/>
            <w:vAlign w:val="bottom"/>
            <w:vMerge w:val="continue"/>
          </w:tcPr>
          <w:p>
            <w:pPr>
              <w:spacing w:after="0"/>
              <w:rPr>
                <w:sz w:val="10"/>
                <w:szCs w:val="10"/>
                <w:color w:val="auto"/>
              </w:rPr>
            </w:pPr>
          </w:p>
        </w:tc>
        <w:tc>
          <w:tcPr>
            <w:tcW w:w="1240" w:type="dxa"/>
            <w:vAlign w:val="bottom"/>
            <w:tcBorders>
              <w:top w:val="single" w:sz="8" w:color="0000EE"/>
            </w:tcBorders>
            <w:gridSpan w:val="4"/>
            <w:vMerge w:val="restart"/>
          </w:tcPr>
          <w:p>
            <w:pPr>
              <w:spacing w:after="0"/>
              <w:rPr>
                <w:sz w:val="20"/>
                <w:szCs w:val="20"/>
                <w:color w:val="auto"/>
              </w:rPr>
            </w:pPr>
            <w:r>
              <w:rPr>
                <w:rFonts w:ascii="Arial" w:cs="Arial" w:eastAsia="Arial" w:hAnsi="Arial"/>
                <w:sz w:val="16"/>
                <w:szCs w:val="16"/>
                <w:b w:val="1"/>
                <w:bCs w:val="1"/>
                <w:color w:val="0000EE"/>
              </w:rPr>
              <w:t>A</w:t>
            </w:r>
            <w:r>
              <w:rPr>
                <w:rFonts w:ascii="Arial" w:cs="Arial" w:eastAsia="Arial" w:hAnsi="Arial"/>
                <w:sz w:val="13"/>
                <w:szCs w:val="13"/>
                <w:b w:val="1"/>
                <w:bCs w:val="1"/>
                <w:color w:val="0000EE"/>
              </w:rPr>
              <w:t>IRCRAFT</w:t>
            </w:r>
            <w:r>
              <w:rPr>
                <w:rFonts w:ascii="Arial" w:cs="Arial" w:eastAsia="Arial" w:hAnsi="Arial"/>
                <w:sz w:val="16"/>
                <w:szCs w:val="16"/>
                <w:b w:val="1"/>
                <w:bCs w:val="1"/>
                <w:color w:val="0000EE"/>
              </w:rPr>
              <w:t xml:space="preserve"> L</w:t>
            </w:r>
            <w:r>
              <w:rPr>
                <w:rFonts w:ascii="Arial" w:cs="Arial" w:eastAsia="Arial" w:hAnsi="Arial"/>
                <w:sz w:val="13"/>
                <w:szCs w:val="13"/>
                <w:b w:val="1"/>
                <w:bCs w:val="1"/>
                <w:color w:val="0000EE"/>
              </w:rPr>
              <w:t>EASE</w:t>
            </w:r>
          </w:p>
        </w:tc>
        <w:tc>
          <w:tcPr>
            <w:tcW w:w="520" w:type="dxa"/>
            <w:vAlign w:val="bottom"/>
            <w:tcBorders>
              <w:top w:val="single" w:sz="8" w:color="0000EE"/>
            </w:tcBorders>
            <w:gridSpan w:val="2"/>
            <w:vMerge w:val="restart"/>
          </w:tcPr>
          <w:p>
            <w:pPr>
              <w:spacing w:after="0"/>
              <w:rPr>
                <w:sz w:val="10"/>
                <w:szCs w:val="10"/>
                <w:color w:val="auto"/>
              </w:rPr>
            </w:pPr>
          </w:p>
        </w:tc>
        <w:tc>
          <w:tcPr>
            <w:tcW w:w="2920" w:type="dxa"/>
            <w:vAlign w:val="bottom"/>
            <w:gridSpan w:val="19"/>
            <w:vMerge w:val="restart"/>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002060"/>
              </w:rPr>
              <w:t>77</w:t>
            </w:r>
          </w:p>
        </w:tc>
        <w:tc>
          <w:tcPr>
            <w:tcW w:w="0" w:type="dxa"/>
            <w:vAlign w:val="bottom"/>
          </w:tcPr>
          <w:p>
            <w:pPr>
              <w:spacing w:after="0"/>
              <w:rPr>
                <w:sz w:val="1"/>
                <w:szCs w:val="1"/>
                <w:color w:val="auto"/>
              </w:rPr>
            </w:pPr>
          </w:p>
        </w:tc>
      </w:tr>
      <w:tr>
        <w:trPr>
          <w:trHeight w:val="134"/>
        </w:trPr>
        <w:tc>
          <w:tcPr>
            <w:tcW w:w="600" w:type="dxa"/>
            <w:vAlign w:val="bottom"/>
            <w:vMerge w:val="restart"/>
          </w:tcPr>
          <w:p>
            <w:pPr>
              <w:jc w:val="right"/>
              <w:ind w:right="318"/>
              <w:spacing w:after="0"/>
              <w:rPr>
                <w:sz w:val="20"/>
                <w:szCs w:val="20"/>
                <w:color w:val="auto"/>
              </w:rPr>
            </w:pPr>
            <w:r>
              <w:rPr>
                <w:rFonts w:ascii="Arial" w:cs="Arial" w:eastAsia="Arial" w:hAnsi="Arial"/>
                <w:sz w:val="16"/>
                <w:szCs w:val="16"/>
                <w:b w:val="1"/>
                <w:bCs w:val="1"/>
                <w:color w:val="002060"/>
              </w:rPr>
              <w:t>24</w:t>
            </w:r>
          </w:p>
        </w:tc>
        <w:tc>
          <w:tcPr>
            <w:tcW w:w="1240" w:type="dxa"/>
            <w:vAlign w:val="bottom"/>
            <w:tcBorders>
              <w:bottom w:val="single" w:sz="8" w:color="0000EE"/>
            </w:tcBorders>
            <w:gridSpan w:val="4"/>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2920" w:type="dxa"/>
            <w:vAlign w:val="bottom"/>
            <w:gridSpan w:val="19"/>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00" w:type="dxa"/>
            <w:vAlign w:val="bottom"/>
            <w:vMerge w:val="continue"/>
          </w:tcPr>
          <w:p>
            <w:pPr>
              <w:spacing w:after="0"/>
              <w:rPr>
                <w:sz w:val="10"/>
                <w:szCs w:val="10"/>
                <w:color w:val="auto"/>
              </w:rPr>
            </w:pPr>
          </w:p>
        </w:tc>
        <w:tc>
          <w:tcPr>
            <w:tcW w:w="4680" w:type="dxa"/>
            <w:vAlign w:val="bottom"/>
            <w:gridSpan w:val="25"/>
            <w:vMerge w:val="restart"/>
          </w:tcPr>
          <w:p>
            <w:pPr>
              <w:spacing w:after="0"/>
              <w:rPr>
                <w:sz w:val="20"/>
                <w:szCs w:val="20"/>
                <w:color w:val="auto"/>
              </w:rPr>
            </w:pPr>
            <w:r>
              <w:rPr>
                <w:rFonts w:ascii="Arial" w:cs="Arial" w:eastAsia="Arial" w:hAnsi="Arial"/>
                <w:sz w:val="16"/>
                <w:szCs w:val="16"/>
                <w:b w:val="1"/>
                <w:bCs w:val="1"/>
                <w:color w:val="0000EE"/>
              </w:rPr>
              <w:t>P</w:t>
            </w:r>
            <w:r>
              <w:rPr>
                <w:rFonts w:ascii="Arial" w:cs="Arial" w:eastAsia="Arial" w:hAnsi="Arial"/>
                <w:sz w:val="13"/>
                <w:szCs w:val="13"/>
                <w:b w:val="1"/>
                <w:bCs w:val="1"/>
                <w:color w:val="0000EE"/>
              </w:rPr>
              <w:t>OLICIES AND</w:t>
            </w:r>
            <w:r>
              <w:rPr>
                <w:rFonts w:ascii="Arial" w:cs="Arial" w:eastAsia="Arial" w:hAnsi="Arial"/>
                <w:sz w:val="16"/>
                <w:szCs w:val="16"/>
                <w:b w:val="1"/>
                <w:bCs w:val="1"/>
                <w:color w:val="0000EE"/>
              </w:rPr>
              <w:t xml:space="preserve"> P</w:t>
            </w:r>
            <w:r>
              <w:rPr>
                <w:rFonts w:ascii="Arial" w:cs="Arial" w:eastAsia="Arial" w:hAnsi="Arial"/>
                <w:sz w:val="13"/>
                <w:szCs w:val="13"/>
                <w:b w:val="1"/>
                <w:bCs w:val="1"/>
                <w:color w:val="0000EE"/>
              </w:rPr>
              <w:t>ROCEDURES FOR</w:t>
            </w:r>
            <w:r>
              <w:rPr>
                <w:rFonts w:ascii="Arial" w:cs="Arial" w:eastAsia="Arial" w:hAnsi="Arial"/>
                <w:sz w:val="16"/>
                <w:szCs w:val="16"/>
                <w:b w:val="1"/>
                <w:bCs w:val="1"/>
                <w:color w:val="0000EE"/>
              </w:rPr>
              <w:t xml:space="preserve"> R</w:t>
            </w:r>
            <w:r>
              <w:rPr>
                <w:rFonts w:ascii="Arial" w:cs="Arial" w:eastAsia="Arial" w:hAnsi="Arial"/>
                <w:sz w:val="13"/>
                <w:szCs w:val="13"/>
                <w:b w:val="1"/>
                <w:bCs w:val="1"/>
                <w:color w:val="0000EE"/>
              </w:rPr>
              <w:t>ELATED</w:t>
            </w:r>
            <w:r>
              <w:rPr>
                <w:rFonts w:ascii="Arial" w:cs="Arial" w:eastAsia="Arial" w:hAnsi="Arial"/>
                <w:sz w:val="16"/>
                <w:szCs w:val="16"/>
                <w:b w:val="1"/>
                <w:bCs w:val="1"/>
                <w:color w:val="0000EE"/>
              </w:rPr>
              <w:t xml:space="preserve"> P</w:t>
            </w:r>
            <w:r>
              <w:rPr>
                <w:rFonts w:ascii="Arial" w:cs="Arial" w:eastAsia="Arial" w:hAnsi="Arial"/>
                <w:sz w:val="13"/>
                <w:szCs w:val="13"/>
                <w:b w:val="1"/>
                <w:bCs w:val="1"/>
                <w:color w:val="0000EE"/>
              </w:rPr>
              <w:t>ARTY</w:t>
            </w:r>
            <w:r>
              <w:rPr>
                <w:rFonts w:ascii="Arial" w:cs="Arial" w:eastAsia="Arial" w:hAnsi="Arial"/>
                <w:sz w:val="16"/>
                <w:szCs w:val="16"/>
                <w:b w:val="1"/>
                <w:bCs w:val="1"/>
                <w:color w:val="0000EE"/>
              </w:rPr>
              <w:t xml:space="preserve"> T</w:t>
            </w:r>
            <w:r>
              <w:rPr>
                <w:rFonts w:ascii="Arial" w:cs="Arial" w:eastAsia="Arial" w:hAnsi="Arial"/>
                <w:sz w:val="13"/>
                <w:szCs w:val="13"/>
                <w:b w:val="1"/>
                <w:bCs w:val="1"/>
                <w:color w:val="0000EE"/>
              </w:rPr>
              <w:t>RANSACTIONS</w:t>
            </w: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002060"/>
              </w:rPr>
              <w:t>78</w:t>
            </w:r>
          </w:p>
        </w:tc>
        <w:tc>
          <w:tcPr>
            <w:tcW w:w="0" w:type="dxa"/>
            <w:vAlign w:val="bottom"/>
          </w:tcPr>
          <w:p>
            <w:pPr>
              <w:spacing w:after="0"/>
              <w:rPr>
                <w:sz w:val="1"/>
                <w:szCs w:val="1"/>
                <w:color w:val="auto"/>
              </w:rPr>
            </w:pPr>
          </w:p>
        </w:tc>
      </w:tr>
      <w:tr>
        <w:trPr>
          <w:trHeight w:val="134"/>
        </w:trPr>
        <w:tc>
          <w:tcPr>
            <w:tcW w:w="600" w:type="dxa"/>
            <w:vAlign w:val="bottom"/>
            <w:vMerge w:val="restart"/>
          </w:tcPr>
          <w:p>
            <w:pPr>
              <w:jc w:val="right"/>
              <w:ind w:right="318"/>
              <w:spacing w:after="0"/>
              <w:rPr>
                <w:sz w:val="20"/>
                <w:szCs w:val="20"/>
                <w:color w:val="auto"/>
              </w:rPr>
            </w:pPr>
            <w:r>
              <w:rPr>
                <w:rFonts w:ascii="Arial" w:cs="Arial" w:eastAsia="Arial" w:hAnsi="Arial"/>
                <w:sz w:val="16"/>
                <w:szCs w:val="16"/>
                <w:b w:val="1"/>
                <w:bCs w:val="1"/>
                <w:color w:val="002060"/>
              </w:rPr>
              <w:t>28</w:t>
            </w:r>
          </w:p>
        </w:tc>
        <w:tc>
          <w:tcPr>
            <w:tcW w:w="4680" w:type="dxa"/>
            <w:vAlign w:val="bottom"/>
            <w:tcBorders>
              <w:bottom w:val="single" w:sz="8" w:color="0000EE"/>
            </w:tcBorders>
            <w:gridSpan w:val="25"/>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00" w:type="dxa"/>
            <w:vAlign w:val="bottom"/>
            <w:vMerge w:val="continue"/>
          </w:tcPr>
          <w:p>
            <w:pPr>
              <w:spacing w:after="0"/>
              <w:rPr>
                <w:sz w:val="10"/>
                <w:szCs w:val="10"/>
                <w:color w:val="auto"/>
              </w:rPr>
            </w:pPr>
          </w:p>
        </w:tc>
        <w:tc>
          <w:tcPr>
            <w:tcW w:w="4680" w:type="dxa"/>
            <w:vAlign w:val="bottom"/>
            <w:gridSpan w:val="25"/>
            <w:vMerge w:val="restart"/>
          </w:tcPr>
          <w:p>
            <w:pPr>
              <w:spacing w:after="0"/>
              <w:rPr>
                <w:sz w:val="20"/>
                <w:szCs w:val="20"/>
                <w:color w:val="auto"/>
              </w:rPr>
            </w:pPr>
            <w:r>
              <w:rPr>
                <w:rFonts w:ascii="Arial" w:cs="Arial" w:eastAsia="Arial" w:hAnsi="Arial"/>
                <w:sz w:val="18"/>
                <w:szCs w:val="18"/>
                <w:b w:val="1"/>
                <w:bCs w:val="1"/>
                <w:color w:val="0000EE"/>
                <w:w w:val="99"/>
              </w:rPr>
              <w:t>STOCKHOLDER PROPOSALS FOR THE 2025 ANNUAL</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600" w:type="dxa"/>
            <w:vAlign w:val="bottom"/>
            <w:vMerge w:val="restart"/>
          </w:tcPr>
          <w:p>
            <w:pPr>
              <w:jc w:val="right"/>
              <w:ind w:right="318"/>
              <w:spacing w:after="0"/>
              <w:rPr>
                <w:sz w:val="20"/>
                <w:szCs w:val="20"/>
                <w:color w:val="auto"/>
              </w:rPr>
            </w:pPr>
            <w:r>
              <w:rPr>
                <w:rFonts w:ascii="Arial" w:cs="Arial" w:eastAsia="Arial" w:hAnsi="Arial"/>
                <w:sz w:val="16"/>
                <w:szCs w:val="16"/>
                <w:b w:val="1"/>
                <w:bCs w:val="1"/>
                <w:color w:val="002060"/>
              </w:rPr>
              <w:t>28</w:t>
            </w:r>
          </w:p>
        </w:tc>
        <w:tc>
          <w:tcPr>
            <w:tcW w:w="4680" w:type="dxa"/>
            <w:vAlign w:val="bottom"/>
            <w:gridSpan w:val="25"/>
            <w:vMerge w:val="continue"/>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600" w:type="dxa"/>
            <w:vAlign w:val="bottom"/>
            <w:vMerge w:val="continue"/>
          </w:tcPr>
          <w:p>
            <w:pPr>
              <w:spacing w:after="0"/>
              <w:rPr>
                <w:sz w:val="9"/>
                <w:szCs w:val="9"/>
                <w:color w:val="auto"/>
              </w:rPr>
            </w:pPr>
          </w:p>
        </w:tc>
        <w:tc>
          <w:tcPr>
            <w:tcW w:w="880" w:type="dxa"/>
            <w:vAlign w:val="bottom"/>
            <w:tcBorders>
              <w:top w:val="single" w:sz="8" w:color="0000EE"/>
            </w:tcBorders>
            <w:vMerge w:val="restart"/>
          </w:tcPr>
          <w:p>
            <w:pPr>
              <w:spacing w:after="0" w:line="182" w:lineRule="exact"/>
              <w:rPr>
                <w:sz w:val="20"/>
                <w:szCs w:val="20"/>
                <w:color w:val="auto"/>
              </w:rPr>
            </w:pPr>
            <w:r>
              <w:rPr>
                <w:rFonts w:ascii="Arial" w:cs="Arial" w:eastAsia="Arial" w:hAnsi="Arial"/>
                <w:sz w:val="18"/>
                <w:szCs w:val="18"/>
                <w:b w:val="1"/>
                <w:bCs w:val="1"/>
                <w:color w:val="0000EE"/>
              </w:rPr>
              <w:t>MEETING</w:t>
            </w:r>
          </w:p>
        </w:tc>
        <w:tc>
          <w:tcPr>
            <w:tcW w:w="3780" w:type="dxa"/>
            <w:vAlign w:val="bottom"/>
            <w:tcBorders>
              <w:top w:val="single" w:sz="8" w:color="0000EE"/>
            </w:tcBorders>
            <w:gridSpan w:val="23"/>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660" w:type="dxa"/>
            <w:vAlign w:val="bottom"/>
            <w:vMerge w:val="restart"/>
          </w:tcPr>
          <w:p>
            <w:pPr>
              <w:jc w:val="right"/>
              <w:spacing w:after="0" w:line="182" w:lineRule="exact"/>
              <w:rPr>
                <w:sz w:val="20"/>
                <w:szCs w:val="20"/>
                <w:color w:val="auto"/>
              </w:rPr>
            </w:pPr>
            <w:r>
              <w:rPr>
                <w:rFonts w:ascii="Arial" w:cs="Arial" w:eastAsia="Arial" w:hAnsi="Arial"/>
                <w:sz w:val="18"/>
                <w:szCs w:val="18"/>
                <w:b w:val="1"/>
                <w:bCs w:val="1"/>
                <w:color w:val="0070C0"/>
              </w:rPr>
              <w:t>80</w:t>
            </w:r>
          </w:p>
        </w:tc>
        <w:tc>
          <w:tcPr>
            <w:tcW w:w="0" w:type="dxa"/>
            <w:vAlign w:val="bottom"/>
          </w:tcPr>
          <w:p>
            <w:pPr>
              <w:spacing w:after="0"/>
              <w:rPr>
                <w:sz w:val="1"/>
                <w:szCs w:val="1"/>
                <w:color w:val="auto"/>
              </w:rPr>
            </w:pPr>
          </w:p>
        </w:tc>
      </w:tr>
      <w:tr>
        <w:trPr>
          <w:trHeight w:val="80"/>
        </w:trPr>
        <w:tc>
          <w:tcPr>
            <w:tcW w:w="600" w:type="dxa"/>
            <w:vAlign w:val="bottom"/>
            <w:vMerge w:val="restart"/>
          </w:tcPr>
          <w:p>
            <w:pPr>
              <w:jc w:val="right"/>
              <w:ind w:right="318"/>
              <w:spacing w:after="0"/>
              <w:rPr>
                <w:sz w:val="20"/>
                <w:szCs w:val="20"/>
                <w:color w:val="auto"/>
              </w:rPr>
            </w:pPr>
            <w:r>
              <w:rPr>
                <w:rFonts w:ascii="Arial" w:cs="Arial" w:eastAsia="Arial" w:hAnsi="Arial"/>
                <w:sz w:val="16"/>
                <w:szCs w:val="16"/>
                <w:b w:val="1"/>
                <w:bCs w:val="1"/>
                <w:color w:val="002060"/>
              </w:rPr>
              <w:t>28</w:t>
            </w:r>
          </w:p>
        </w:tc>
        <w:tc>
          <w:tcPr>
            <w:tcW w:w="880" w:type="dxa"/>
            <w:vAlign w:val="bottom"/>
            <w:tcBorders>
              <w:bottom w:val="single" w:sz="8" w:color="0000EE"/>
            </w:tcBorders>
            <w:vMerge w:val="continue"/>
          </w:tcPr>
          <w:p>
            <w:pPr>
              <w:spacing w:after="0"/>
              <w:rPr>
                <w:sz w:val="6"/>
                <w:szCs w:val="6"/>
                <w:color w:val="auto"/>
              </w:rPr>
            </w:pPr>
          </w:p>
        </w:tc>
        <w:tc>
          <w:tcPr>
            <w:tcW w:w="3780" w:type="dxa"/>
            <w:vAlign w:val="bottom"/>
            <w:gridSpan w:val="23"/>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600" w:type="dxa"/>
            <w:vAlign w:val="bottom"/>
            <w:vMerge w:val="continue"/>
          </w:tcPr>
          <w:p>
            <w:pPr>
              <w:spacing w:after="0"/>
              <w:rPr>
                <w:sz w:val="15"/>
                <w:szCs w:val="15"/>
                <w:color w:val="auto"/>
              </w:rPr>
            </w:pPr>
          </w:p>
        </w:tc>
        <w:tc>
          <w:tcPr>
            <w:tcW w:w="3940" w:type="dxa"/>
            <w:vAlign w:val="bottom"/>
            <w:gridSpan w:val="21"/>
            <w:vMerge w:val="restart"/>
          </w:tcPr>
          <w:p>
            <w:pPr>
              <w:spacing w:after="0"/>
              <w:rPr>
                <w:sz w:val="20"/>
                <w:szCs w:val="20"/>
                <w:color w:val="auto"/>
              </w:rPr>
            </w:pPr>
            <w:r>
              <w:rPr>
                <w:rFonts w:ascii="Arial" w:cs="Arial" w:eastAsia="Arial" w:hAnsi="Arial"/>
                <w:sz w:val="16"/>
                <w:szCs w:val="16"/>
                <w:b w:val="1"/>
                <w:bCs w:val="1"/>
                <w:color w:val="0000EE"/>
              </w:rPr>
              <w:t>P</w:t>
            </w:r>
            <w:r>
              <w:rPr>
                <w:rFonts w:ascii="Arial" w:cs="Arial" w:eastAsia="Arial" w:hAnsi="Arial"/>
                <w:sz w:val="13"/>
                <w:szCs w:val="13"/>
                <w:b w:val="1"/>
                <w:bCs w:val="1"/>
                <w:color w:val="0000EE"/>
              </w:rPr>
              <w:t>ROPOSALS FOR</w:t>
            </w:r>
            <w:r>
              <w:rPr>
                <w:rFonts w:ascii="Arial" w:cs="Arial" w:eastAsia="Arial" w:hAnsi="Arial"/>
                <w:sz w:val="16"/>
                <w:szCs w:val="16"/>
                <w:b w:val="1"/>
                <w:bCs w:val="1"/>
                <w:color w:val="0000EE"/>
              </w:rPr>
              <w:t xml:space="preserve"> I</w:t>
            </w:r>
            <w:r>
              <w:rPr>
                <w:rFonts w:ascii="Arial" w:cs="Arial" w:eastAsia="Arial" w:hAnsi="Arial"/>
                <w:sz w:val="13"/>
                <w:szCs w:val="13"/>
                <w:b w:val="1"/>
                <w:bCs w:val="1"/>
                <w:color w:val="0000EE"/>
              </w:rPr>
              <w:t>NCLUSION IN</w:t>
            </w:r>
            <w:r>
              <w:rPr>
                <w:rFonts w:ascii="Arial" w:cs="Arial" w:eastAsia="Arial" w:hAnsi="Arial"/>
                <w:sz w:val="16"/>
                <w:szCs w:val="16"/>
                <w:b w:val="1"/>
                <w:bCs w:val="1"/>
                <w:color w:val="0000EE"/>
              </w:rPr>
              <w:t xml:space="preserve"> O</w:t>
            </w:r>
            <w:r>
              <w:rPr>
                <w:rFonts w:ascii="Arial" w:cs="Arial" w:eastAsia="Arial" w:hAnsi="Arial"/>
                <w:sz w:val="13"/>
                <w:szCs w:val="13"/>
                <w:b w:val="1"/>
                <w:bCs w:val="1"/>
                <w:color w:val="0000EE"/>
              </w:rPr>
              <w:t>UR</w:t>
            </w:r>
            <w:r>
              <w:rPr>
                <w:rFonts w:ascii="Arial" w:cs="Arial" w:eastAsia="Arial" w:hAnsi="Arial"/>
                <w:sz w:val="16"/>
                <w:szCs w:val="16"/>
                <w:b w:val="1"/>
                <w:bCs w:val="1"/>
                <w:color w:val="0000EE"/>
              </w:rPr>
              <w:t xml:space="preserve"> P</w:t>
            </w:r>
            <w:r>
              <w:rPr>
                <w:rFonts w:ascii="Arial" w:cs="Arial" w:eastAsia="Arial" w:hAnsi="Arial"/>
                <w:sz w:val="13"/>
                <w:szCs w:val="13"/>
                <w:b w:val="1"/>
                <w:bCs w:val="1"/>
                <w:color w:val="0000EE"/>
              </w:rPr>
              <w:t>ROXY</w:t>
            </w:r>
            <w:r>
              <w:rPr>
                <w:rFonts w:ascii="Arial" w:cs="Arial" w:eastAsia="Arial" w:hAnsi="Arial"/>
                <w:sz w:val="16"/>
                <w:szCs w:val="16"/>
                <w:b w:val="1"/>
                <w:bCs w:val="1"/>
                <w:color w:val="0000EE"/>
              </w:rPr>
              <w:t xml:space="preserve"> S</w:t>
            </w:r>
            <w:r>
              <w:rPr>
                <w:rFonts w:ascii="Arial" w:cs="Arial" w:eastAsia="Arial" w:hAnsi="Arial"/>
                <w:sz w:val="13"/>
                <w:szCs w:val="13"/>
                <w:b w:val="1"/>
                <w:bCs w:val="1"/>
                <w:color w:val="0000EE"/>
              </w:rPr>
              <w:t>TATEMENT</w:t>
            </w:r>
          </w:p>
        </w:tc>
        <w:tc>
          <w:tcPr>
            <w:tcW w:w="740" w:type="dxa"/>
            <w:vAlign w:val="bottom"/>
            <w:gridSpan w:val="4"/>
            <w:vMerge w:val="restart"/>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002060"/>
              </w:rPr>
              <w:t>80</w:t>
            </w:r>
          </w:p>
        </w:tc>
        <w:tc>
          <w:tcPr>
            <w:tcW w:w="0" w:type="dxa"/>
            <w:vAlign w:val="bottom"/>
          </w:tcPr>
          <w:p>
            <w:pPr>
              <w:spacing w:after="0"/>
              <w:rPr>
                <w:sz w:val="1"/>
                <w:szCs w:val="1"/>
                <w:color w:val="auto"/>
              </w:rPr>
            </w:pPr>
          </w:p>
        </w:tc>
      </w:tr>
      <w:tr>
        <w:trPr>
          <w:trHeight w:val="80"/>
        </w:trPr>
        <w:tc>
          <w:tcPr>
            <w:tcW w:w="600" w:type="dxa"/>
            <w:vAlign w:val="bottom"/>
            <w:vMerge w:val="restart"/>
          </w:tcPr>
          <w:p>
            <w:pPr>
              <w:jc w:val="right"/>
              <w:ind w:right="318"/>
              <w:spacing w:after="0"/>
              <w:rPr>
                <w:sz w:val="20"/>
                <w:szCs w:val="20"/>
                <w:color w:val="auto"/>
              </w:rPr>
            </w:pPr>
            <w:r>
              <w:rPr>
                <w:rFonts w:ascii="Arial" w:cs="Arial" w:eastAsia="Arial" w:hAnsi="Arial"/>
                <w:sz w:val="16"/>
                <w:szCs w:val="16"/>
                <w:b w:val="1"/>
                <w:bCs w:val="1"/>
                <w:color w:val="002060"/>
              </w:rPr>
              <w:t>29</w:t>
            </w:r>
          </w:p>
        </w:tc>
        <w:tc>
          <w:tcPr>
            <w:tcW w:w="3940" w:type="dxa"/>
            <w:vAlign w:val="bottom"/>
            <w:tcBorders>
              <w:bottom w:val="single" w:sz="8" w:color="0000EE"/>
            </w:tcBorders>
            <w:gridSpan w:val="21"/>
            <w:vMerge w:val="continue"/>
          </w:tcPr>
          <w:p>
            <w:pPr>
              <w:spacing w:after="0"/>
              <w:rPr>
                <w:sz w:val="6"/>
                <w:szCs w:val="6"/>
                <w:color w:val="auto"/>
              </w:rPr>
            </w:pPr>
          </w:p>
        </w:tc>
        <w:tc>
          <w:tcPr>
            <w:tcW w:w="740" w:type="dxa"/>
            <w:vAlign w:val="bottom"/>
            <w:gridSpan w:val="4"/>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600" w:type="dxa"/>
            <w:vAlign w:val="bottom"/>
            <w:vMerge w:val="continue"/>
          </w:tcPr>
          <w:p>
            <w:pPr>
              <w:spacing w:after="0"/>
              <w:rPr>
                <w:sz w:val="15"/>
                <w:szCs w:val="15"/>
                <w:color w:val="auto"/>
              </w:rPr>
            </w:pPr>
          </w:p>
        </w:tc>
        <w:tc>
          <w:tcPr>
            <w:tcW w:w="4560" w:type="dxa"/>
            <w:vAlign w:val="bottom"/>
            <w:gridSpan w:val="23"/>
            <w:vMerge w:val="restart"/>
          </w:tcPr>
          <w:p>
            <w:pPr>
              <w:spacing w:after="0"/>
              <w:rPr>
                <w:sz w:val="20"/>
                <w:szCs w:val="20"/>
                <w:color w:val="auto"/>
              </w:rPr>
            </w:pPr>
            <w:r>
              <w:rPr>
                <w:rFonts w:ascii="Arial" w:cs="Arial" w:eastAsia="Arial" w:hAnsi="Arial"/>
                <w:sz w:val="16"/>
                <w:szCs w:val="16"/>
                <w:b w:val="1"/>
                <w:bCs w:val="1"/>
                <w:color w:val="0000EE"/>
              </w:rPr>
              <w:t>D</w:t>
            </w:r>
            <w:r>
              <w:rPr>
                <w:rFonts w:ascii="Arial" w:cs="Arial" w:eastAsia="Arial" w:hAnsi="Arial"/>
                <w:sz w:val="13"/>
                <w:szCs w:val="13"/>
                <w:b w:val="1"/>
                <w:bCs w:val="1"/>
                <w:color w:val="0000EE"/>
              </w:rPr>
              <w:t>IRECTOR</w:t>
            </w:r>
            <w:r>
              <w:rPr>
                <w:rFonts w:ascii="Arial" w:cs="Arial" w:eastAsia="Arial" w:hAnsi="Arial"/>
                <w:sz w:val="16"/>
                <w:szCs w:val="16"/>
                <w:b w:val="1"/>
                <w:bCs w:val="1"/>
                <w:color w:val="0000EE"/>
              </w:rPr>
              <w:t xml:space="preserve"> N</w:t>
            </w:r>
            <w:r>
              <w:rPr>
                <w:rFonts w:ascii="Arial" w:cs="Arial" w:eastAsia="Arial" w:hAnsi="Arial"/>
                <w:sz w:val="13"/>
                <w:szCs w:val="13"/>
                <w:b w:val="1"/>
                <w:bCs w:val="1"/>
                <w:color w:val="0000EE"/>
              </w:rPr>
              <w:t>OMINEES FOR</w:t>
            </w:r>
            <w:r>
              <w:rPr>
                <w:rFonts w:ascii="Arial" w:cs="Arial" w:eastAsia="Arial" w:hAnsi="Arial"/>
                <w:sz w:val="16"/>
                <w:szCs w:val="16"/>
                <w:b w:val="1"/>
                <w:bCs w:val="1"/>
                <w:color w:val="0000EE"/>
              </w:rPr>
              <w:t xml:space="preserve"> I</w:t>
            </w:r>
            <w:r>
              <w:rPr>
                <w:rFonts w:ascii="Arial" w:cs="Arial" w:eastAsia="Arial" w:hAnsi="Arial"/>
                <w:sz w:val="13"/>
                <w:szCs w:val="13"/>
                <w:b w:val="1"/>
                <w:bCs w:val="1"/>
                <w:color w:val="0000EE"/>
              </w:rPr>
              <w:t>NCLUSION IN OUR</w:t>
            </w:r>
            <w:r>
              <w:rPr>
                <w:rFonts w:ascii="Arial" w:cs="Arial" w:eastAsia="Arial" w:hAnsi="Arial"/>
                <w:sz w:val="16"/>
                <w:szCs w:val="16"/>
                <w:b w:val="1"/>
                <w:bCs w:val="1"/>
                <w:color w:val="0000EE"/>
              </w:rPr>
              <w:t xml:space="preserve"> P</w:t>
            </w:r>
            <w:r>
              <w:rPr>
                <w:rFonts w:ascii="Arial" w:cs="Arial" w:eastAsia="Arial" w:hAnsi="Arial"/>
                <w:sz w:val="13"/>
                <w:szCs w:val="13"/>
                <w:b w:val="1"/>
                <w:bCs w:val="1"/>
                <w:color w:val="0000EE"/>
              </w:rPr>
              <w:t>ROXY</w:t>
            </w:r>
            <w:r>
              <w:rPr>
                <w:rFonts w:ascii="Arial" w:cs="Arial" w:eastAsia="Arial" w:hAnsi="Arial"/>
                <w:sz w:val="16"/>
                <w:szCs w:val="16"/>
                <w:b w:val="1"/>
                <w:bCs w:val="1"/>
                <w:color w:val="0000EE"/>
              </w:rPr>
              <w:t xml:space="preserve"> S</w:t>
            </w:r>
            <w:r>
              <w:rPr>
                <w:rFonts w:ascii="Arial" w:cs="Arial" w:eastAsia="Arial" w:hAnsi="Arial"/>
                <w:sz w:val="13"/>
                <w:szCs w:val="13"/>
                <w:b w:val="1"/>
                <w:bCs w:val="1"/>
                <w:color w:val="0000EE"/>
              </w:rPr>
              <w:t>TATEMENT</w:t>
            </w:r>
          </w:p>
        </w:tc>
        <w:tc>
          <w:tcPr>
            <w:tcW w:w="120" w:type="dxa"/>
            <w:vAlign w:val="bottom"/>
            <w:gridSpan w:val="2"/>
            <w:vMerge w:val="restart"/>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002060"/>
              </w:rPr>
              <w:t>80</w:t>
            </w:r>
          </w:p>
        </w:tc>
        <w:tc>
          <w:tcPr>
            <w:tcW w:w="0" w:type="dxa"/>
            <w:vAlign w:val="bottom"/>
          </w:tcPr>
          <w:p>
            <w:pPr>
              <w:spacing w:after="0"/>
              <w:rPr>
                <w:sz w:val="1"/>
                <w:szCs w:val="1"/>
                <w:color w:val="auto"/>
              </w:rPr>
            </w:pPr>
          </w:p>
        </w:tc>
      </w:tr>
      <w:tr>
        <w:trPr>
          <w:trHeight w:val="80"/>
        </w:trPr>
        <w:tc>
          <w:tcPr>
            <w:tcW w:w="600" w:type="dxa"/>
            <w:vAlign w:val="bottom"/>
            <w:vMerge w:val="restart"/>
          </w:tcPr>
          <w:p>
            <w:pPr>
              <w:jc w:val="right"/>
              <w:ind w:right="318"/>
              <w:spacing w:after="0"/>
              <w:rPr>
                <w:sz w:val="20"/>
                <w:szCs w:val="20"/>
                <w:color w:val="auto"/>
              </w:rPr>
            </w:pPr>
            <w:r>
              <w:rPr>
                <w:rFonts w:ascii="Arial" w:cs="Arial" w:eastAsia="Arial" w:hAnsi="Arial"/>
                <w:sz w:val="16"/>
                <w:szCs w:val="16"/>
                <w:b w:val="1"/>
                <w:bCs w:val="1"/>
                <w:color w:val="002060"/>
              </w:rPr>
              <w:t>29</w:t>
            </w:r>
          </w:p>
        </w:tc>
        <w:tc>
          <w:tcPr>
            <w:tcW w:w="4560" w:type="dxa"/>
            <w:vAlign w:val="bottom"/>
            <w:tcBorders>
              <w:bottom w:val="single" w:sz="8" w:color="0000EE"/>
            </w:tcBorders>
            <w:gridSpan w:val="23"/>
            <w:vMerge w:val="continue"/>
          </w:tcPr>
          <w:p>
            <w:pPr>
              <w:spacing w:after="0"/>
              <w:rPr>
                <w:sz w:val="6"/>
                <w:szCs w:val="6"/>
                <w:color w:val="auto"/>
              </w:rPr>
            </w:pPr>
          </w:p>
        </w:tc>
        <w:tc>
          <w:tcPr>
            <w:tcW w:w="12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600" w:type="dxa"/>
            <w:vAlign w:val="bottom"/>
            <w:vMerge w:val="continue"/>
          </w:tcPr>
          <w:p>
            <w:pPr>
              <w:spacing w:after="0"/>
              <w:rPr>
                <w:sz w:val="15"/>
                <w:szCs w:val="15"/>
                <w:color w:val="auto"/>
              </w:rPr>
            </w:pPr>
          </w:p>
        </w:tc>
        <w:tc>
          <w:tcPr>
            <w:tcW w:w="4680" w:type="dxa"/>
            <w:vAlign w:val="bottom"/>
            <w:gridSpan w:val="25"/>
            <w:vMerge w:val="restart"/>
          </w:tcPr>
          <w:p>
            <w:pPr>
              <w:spacing w:after="0"/>
              <w:rPr>
                <w:sz w:val="20"/>
                <w:szCs w:val="20"/>
                <w:color w:val="auto"/>
              </w:rPr>
            </w:pPr>
            <w:r>
              <w:rPr>
                <w:rFonts w:ascii="Arial" w:cs="Arial" w:eastAsia="Arial" w:hAnsi="Arial"/>
                <w:sz w:val="16"/>
                <w:szCs w:val="16"/>
                <w:b w:val="1"/>
                <w:bCs w:val="1"/>
                <w:color w:val="0000EE"/>
              </w:rPr>
              <w:t>O</w:t>
            </w:r>
            <w:r>
              <w:rPr>
                <w:rFonts w:ascii="Arial" w:cs="Arial" w:eastAsia="Arial" w:hAnsi="Arial"/>
                <w:sz w:val="13"/>
                <w:szCs w:val="13"/>
                <w:b w:val="1"/>
                <w:bCs w:val="1"/>
                <w:color w:val="0000EE"/>
              </w:rPr>
              <w:t>THER</w:t>
            </w:r>
            <w:r>
              <w:rPr>
                <w:rFonts w:ascii="Arial" w:cs="Arial" w:eastAsia="Arial" w:hAnsi="Arial"/>
                <w:sz w:val="16"/>
                <w:szCs w:val="16"/>
                <w:b w:val="1"/>
                <w:bCs w:val="1"/>
                <w:color w:val="0000EE"/>
              </w:rPr>
              <w:t xml:space="preserve"> P</w:t>
            </w:r>
            <w:r>
              <w:rPr>
                <w:rFonts w:ascii="Arial" w:cs="Arial" w:eastAsia="Arial" w:hAnsi="Arial"/>
                <w:sz w:val="13"/>
                <w:szCs w:val="13"/>
                <w:b w:val="1"/>
                <w:bCs w:val="1"/>
                <w:color w:val="0000EE"/>
              </w:rPr>
              <w:t>ROPOSALS FOR THE</w:t>
            </w:r>
            <w:r>
              <w:rPr>
                <w:rFonts w:ascii="Arial" w:cs="Arial" w:eastAsia="Arial" w:hAnsi="Arial"/>
                <w:sz w:val="16"/>
                <w:szCs w:val="16"/>
                <w:b w:val="1"/>
                <w:bCs w:val="1"/>
                <w:color w:val="0000EE"/>
              </w:rPr>
              <w:t xml:space="preserve"> 2025 A</w:t>
            </w:r>
            <w:r>
              <w:rPr>
                <w:rFonts w:ascii="Arial" w:cs="Arial" w:eastAsia="Arial" w:hAnsi="Arial"/>
                <w:sz w:val="13"/>
                <w:szCs w:val="13"/>
                <w:b w:val="1"/>
                <w:bCs w:val="1"/>
                <w:color w:val="0000EE"/>
              </w:rPr>
              <w:t>NNUAL</w:t>
            </w:r>
            <w:r>
              <w:rPr>
                <w:rFonts w:ascii="Arial" w:cs="Arial" w:eastAsia="Arial" w:hAnsi="Arial"/>
                <w:sz w:val="16"/>
                <w:szCs w:val="16"/>
                <w:b w:val="1"/>
                <w:bCs w:val="1"/>
                <w:color w:val="0000EE"/>
              </w:rPr>
              <w:t xml:space="preserve"> M</w:t>
            </w:r>
            <w:r>
              <w:rPr>
                <w:rFonts w:ascii="Arial" w:cs="Arial" w:eastAsia="Arial" w:hAnsi="Arial"/>
                <w:sz w:val="13"/>
                <w:szCs w:val="13"/>
                <w:b w:val="1"/>
                <w:bCs w:val="1"/>
                <w:color w:val="0000EE"/>
              </w:rPr>
              <w:t>EETING</w:t>
            </w: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002060"/>
              </w:rPr>
              <w:t>80</w:t>
            </w:r>
          </w:p>
        </w:tc>
        <w:tc>
          <w:tcPr>
            <w:tcW w:w="0" w:type="dxa"/>
            <w:vAlign w:val="bottom"/>
          </w:tcPr>
          <w:p>
            <w:pPr>
              <w:spacing w:after="0"/>
              <w:rPr>
                <w:sz w:val="1"/>
                <w:szCs w:val="1"/>
                <w:color w:val="auto"/>
              </w:rPr>
            </w:pPr>
          </w:p>
        </w:tc>
      </w:tr>
      <w:tr>
        <w:trPr>
          <w:trHeight w:val="75"/>
        </w:trPr>
        <w:tc>
          <w:tcPr>
            <w:tcW w:w="600" w:type="dxa"/>
            <w:vAlign w:val="bottom"/>
          </w:tcPr>
          <w:p>
            <w:pPr>
              <w:spacing w:after="0"/>
              <w:rPr>
                <w:sz w:val="6"/>
                <w:szCs w:val="6"/>
                <w:color w:val="auto"/>
              </w:rPr>
            </w:pPr>
          </w:p>
        </w:tc>
        <w:tc>
          <w:tcPr>
            <w:tcW w:w="4680" w:type="dxa"/>
            <w:vAlign w:val="bottom"/>
            <w:gridSpan w:val="25"/>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600" w:type="dxa"/>
            <w:vAlign w:val="bottom"/>
            <w:vMerge w:val="restart"/>
          </w:tcPr>
          <w:p>
            <w:pPr>
              <w:jc w:val="right"/>
              <w:ind w:right="318"/>
              <w:spacing w:after="0"/>
              <w:rPr>
                <w:sz w:val="20"/>
                <w:szCs w:val="20"/>
                <w:color w:val="auto"/>
              </w:rPr>
            </w:pPr>
            <w:r>
              <w:rPr>
                <w:rFonts w:ascii="Arial" w:cs="Arial" w:eastAsia="Arial" w:hAnsi="Arial"/>
                <w:sz w:val="16"/>
                <w:szCs w:val="16"/>
                <w:b w:val="1"/>
                <w:bCs w:val="1"/>
                <w:color w:val="002060"/>
              </w:rPr>
              <w:t>29</w:t>
            </w:r>
          </w:p>
        </w:tc>
        <w:tc>
          <w:tcPr>
            <w:tcW w:w="2420" w:type="dxa"/>
            <w:vAlign w:val="bottom"/>
            <w:tcBorders>
              <w:top w:val="single" w:sz="8" w:color="0000EE"/>
              <w:bottom w:val="single" w:sz="8" w:color="0000EE"/>
            </w:tcBorders>
            <w:gridSpan w:val="11"/>
          </w:tcPr>
          <w:p>
            <w:pPr>
              <w:spacing w:after="0"/>
              <w:rPr>
                <w:sz w:val="20"/>
                <w:szCs w:val="20"/>
                <w:color w:val="auto"/>
              </w:rPr>
            </w:pPr>
            <w:r>
              <w:rPr>
                <w:rFonts w:ascii="Arial" w:cs="Arial" w:eastAsia="Arial" w:hAnsi="Arial"/>
                <w:sz w:val="18"/>
                <w:szCs w:val="18"/>
                <w:b w:val="1"/>
                <w:bCs w:val="1"/>
                <w:color w:val="0000EE"/>
                <w:w w:val="98"/>
              </w:rPr>
              <w:t>ADDITIONAL INFORMATION</w:t>
            </w:r>
          </w:p>
        </w:tc>
        <w:tc>
          <w:tcPr>
            <w:tcW w:w="20" w:type="dxa"/>
            <w:vAlign w:val="bottom"/>
            <w:tcBorders>
              <w:top w:val="single" w:sz="8" w:color="0000EE"/>
              <w:bottom w:val="single" w:sz="8" w:color="0000EE"/>
            </w:tcBorders>
            <w:vMerge w:val="restart"/>
          </w:tcPr>
          <w:p>
            <w:pPr>
              <w:spacing w:after="0"/>
              <w:rPr>
                <w:sz w:val="22"/>
                <w:szCs w:val="22"/>
                <w:color w:val="auto"/>
              </w:rPr>
            </w:pPr>
          </w:p>
        </w:tc>
        <w:tc>
          <w:tcPr>
            <w:tcW w:w="200" w:type="dxa"/>
            <w:vAlign w:val="bottom"/>
            <w:tcBorders>
              <w:top w:val="single" w:sz="8" w:color="0000EE"/>
              <w:bottom w:val="single" w:sz="8" w:color="0000EE"/>
            </w:tcBorders>
            <w:vMerge w:val="restart"/>
          </w:tcPr>
          <w:p>
            <w:pPr>
              <w:spacing w:after="0"/>
              <w:rPr>
                <w:sz w:val="22"/>
                <w:szCs w:val="22"/>
                <w:color w:val="auto"/>
              </w:rPr>
            </w:pPr>
          </w:p>
        </w:tc>
        <w:tc>
          <w:tcPr>
            <w:tcW w:w="100" w:type="dxa"/>
            <w:vAlign w:val="bottom"/>
            <w:tcBorders>
              <w:top w:val="single" w:sz="8" w:color="0000EE"/>
              <w:bottom w:val="single" w:sz="8" w:color="0000EE"/>
            </w:tcBorders>
            <w:vMerge w:val="restart"/>
          </w:tcPr>
          <w:p>
            <w:pPr>
              <w:spacing w:after="0"/>
              <w:rPr>
                <w:sz w:val="22"/>
                <w:szCs w:val="22"/>
                <w:color w:val="auto"/>
              </w:rPr>
            </w:pPr>
          </w:p>
        </w:tc>
        <w:tc>
          <w:tcPr>
            <w:tcW w:w="340" w:type="dxa"/>
            <w:vAlign w:val="bottom"/>
            <w:tcBorders>
              <w:top w:val="single" w:sz="8" w:color="0000EE"/>
              <w:bottom w:val="single" w:sz="8" w:color="0000EE"/>
            </w:tcBorders>
            <w:gridSpan w:val="2"/>
            <w:vMerge w:val="restart"/>
          </w:tcPr>
          <w:p>
            <w:pPr>
              <w:spacing w:after="0"/>
              <w:rPr>
                <w:sz w:val="22"/>
                <w:szCs w:val="22"/>
                <w:color w:val="auto"/>
              </w:rPr>
            </w:pPr>
          </w:p>
        </w:tc>
        <w:tc>
          <w:tcPr>
            <w:tcW w:w="220" w:type="dxa"/>
            <w:vAlign w:val="bottom"/>
            <w:tcBorders>
              <w:top w:val="single" w:sz="8" w:color="0000EE"/>
              <w:bottom w:val="single" w:sz="8" w:color="0000EE"/>
            </w:tcBorders>
            <w:vMerge w:val="restart"/>
          </w:tcPr>
          <w:p>
            <w:pPr>
              <w:spacing w:after="0"/>
              <w:rPr>
                <w:sz w:val="22"/>
                <w:szCs w:val="22"/>
                <w:color w:val="auto"/>
              </w:rPr>
            </w:pPr>
          </w:p>
        </w:tc>
        <w:tc>
          <w:tcPr>
            <w:tcW w:w="160" w:type="dxa"/>
            <w:vAlign w:val="bottom"/>
            <w:tcBorders>
              <w:top w:val="single" w:sz="8" w:color="0000EE"/>
              <w:bottom w:val="single" w:sz="8" w:color="0000EE"/>
            </w:tcBorders>
            <w:vMerge w:val="restart"/>
          </w:tcPr>
          <w:p>
            <w:pPr>
              <w:spacing w:after="0"/>
              <w:rPr>
                <w:sz w:val="22"/>
                <w:szCs w:val="22"/>
                <w:color w:val="auto"/>
              </w:rPr>
            </w:pPr>
          </w:p>
        </w:tc>
        <w:tc>
          <w:tcPr>
            <w:tcW w:w="160" w:type="dxa"/>
            <w:vAlign w:val="bottom"/>
            <w:tcBorders>
              <w:top w:val="single" w:sz="8" w:color="0000EE"/>
              <w:bottom w:val="single" w:sz="8" w:color="0000EE"/>
            </w:tcBorders>
            <w:vMerge w:val="restart"/>
          </w:tcPr>
          <w:p>
            <w:pPr>
              <w:spacing w:after="0"/>
              <w:rPr>
                <w:sz w:val="22"/>
                <w:szCs w:val="22"/>
                <w:color w:val="auto"/>
              </w:rPr>
            </w:pPr>
          </w:p>
        </w:tc>
        <w:tc>
          <w:tcPr>
            <w:tcW w:w="140" w:type="dxa"/>
            <w:vAlign w:val="bottom"/>
            <w:tcBorders>
              <w:top w:val="single" w:sz="8" w:color="0000EE"/>
              <w:bottom w:val="single" w:sz="8" w:color="0000EE"/>
            </w:tcBorders>
            <w:vMerge w:val="restart"/>
          </w:tcPr>
          <w:p>
            <w:pPr>
              <w:spacing w:after="0"/>
              <w:rPr>
                <w:sz w:val="22"/>
                <w:szCs w:val="22"/>
                <w:color w:val="auto"/>
              </w:rPr>
            </w:pPr>
          </w:p>
        </w:tc>
        <w:tc>
          <w:tcPr>
            <w:tcW w:w="680" w:type="dxa"/>
            <w:vAlign w:val="bottom"/>
            <w:gridSpan w:val="2"/>
            <w:vMerge w:val="restart"/>
          </w:tcPr>
          <w:p>
            <w:pPr>
              <w:spacing w:after="0"/>
              <w:rPr>
                <w:sz w:val="22"/>
                <w:szCs w:val="22"/>
                <w:color w:val="auto"/>
              </w:rPr>
            </w:pPr>
          </w:p>
        </w:tc>
        <w:tc>
          <w:tcPr>
            <w:tcW w:w="240" w:type="dxa"/>
            <w:vAlign w:val="bottom"/>
            <w:gridSpan w:val="3"/>
            <w:vMerge w:val="restart"/>
          </w:tcPr>
          <w:p>
            <w:pPr>
              <w:spacing w:after="0"/>
              <w:rPr>
                <w:sz w:val="22"/>
                <w:szCs w:val="22"/>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0070C0"/>
              </w:rPr>
              <w:t>81</w:t>
            </w:r>
          </w:p>
        </w:tc>
        <w:tc>
          <w:tcPr>
            <w:tcW w:w="0" w:type="dxa"/>
            <w:vAlign w:val="bottom"/>
          </w:tcPr>
          <w:p>
            <w:pPr>
              <w:spacing w:after="0"/>
              <w:rPr>
                <w:sz w:val="1"/>
                <w:szCs w:val="1"/>
                <w:color w:val="auto"/>
              </w:rPr>
            </w:pPr>
          </w:p>
        </w:tc>
      </w:tr>
      <w:tr>
        <w:trPr>
          <w:trHeight w:val="74"/>
        </w:trPr>
        <w:tc>
          <w:tcPr>
            <w:tcW w:w="60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gridSpan w:val="2"/>
          </w:tcPr>
          <w:p>
            <w:pPr>
              <w:spacing w:after="0"/>
              <w:rPr>
                <w:sz w:val="6"/>
                <w:szCs w:val="6"/>
                <w:color w:val="auto"/>
              </w:rPr>
            </w:pPr>
          </w:p>
        </w:tc>
        <w:tc>
          <w:tcPr>
            <w:tcW w:w="300" w:type="dxa"/>
            <w:vAlign w:val="bottom"/>
            <w:gridSpan w:val="3"/>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240" w:type="dxa"/>
            <w:vAlign w:val="bottom"/>
            <w:gridSpan w:val="3"/>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600" w:type="dxa"/>
            <w:vAlign w:val="bottom"/>
            <w:vMerge w:val="restart"/>
          </w:tcPr>
          <w:p>
            <w:pPr>
              <w:jc w:val="right"/>
              <w:ind w:right="318"/>
              <w:spacing w:after="0"/>
              <w:rPr>
                <w:sz w:val="20"/>
                <w:szCs w:val="20"/>
                <w:color w:val="auto"/>
              </w:rPr>
            </w:pPr>
            <w:r>
              <w:rPr>
                <w:rFonts w:ascii="Arial" w:cs="Arial" w:eastAsia="Arial" w:hAnsi="Arial"/>
                <w:sz w:val="16"/>
                <w:szCs w:val="16"/>
                <w:b w:val="1"/>
                <w:bCs w:val="1"/>
                <w:color w:val="002060"/>
              </w:rPr>
              <w:t>30</w:t>
            </w:r>
          </w:p>
        </w:tc>
        <w:tc>
          <w:tcPr>
            <w:tcW w:w="2740" w:type="dxa"/>
            <w:vAlign w:val="bottom"/>
            <w:tcBorders>
              <w:bottom w:val="single" w:sz="8" w:color="0000EE"/>
            </w:tcBorders>
            <w:gridSpan w:val="14"/>
          </w:tcPr>
          <w:p>
            <w:pPr>
              <w:spacing w:after="0" w:line="156" w:lineRule="exact"/>
              <w:rPr>
                <w:sz w:val="20"/>
                <w:szCs w:val="20"/>
                <w:color w:val="auto"/>
              </w:rPr>
            </w:pPr>
            <w:r>
              <w:rPr>
                <w:rFonts w:ascii="Arial" w:cs="Arial" w:eastAsia="Arial" w:hAnsi="Arial"/>
                <w:sz w:val="16"/>
                <w:szCs w:val="16"/>
                <w:b w:val="1"/>
                <w:bCs w:val="1"/>
                <w:color w:val="0000EE"/>
              </w:rPr>
              <w:t>H</w:t>
            </w:r>
            <w:r>
              <w:rPr>
                <w:rFonts w:ascii="Arial" w:cs="Arial" w:eastAsia="Arial" w:hAnsi="Arial"/>
                <w:sz w:val="13"/>
                <w:szCs w:val="13"/>
                <w:b w:val="1"/>
                <w:bCs w:val="1"/>
                <w:color w:val="0000EE"/>
              </w:rPr>
              <w:t>OUSEHOLDING OF</w:t>
            </w:r>
            <w:r>
              <w:rPr>
                <w:rFonts w:ascii="Arial" w:cs="Arial" w:eastAsia="Arial" w:hAnsi="Arial"/>
                <w:sz w:val="16"/>
                <w:szCs w:val="16"/>
                <w:b w:val="1"/>
                <w:bCs w:val="1"/>
                <w:color w:val="0000EE"/>
              </w:rPr>
              <w:t xml:space="preserve"> P</w:t>
            </w:r>
            <w:r>
              <w:rPr>
                <w:rFonts w:ascii="Arial" w:cs="Arial" w:eastAsia="Arial" w:hAnsi="Arial"/>
                <w:sz w:val="13"/>
                <w:szCs w:val="13"/>
                <w:b w:val="1"/>
                <w:bCs w:val="1"/>
                <w:color w:val="0000EE"/>
              </w:rPr>
              <w:t>ROXY</w:t>
            </w:r>
            <w:r>
              <w:rPr>
                <w:rFonts w:ascii="Arial" w:cs="Arial" w:eastAsia="Arial" w:hAnsi="Arial"/>
                <w:sz w:val="16"/>
                <w:szCs w:val="16"/>
                <w:b w:val="1"/>
                <w:bCs w:val="1"/>
                <w:color w:val="0000EE"/>
              </w:rPr>
              <w:t xml:space="preserve"> M</w:t>
            </w:r>
            <w:r>
              <w:rPr>
                <w:rFonts w:ascii="Arial" w:cs="Arial" w:eastAsia="Arial" w:hAnsi="Arial"/>
                <w:sz w:val="13"/>
                <w:szCs w:val="13"/>
                <w:b w:val="1"/>
                <w:bCs w:val="1"/>
                <w:color w:val="0000EE"/>
              </w:rPr>
              <w:t>ATERIALS</w:t>
            </w:r>
          </w:p>
        </w:tc>
        <w:tc>
          <w:tcPr>
            <w:tcW w:w="340" w:type="dxa"/>
            <w:vAlign w:val="bottom"/>
            <w:gridSpan w:val="2"/>
            <w:vMerge w:val="restart"/>
          </w:tcPr>
          <w:p>
            <w:pPr>
              <w:spacing w:after="0"/>
              <w:rPr>
                <w:sz w:val="15"/>
                <w:szCs w:val="15"/>
                <w:color w:val="auto"/>
              </w:rPr>
            </w:pPr>
          </w:p>
        </w:tc>
        <w:tc>
          <w:tcPr>
            <w:tcW w:w="220" w:type="dxa"/>
            <w:vAlign w:val="bottom"/>
            <w:vMerge w:val="restart"/>
          </w:tcPr>
          <w:p>
            <w:pPr>
              <w:spacing w:after="0"/>
              <w:rPr>
                <w:sz w:val="15"/>
                <w:szCs w:val="15"/>
                <w:color w:val="auto"/>
              </w:rPr>
            </w:pPr>
          </w:p>
        </w:tc>
        <w:tc>
          <w:tcPr>
            <w:tcW w:w="160" w:type="dxa"/>
            <w:vAlign w:val="bottom"/>
            <w:vMerge w:val="restart"/>
          </w:tcPr>
          <w:p>
            <w:pPr>
              <w:spacing w:after="0"/>
              <w:rPr>
                <w:sz w:val="15"/>
                <w:szCs w:val="15"/>
                <w:color w:val="auto"/>
              </w:rPr>
            </w:pPr>
          </w:p>
        </w:tc>
        <w:tc>
          <w:tcPr>
            <w:tcW w:w="160" w:type="dxa"/>
            <w:vAlign w:val="bottom"/>
            <w:vMerge w:val="restart"/>
          </w:tcPr>
          <w:p>
            <w:pPr>
              <w:spacing w:after="0"/>
              <w:rPr>
                <w:sz w:val="15"/>
                <w:szCs w:val="15"/>
                <w:color w:val="auto"/>
              </w:rPr>
            </w:pPr>
          </w:p>
        </w:tc>
        <w:tc>
          <w:tcPr>
            <w:tcW w:w="820" w:type="dxa"/>
            <w:vAlign w:val="bottom"/>
            <w:gridSpan w:val="3"/>
            <w:vMerge w:val="restart"/>
          </w:tcPr>
          <w:p>
            <w:pPr>
              <w:spacing w:after="0"/>
              <w:rPr>
                <w:sz w:val="15"/>
                <w:szCs w:val="15"/>
                <w:color w:val="auto"/>
              </w:rPr>
            </w:pPr>
          </w:p>
        </w:tc>
        <w:tc>
          <w:tcPr>
            <w:tcW w:w="240" w:type="dxa"/>
            <w:vAlign w:val="bottom"/>
            <w:gridSpan w:val="3"/>
            <w:vMerge w:val="restart"/>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002060"/>
              </w:rPr>
              <w:t>81</w:t>
            </w:r>
          </w:p>
        </w:tc>
        <w:tc>
          <w:tcPr>
            <w:tcW w:w="0" w:type="dxa"/>
            <w:vAlign w:val="bottom"/>
          </w:tcPr>
          <w:p>
            <w:pPr>
              <w:spacing w:after="0"/>
              <w:rPr>
                <w:sz w:val="1"/>
                <w:szCs w:val="1"/>
                <w:color w:val="auto"/>
              </w:rPr>
            </w:pPr>
          </w:p>
        </w:tc>
      </w:tr>
      <w:tr>
        <w:trPr>
          <w:trHeight w:val="74"/>
        </w:trPr>
        <w:tc>
          <w:tcPr>
            <w:tcW w:w="60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gridSpan w:val="2"/>
          </w:tcPr>
          <w:p>
            <w:pPr>
              <w:spacing w:after="0"/>
              <w:rPr>
                <w:sz w:val="6"/>
                <w:szCs w:val="6"/>
                <w:color w:val="auto"/>
              </w:rPr>
            </w:pPr>
          </w:p>
        </w:tc>
        <w:tc>
          <w:tcPr>
            <w:tcW w:w="300" w:type="dxa"/>
            <w:vAlign w:val="bottom"/>
            <w:gridSpan w:val="3"/>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gridSpan w:val="2"/>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240" w:type="dxa"/>
            <w:vAlign w:val="bottom"/>
            <w:gridSpan w:val="3"/>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600" w:type="dxa"/>
            <w:vAlign w:val="bottom"/>
            <w:vMerge w:val="restart"/>
          </w:tcPr>
          <w:p>
            <w:pPr>
              <w:jc w:val="right"/>
              <w:ind w:right="318"/>
              <w:spacing w:after="0"/>
              <w:rPr>
                <w:sz w:val="20"/>
                <w:szCs w:val="20"/>
                <w:color w:val="auto"/>
              </w:rPr>
            </w:pPr>
            <w:r>
              <w:rPr>
                <w:rFonts w:ascii="Arial" w:cs="Arial" w:eastAsia="Arial" w:hAnsi="Arial"/>
                <w:sz w:val="16"/>
                <w:szCs w:val="16"/>
                <w:b w:val="1"/>
                <w:bCs w:val="1"/>
                <w:color w:val="002060"/>
              </w:rPr>
              <w:t>31</w:t>
            </w:r>
          </w:p>
        </w:tc>
        <w:tc>
          <w:tcPr>
            <w:tcW w:w="1840" w:type="dxa"/>
            <w:vAlign w:val="bottom"/>
            <w:tcBorders>
              <w:bottom w:val="single" w:sz="8" w:color="0000EE"/>
            </w:tcBorders>
            <w:gridSpan w:val="8"/>
          </w:tcPr>
          <w:p>
            <w:pPr>
              <w:spacing w:after="0" w:line="156" w:lineRule="exact"/>
              <w:rPr>
                <w:sz w:val="20"/>
                <w:szCs w:val="20"/>
                <w:color w:val="auto"/>
              </w:rPr>
            </w:pPr>
            <w:r>
              <w:rPr>
                <w:rFonts w:ascii="Arial" w:cs="Arial" w:eastAsia="Arial" w:hAnsi="Arial"/>
                <w:sz w:val="16"/>
                <w:szCs w:val="16"/>
                <w:b w:val="1"/>
                <w:bCs w:val="1"/>
                <w:color w:val="0000EE"/>
              </w:rPr>
              <w:t>S</w:t>
            </w:r>
            <w:r>
              <w:rPr>
                <w:rFonts w:ascii="Arial" w:cs="Arial" w:eastAsia="Arial" w:hAnsi="Arial"/>
                <w:sz w:val="13"/>
                <w:szCs w:val="13"/>
                <w:b w:val="1"/>
                <w:bCs w:val="1"/>
                <w:color w:val="0000EE"/>
              </w:rPr>
              <w:t>OLICITATION OF</w:t>
            </w:r>
            <w:r>
              <w:rPr>
                <w:rFonts w:ascii="Arial" w:cs="Arial" w:eastAsia="Arial" w:hAnsi="Arial"/>
                <w:sz w:val="16"/>
                <w:szCs w:val="16"/>
                <w:b w:val="1"/>
                <w:bCs w:val="1"/>
                <w:color w:val="0000EE"/>
              </w:rPr>
              <w:t xml:space="preserve"> P</w:t>
            </w:r>
            <w:r>
              <w:rPr>
                <w:rFonts w:ascii="Arial" w:cs="Arial" w:eastAsia="Arial" w:hAnsi="Arial"/>
                <w:sz w:val="13"/>
                <w:szCs w:val="13"/>
                <w:b w:val="1"/>
                <w:bCs w:val="1"/>
                <w:color w:val="0000EE"/>
              </w:rPr>
              <w:t>ROXIES</w:t>
            </w:r>
          </w:p>
        </w:tc>
        <w:tc>
          <w:tcPr>
            <w:tcW w:w="440" w:type="dxa"/>
            <w:vAlign w:val="bottom"/>
            <w:vMerge w:val="restart"/>
          </w:tcPr>
          <w:p>
            <w:pPr>
              <w:spacing w:after="0"/>
              <w:rPr>
                <w:sz w:val="15"/>
                <w:szCs w:val="15"/>
                <w:color w:val="auto"/>
              </w:rPr>
            </w:pPr>
          </w:p>
        </w:tc>
        <w:tc>
          <w:tcPr>
            <w:tcW w:w="80" w:type="dxa"/>
            <w:vAlign w:val="bottom"/>
            <w:vMerge w:val="restart"/>
          </w:tcPr>
          <w:p>
            <w:pPr>
              <w:spacing w:after="0"/>
              <w:rPr>
                <w:sz w:val="15"/>
                <w:szCs w:val="15"/>
                <w:color w:val="auto"/>
              </w:rPr>
            </w:pPr>
          </w:p>
        </w:tc>
        <w:tc>
          <w:tcPr>
            <w:tcW w:w="80" w:type="dxa"/>
            <w:vAlign w:val="bottom"/>
            <w:gridSpan w:val="2"/>
            <w:vMerge w:val="restart"/>
          </w:tcPr>
          <w:p>
            <w:pPr>
              <w:spacing w:after="0"/>
              <w:rPr>
                <w:sz w:val="15"/>
                <w:szCs w:val="15"/>
                <w:color w:val="auto"/>
              </w:rPr>
            </w:pPr>
          </w:p>
        </w:tc>
        <w:tc>
          <w:tcPr>
            <w:tcW w:w="200" w:type="dxa"/>
            <w:vAlign w:val="bottom"/>
            <w:vMerge w:val="restart"/>
          </w:tcPr>
          <w:p>
            <w:pPr>
              <w:spacing w:after="0"/>
              <w:rPr>
                <w:sz w:val="15"/>
                <w:szCs w:val="15"/>
                <w:color w:val="auto"/>
              </w:rPr>
            </w:pPr>
          </w:p>
        </w:tc>
        <w:tc>
          <w:tcPr>
            <w:tcW w:w="440" w:type="dxa"/>
            <w:vAlign w:val="bottom"/>
            <w:gridSpan w:val="3"/>
            <w:vMerge w:val="restart"/>
          </w:tcPr>
          <w:p>
            <w:pPr>
              <w:spacing w:after="0"/>
              <w:rPr>
                <w:sz w:val="15"/>
                <w:szCs w:val="15"/>
                <w:color w:val="auto"/>
              </w:rPr>
            </w:pPr>
          </w:p>
        </w:tc>
        <w:tc>
          <w:tcPr>
            <w:tcW w:w="220" w:type="dxa"/>
            <w:vAlign w:val="bottom"/>
            <w:vMerge w:val="restart"/>
          </w:tcPr>
          <w:p>
            <w:pPr>
              <w:spacing w:after="0"/>
              <w:rPr>
                <w:sz w:val="15"/>
                <w:szCs w:val="15"/>
                <w:color w:val="auto"/>
              </w:rPr>
            </w:pPr>
          </w:p>
        </w:tc>
        <w:tc>
          <w:tcPr>
            <w:tcW w:w="160" w:type="dxa"/>
            <w:vAlign w:val="bottom"/>
            <w:vMerge w:val="restart"/>
          </w:tcPr>
          <w:p>
            <w:pPr>
              <w:spacing w:after="0"/>
              <w:rPr>
                <w:sz w:val="15"/>
                <w:szCs w:val="15"/>
                <w:color w:val="auto"/>
              </w:rPr>
            </w:pPr>
          </w:p>
        </w:tc>
        <w:tc>
          <w:tcPr>
            <w:tcW w:w="160" w:type="dxa"/>
            <w:vAlign w:val="bottom"/>
            <w:vMerge w:val="restart"/>
          </w:tcPr>
          <w:p>
            <w:pPr>
              <w:spacing w:after="0"/>
              <w:rPr>
                <w:sz w:val="15"/>
                <w:szCs w:val="15"/>
                <w:color w:val="auto"/>
              </w:rPr>
            </w:pPr>
          </w:p>
        </w:tc>
        <w:tc>
          <w:tcPr>
            <w:tcW w:w="820" w:type="dxa"/>
            <w:vAlign w:val="bottom"/>
            <w:gridSpan w:val="3"/>
            <w:vMerge w:val="restart"/>
          </w:tcPr>
          <w:p>
            <w:pPr>
              <w:spacing w:after="0"/>
              <w:rPr>
                <w:sz w:val="15"/>
                <w:szCs w:val="15"/>
                <w:color w:val="auto"/>
              </w:rPr>
            </w:pPr>
          </w:p>
        </w:tc>
        <w:tc>
          <w:tcPr>
            <w:tcW w:w="240" w:type="dxa"/>
            <w:vAlign w:val="bottom"/>
            <w:gridSpan w:val="3"/>
            <w:vMerge w:val="restart"/>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002060"/>
              </w:rPr>
              <w:t>81</w:t>
            </w:r>
          </w:p>
        </w:tc>
        <w:tc>
          <w:tcPr>
            <w:tcW w:w="0" w:type="dxa"/>
            <w:vAlign w:val="bottom"/>
          </w:tcPr>
          <w:p>
            <w:pPr>
              <w:spacing w:after="0"/>
              <w:rPr>
                <w:sz w:val="1"/>
                <w:szCs w:val="1"/>
                <w:color w:val="auto"/>
              </w:rPr>
            </w:pPr>
          </w:p>
        </w:tc>
      </w:tr>
      <w:tr>
        <w:trPr>
          <w:trHeight w:val="74"/>
        </w:trPr>
        <w:tc>
          <w:tcPr>
            <w:tcW w:w="60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gridSpan w:val="2"/>
          </w:tcPr>
          <w:p>
            <w:pPr>
              <w:spacing w:after="0"/>
              <w:rPr>
                <w:sz w:val="6"/>
                <w:szCs w:val="6"/>
                <w:color w:val="auto"/>
              </w:rPr>
            </w:pPr>
          </w:p>
        </w:tc>
        <w:tc>
          <w:tcPr>
            <w:tcW w:w="300" w:type="dxa"/>
            <w:vAlign w:val="bottom"/>
            <w:gridSpan w:val="3"/>
          </w:tcPr>
          <w:p>
            <w:pPr>
              <w:spacing w:after="0"/>
              <w:rPr>
                <w:sz w:val="6"/>
                <w:szCs w:val="6"/>
                <w:color w:val="auto"/>
              </w:rPr>
            </w:pPr>
          </w:p>
        </w:tc>
        <w:tc>
          <w:tcPr>
            <w:tcW w:w="44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gridSpan w:val="2"/>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440" w:type="dxa"/>
            <w:vAlign w:val="bottom"/>
            <w:gridSpan w:val="3"/>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240" w:type="dxa"/>
            <w:vAlign w:val="bottom"/>
            <w:gridSpan w:val="3"/>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600" w:type="dxa"/>
            <w:vAlign w:val="bottom"/>
            <w:vMerge w:val="restart"/>
          </w:tcPr>
          <w:p>
            <w:pPr>
              <w:jc w:val="right"/>
              <w:ind w:right="318"/>
              <w:spacing w:after="0"/>
              <w:rPr>
                <w:sz w:val="20"/>
                <w:szCs w:val="20"/>
                <w:color w:val="auto"/>
              </w:rPr>
            </w:pPr>
            <w:r>
              <w:rPr>
                <w:rFonts w:ascii="Arial" w:cs="Arial" w:eastAsia="Arial" w:hAnsi="Arial"/>
                <w:sz w:val="16"/>
                <w:szCs w:val="16"/>
                <w:b w:val="1"/>
                <w:bCs w:val="1"/>
                <w:color w:val="002060"/>
              </w:rPr>
              <w:t>31</w:t>
            </w:r>
          </w:p>
        </w:tc>
        <w:tc>
          <w:tcPr>
            <w:tcW w:w="2280" w:type="dxa"/>
            <w:vAlign w:val="bottom"/>
            <w:tcBorders>
              <w:bottom w:val="single" w:sz="8" w:color="0000EE"/>
            </w:tcBorders>
            <w:gridSpan w:val="9"/>
          </w:tcPr>
          <w:p>
            <w:pPr>
              <w:spacing w:after="0" w:line="156" w:lineRule="exact"/>
              <w:rPr>
                <w:sz w:val="20"/>
                <w:szCs w:val="20"/>
                <w:color w:val="auto"/>
              </w:rPr>
            </w:pPr>
            <w:r>
              <w:rPr>
                <w:rFonts w:ascii="Arial" w:cs="Arial" w:eastAsia="Arial" w:hAnsi="Arial"/>
                <w:sz w:val="16"/>
                <w:szCs w:val="16"/>
                <w:b w:val="1"/>
                <w:bCs w:val="1"/>
                <w:color w:val="0000EE"/>
              </w:rPr>
              <w:t>I</w:t>
            </w:r>
            <w:r>
              <w:rPr>
                <w:rFonts w:ascii="Arial" w:cs="Arial" w:eastAsia="Arial" w:hAnsi="Arial"/>
                <w:sz w:val="13"/>
                <w:szCs w:val="13"/>
                <w:b w:val="1"/>
                <w:bCs w:val="1"/>
                <w:color w:val="0000EE"/>
              </w:rPr>
              <w:t>NCORPORATION BY</w:t>
            </w:r>
            <w:r>
              <w:rPr>
                <w:rFonts w:ascii="Arial" w:cs="Arial" w:eastAsia="Arial" w:hAnsi="Arial"/>
                <w:sz w:val="16"/>
                <w:szCs w:val="16"/>
                <w:b w:val="1"/>
                <w:bCs w:val="1"/>
                <w:color w:val="0000EE"/>
              </w:rPr>
              <w:t xml:space="preserve"> R</w:t>
            </w:r>
            <w:r>
              <w:rPr>
                <w:rFonts w:ascii="Arial" w:cs="Arial" w:eastAsia="Arial" w:hAnsi="Arial"/>
                <w:sz w:val="13"/>
                <w:szCs w:val="13"/>
                <w:b w:val="1"/>
                <w:bCs w:val="1"/>
                <w:color w:val="0000EE"/>
              </w:rPr>
              <w:t>EFERENCE</w:t>
            </w:r>
          </w:p>
        </w:tc>
        <w:tc>
          <w:tcPr>
            <w:tcW w:w="80" w:type="dxa"/>
            <w:vAlign w:val="bottom"/>
            <w:vMerge w:val="restart"/>
          </w:tcPr>
          <w:p>
            <w:pPr>
              <w:spacing w:after="0"/>
              <w:rPr>
                <w:sz w:val="15"/>
                <w:szCs w:val="15"/>
                <w:color w:val="auto"/>
              </w:rPr>
            </w:pPr>
          </w:p>
        </w:tc>
        <w:tc>
          <w:tcPr>
            <w:tcW w:w="80" w:type="dxa"/>
            <w:vAlign w:val="bottom"/>
            <w:gridSpan w:val="2"/>
            <w:vMerge w:val="restart"/>
          </w:tcPr>
          <w:p>
            <w:pPr>
              <w:spacing w:after="0"/>
              <w:rPr>
                <w:sz w:val="15"/>
                <w:szCs w:val="15"/>
                <w:color w:val="auto"/>
              </w:rPr>
            </w:pPr>
          </w:p>
        </w:tc>
        <w:tc>
          <w:tcPr>
            <w:tcW w:w="200" w:type="dxa"/>
            <w:vAlign w:val="bottom"/>
            <w:vMerge w:val="restart"/>
          </w:tcPr>
          <w:p>
            <w:pPr>
              <w:spacing w:after="0"/>
              <w:rPr>
                <w:sz w:val="15"/>
                <w:szCs w:val="15"/>
                <w:color w:val="auto"/>
              </w:rPr>
            </w:pPr>
          </w:p>
        </w:tc>
        <w:tc>
          <w:tcPr>
            <w:tcW w:w="440" w:type="dxa"/>
            <w:vAlign w:val="bottom"/>
            <w:gridSpan w:val="3"/>
            <w:vMerge w:val="restart"/>
          </w:tcPr>
          <w:p>
            <w:pPr>
              <w:spacing w:after="0"/>
              <w:rPr>
                <w:sz w:val="15"/>
                <w:szCs w:val="15"/>
                <w:color w:val="auto"/>
              </w:rPr>
            </w:pPr>
          </w:p>
        </w:tc>
        <w:tc>
          <w:tcPr>
            <w:tcW w:w="220" w:type="dxa"/>
            <w:vAlign w:val="bottom"/>
            <w:vMerge w:val="restart"/>
          </w:tcPr>
          <w:p>
            <w:pPr>
              <w:spacing w:after="0"/>
              <w:rPr>
                <w:sz w:val="15"/>
                <w:szCs w:val="15"/>
                <w:color w:val="auto"/>
              </w:rPr>
            </w:pPr>
          </w:p>
        </w:tc>
        <w:tc>
          <w:tcPr>
            <w:tcW w:w="160" w:type="dxa"/>
            <w:vAlign w:val="bottom"/>
            <w:vMerge w:val="restart"/>
          </w:tcPr>
          <w:p>
            <w:pPr>
              <w:spacing w:after="0"/>
              <w:rPr>
                <w:sz w:val="15"/>
                <w:szCs w:val="15"/>
                <w:color w:val="auto"/>
              </w:rPr>
            </w:pPr>
          </w:p>
        </w:tc>
        <w:tc>
          <w:tcPr>
            <w:tcW w:w="160" w:type="dxa"/>
            <w:vAlign w:val="bottom"/>
            <w:vMerge w:val="restart"/>
          </w:tcPr>
          <w:p>
            <w:pPr>
              <w:spacing w:after="0"/>
              <w:rPr>
                <w:sz w:val="15"/>
                <w:szCs w:val="15"/>
                <w:color w:val="auto"/>
              </w:rPr>
            </w:pPr>
          </w:p>
        </w:tc>
        <w:tc>
          <w:tcPr>
            <w:tcW w:w="820" w:type="dxa"/>
            <w:vAlign w:val="bottom"/>
            <w:gridSpan w:val="3"/>
            <w:vMerge w:val="restart"/>
          </w:tcPr>
          <w:p>
            <w:pPr>
              <w:spacing w:after="0"/>
              <w:rPr>
                <w:sz w:val="15"/>
                <w:szCs w:val="15"/>
                <w:color w:val="auto"/>
              </w:rPr>
            </w:pPr>
          </w:p>
        </w:tc>
        <w:tc>
          <w:tcPr>
            <w:tcW w:w="240" w:type="dxa"/>
            <w:vAlign w:val="bottom"/>
            <w:gridSpan w:val="3"/>
            <w:vMerge w:val="restart"/>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002060"/>
              </w:rPr>
              <w:t>81</w:t>
            </w:r>
          </w:p>
        </w:tc>
        <w:tc>
          <w:tcPr>
            <w:tcW w:w="0" w:type="dxa"/>
            <w:vAlign w:val="bottom"/>
          </w:tcPr>
          <w:p>
            <w:pPr>
              <w:spacing w:after="0"/>
              <w:rPr>
                <w:sz w:val="1"/>
                <w:szCs w:val="1"/>
                <w:color w:val="auto"/>
              </w:rPr>
            </w:pPr>
          </w:p>
        </w:tc>
      </w:tr>
      <w:tr>
        <w:trPr>
          <w:trHeight w:val="74"/>
        </w:trPr>
        <w:tc>
          <w:tcPr>
            <w:tcW w:w="60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gridSpan w:val="2"/>
          </w:tcPr>
          <w:p>
            <w:pPr>
              <w:spacing w:after="0"/>
              <w:rPr>
                <w:sz w:val="6"/>
                <w:szCs w:val="6"/>
                <w:color w:val="auto"/>
              </w:rPr>
            </w:pPr>
          </w:p>
        </w:tc>
        <w:tc>
          <w:tcPr>
            <w:tcW w:w="740" w:type="dxa"/>
            <w:vAlign w:val="bottom"/>
            <w:gridSpan w:val="4"/>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gridSpan w:val="2"/>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440" w:type="dxa"/>
            <w:vAlign w:val="bottom"/>
            <w:gridSpan w:val="3"/>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240" w:type="dxa"/>
            <w:vAlign w:val="bottom"/>
            <w:gridSpan w:val="3"/>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600" w:type="dxa"/>
            <w:vAlign w:val="bottom"/>
            <w:vMerge w:val="restart"/>
          </w:tcPr>
          <w:p>
            <w:pPr>
              <w:jc w:val="right"/>
              <w:ind w:right="318"/>
              <w:spacing w:after="0"/>
              <w:rPr>
                <w:sz w:val="20"/>
                <w:szCs w:val="20"/>
                <w:color w:val="auto"/>
              </w:rPr>
            </w:pPr>
            <w:r>
              <w:rPr>
                <w:rFonts w:ascii="Arial" w:cs="Arial" w:eastAsia="Arial" w:hAnsi="Arial"/>
                <w:sz w:val="16"/>
                <w:szCs w:val="16"/>
                <w:b w:val="1"/>
                <w:bCs w:val="1"/>
                <w:color w:val="002060"/>
              </w:rPr>
              <w:t>31</w:t>
            </w:r>
          </w:p>
        </w:tc>
        <w:tc>
          <w:tcPr>
            <w:tcW w:w="2360" w:type="dxa"/>
            <w:vAlign w:val="bottom"/>
            <w:tcBorders>
              <w:bottom w:val="single" w:sz="8" w:color="0000EE"/>
            </w:tcBorders>
            <w:gridSpan w:val="10"/>
          </w:tcPr>
          <w:p>
            <w:pPr>
              <w:spacing w:after="0" w:line="156" w:lineRule="exact"/>
              <w:rPr>
                <w:sz w:val="20"/>
                <w:szCs w:val="20"/>
                <w:color w:val="auto"/>
              </w:rPr>
            </w:pPr>
            <w:r>
              <w:rPr>
                <w:rFonts w:ascii="Arial" w:cs="Arial" w:eastAsia="Arial" w:hAnsi="Arial"/>
                <w:sz w:val="16"/>
                <w:szCs w:val="16"/>
                <w:b w:val="1"/>
                <w:bCs w:val="1"/>
                <w:color w:val="0000EE"/>
              </w:rPr>
              <w:t>F</w:t>
            </w:r>
            <w:r>
              <w:rPr>
                <w:rFonts w:ascii="Arial" w:cs="Arial" w:eastAsia="Arial" w:hAnsi="Arial"/>
                <w:sz w:val="13"/>
                <w:szCs w:val="13"/>
                <w:b w:val="1"/>
                <w:bCs w:val="1"/>
                <w:color w:val="0000EE"/>
              </w:rPr>
              <w:t>ORWARD</w:t>
            </w:r>
            <w:r>
              <w:rPr>
                <w:rFonts w:ascii="Arial" w:cs="Arial" w:eastAsia="Arial" w:hAnsi="Arial"/>
                <w:sz w:val="16"/>
                <w:szCs w:val="16"/>
                <w:b w:val="1"/>
                <w:bCs w:val="1"/>
                <w:color w:val="0000EE"/>
              </w:rPr>
              <w:t xml:space="preserve"> L</w:t>
            </w:r>
            <w:r>
              <w:rPr>
                <w:rFonts w:ascii="Arial" w:cs="Arial" w:eastAsia="Arial" w:hAnsi="Arial"/>
                <w:sz w:val="13"/>
                <w:szCs w:val="13"/>
                <w:b w:val="1"/>
                <w:bCs w:val="1"/>
                <w:color w:val="0000EE"/>
              </w:rPr>
              <w:t>OOKING</w:t>
            </w:r>
            <w:r>
              <w:rPr>
                <w:rFonts w:ascii="Arial" w:cs="Arial" w:eastAsia="Arial" w:hAnsi="Arial"/>
                <w:sz w:val="16"/>
                <w:szCs w:val="16"/>
                <w:b w:val="1"/>
                <w:bCs w:val="1"/>
                <w:color w:val="0000EE"/>
              </w:rPr>
              <w:t xml:space="preserve"> S</w:t>
            </w:r>
            <w:r>
              <w:rPr>
                <w:rFonts w:ascii="Arial" w:cs="Arial" w:eastAsia="Arial" w:hAnsi="Arial"/>
                <w:sz w:val="13"/>
                <w:szCs w:val="13"/>
                <w:b w:val="1"/>
                <w:bCs w:val="1"/>
                <w:color w:val="0000EE"/>
              </w:rPr>
              <w:t>TATEMENTS</w:t>
            </w:r>
          </w:p>
        </w:tc>
        <w:tc>
          <w:tcPr>
            <w:tcW w:w="8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3"/>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spacing w:after="0"/>
              <w:rPr>
                <w:sz w:val="15"/>
                <w:szCs w:val="15"/>
                <w:color w:val="auto"/>
              </w:rPr>
            </w:pPr>
          </w:p>
        </w:tc>
        <w:tc>
          <w:tcPr>
            <w:tcW w:w="240" w:type="dxa"/>
            <w:vAlign w:val="bottom"/>
            <w:gridSpan w:val="3"/>
            <w:vMerge w:val="restart"/>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002060"/>
              </w:rPr>
              <w:t>81</w:t>
            </w:r>
          </w:p>
        </w:tc>
        <w:tc>
          <w:tcPr>
            <w:tcW w:w="0" w:type="dxa"/>
            <w:vAlign w:val="bottom"/>
          </w:tcPr>
          <w:p>
            <w:pPr>
              <w:spacing w:after="0"/>
              <w:rPr>
                <w:sz w:val="1"/>
                <w:szCs w:val="1"/>
                <w:color w:val="auto"/>
              </w:rPr>
            </w:pPr>
          </w:p>
        </w:tc>
      </w:tr>
      <w:tr>
        <w:trPr>
          <w:trHeight w:val="80"/>
        </w:trPr>
        <w:tc>
          <w:tcPr>
            <w:tcW w:w="600" w:type="dxa"/>
            <w:vAlign w:val="bottom"/>
            <w:vMerge w:val="continue"/>
          </w:tcPr>
          <w:p>
            <w:pPr>
              <w:spacing w:after="0"/>
              <w:rPr>
                <w:sz w:val="7"/>
                <w:szCs w:val="7"/>
                <w:color w:val="auto"/>
              </w:rPr>
            </w:pPr>
          </w:p>
        </w:tc>
        <w:tc>
          <w:tcPr>
            <w:tcW w:w="4440" w:type="dxa"/>
            <w:vAlign w:val="bottom"/>
            <w:gridSpan w:val="22"/>
            <w:vMerge w:val="restart"/>
          </w:tcPr>
          <w:p>
            <w:pPr>
              <w:spacing w:after="0"/>
              <w:rPr>
                <w:sz w:val="20"/>
                <w:szCs w:val="20"/>
                <w:color w:val="auto"/>
              </w:rPr>
            </w:pPr>
            <w:r>
              <w:rPr>
                <w:rFonts w:ascii="Arial" w:cs="Arial" w:eastAsia="Arial" w:hAnsi="Arial"/>
                <w:sz w:val="16"/>
                <w:szCs w:val="16"/>
                <w:b w:val="1"/>
                <w:bCs w:val="1"/>
                <w:color w:val="0000EE"/>
              </w:rPr>
              <w:t>A</w:t>
            </w:r>
            <w:r>
              <w:rPr>
                <w:rFonts w:ascii="Arial" w:cs="Arial" w:eastAsia="Arial" w:hAnsi="Arial"/>
                <w:sz w:val="13"/>
                <w:szCs w:val="13"/>
                <w:b w:val="1"/>
                <w:bCs w:val="1"/>
                <w:color w:val="0000EE"/>
              </w:rPr>
              <w:t>VAILABILITY OF</w:t>
            </w:r>
            <w:r>
              <w:rPr>
                <w:rFonts w:ascii="Arial" w:cs="Arial" w:eastAsia="Arial" w:hAnsi="Arial"/>
                <w:sz w:val="16"/>
                <w:szCs w:val="16"/>
                <w:b w:val="1"/>
                <w:bCs w:val="1"/>
                <w:color w:val="0000EE"/>
              </w:rPr>
              <w:t xml:space="preserve"> SEC F</w:t>
            </w:r>
            <w:r>
              <w:rPr>
                <w:rFonts w:ascii="Arial" w:cs="Arial" w:eastAsia="Arial" w:hAnsi="Arial"/>
                <w:sz w:val="13"/>
                <w:szCs w:val="13"/>
                <w:b w:val="1"/>
                <w:bCs w:val="1"/>
                <w:color w:val="0000EE"/>
              </w:rPr>
              <w:t>ILINGS AND</w:t>
            </w:r>
            <w:r>
              <w:rPr>
                <w:rFonts w:ascii="Arial" w:cs="Arial" w:eastAsia="Arial" w:hAnsi="Arial"/>
                <w:sz w:val="16"/>
                <w:szCs w:val="16"/>
                <w:b w:val="1"/>
                <w:bCs w:val="1"/>
                <w:color w:val="0000EE"/>
              </w:rPr>
              <w:t xml:space="preserve"> C</w:t>
            </w:r>
            <w:r>
              <w:rPr>
                <w:rFonts w:ascii="Arial" w:cs="Arial" w:eastAsia="Arial" w:hAnsi="Arial"/>
                <w:sz w:val="13"/>
                <w:szCs w:val="13"/>
                <w:b w:val="1"/>
                <w:bCs w:val="1"/>
                <w:color w:val="0000EE"/>
              </w:rPr>
              <w:t>ORPORATE</w:t>
            </w:r>
            <w:r>
              <w:rPr>
                <w:rFonts w:ascii="Arial" w:cs="Arial" w:eastAsia="Arial" w:hAnsi="Arial"/>
                <w:sz w:val="16"/>
                <w:szCs w:val="16"/>
                <w:b w:val="1"/>
                <w:bCs w:val="1"/>
                <w:color w:val="0000EE"/>
              </w:rPr>
              <w:t xml:space="preserve"> G</w:t>
            </w:r>
            <w:r>
              <w:rPr>
                <w:rFonts w:ascii="Arial" w:cs="Arial" w:eastAsia="Arial" w:hAnsi="Arial"/>
                <w:sz w:val="13"/>
                <w:szCs w:val="13"/>
                <w:b w:val="1"/>
                <w:bCs w:val="1"/>
                <w:color w:val="0000EE"/>
              </w:rPr>
              <w:t>OVERNANCE</w:t>
            </w:r>
          </w:p>
        </w:tc>
        <w:tc>
          <w:tcPr>
            <w:tcW w:w="240" w:type="dxa"/>
            <w:vAlign w:val="bottom"/>
            <w:gridSpan w:val="3"/>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600" w:type="dxa"/>
            <w:vAlign w:val="bottom"/>
            <w:vMerge w:val="restart"/>
          </w:tcPr>
          <w:p>
            <w:pPr>
              <w:jc w:val="right"/>
              <w:ind w:right="318"/>
              <w:spacing w:after="0"/>
              <w:rPr>
                <w:sz w:val="20"/>
                <w:szCs w:val="20"/>
                <w:color w:val="auto"/>
              </w:rPr>
            </w:pPr>
            <w:r>
              <w:rPr>
                <w:rFonts w:ascii="Arial" w:cs="Arial" w:eastAsia="Arial" w:hAnsi="Arial"/>
                <w:sz w:val="18"/>
                <w:szCs w:val="18"/>
                <w:b w:val="1"/>
                <w:bCs w:val="1"/>
                <w:color w:val="0070C0"/>
                <w:w w:val="89"/>
              </w:rPr>
              <w:t>32</w:t>
            </w:r>
          </w:p>
        </w:tc>
        <w:tc>
          <w:tcPr>
            <w:tcW w:w="4440" w:type="dxa"/>
            <w:vAlign w:val="bottom"/>
            <w:tcBorders>
              <w:bottom w:val="single" w:sz="8" w:color="0000EE"/>
            </w:tcBorders>
            <w:gridSpan w:val="22"/>
            <w:vMerge w:val="continue"/>
          </w:tcPr>
          <w:p>
            <w:pPr>
              <w:spacing w:after="0"/>
              <w:rPr>
                <w:sz w:val="14"/>
                <w:szCs w:val="14"/>
                <w:color w:val="auto"/>
              </w:rPr>
            </w:pPr>
          </w:p>
        </w:tc>
        <w:tc>
          <w:tcPr>
            <w:tcW w:w="240" w:type="dxa"/>
            <w:vAlign w:val="bottom"/>
            <w:gridSpan w:val="3"/>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600" w:type="dxa"/>
            <w:vAlign w:val="bottom"/>
            <w:vMerge w:val="continue"/>
          </w:tcPr>
          <w:p>
            <w:pPr>
              <w:spacing w:after="0"/>
              <w:rPr>
                <w:sz w:val="8"/>
                <w:szCs w:val="8"/>
                <w:color w:val="auto"/>
              </w:rPr>
            </w:pPr>
          </w:p>
        </w:tc>
        <w:tc>
          <w:tcPr>
            <w:tcW w:w="4680" w:type="dxa"/>
            <w:vAlign w:val="bottom"/>
            <w:gridSpan w:val="25"/>
            <w:vMerge w:val="restart"/>
          </w:tcPr>
          <w:p>
            <w:pPr>
              <w:spacing w:after="0" w:line="169" w:lineRule="exact"/>
              <w:rPr>
                <w:sz w:val="20"/>
                <w:szCs w:val="20"/>
                <w:color w:val="auto"/>
              </w:rPr>
            </w:pPr>
            <w:r>
              <w:rPr>
                <w:rFonts w:ascii="Arial" w:cs="Arial" w:eastAsia="Arial" w:hAnsi="Arial"/>
                <w:sz w:val="16"/>
                <w:szCs w:val="16"/>
                <w:b w:val="1"/>
                <w:bCs w:val="1"/>
                <w:color w:val="0000EE"/>
              </w:rPr>
              <w:t>D</w:t>
            </w:r>
            <w:r>
              <w:rPr>
                <w:rFonts w:ascii="Arial" w:cs="Arial" w:eastAsia="Arial" w:hAnsi="Arial"/>
                <w:sz w:val="13"/>
                <w:szCs w:val="13"/>
                <w:b w:val="1"/>
                <w:bCs w:val="1"/>
                <w:color w:val="0000EE"/>
              </w:rPr>
              <w:t>OCUMENTS</w:t>
            </w:r>
          </w:p>
        </w:tc>
        <w:tc>
          <w:tcPr>
            <w:tcW w:w="660" w:type="dxa"/>
            <w:vAlign w:val="bottom"/>
            <w:vMerge w:val="restart"/>
          </w:tcPr>
          <w:p>
            <w:pPr>
              <w:jc w:val="right"/>
              <w:spacing w:after="0" w:line="169" w:lineRule="exact"/>
              <w:rPr>
                <w:sz w:val="20"/>
                <w:szCs w:val="20"/>
                <w:color w:val="auto"/>
              </w:rPr>
            </w:pPr>
            <w:r>
              <w:rPr>
                <w:rFonts w:ascii="Arial" w:cs="Arial" w:eastAsia="Arial" w:hAnsi="Arial"/>
                <w:sz w:val="16"/>
                <w:szCs w:val="16"/>
                <w:b w:val="1"/>
                <w:bCs w:val="1"/>
                <w:color w:val="002060"/>
              </w:rPr>
              <w:t>82</w:t>
            </w:r>
          </w:p>
        </w:tc>
        <w:tc>
          <w:tcPr>
            <w:tcW w:w="0" w:type="dxa"/>
            <w:vAlign w:val="bottom"/>
          </w:tcPr>
          <w:p>
            <w:pPr>
              <w:spacing w:after="0"/>
              <w:rPr>
                <w:sz w:val="1"/>
                <w:szCs w:val="1"/>
                <w:color w:val="auto"/>
              </w:rPr>
            </w:pPr>
          </w:p>
        </w:tc>
      </w:tr>
      <w:tr>
        <w:trPr>
          <w:trHeight w:val="69"/>
        </w:trPr>
        <w:tc>
          <w:tcPr>
            <w:tcW w:w="600" w:type="dxa"/>
            <w:vAlign w:val="bottom"/>
            <w:vMerge w:val="restart"/>
          </w:tcPr>
          <w:p>
            <w:pPr>
              <w:jc w:val="right"/>
              <w:ind w:right="318"/>
              <w:spacing w:after="0"/>
              <w:rPr>
                <w:sz w:val="20"/>
                <w:szCs w:val="20"/>
                <w:color w:val="auto"/>
              </w:rPr>
            </w:pPr>
            <w:r>
              <w:rPr>
                <w:rFonts w:ascii="Arial" w:cs="Arial" w:eastAsia="Arial" w:hAnsi="Arial"/>
                <w:sz w:val="16"/>
                <w:szCs w:val="16"/>
                <w:b w:val="1"/>
                <w:bCs w:val="1"/>
                <w:color w:val="002060"/>
              </w:rPr>
              <w:t>32</w:t>
            </w:r>
          </w:p>
        </w:tc>
        <w:tc>
          <w:tcPr>
            <w:tcW w:w="4680" w:type="dxa"/>
            <w:vAlign w:val="bottom"/>
            <w:gridSpan w:val="25"/>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00" w:type="dxa"/>
            <w:vAlign w:val="bottom"/>
            <w:vMerge w:val="continue"/>
          </w:tcPr>
          <w:p>
            <w:pPr>
              <w:spacing w:after="0" w:line="20" w:lineRule="exact"/>
              <w:rPr>
                <w:sz w:val="1"/>
                <w:szCs w:val="1"/>
                <w:color w:val="auto"/>
              </w:rPr>
            </w:pPr>
          </w:p>
        </w:tc>
        <w:tc>
          <w:tcPr>
            <w:tcW w:w="8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00" w:type="dxa"/>
            <w:vAlign w:val="bottom"/>
            <w:vMerge w:val="continue"/>
          </w:tcPr>
          <w:p>
            <w:pPr>
              <w:spacing w:after="0"/>
              <w:rPr>
                <w:sz w:val="15"/>
                <w:szCs w:val="15"/>
                <w:color w:val="auto"/>
              </w:rPr>
            </w:pPr>
          </w:p>
        </w:tc>
        <w:tc>
          <w:tcPr>
            <w:tcW w:w="3080" w:type="dxa"/>
            <w:vAlign w:val="bottom"/>
            <w:gridSpan w:val="16"/>
            <w:vMerge w:val="restart"/>
          </w:tcPr>
          <w:p>
            <w:pPr>
              <w:spacing w:after="0"/>
              <w:rPr>
                <w:sz w:val="20"/>
                <w:szCs w:val="20"/>
                <w:color w:val="auto"/>
              </w:rPr>
            </w:pPr>
            <w:r>
              <w:rPr>
                <w:rFonts w:ascii="Arial" w:cs="Arial" w:eastAsia="Arial" w:hAnsi="Arial"/>
                <w:sz w:val="16"/>
                <w:szCs w:val="16"/>
                <w:b w:val="1"/>
                <w:bCs w:val="1"/>
                <w:color w:val="0000EE"/>
              </w:rPr>
              <w:t>U</w:t>
            </w:r>
            <w:r>
              <w:rPr>
                <w:rFonts w:ascii="Arial" w:cs="Arial" w:eastAsia="Arial" w:hAnsi="Arial"/>
                <w:sz w:val="13"/>
                <w:szCs w:val="13"/>
                <w:b w:val="1"/>
                <w:bCs w:val="1"/>
                <w:color w:val="0000EE"/>
              </w:rPr>
              <w:t>SE OF</w:t>
            </w:r>
            <w:r>
              <w:rPr>
                <w:rFonts w:ascii="Arial" w:cs="Arial" w:eastAsia="Arial" w:hAnsi="Arial"/>
                <w:sz w:val="16"/>
                <w:szCs w:val="16"/>
                <w:b w:val="1"/>
                <w:bCs w:val="1"/>
                <w:color w:val="0000EE"/>
              </w:rPr>
              <w:t xml:space="preserve"> NON-GAAP F</w:t>
            </w:r>
            <w:r>
              <w:rPr>
                <w:rFonts w:ascii="Arial" w:cs="Arial" w:eastAsia="Arial" w:hAnsi="Arial"/>
                <w:sz w:val="13"/>
                <w:szCs w:val="13"/>
                <w:b w:val="1"/>
                <w:bCs w:val="1"/>
                <w:color w:val="0000EE"/>
              </w:rPr>
              <w:t>INANCIAL</w:t>
            </w:r>
            <w:r>
              <w:rPr>
                <w:rFonts w:ascii="Arial" w:cs="Arial" w:eastAsia="Arial" w:hAnsi="Arial"/>
                <w:sz w:val="16"/>
                <w:szCs w:val="16"/>
                <w:b w:val="1"/>
                <w:bCs w:val="1"/>
                <w:color w:val="0000EE"/>
              </w:rPr>
              <w:t xml:space="preserve"> M</w:t>
            </w:r>
            <w:r>
              <w:rPr>
                <w:rFonts w:ascii="Arial" w:cs="Arial" w:eastAsia="Arial" w:hAnsi="Arial"/>
                <w:sz w:val="13"/>
                <w:szCs w:val="13"/>
                <w:b w:val="1"/>
                <w:bCs w:val="1"/>
                <w:color w:val="0000EE"/>
              </w:rPr>
              <w:t>EASURES</w:t>
            </w:r>
          </w:p>
        </w:tc>
        <w:tc>
          <w:tcPr>
            <w:tcW w:w="1600" w:type="dxa"/>
            <w:vAlign w:val="bottom"/>
            <w:gridSpan w:val="9"/>
            <w:vMerge w:val="restart"/>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002060"/>
              </w:rPr>
              <w:t>82</w:t>
            </w:r>
          </w:p>
        </w:tc>
        <w:tc>
          <w:tcPr>
            <w:tcW w:w="0" w:type="dxa"/>
            <w:vAlign w:val="bottom"/>
          </w:tcPr>
          <w:p>
            <w:pPr>
              <w:spacing w:after="0"/>
              <w:rPr>
                <w:sz w:val="1"/>
                <w:szCs w:val="1"/>
                <w:color w:val="auto"/>
              </w:rPr>
            </w:pPr>
          </w:p>
        </w:tc>
      </w:tr>
      <w:tr>
        <w:trPr>
          <w:trHeight w:val="80"/>
        </w:trPr>
        <w:tc>
          <w:tcPr>
            <w:tcW w:w="600" w:type="dxa"/>
            <w:vAlign w:val="bottom"/>
            <w:vMerge w:val="restart"/>
          </w:tcPr>
          <w:p>
            <w:pPr>
              <w:jc w:val="right"/>
              <w:ind w:right="318"/>
              <w:spacing w:after="0"/>
              <w:rPr>
                <w:sz w:val="20"/>
                <w:szCs w:val="20"/>
                <w:color w:val="auto"/>
              </w:rPr>
            </w:pPr>
            <w:r>
              <w:rPr>
                <w:rFonts w:ascii="Arial" w:cs="Arial" w:eastAsia="Arial" w:hAnsi="Arial"/>
                <w:sz w:val="16"/>
                <w:szCs w:val="16"/>
                <w:b w:val="1"/>
                <w:bCs w:val="1"/>
                <w:color w:val="002060"/>
              </w:rPr>
              <w:t>34</w:t>
            </w:r>
          </w:p>
        </w:tc>
        <w:tc>
          <w:tcPr>
            <w:tcW w:w="3080" w:type="dxa"/>
            <w:vAlign w:val="bottom"/>
            <w:tcBorders>
              <w:bottom w:val="single" w:sz="8" w:color="0000EE"/>
            </w:tcBorders>
            <w:gridSpan w:val="16"/>
            <w:vMerge w:val="continue"/>
          </w:tcPr>
          <w:p>
            <w:pPr>
              <w:spacing w:after="0"/>
              <w:rPr>
                <w:sz w:val="6"/>
                <w:szCs w:val="6"/>
                <w:color w:val="auto"/>
              </w:rPr>
            </w:pPr>
          </w:p>
        </w:tc>
        <w:tc>
          <w:tcPr>
            <w:tcW w:w="1600" w:type="dxa"/>
            <w:vAlign w:val="bottom"/>
            <w:gridSpan w:val="9"/>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600" w:type="dxa"/>
            <w:vAlign w:val="bottom"/>
            <w:vMerge w:val="continue"/>
          </w:tcPr>
          <w:p>
            <w:pPr>
              <w:spacing w:after="0"/>
              <w:rPr>
                <w:sz w:val="15"/>
                <w:szCs w:val="15"/>
                <w:color w:val="auto"/>
              </w:rPr>
            </w:pPr>
          </w:p>
        </w:tc>
        <w:tc>
          <w:tcPr>
            <w:tcW w:w="4680" w:type="dxa"/>
            <w:vAlign w:val="bottom"/>
            <w:gridSpan w:val="25"/>
            <w:vMerge w:val="restart"/>
          </w:tcPr>
          <w:p>
            <w:pPr>
              <w:spacing w:after="0"/>
              <w:rPr>
                <w:sz w:val="20"/>
                <w:szCs w:val="20"/>
                <w:color w:val="auto"/>
              </w:rPr>
            </w:pPr>
            <w:r>
              <w:rPr>
                <w:rFonts w:ascii="Arial" w:cs="Arial" w:eastAsia="Arial" w:hAnsi="Arial"/>
                <w:sz w:val="18"/>
                <w:szCs w:val="18"/>
                <w:b w:val="1"/>
                <w:bCs w:val="1"/>
                <w:color w:val="0000EE"/>
              </w:rPr>
              <w:t>MEETING AND VOTING INFORMATION</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0070C0"/>
              </w:rPr>
              <w:t>83</w:t>
            </w:r>
          </w:p>
        </w:tc>
        <w:tc>
          <w:tcPr>
            <w:tcW w:w="0" w:type="dxa"/>
            <w:vAlign w:val="bottom"/>
          </w:tcPr>
          <w:p>
            <w:pPr>
              <w:spacing w:after="0"/>
              <w:rPr>
                <w:sz w:val="1"/>
                <w:szCs w:val="1"/>
                <w:color w:val="auto"/>
              </w:rPr>
            </w:pPr>
          </w:p>
        </w:tc>
      </w:tr>
      <w:tr>
        <w:trPr>
          <w:trHeight w:val="88"/>
        </w:trPr>
        <w:tc>
          <w:tcPr>
            <w:tcW w:w="600" w:type="dxa"/>
            <w:vAlign w:val="bottom"/>
            <w:vMerge w:val="restart"/>
          </w:tcPr>
          <w:p>
            <w:pPr>
              <w:jc w:val="right"/>
              <w:ind w:right="318"/>
              <w:spacing w:after="0"/>
              <w:rPr>
                <w:sz w:val="20"/>
                <w:szCs w:val="20"/>
                <w:color w:val="auto"/>
              </w:rPr>
            </w:pPr>
            <w:r>
              <w:rPr>
                <w:rFonts w:ascii="Arial" w:cs="Arial" w:eastAsia="Arial" w:hAnsi="Arial"/>
                <w:sz w:val="16"/>
                <w:szCs w:val="16"/>
                <w:b w:val="1"/>
                <w:bCs w:val="1"/>
                <w:color w:val="002060"/>
              </w:rPr>
              <w:t>37</w:t>
            </w:r>
          </w:p>
        </w:tc>
        <w:tc>
          <w:tcPr>
            <w:tcW w:w="4680" w:type="dxa"/>
            <w:vAlign w:val="bottom"/>
            <w:gridSpan w:val="25"/>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600" w:type="dxa"/>
            <w:vAlign w:val="bottom"/>
            <w:vMerge w:val="continue"/>
          </w:tcPr>
          <w:p>
            <w:pPr>
              <w:spacing w:after="0"/>
              <w:rPr>
                <w:sz w:val="14"/>
                <w:szCs w:val="14"/>
                <w:color w:val="auto"/>
              </w:rPr>
            </w:pPr>
          </w:p>
        </w:tc>
        <w:tc>
          <w:tcPr>
            <w:tcW w:w="2440" w:type="dxa"/>
            <w:vAlign w:val="bottom"/>
            <w:tcBorders>
              <w:top w:val="single" w:sz="8" w:color="0000EE"/>
            </w:tcBorders>
            <w:gridSpan w:val="12"/>
            <w:vMerge w:val="restart"/>
          </w:tcPr>
          <w:p>
            <w:pPr>
              <w:spacing w:after="0"/>
              <w:rPr>
                <w:sz w:val="20"/>
                <w:szCs w:val="20"/>
                <w:color w:val="auto"/>
              </w:rPr>
            </w:pPr>
            <w:r>
              <w:rPr>
                <w:rFonts w:ascii="Arial" w:cs="Arial" w:eastAsia="Arial" w:hAnsi="Arial"/>
                <w:sz w:val="16"/>
                <w:szCs w:val="16"/>
                <w:b w:val="1"/>
                <w:bCs w:val="1"/>
                <w:color w:val="0000EE"/>
              </w:rPr>
              <w:t>A</w:t>
            </w:r>
            <w:r>
              <w:rPr>
                <w:rFonts w:ascii="Arial" w:cs="Arial" w:eastAsia="Arial" w:hAnsi="Arial"/>
                <w:sz w:val="13"/>
                <w:szCs w:val="13"/>
                <w:b w:val="1"/>
                <w:bCs w:val="1"/>
                <w:color w:val="0000EE"/>
              </w:rPr>
              <w:t>TTENDING THE</w:t>
            </w:r>
            <w:r>
              <w:rPr>
                <w:rFonts w:ascii="Arial" w:cs="Arial" w:eastAsia="Arial" w:hAnsi="Arial"/>
                <w:sz w:val="16"/>
                <w:szCs w:val="16"/>
                <w:b w:val="1"/>
                <w:bCs w:val="1"/>
                <w:color w:val="0000EE"/>
              </w:rPr>
              <w:t xml:space="preserve"> A</w:t>
            </w:r>
            <w:r>
              <w:rPr>
                <w:rFonts w:ascii="Arial" w:cs="Arial" w:eastAsia="Arial" w:hAnsi="Arial"/>
                <w:sz w:val="13"/>
                <w:szCs w:val="13"/>
                <w:b w:val="1"/>
                <w:bCs w:val="1"/>
                <w:color w:val="0000EE"/>
              </w:rPr>
              <w:t>NNUAL</w:t>
            </w:r>
            <w:r>
              <w:rPr>
                <w:rFonts w:ascii="Arial" w:cs="Arial" w:eastAsia="Arial" w:hAnsi="Arial"/>
                <w:sz w:val="16"/>
                <w:szCs w:val="16"/>
                <w:b w:val="1"/>
                <w:bCs w:val="1"/>
                <w:color w:val="0000EE"/>
              </w:rPr>
              <w:t xml:space="preserve"> M</w:t>
            </w:r>
            <w:r>
              <w:rPr>
                <w:rFonts w:ascii="Arial" w:cs="Arial" w:eastAsia="Arial" w:hAnsi="Arial"/>
                <w:sz w:val="13"/>
                <w:szCs w:val="13"/>
                <w:b w:val="1"/>
                <w:bCs w:val="1"/>
                <w:color w:val="0000EE"/>
              </w:rPr>
              <w:t>EETING</w:t>
            </w:r>
          </w:p>
        </w:tc>
        <w:tc>
          <w:tcPr>
            <w:tcW w:w="860" w:type="dxa"/>
            <w:vAlign w:val="bottom"/>
            <w:tcBorders>
              <w:top w:val="single" w:sz="8" w:color="0000EE"/>
            </w:tcBorders>
            <w:gridSpan w:val="5"/>
            <w:vMerge w:val="restart"/>
          </w:tcPr>
          <w:p>
            <w:pPr>
              <w:spacing w:after="0"/>
              <w:rPr>
                <w:sz w:val="14"/>
                <w:szCs w:val="14"/>
                <w:color w:val="auto"/>
              </w:rPr>
            </w:pPr>
          </w:p>
        </w:tc>
        <w:tc>
          <w:tcPr>
            <w:tcW w:w="1380" w:type="dxa"/>
            <w:vAlign w:val="bottom"/>
            <w:gridSpan w:val="8"/>
            <w:vMerge w:val="restart"/>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002060"/>
              </w:rPr>
              <w:t>83</w:t>
            </w:r>
          </w:p>
        </w:tc>
        <w:tc>
          <w:tcPr>
            <w:tcW w:w="0" w:type="dxa"/>
            <w:vAlign w:val="bottom"/>
          </w:tcPr>
          <w:p>
            <w:pPr>
              <w:spacing w:after="0"/>
              <w:rPr>
                <w:sz w:val="1"/>
                <w:szCs w:val="1"/>
                <w:color w:val="auto"/>
              </w:rPr>
            </w:pPr>
          </w:p>
        </w:tc>
      </w:tr>
      <w:tr>
        <w:trPr>
          <w:trHeight w:val="93"/>
        </w:trPr>
        <w:tc>
          <w:tcPr>
            <w:tcW w:w="600" w:type="dxa"/>
            <w:vAlign w:val="bottom"/>
            <w:vMerge w:val="restart"/>
          </w:tcPr>
          <w:p>
            <w:pPr>
              <w:jc w:val="right"/>
              <w:ind w:right="318"/>
              <w:spacing w:after="0"/>
              <w:rPr>
                <w:sz w:val="20"/>
                <w:szCs w:val="20"/>
                <w:color w:val="auto"/>
              </w:rPr>
            </w:pPr>
            <w:r>
              <w:rPr>
                <w:rFonts w:ascii="Arial" w:cs="Arial" w:eastAsia="Arial" w:hAnsi="Arial"/>
                <w:sz w:val="16"/>
                <w:szCs w:val="16"/>
                <w:b w:val="1"/>
                <w:bCs w:val="1"/>
                <w:color w:val="002060"/>
              </w:rPr>
              <w:t>39</w:t>
            </w:r>
          </w:p>
        </w:tc>
        <w:tc>
          <w:tcPr>
            <w:tcW w:w="2440" w:type="dxa"/>
            <w:vAlign w:val="bottom"/>
            <w:tcBorders>
              <w:bottom w:val="single" w:sz="8" w:color="0000EE"/>
            </w:tcBorders>
            <w:gridSpan w:val="12"/>
            <w:vMerge w:val="continue"/>
          </w:tcPr>
          <w:p>
            <w:pPr>
              <w:spacing w:after="0"/>
              <w:rPr>
                <w:sz w:val="7"/>
                <w:szCs w:val="7"/>
                <w:color w:val="auto"/>
              </w:rPr>
            </w:pPr>
          </w:p>
        </w:tc>
        <w:tc>
          <w:tcPr>
            <w:tcW w:w="860" w:type="dxa"/>
            <w:vAlign w:val="bottom"/>
            <w:gridSpan w:val="5"/>
            <w:vMerge w:val="continue"/>
          </w:tcPr>
          <w:p>
            <w:pPr>
              <w:spacing w:after="0"/>
              <w:rPr>
                <w:sz w:val="7"/>
                <w:szCs w:val="7"/>
                <w:color w:val="auto"/>
              </w:rPr>
            </w:pPr>
          </w:p>
        </w:tc>
        <w:tc>
          <w:tcPr>
            <w:tcW w:w="1380" w:type="dxa"/>
            <w:vAlign w:val="bottom"/>
            <w:gridSpan w:val="8"/>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600" w:type="dxa"/>
            <w:vAlign w:val="bottom"/>
            <w:vMerge w:val="continue"/>
          </w:tcPr>
          <w:p>
            <w:pPr>
              <w:spacing w:after="0"/>
              <w:rPr>
                <w:sz w:val="14"/>
                <w:szCs w:val="14"/>
                <w:color w:val="auto"/>
              </w:rPr>
            </w:pPr>
          </w:p>
        </w:tc>
        <w:tc>
          <w:tcPr>
            <w:tcW w:w="4680" w:type="dxa"/>
            <w:vAlign w:val="bottom"/>
            <w:gridSpan w:val="25"/>
            <w:vMerge w:val="restart"/>
          </w:tcPr>
          <w:p>
            <w:pPr>
              <w:spacing w:after="0"/>
              <w:rPr>
                <w:sz w:val="20"/>
                <w:szCs w:val="20"/>
                <w:color w:val="auto"/>
              </w:rPr>
            </w:pPr>
            <w:r>
              <w:rPr>
                <w:rFonts w:ascii="Arial" w:cs="Arial" w:eastAsia="Arial" w:hAnsi="Arial"/>
                <w:sz w:val="16"/>
                <w:szCs w:val="16"/>
                <w:b w:val="1"/>
                <w:bCs w:val="1"/>
                <w:color w:val="0000EE"/>
              </w:rPr>
              <w:t>W</w:t>
            </w:r>
            <w:r>
              <w:rPr>
                <w:rFonts w:ascii="Arial" w:cs="Arial" w:eastAsia="Arial" w:hAnsi="Arial"/>
                <w:sz w:val="13"/>
                <w:szCs w:val="13"/>
                <w:b w:val="1"/>
                <w:bCs w:val="1"/>
                <w:color w:val="0000EE"/>
              </w:rPr>
              <w:t>HO IS</w:t>
            </w:r>
            <w:r>
              <w:rPr>
                <w:rFonts w:ascii="Arial" w:cs="Arial" w:eastAsia="Arial" w:hAnsi="Arial"/>
                <w:sz w:val="16"/>
                <w:szCs w:val="16"/>
                <w:b w:val="1"/>
                <w:bCs w:val="1"/>
                <w:color w:val="0000EE"/>
              </w:rPr>
              <w:t xml:space="preserve"> E</w:t>
            </w:r>
            <w:r>
              <w:rPr>
                <w:rFonts w:ascii="Arial" w:cs="Arial" w:eastAsia="Arial" w:hAnsi="Arial"/>
                <w:sz w:val="13"/>
                <w:szCs w:val="13"/>
                <w:b w:val="1"/>
                <w:bCs w:val="1"/>
                <w:color w:val="0000EE"/>
              </w:rPr>
              <w:t>NTITLED TO</w:t>
            </w:r>
            <w:r>
              <w:rPr>
                <w:rFonts w:ascii="Arial" w:cs="Arial" w:eastAsia="Arial" w:hAnsi="Arial"/>
                <w:sz w:val="16"/>
                <w:szCs w:val="16"/>
                <w:b w:val="1"/>
                <w:bCs w:val="1"/>
                <w:color w:val="0000EE"/>
              </w:rPr>
              <w:t xml:space="preserve"> V</w:t>
            </w:r>
            <w:r>
              <w:rPr>
                <w:rFonts w:ascii="Arial" w:cs="Arial" w:eastAsia="Arial" w:hAnsi="Arial"/>
                <w:sz w:val="13"/>
                <w:szCs w:val="13"/>
                <w:b w:val="1"/>
                <w:bCs w:val="1"/>
                <w:color w:val="0000EE"/>
              </w:rPr>
              <w:t>OTE</w:t>
            </w:r>
            <w:r>
              <w:rPr>
                <w:rFonts w:ascii="Arial" w:cs="Arial" w:eastAsia="Arial" w:hAnsi="Arial"/>
                <w:sz w:val="16"/>
                <w:szCs w:val="16"/>
                <w:b w:val="1"/>
                <w:bCs w:val="1"/>
                <w:color w:val="0000EE"/>
              </w:rPr>
              <w:t>; Q</w:t>
            </w:r>
            <w:r>
              <w:rPr>
                <w:rFonts w:ascii="Arial" w:cs="Arial" w:eastAsia="Arial" w:hAnsi="Arial"/>
                <w:sz w:val="13"/>
                <w:szCs w:val="13"/>
                <w:b w:val="1"/>
                <w:bCs w:val="1"/>
                <w:color w:val="0000EE"/>
              </w:rPr>
              <w:t>UORUM</w:t>
            </w: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002060"/>
              </w:rPr>
              <w:t>83</w:t>
            </w:r>
          </w:p>
        </w:tc>
        <w:tc>
          <w:tcPr>
            <w:tcW w:w="0" w:type="dxa"/>
            <w:vAlign w:val="bottom"/>
          </w:tcPr>
          <w:p>
            <w:pPr>
              <w:spacing w:after="0"/>
              <w:rPr>
                <w:sz w:val="1"/>
                <w:szCs w:val="1"/>
                <w:color w:val="auto"/>
              </w:rPr>
            </w:pPr>
          </w:p>
        </w:tc>
      </w:tr>
      <w:tr>
        <w:trPr>
          <w:trHeight w:val="89"/>
        </w:trPr>
        <w:tc>
          <w:tcPr>
            <w:tcW w:w="600" w:type="dxa"/>
            <w:vAlign w:val="bottom"/>
          </w:tcPr>
          <w:p>
            <w:pPr>
              <w:spacing w:after="0"/>
              <w:rPr>
                <w:sz w:val="7"/>
                <w:szCs w:val="7"/>
                <w:color w:val="auto"/>
              </w:rPr>
            </w:pPr>
          </w:p>
        </w:tc>
        <w:tc>
          <w:tcPr>
            <w:tcW w:w="4680" w:type="dxa"/>
            <w:vAlign w:val="bottom"/>
            <w:gridSpan w:val="25"/>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600" w:type="dxa"/>
            <w:vAlign w:val="bottom"/>
          </w:tcPr>
          <w:p>
            <w:pPr>
              <w:spacing w:after="0"/>
              <w:rPr>
                <w:sz w:val="21"/>
                <w:szCs w:val="21"/>
                <w:color w:val="auto"/>
              </w:rPr>
            </w:pPr>
          </w:p>
        </w:tc>
        <w:tc>
          <w:tcPr>
            <w:tcW w:w="2640" w:type="dxa"/>
            <w:vAlign w:val="bottom"/>
            <w:tcBorders>
              <w:top w:val="single" w:sz="8" w:color="0000EE"/>
            </w:tcBorders>
            <w:gridSpan w:val="13"/>
          </w:tcPr>
          <w:p>
            <w:pPr>
              <w:spacing w:after="0"/>
              <w:rPr>
                <w:sz w:val="20"/>
                <w:szCs w:val="20"/>
                <w:color w:val="auto"/>
              </w:rPr>
            </w:pPr>
            <w:r>
              <w:rPr>
                <w:rFonts w:ascii="Arial" w:cs="Arial" w:eastAsia="Arial" w:hAnsi="Arial"/>
                <w:sz w:val="16"/>
                <w:szCs w:val="16"/>
                <w:b w:val="1"/>
                <w:bCs w:val="1"/>
                <w:color w:val="0000EE"/>
              </w:rPr>
              <w:t>H</w:t>
            </w:r>
            <w:r>
              <w:rPr>
                <w:rFonts w:ascii="Arial" w:cs="Arial" w:eastAsia="Arial" w:hAnsi="Arial"/>
                <w:sz w:val="13"/>
                <w:szCs w:val="13"/>
                <w:b w:val="1"/>
                <w:bCs w:val="1"/>
                <w:color w:val="0000EE"/>
              </w:rPr>
              <w:t>OW TO</w:t>
            </w:r>
            <w:r>
              <w:rPr>
                <w:rFonts w:ascii="Arial" w:cs="Arial" w:eastAsia="Arial" w:hAnsi="Arial"/>
                <w:sz w:val="16"/>
                <w:szCs w:val="16"/>
                <w:b w:val="1"/>
                <w:bCs w:val="1"/>
                <w:color w:val="0000EE"/>
              </w:rPr>
              <w:t xml:space="preserve"> V</w:t>
            </w:r>
            <w:r>
              <w:rPr>
                <w:rFonts w:ascii="Arial" w:cs="Arial" w:eastAsia="Arial" w:hAnsi="Arial"/>
                <w:sz w:val="13"/>
                <w:szCs w:val="13"/>
                <w:b w:val="1"/>
                <w:bCs w:val="1"/>
                <w:color w:val="0000EE"/>
              </w:rPr>
              <w:t>OTE</w:t>
            </w:r>
          </w:p>
        </w:tc>
        <w:tc>
          <w:tcPr>
            <w:tcW w:w="2040" w:type="dxa"/>
            <w:vAlign w:val="bottom"/>
            <w:gridSpan w:val="12"/>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002060"/>
              </w:rPr>
              <w:t>84</w:t>
            </w:r>
          </w:p>
        </w:tc>
        <w:tc>
          <w:tcPr>
            <w:tcW w:w="0" w:type="dxa"/>
            <w:vAlign w:val="bottom"/>
          </w:tcPr>
          <w:p>
            <w:pPr>
              <w:spacing w:after="0"/>
              <w:rPr>
                <w:sz w:val="1"/>
                <w:szCs w:val="1"/>
                <w:color w:val="auto"/>
              </w:rPr>
            </w:pPr>
          </w:p>
        </w:tc>
      </w:tr>
      <w:tr>
        <w:trPr>
          <w:trHeight w:val="20"/>
        </w:trPr>
        <w:tc>
          <w:tcPr>
            <w:tcW w:w="600" w:type="dxa"/>
            <w:vAlign w:val="bottom"/>
            <w:vMerge w:val="restart"/>
          </w:tcPr>
          <w:p>
            <w:pPr>
              <w:jc w:val="right"/>
              <w:ind w:right="318"/>
              <w:spacing w:after="0"/>
              <w:rPr>
                <w:sz w:val="20"/>
                <w:szCs w:val="20"/>
                <w:color w:val="auto"/>
              </w:rPr>
            </w:pPr>
            <w:r>
              <w:rPr>
                <w:rFonts w:ascii="Arial" w:cs="Arial" w:eastAsia="Arial" w:hAnsi="Arial"/>
                <w:sz w:val="18"/>
                <w:szCs w:val="18"/>
                <w:b w:val="1"/>
                <w:bCs w:val="1"/>
                <w:color w:val="0070C0"/>
                <w:w w:val="89"/>
              </w:rPr>
              <w:t>40</w:t>
            </w:r>
          </w:p>
        </w:tc>
        <w:tc>
          <w:tcPr>
            <w:tcW w:w="10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20" w:type="dxa"/>
            <w:vAlign w:val="bottom"/>
            <w:gridSpan w:val="1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vMerge w:val="continue"/>
          </w:tcPr>
          <w:p>
            <w:pPr>
              <w:spacing w:after="0"/>
              <w:rPr>
                <w:sz w:val="21"/>
                <w:szCs w:val="21"/>
                <w:color w:val="auto"/>
              </w:rPr>
            </w:pPr>
          </w:p>
        </w:tc>
        <w:tc>
          <w:tcPr>
            <w:tcW w:w="4680" w:type="dxa"/>
            <w:vAlign w:val="bottom"/>
            <w:gridSpan w:val="25"/>
          </w:tcPr>
          <w:p>
            <w:pPr>
              <w:spacing w:after="0"/>
              <w:rPr>
                <w:sz w:val="20"/>
                <w:szCs w:val="20"/>
                <w:color w:val="auto"/>
              </w:rPr>
            </w:pPr>
            <w:r>
              <w:rPr>
                <w:rFonts w:ascii="Arial" w:cs="Arial" w:eastAsia="Arial" w:hAnsi="Arial"/>
                <w:sz w:val="16"/>
                <w:szCs w:val="16"/>
                <w:b w:val="1"/>
                <w:bCs w:val="1"/>
                <w:color w:val="0000EE"/>
              </w:rPr>
              <w:t>R</w:t>
            </w:r>
            <w:r>
              <w:rPr>
                <w:rFonts w:ascii="Arial" w:cs="Arial" w:eastAsia="Arial" w:hAnsi="Arial"/>
                <w:sz w:val="13"/>
                <w:szCs w:val="13"/>
                <w:b w:val="1"/>
                <w:bCs w:val="1"/>
                <w:color w:val="0000EE"/>
              </w:rPr>
              <w:t>EVOKING YOUR</w:t>
            </w:r>
            <w:r>
              <w:rPr>
                <w:rFonts w:ascii="Arial" w:cs="Arial" w:eastAsia="Arial" w:hAnsi="Arial"/>
                <w:sz w:val="16"/>
                <w:szCs w:val="16"/>
                <w:b w:val="1"/>
                <w:bCs w:val="1"/>
                <w:color w:val="0000EE"/>
              </w:rPr>
              <w:t xml:space="preserve"> P</w:t>
            </w:r>
            <w:r>
              <w:rPr>
                <w:rFonts w:ascii="Arial" w:cs="Arial" w:eastAsia="Arial" w:hAnsi="Arial"/>
                <w:sz w:val="13"/>
                <w:szCs w:val="13"/>
                <w:b w:val="1"/>
                <w:bCs w:val="1"/>
                <w:color w:val="0000EE"/>
              </w:rPr>
              <w:t>ROXY OR</w:t>
            </w:r>
            <w:r>
              <w:rPr>
                <w:rFonts w:ascii="Arial" w:cs="Arial" w:eastAsia="Arial" w:hAnsi="Arial"/>
                <w:sz w:val="16"/>
                <w:szCs w:val="16"/>
                <w:b w:val="1"/>
                <w:bCs w:val="1"/>
                <w:color w:val="0000EE"/>
              </w:rPr>
              <w:t xml:space="preserve"> C</w:t>
            </w:r>
            <w:r>
              <w:rPr>
                <w:rFonts w:ascii="Arial" w:cs="Arial" w:eastAsia="Arial" w:hAnsi="Arial"/>
                <w:sz w:val="13"/>
                <w:szCs w:val="13"/>
                <w:b w:val="1"/>
                <w:bCs w:val="1"/>
                <w:color w:val="0000EE"/>
              </w:rPr>
              <w:t>HANGING YOUR</w:t>
            </w:r>
            <w:r>
              <w:rPr>
                <w:rFonts w:ascii="Arial" w:cs="Arial" w:eastAsia="Arial" w:hAnsi="Arial"/>
                <w:sz w:val="16"/>
                <w:szCs w:val="16"/>
                <w:b w:val="1"/>
                <w:bCs w:val="1"/>
                <w:color w:val="0000EE"/>
              </w:rPr>
              <w:t xml:space="preserve"> V</w:t>
            </w:r>
            <w:r>
              <w:rPr>
                <w:rFonts w:ascii="Arial" w:cs="Arial" w:eastAsia="Arial" w:hAnsi="Arial"/>
                <w:sz w:val="13"/>
                <w:szCs w:val="13"/>
                <w:b w:val="1"/>
                <w:bCs w:val="1"/>
                <w:color w:val="0000EE"/>
              </w:rPr>
              <w:t>OTE</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002060"/>
              </w:rPr>
              <w:t>85</w:t>
            </w:r>
          </w:p>
        </w:tc>
        <w:tc>
          <w:tcPr>
            <w:tcW w:w="0" w:type="dxa"/>
            <w:vAlign w:val="bottom"/>
          </w:tcPr>
          <w:p>
            <w:pPr>
              <w:spacing w:after="0"/>
              <w:rPr>
                <w:sz w:val="1"/>
                <w:szCs w:val="1"/>
                <w:color w:val="auto"/>
              </w:rPr>
            </w:pPr>
          </w:p>
        </w:tc>
      </w:tr>
      <w:tr>
        <w:trPr>
          <w:trHeight w:val="250"/>
        </w:trPr>
        <w:tc>
          <w:tcPr>
            <w:tcW w:w="600" w:type="dxa"/>
            <w:vAlign w:val="bottom"/>
          </w:tcPr>
          <w:p>
            <w:pPr>
              <w:jc w:val="right"/>
              <w:ind w:right="318"/>
              <w:spacing w:after="0"/>
              <w:rPr>
                <w:sz w:val="20"/>
                <w:szCs w:val="20"/>
                <w:color w:val="auto"/>
              </w:rPr>
            </w:pPr>
            <w:r>
              <w:rPr>
                <w:rFonts w:ascii="Arial" w:cs="Arial" w:eastAsia="Arial" w:hAnsi="Arial"/>
                <w:sz w:val="16"/>
                <w:szCs w:val="16"/>
                <w:b w:val="1"/>
                <w:bCs w:val="1"/>
                <w:color w:val="002060"/>
              </w:rPr>
              <w:t>40</w:t>
            </w:r>
          </w:p>
        </w:tc>
        <w:tc>
          <w:tcPr>
            <w:tcW w:w="3460" w:type="dxa"/>
            <w:vAlign w:val="bottom"/>
            <w:tcBorders>
              <w:top w:val="single" w:sz="8" w:color="0000EE"/>
              <w:bottom w:val="single" w:sz="8" w:color="0000EE"/>
            </w:tcBorders>
            <w:gridSpan w:val="18"/>
          </w:tcPr>
          <w:p>
            <w:pPr>
              <w:spacing w:after="0"/>
              <w:rPr>
                <w:sz w:val="20"/>
                <w:szCs w:val="20"/>
                <w:color w:val="auto"/>
              </w:rPr>
            </w:pPr>
            <w:r>
              <w:rPr>
                <w:rFonts w:ascii="Arial" w:cs="Arial" w:eastAsia="Arial" w:hAnsi="Arial"/>
                <w:sz w:val="16"/>
                <w:szCs w:val="16"/>
                <w:b w:val="1"/>
                <w:bCs w:val="1"/>
                <w:color w:val="0000EE"/>
              </w:rPr>
              <w:t>V</w:t>
            </w:r>
            <w:r>
              <w:rPr>
                <w:rFonts w:ascii="Arial" w:cs="Arial" w:eastAsia="Arial" w:hAnsi="Arial"/>
                <w:sz w:val="13"/>
                <w:szCs w:val="13"/>
                <w:b w:val="1"/>
                <w:bCs w:val="1"/>
                <w:color w:val="0000EE"/>
              </w:rPr>
              <w:t>OTES</w:t>
            </w:r>
            <w:r>
              <w:rPr>
                <w:rFonts w:ascii="Arial" w:cs="Arial" w:eastAsia="Arial" w:hAnsi="Arial"/>
                <w:sz w:val="16"/>
                <w:szCs w:val="16"/>
                <w:b w:val="1"/>
                <w:bCs w:val="1"/>
                <w:color w:val="0000EE"/>
              </w:rPr>
              <w:t xml:space="preserve"> R</w:t>
            </w:r>
            <w:r>
              <w:rPr>
                <w:rFonts w:ascii="Arial" w:cs="Arial" w:eastAsia="Arial" w:hAnsi="Arial"/>
                <w:sz w:val="13"/>
                <w:szCs w:val="13"/>
                <w:b w:val="1"/>
                <w:bCs w:val="1"/>
                <w:color w:val="0000EE"/>
              </w:rPr>
              <w:t>EQUIRED TO</w:t>
            </w:r>
            <w:r>
              <w:rPr>
                <w:rFonts w:ascii="Arial" w:cs="Arial" w:eastAsia="Arial" w:hAnsi="Arial"/>
                <w:sz w:val="16"/>
                <w:szCs w:val="16"/>
                <w:b w:val="1"/>
                <w:bCs w:val="1"/>
                <w:color w:val="0000EE"/>
              </w:rPr>
              <w:t xml:space="preserve"> A</w:t>
            </w:r>
            <w:r>
              <w:rPr>
                <w:rFonts w:ascii="Arial" w:cs="Arial" w:eastAsia="Arial" w:hAnsi="Arial"/>
                <w:sz w:val="13"/>
                <w:szCs w:val="13"/>
                <w:b w:val="1"/>
                <w:bCs w:val="1"/>
                <w:color w:val="0000EE"/>
              </w:rPr>
              <w:t>PPROVE EACH</w:t>
            </w:r>
            <w:r>
              <w:rPr>
                <w:rFonts w:ascii="Arial" w:cs="Arial" w:eastAsia="Arial" w:hAnsi="Arial"/>
                <w:sz w:val="16"/>
                <w:szCs w:val="16"/>
                <w:b w:val="1"/>
                <w:bCs w:val="1"/>
                <w:color w:val="0000EE"/>
              </w:rPr>
              <w:t xml:space="preserve"> P</w:t>
            </w:r>
            <w:r>
              <w:rPr>
                <w:rFonts w:ascii="Arial" w:cs="Arial" w:eastAsia="Arial" w:hAnsi="Arial"/>
                <w:sz w:val="13"/>
                <w:szCs w:val="13"/>
                <w:b w:val="1"/>
                <w:bCs w:val="1"/>
                <w:color w:val="0000EE"/>
              </w:rPr>
              <w:t>ROPOSAL</w:t>
            </w:r>
          </w:p>
        </w:tc>
        <w:tc>
          <w:tcPr>
            <w:tcW w:w="160" w:type="dxa"/>
            <w:vAlign w:val="bottom"/>
            <w:tcBorders>
              <w:top w:val="single" w:sz="8" w:color="0000EE"/>
            </w:tcBorders>
          </w:tcPr>
          <w:p>
            <w:pPr>
              <w:spacing w:after="0"/>
              <w:rPr>
                <w:sz w:val="21"/>
                <w:szCs w:val="21"/>
                <w:color w:val="auto"/>
              </w:rPr>
            </w:pPr>
          </w:p>
        </w:tc>
        <w:tc>
          <w:tcPr>
            <w:tcW w:w="1060" w:type="dxa"/>
            <w:vAlign w:val="bottom"/>
            <w:gridSpan w:val="6"/>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002060"/>
              </w:rPr>
              <w:t>85</w:t>
            </w:r>
          </w:p>
        </w:tc>
        <w:tc>
          <w:tcPr>
            <w:tcW w:w="0" w:type="dxa"/>
            <w:vAlign w:val="bottom"/>
          </w:tcPr>
          <w:p>
            <w:pPr>
              <w:spacing w:after="0"/>
              <w:rPr>
                <w:sz w:val="1"/>
                <w:szCs w:val="1"/>
                <w:color w:val="auto"/>
              </w:rPr>
            </w:pPr>
          </w:p>
        </w:tc>
      </w:tr>
      <w:tr>
        <w:trPr>
          <w:trHeight w:val="250"/>
        </w:trPr>
        <w:tc>
          <w:tcPr>
            <w:tcW w:w="600" w:type="dxa"/>
            <w:vAlign w:val="bottom"/>
          </w:tcPr>
          <w:p>
            <w:pPr>
              <w:jc w:val="right"/>
              <w:ind w:right="318"/>
              <w:spacing w:after="0"/>
              <w:rPr>
                <w:sz w:val="20"/>
                <w:szCs w:val="20"/>
                <w:color w:val="auto"/>
              </w:rPr>
            </w:pPr>
            <w:r>
              <w:rPr>
                <w:rFonts w:ascii="Arial" w:cs="Arial" w:eastAsia="Arial" w:hAnsi="Arial"/>
                <w:sz w:val="16"/>
                <w:szCs w:val="16"/>
                <w:b w:val="1"/>
                <w:bCs w:val="1"/>
                <w:color w:val="002060"/>
              </w:rPr>
              <w:t>41</w:t>
            </w:r>
          </w:p>
        </w:tc>
        <w:tc>
          <w:tcPr>
            <w:tcW w:w="122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b w:val="1"/>
                <w:bCs w:val="1"/>
                <w:color w:val="0000EE"/>
              </w:rPr>
              <w:t>V</w:t>
            </w:r>
            <w:r>
              <w:rPr>
                <w:rFonts w:ascii="Arial" w:cs="Arial" w:eastAsia="Arial" w:hAnsi="Arial"/>
                <w:sz w:val="13"/>
                <w:szCs w:val="13"/>
                <w:b w:val="1"/>
                <w:bCs w:val="1"/>
                <w:color w:val="0000EE"/>
              </w:rPr>
              <w:t>OTING</w:t>
            </w:r>
            <w:r>
              <w:rPr>
                <w:rFonts w:ascii="Arial" w:cs="Arial" w:eastAsia="Arial" w:hAnsi="Arial"/>
                <w:sz w:val="16"/>
                <w:szCs w:val="16"/>
                <w:b w:val="1"/>
                <w:bCs w:val="1"/>
                <w:color w:val="0000EE"/>
              </w:rPr>
              <w:t xml:space="preserve"> R</w:t>
            </w:r>
            <w:r>
              <w:rPr>
                <w:rFonts w:ascii="Arial" w:cs="Arial" w:eastAsia="Arial" w:hAnsi="Arial"/>
                <w:sz w:val="13"/>
                <w:szCs w:val="13"/>
                <w:b w:val="1"/>
                <w:bCs w:val="1"/>
                <w:color w:val="0000EE"/>
              </w:rPr>
              <w:t>ESULTS</w:t>
            </w:r>
          </w:p>
        </w:tc>
        <w:tc>
          <w:tcPr>
            <w:tcW w:w="3460" w:type="dxa"/>
            <w:vAlign w:val="bottom"/>
            <w:gridSpan w:val="22"/>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002060"/>
              </w:rPr>
              <w:t>85</w:t>
            </w:r>
          </w:p>
        </w:tc>
        <w:tc>
          <w:tcPr>
            <w:tcW w:w="0" w:type="dxa"/>
            <w:vAlign w:val="bottom"/>
          </w:tcPr>
          <w:p>
            <w:pPr>
              <w:spacing w:after="0"/>
              <w:rPr>
                <w:sz w:val="1"/>
                <w:szCs w:val="1"/>
                <w:color w:val="auto"/>
              </w:rPr>
            </w:pPr>
          </w:p>
        </w:tc>
      </w:tr>
      <w:tr>
        <w:trPr>
          <w:trHeight w:val="264"/>
        </w:trPr>
        <w:tc>
          <w:tcPr>
            <w:tcW w:w="600" w:type="dxa"/>
            <w:vAlign w:val="bottom"/>
          </w:tcPr>
          <w:p>
            <w:pPr>
              <w:jc w:val="right"/>
              <w:ind w:right="318"/>
              <w:spacing w:after="0"/>
              <w:rPr>
                <w:sz w:val="20"/>
                <w:szCs w:val="20"/>
                <w:color w:val="auto"/>
              </w:rPr>
            </w:pPr>
            <w:r>
              <w:rPr>
                <w:rFonts w:ascii="Arial" w:cs="Arial" w:eastAsia="Arial" w:hAnsi="Arial"/>
                <w:sz w:val="16"/>
                <w:szCs w:val="16"/>
                <w:b w:val="1"/>
                <w:bCs w:val="1"/>
                <w:color w:val="002060"/>
              </w:rPr>
              <w:t>41</w:t>
            </w:r>
          </w:p>
        </w:tc>
        <w:tc>
          <w:tcPr>
            <w:tcW w:w="4680" w:type="dxa"/>
            <w:vAlign w:val="bottom"/>
            <w:gridSpan w:val="25"/>
          </w:tcPr>
          <w:p>
            <w:pPr>
              <w:spacing w:after="0"/>
              <w:rPr>
                <w:sz w:val="20"/>
                <w:szCs w:val="20"/>
                <w:color w:val="auto"/>
              </w:rPr>
            </w:pPr>
            <w:r>
              <w:rPr>
                <w:rFonts w:ascii="Arial" w:cs="Arial" w:eastAsia="Arial" w:hAnsi="Arial"/>
                <w:sz w:val="18"/>
                <w:szCs w:val="18"/>
                <w:b w:val="1"/>
                <w:bCs w:val="1"/>
                <w:color w:val="0000EE"/>
              </w:rPr>
              <w:t>OTHER MATTERS</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0070C0"/>
              </w:rPr>
              <w:t>86</w:t>
            </w:r>
          </w:p>
        </w:tc>
        <w:tc>
          <w:tcPr>
            <w:tcW w:w="0" w:type="dxa"/>
            <w:vAlign w:val="bottom"/>
          </w:tcPr>
          <w:p>
            <w:pPr>
              <w:spacing w:after="0"/>
              <w:rPr>
                <w:sz w:val="1"/>
                <w:szCs w:val="1"/>
                <w:color w:val="auto"/>
              </w:rPr>
            </w:pPr>
          </w:p>
        </w:tc>
      </w:tr>
      <w:tr>
        <w:trPr>
          <w:trHeight w:val="296"/>
        </w:trPr>
        <w:tc>
          <w:tcPr>
            <w:tcW w:w="600" w:type="dxa"/>
            <w:vAlign w:val="bottom"/>
          </w:tcPr>
          <w:p>
            <w:pPr>
              <w:jc w:val="right"/>
              <w:ind w:right="318"/>
              <w:spacing w:after="0"/>
              <w:rPr>
                <w:sz w:val="20"/>
                <w:szCs w:val="20"/>
                <w:color w:val="auto"/>
              </w:rPr>
            </w:pPr>
            <w:r>
              <w:rPr>
                <w:rFonts w:ascii="Arial" w:cs="Arial" w:eastAsia="Arial" w:hAnsi="Arial"/>
                <w:sz w:val="16"/>
                <w:szCs w:val="16"/>
                <w:b w:val="1"/>
                <w:bCs w:val="1"/>
                <w:color w:val="002060"/>
              </w:rPr>
              <w:t>42</w:t>
            </w:r>
          </w:p>
        </w:tc>
        <w:tc>
          <w:tcPr>
            <w:tcW w:w="8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0" w:type="dxa"/>
            <w:vAlign w:val="bottom"/>
          </w:tcPr>
          <w:p>
            <w:pPr>
              <w:jc w:val="right"/>
              <w:ind w:right="318"/>
              <w:spacing w:after="0"/>
              <w:rPr>
                <w:sz w:val="20"/>
                <w:szCs w:val="20"/>
                <w:color w:val="auto"/>
              </w:rPr>
            </w:pPr>
            <w:r>
              <w:rPr>
                <w:rFonts w:ascii="Arial" w:cs="Arial" w:eastAsia="Arial" w:hAnsi="Arial"/>
                <w:sz w:val="16"/>
                <w:szCs w:val="16"/>
                <w:b w:val="1"/>
                <w:bCs w:val="1"/>
                <w:color w:val="002060"/>
              </w:rPr>
              <w:t>42</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2"/>
        </w:trPr>
        <w:tc>
          <w:tcPr>
            <w:tcW w:w="600" w:type="dxa"/>
            <w:vAlign w:val="bottom"/>
          </w:tcPr>
          <w:p>
            <w:pPr>
              <w:jc w:val="right"/>
              <w:ind w:right="318"/>
              <w:spacing w:after="0"/>
              <w:rPr>
                <w:sz w:val="20"/>
                <w:szCs w:val="20"/>
                <w:color w:val="auto"/>
              </w:rPr>
            </w:pPr>
            <w:r>
              <w:rPr>
                <w:rFonts w:ascii="Arial" w:cs="Arial" w:eastAsia="Arial" w:hAnsi="Arial"/>
                <w:sz w:val="18"/>
                <w:szCs w:val="18"/>
                <w:b w:val="1"/>
                <w:bCs w:val="1"/>
                <w:color w:val="0070C0"/>
                <w:w w:val="89"/>
              </w:rPr>
              <w:t>43</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4680" w:space="340"/>
            <w:col w:w="5940"/>
          </w:cols>
          <w:pgMar w:left="440" w:top="261" w:right="499" w:bottom="899" w:gutter="0" w:footer="0" w:header="0"/>
          <w:type w:val="continuous"/>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page">
              <wp:posOffset>833755</wp:posOffset>
            </wp:positionH>
            <wp:positionV relativeFrom="page">
              <wp:posOffset>1786255</wp:posOffset>
            </wp:positionV>
            <wp:extent cx="5880735" cy="41319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880735"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40"/>
          <w:szCs w:val="40"/>
          <w:b w:val="1"/>
          <w:bCs w:val="1"/>
          <w:color w:val="0070C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4" w:lineRule="exact"/>
        <w:rPr>
          <w:sz w:val="20"/>
          <w:szCs w:val="20"/>
          <w:color w:val="auto"/>
        </w:rPr>
      </w:pPr>
    </w:p>
    <w:p>
      <w:pPr>
        <w:ind w:right="200"/>
        <w:spacing w:after="0" w:line="301" w:lineRule="auto"/>
        <w:rPr>
          <w:sz w:val="20"/>
          <w:szCs w:val="20"/>
          <w:color w:val="auto"/>
        </w:rPr>
      </w:pPr>
      <w:r>
        <w:rPr>
          <w:rFonts w:ascii="Arial" w:cs="Arial" w:eastAsia="Arial" w:hAnsi="Arial"/>
          <w:sz w:val="17"/>
          <w:szCs w:val="17"/>
          <w:color w:val="auto"/>
        </w:rPr>
        <w:t>This Proxy Summary provides an overview of our business and highlights information contained elsewhere in this Proxy Statement. This summary does not contain all of the information you should consider. Please read the entire Proxy Statement carefully before voting.</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Annual Meeting Proposals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002060"/>
                <w:w w:val="99"/>
              </w:rPr>
              <w:t>Board</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002060"/>
              </w:rPr>
              <w:t>Page</w:t>
            </w:r>
          </w:p>
        </w:tc>
      </w:tr>
      <w:tr>
        <w:trPr>
          <w:trHeight w:val="255"/>
        </w:trPr>
        <w:tc>
          <w:tcPr>
            <w:tcW w:w="340" w:type="dxa"/>
            <w:vAlign w:val="bottom"/>
            <w:tcBorders>
              <w:bottom w:val="single" w:sz="8" w:color="0070C0"/>
            </w:tcBorders>
          </w:tcPr>
          <w:p>
            <w:pPr>
              <w:spacing w:after="0"/>
              <w:rPr>
                <w:sz w:val="22"/>
                <w:szCs w:val="22"/>
                <w:color w:val="auto"/>
              </w:rPr>
            </w:pPr>
          </w:p>
        </w:tc>
        <w:tc>
          <w:tcPr>
            <w:tcW w:w="3860" w:type="dxa"/>
            <w:vAlign w:val="bottom"/>
            <w:tcBorders>
              <w:bottom w:val="single" w:sz="8" w:color="0070C0"/>
            </w:tcBorders>
          </w:tcPr>
          <w:p>
            <w:pPr>
              <w:ind w:left="1320"/>
              <w:spacing w:after="0"/>
              <w:rPr>
                <w:sz w:val="20"/>
                <w:szCs w:val="20"/>
                <w:color w:val="auto"/>
              </w:rPr>
            </w:pPr>
            <w:r>
              <w:rPr>
                <w:rFonts w:ascii="Arial" w:cs="Arial" w:eastAsia="Arial" w:hAnsi="Arial"/>
                <w:sz w:val="18"/>
                <w:szCs w:val="18"/>
                <w:b w:val="1"/>
                <w:bCs w:val="1"/>
                <w:color w:val="002060"/>
              </w:rPr>
              <w:t>Proposals</w:t>
            </w:r>
          </w:p>
        </w:tc>
        <w:tc>
          <w:tcPr>
            <w:tcW w:w="3940" w:type="dxa"/>
            <w:vAlign w:val="bottom"/>
            <w:tcBorders>
              <w:bottom w:val="single" w:sz="8" w:color="0070C0"/>
            </w:tcBorders>
          </w:tcPr>
          <w:p>
            <w:pPr>
              <w:ind w:left="1380"/>
              <w:spacing w:after="0"/>
              <w:rPr>
                <w:sz w:val="20"/>
                <w:szCs w:val="20"/>
                <w:color w:val="auto"/>
              </w:rPr>
            </w:pPr>
            <w:r>
              <w:rPr>
                <w:rFonts w:ascii="Arial" w:cs="Arial" w:eastAsia="Arial" w:hAnsi="Arial"/>
                <w:sz w:val="18"/>
                <w:szCs w:val="18"/>
                <w:b w:val="1"/>
                <w:bCs w:val="1"/>
                <w:color w:val="002060"/>
              </w:rPr>
              <w:t>Required Vote</w:t>
            </w:r>
          </w:p>
        </w:tc>
        <w:tc>
          <w:tcPr>
            <w:tcW w:w="1800" w:type="dxa"/>
            <w:vAlign w:val="bottom"/>
            <w:tcBorders>
              <w:bottom w:val="single" w:sz="8" w:color="0070C0"/>
            </w:tcBorders>
          </w:tcPr>
          <w:p>
            <w:pPr>
              <w:jc w:val="center"/>
              <w:spacing w:after="0"/>
              <w:rPr>
                <w:sz w:val="20"/>
                <w:szCs w:val="20"/>
                <w:color w:val="auto"/>
              </w:rPr>
            </w:pPr>
            <w:r>
              <w:rPr>
                <w:rFonts w:ascii="Arial" w:cs="Arial" w:eastAsia="Arial" w:hAnsi="Arial"/>
                <w:sz w:val="18"/>
                <w:szCs w:val="18"/>
                <w:b w:val="1"/>
                <w:bCs w:val="1"/>
                <w:color w:val="002060"/>
              </w:rPr>
              <w:t>Recommendation</w:t>
            </w:r>
          </w:p>
        </w:tc>
        <w:tc>
          <w:tcPr>
            <w:tcW w:w="1080" w:type="dxa"/>
            <w:vAlign w:val="bottom"/>
            <w:tcBorders>
              <w:bottom w:val="single" w:sz="8" w:color="0070C0"/>
            </w:tcBorders>
          </w:tcPr>
          <w:p>
            <w:pPr>
              <w:jc w:val="center"/>
              <w:spacing w:after="0"/>
              <w:rPr>
                <w:sz w:val="20"/>
                <w:szCs w:val="20"/>
                <w:color w:val="auto"/>
              </w:rPr>
            </w:pPr>
            <w:r>
              <w:rPr>
                <w:rFonts w:ascii="Arial" w:cs="Arial" w:eastAsia="Arial" w:hAnsi="Arial"/>
                <w:sz w:val="18"/>
                <w:szCs w:val="18"/>
                <w:b w:val="1"/>
                <w:bCs w:val="1"/>
                <w:color w:val="002060"/>
              </w:rPr>
              <w:t>Reference</w:t>
            </w:r>
          </w:p>
        </w:tc>
      </w:tr>
      <w:tr>
        <w:trPr>
          <w:trHeight w:val="197"/>
        </w:trPr>
        <w:tc>
          <w:tcPr>
            <w:tcW w:w="340" w:type="dxa"/>
            <w:vAlign w:val="bottom"/>
            <w:shd w:val="clear" w:color="auto" w:fill="D5DCE4"/>
          </w:tcPr>
          <w:p>
            <w:pPr>
              <w:jc w:val="right"/>
              <w:ind w:right="110"/>
              <w:spacing w:after="0" w:line="197" w:lineRule="exact"/>
              <w:rPr>
                <w:sz w:val="20"/>
                <w:szCs w:val="20"/>
                <w:color w:val="auto"/>
              </w:rPr>
            </w:pPr>
            <w:r>
              <w:rPr>
                <w:rFonts w:ascii="Arial" w:cs="Arial" w:eastAsia="Arial" w:hAnsi="Arial"/>
                <w:sz w:val="18"/>
                <w:szCs w:val="18"/>
                <w:color w:val="auto"/>
                <w:w w:val="79"/>
              </w:rPr>
              <w:t>1.</w:t>
            </w:r>
          </w:p>
        </w:tc>
        <w:tc>
          <w:tcPr>
            <w:tcW w:w="3860" w:type="dxa"/>
            <w:vAlign w:val="bottom"/>
            <w:shd w:val="clear" w:color="auto" w:fill="D5DCE4"/>
          </w:tcPr>
          <w:p>
            <w:pPr>
              <w:ind w:left="120"/>
              <w:spacing w:after="0" w:line="197" w:lineRule="exact"/>
              <w:rPr>
                <w:sz w:val="20"/>
                <w:szCs w:val="20"/>
                <w:color w:val="auto"/>
              </w:rPr>
            </w:pPr>
            <w:r>
              <w:rPr>
                <w:rFonts w:ascii="Arial" w:cs="Arial" w:eastAsia="Arial" w:hAnsi="Arial"/>
                <w:sz w:val="18"/>
                <w:szCs w:val="18"/>
                <w:color w:val="auto"/>
              </w:rPr>
              <w:t>Election of Margot L. Carter, David R. Meuse</w:t>
            </w:r>
          </w:p>
        </w:tc>
        <w:tc>
          <w:tcPr>
            <w:tcW w:w="3940" w:type="dxa"/>
            <w:vAlign w:val="bottom"/>
          </w:tcPr>
          <w:p>
            <w:pPr>
              <w:ind w:left="120"/>
              <w:spacing w:after="0" w:line="197" w:lineRule="exact"/>
              <w:rPr>
                <w:sz w:val="20"/>
                <w:szCs w:val="20"/>
                <w:color w:val="auto"/>
              </w:rPr>
            </w:pPr>
            <w:r>
              <w:rPr>
                <w:rFonts w:ascii="Arial" w:cs="Arial" w:eastAsia="Arial" w:hAnsi="Arial"/>
                <w:sz w:val="18"/>
                <w:szCs w:val="18"/>
                <w:color w:val="auto"/>
              </w:rPr>
              <w:t>Majority of the votes cast at the Annual</w:t>
            </w:r>
          </w:p>
        </w:tc>
        <w:tc>
          <w:tcPr>
            <w:tcW w:w="1800" w:type="dxa"/>
            <w:vAlign w:val="bottom"/>
          </w:tcPr>
          <w:p>
            <w:pPr>
              <w:jc w:val="center"/>
              <w:spacing w:after="0" w:line="197" w:lineRule="exact"/>
              <w:rPr>
                <w:sz w:val="20"/>
                <w:szCs w:val="20"/>
                <w:color w:val="auto"/>
              </w:rPr>
            </w:pPr>
            <w:r>
              <w:rPr>
                <w:rFonts w:ascii="MS PGothic" w:cs="MS PGothic" w:eastAsia="MS PGothic" w:hAnsi="MS PGothic"/>
                <w:sz w:val="18"/>
                <w:szCs w:val="18"/>
                <w:color w:val="0070C0"/>
                <w:w w:val="94"/>
              </w:rPr>
              <w:t>✓</w:t>
            </w:r>
            <w:r>
              <w:rPr>
                <w:rFonts w:ascii="Arial" w:cs="Arial" w:eastAsia="Arial" w:hAnsi="Arial"/>
                <w:sz w:val="18"/>
                <w:szCs w:val="18"/>
                <w:b w:val="1"/>
                <w:bCs w:val="1"/>
                <w:color w:val="0070C0"/>
                <w:w w:val="94"/>
              </w:rPr>
              <w:t xml:space="preserve"> FOR</w:t>
            </w:r>
          </w:p>
        </w:tc>
        <w:tc>
          <w:tcPr>
            <w:tcW w:w="1080" w:type="dxa"/>
            <w:vAlign w:val="bottom"/>
          </w:tcPr>
          <w:p>
            <w:pPr>
              <w:jc w:val="center"/>
              <w:spacing w:after="0" w:line="197" w:lineRule="exact"/>
              <w:rPr>
                <w:sz w:val="20"/>
                <w:szCs w:val="20"/>
                <w:color w:val="auto"/>
              </w:rPr>
            </w:pPr>
            <w:r>
              <w:rPr>
                <w:rFonts w:ascii="Arial" w:cs="Arial" w:eastAsia="Arial" w:hAnsi="Arial"/>
                <w:sz w:val="18"/>
                <w:szCs w:val="18"/>
                <w:color w:val="auto"/>
                <w:w w:val="99"/>
              </w:rPr>
              <w:t>6</w:t>
            </w:r>
          </w:p>
        </w:tc>
      </w:tr>
      <w:tr>
        <w:trPr>
          <w:trHeight w:val="203"/>
        </w:trPr>
        <w:tc>
          <w:tcPr>
            <w:tcW w:w="340" w:type="dxa"/>
            <w:vAlign w:val="bottom"/>
            <w:shd w:val="clear" w:color="auto" w:fill="D5DCE4"/>
          </w:tcPr>
          <w:p>
            <w:pPr>
              <w:spacing w:after="0"/>
              <w:rPr>
                <w:sz w:val="17"/>
                <w:szCs w:val="17"/>
                <w:color w:val="auto"/>
              </w:rPr>
            </w:pPr>
          </w:p>
        </w:tc>
        <w:tc>
          <w:tcPr>
            <w:tcW w:w="3860" w:type="dxa"/>
            <w:vAlign w:val="bottom"/>
            <w:shd w:val="clear" w:color="auto" w:fill="D5DCE4"/>
          </w:tcPr>
          <w:p>
            <w:pPr>
              <w:ind w:left="120"/>
              <w:spacing w:after="0" w:line="202" w:lineRule="exact"/>
              <w:rPr>
                <w:sz w:val="20"/>
                <w:szCs w:val="20"/>
                <w:color w:val="auto"/>
              </w:rPr>
            </w:pPr>
            <w:r>
              <w:rPr>
                <w:rFonts w:ascii="Arial" w:cs="Arial" w:eastAsia="Arial" w:hAnsi="Arial"/>
                <w:sz w:val="18"/>
                <w:szCs w:val="18"/>
                <w:color w:val="auto"/>
              </w:rPr>
              <w:t>and Michael H. Thomas as directors to serve</w:t>
            </w:r>
          </w:p>
        </w:tc>
        <w:tc>
          <w:tcPr>
            <w:tcW w:w="3940" w:type="dxa"/>
            <w:vAlign w:val="bottom"/>
          </w:tcPr>
          <w:p>
            <w:pPr>
              <w:ind w:left="120"/>
              <w:spacing w:after="0" w:line="202" w:lineRule="exact"/>
              <w:rPr>
                <w:sz w:val="20"/>
                <w:szCs w:val="20"/>
                <w:color w:val="auto"/>
              </w:rPr>
            </w:pPr>
            <w:r>
              <w:rPr>
                <w:rFonts w:ascii="Arial" w:cs="Arial" w:eastAsia="Arial" w:hAnsi="Arial"/>
                <w:sz w:val="18"/>
                <w:szCs w:val="18"/>
                <w:color w:val="auto"/>
              </w:rPr>
              <w:t>Meeting</w:t>
            </w:r>
          </w:p>
        </w:tc>
        <w:tc>
          <w:tcPr>
            <w:tcW w:w="1800" w:type="dxa"/>
            <w:vAlign w:val="bottom"/>
          </w:tcPr>
          <w:p>
            <w:pPr>
              <w:jc w:val="center"/>
              <w:spacing w:after="0" w:line="202" w:lineRule="exact"/>
              <w:rPr>
                <w:sz w:val="20"/>
                <w:szCs w:val="20"/>
                <w:color w:val="auto"/>
              </w:rPr>
            </w:pPr>
            <w:r>
              <w:rPr>
                <w:rFonts w:ascii="Arial" w:cs="Arial" w:eastAsia="Arial" w:hAnsi="Arial"/>
                <w:sz w:val="18"/>
                <w:szCs w:val="18"/>
                <w:b w:val="1"/>
                <w:bCs w:val="1"/>
                <w:color w:val="0070C0"/>
                <w:w w:val="99"/>
              </w:rPr>
              <w:t>each nominee</w:t>
            </w:r>
          </w:p>
        </w:tc>
        <w:tc>
          <w:tcPr>
            <w:tcW w:w="1080" w:type="dxa"/>
            <w:vAlign w:val="bottom"/>
          </w:tcPr>
          <w:p>
            <w:pPr>
              <w:spacing w:after="0"/>
              <w:rPr>
                <w:sz w:val="17"/>
                <w:szCs w:val="17"/>
                <w:color w:val="auto"/>
              </w:rPr>
            </w:pPr>
          </w:p>
        </w:tc>
      </w:tr>
      <w:tr>
        <w:trPr>
          <w:trHeight w:val="239"/>
        </w:trPr>
        <w:tc>
          <w:tcPr>
            <w:tcW w:w="340" w:type="dxa"/>
            <w:vAlign w:val="bottom"/>
            <w:shd w:val="clear" w:color="auto" w:fill="D5DCE4"/>
          </w:tcPr>
          <w:p>
            <w:pPr>
              <w:spacing w:after="0"/>
              <w:rPr>
                <w:sz w:val="20"/>
                <w:szCs w:val="20"/>
                <w:color w:val="auto"/>
              </w:rPr>
            </w:pPr>
          </w:p>
        </w:tc>
        <w:tc>
          <w:tcPr>
            <w:tcW w:w="3860" w:type="dxa"/>
            <w:vAlign w:val="bottom"/>
            <w:shd w:val="clear" w:color="auto" w:fill="D5DCE4"/>
          </w:tcPr>
          <w:p>
            <w:pPr>
              <w:ind w:left="120"/>
              <w:spacing w:after="0"/>
              <w:rPr>
                <w:sz w:val="20"/>
                <w:szCs w:val="20"/>
                <w:color w:val="auto"/>
              </w:rPr>
            </w:pPr>
            <w:r>
              <w:rPr>
                <w:rFonts w:ascii="Arial" w:cs="Arial" w:eastAsia="Arial" w:hAnsi="Arial"/>
                <w:sz w:val="18"/>
                <w:szCs w:val="18"/>
                <w:color w:val="auto"/>
              </w:rPr>
              <w:t>for three-year terms</w:t>
            </w:r>
          </w:p>
        </w:tc>
        <w:tc>
          <w:tcPr>
            <w:tcW w:w="39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04"/>
        </w:trPr>
        <w:tc>
          <w:tcPr>
            <w:tcW w:w="340" w:type="dxa"/>
            <w:vAlign w:val="bottom"/>
            <w:tcBorders>
              <w:bottom w:val="single" w:sz="8" w:color="auto"/>
            </w:tcBorders>
            <w:shd w:val="clear" w:color="auto" w:fill="D5DCE4"/>
          </w:tcPr>
          <w:p>
            <w:pPr>
              <w:spacing w:after="0"/>
              <w:rPr>
                <w:sz w:val="9"/>
                <w:szCs w:val="9"/>
                <w:color w:val="auto"/>
              </w:rPr>
            </w:pPr>
          </w:p>
        </w:tc>
        <w:tc>
          <w:tcPr>
            <w:tcW w:w="3860" w:type="dxa"/>
            <w:vAlign w:val="bottom"/>
            <w:tcBorders>
              <w:bottom w:val="single" w:sz="8" w:color="auto"/>
            </w:tcBorders>
            <w:shd w:val="clear" w:color="auto" w:fill="D5DCE4"/>
          </w:tcPr>
          <w:p>
            <w:pPr>
              <w:spacing w:after="0"/>
              <w:rPr>
                <w:sz w:val="9"/>
                <w:szCs w:val="9"/>
                <w:color w:val="auto"/>
              </w:rPr>
            </w:pPr>
          </w:p>
        </w:tc>
        <w:tc>
          <w:tcPr>
            <w:tcW w:w="394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r>
      <w:tr>
        <w:trPr>
          <w:trHeight w:val="191"/>
        </w:trPr>
        <w:tc>
          <w:tcPr>
            <w:tcW w:w="340" w:type="dxa"/>
            <w:vAlign w:val="bottom"/>
            <w:shd w:val="clear" w:color="auto" w:fill="D5DCE4"/>
          </w:tcPr>
          <w:p>
            <w:pPr>
              <w:jc w:val="right"/>
              <w:ind w:right="110"/>
              <w:spacing w:after="0" w:line="191" w:lineRule="exact"/>
              <w:rPr>
                <w:sz w:val="20"/>
                <w:szCs w:val="20"/>
                <w:color w:val="auto"/>
              </w:rPr>
            </w:pPr>
            <w:r>
              <w:rPr>
                <w:rFonts w:ascii="Arial" w:cs="Arial" w:eastAsia="Arial" w:hAnsi="Arial"/>
                <w:sz w:val="18"/>
                <w:szCs w:val="18"/>
                <w:color w:val="auto"/>
                <w:w w:val="79"/>
              </w:rPr>
              <w:t>2.</w:t>
            </w:r>
          </w:p>
        </w:tc>
        <w:tc>
          <w:tcPr>
            <w:tcW w:w="3860" w:type="dxa"/>
            <w:vAlign w:val="bottom"/>
            <w:shd w:val="clear" w:color="auto" w:fill="D5DCE4"/>
          </w:tcPr>
          <w:p>
            <w:pPr>
              <w:ind w:left="120"/>
              <w:spacing w:after="0" w:line="191" w:lineRule="exact"/>
              <w:rPr>
                <w:sz w:val="20"/>
                <w:szCs w:val="20"/>
                <w:color w:val="auto"/>
              </w:rPr>
            </w:pPr>
            <w:r>
              <w:rPr>
                <w:rFonts w:ascii="Arial" w:cs="Arial" w:eastAsia="Arial" w:hAnsi="Arial"/>
                <w:sz w:val="18"/>
                <w:szCs w:val="18"/>
                <w:color w:val="auto"/>
              </w:rPr>
              <w:t>Ratification of the appointment of Deloitte &amp;</w:t>
            </w:r>
          </w:p>
        </w:tc>
        <w:tc>
          <w:tcPr>
            <w:tcW w:w="3940" w:type="dxa"/>
            <w:vAlign w:val="bottom"/>
          </w:tcPr>
          <w:p>
            <w:pPr>
              <w:ind w:left="120"/>
              <w:spacing w:after="0" w:line="191" w:lineRule="exact"/>
              <w:rPr>
                <w:sz w:val="20"/>
                <w:szCs w:val="20"/>
                <w:color w:val="auto"/>
              </w:rPr>
            </w:pPr>
            <w:r>
              <w:rPr>
                <w:rFonts w:ascii="Arial" w:cs="Arial" w:eastAsia="Arial" w:hAnsi="Arial"/>
                <w:sz w:val="18"/>
                <w:szCs w:val="18"/>
                <w:color w:val="auto"/>
              </w:rPr>
              <w:t>Majority of the shares present or represented</w:t>
            </w:r>
          </w:p>
        </w:tc>
        <w:tc>
          <w:tcPr>
            <w:tcW w:w="1800" w:type="dxa"/>
            <w:vAlign w:val="bottom"/>
          </w:tcPr>
          <w:p>
            <w:pPr>
              <w:jc w:val="center"/>
              <w:spacing w:after="0" w:line="191" w:lineRule="exact"/>
              <w:rPr>
                <w:sz w:val="20"/>
                <w:szCs w:val="20"/>
                <w:color w:val="auto"/>
              </w:rPr>
            </w:pPr>
            <w:r>
              <w:rPr>
                <w:rFonts w:ascii="MS PGothic" w:cs="MS PGothic" w:eastAsia="MS PGothic" w:hAnsi="MS PGothic"/>
                <w:sz w:val="18"/>
                <w:szCs w:val="18"/>
                <w:color w:val="0070C0"/>
                <w:w w:val="94"/>
              </w:rPr>
              <w:t>✓</w:t>
            </w:r>
            <w:r>
              <w:rPr>
                <w:rFonts w:ascii="Arial" w:cs="Arial" w:eastAsia="Arial" w:hAnsi="Arial"/>
                <w:sz w:val="18"/>
                <w:szCs w:val="18"/>
                <w:b w:val="1"/>
                <w:bCs w:val="1"/>
                <w:color w:val="0070C0"/>
                <w:w w:val="94"/>
              </w:rPr>
              <w:t xml:space="preserve"> FOR</w:t>
            </w:r>
          </w:p>
        </w:tc>
        <w:tc>
          <w:tcPr>
            <w:tcW w:w="1080" w:type="dxa"/>
            <w:vAlign w:val="bottom"/>
          </w:tcPr>
          <w:p>
            <w:pPr>
              <w:jc w:val="center"/>
              <w:spacing w:after="0" w:line="191" w:lineRule="exact"/>
              <w:rPr>
                <w:sz w:val="20"/>
                <w:szCs w:val="20"/>
                <w:color w:val="auto"/>
              </w:rPr>
            </w:pPr>
            <w:r>
              <w:rPr>
                <w:rFonts w:ascii="Arial" w:cs="Arial" w:eastAsia="Arial" w:hAnsi="Arial"/>
                <w:sz w:val="18"/>
                <w:szCs w:val="18"/>
                <w:color w:val="auto"/>
                <w:w w:val="99"/>
              </w:rPr>
              <w:t>41</w:t>
            </w:r>
          </w:p>
        </w:tc>
      </w:tr>
      <w:tr>
        <w:trPr>
          <w:trHeight w:val="203"/>
        </w:trPr>
        <w:tc>
          <w:tcPr>
            <w:tcW w:w="340" w:type="dxa"/>
            <w:vAlign w:val="bottom"/>
            <w:shd w:val="clear" w:color="auto" w:fill="D5DCE4"/>
          </w:tcPr>
          <w:p>
            <w:pPr>
              <w:spacing w:after="0"/>
              <w:rPr>
                <w:sz w:val="17"/>
                <w:szCs w:val="17"/>
                <w:color w:val="auto"/>
              </w:rPr>
            </w:pPr>
          </w:p>
        </w:tc>
        <w:tc>
          <w:tcPr>
            <w:tcW w:w="3860" w:type="dxa"/>
            <w:vAlign w:val="bottom"/>
            <w:shd w:val="clear" w:color="auto" w:fill="D5DCE4"/>
          </w:tcPr>
          <w:p>
            <w:pPr>
              <w:ind w:left="120"/>
              <w:spacing w:after="0" w:line="202" w:lineRule="exact"/>
              <w:rPr>
                <w:sz w:val="20"/>
                <w:szCs w:val="20"/>
                <w:color w:val="auto"/>
              </w:rPr>
            </w:pPr>
            <w:r>
              <w:rPr>
                <w:rFonts w:ascii="Arial" w:cs="Arial" w:eastAsia="Arial" w:hAnsi="Arial"/>
                <w:sz w:val="18"/>
                <w:szCs w:val="18"/>
                <w:color w:val="auto"/>
              </w:rPr>
              <w:t>Touche LLP as our independent registered</w:t>
            </w:r>
          </w:p>
        </w:tc>
        <w:tc>
          <w:tcPr>
            <w:tcW w:w="3940" w:type="dxa"/>
            <w:vAlign w:val="bottom"/>
          </w:tcPr>
          <w:p>
            <w:pPr>
              <w:ind w:left="120"/>
              <w:spacing w:after="0" w:line="202" w:lineRule="exact"/>
              <w:rPr>
                <w:sz w:val="20"/>
                <w:szCs w:val="20"/>
                <w:color w:val="auto"/>
              </w:rPr>
            </w:pPr>
            <w:r>
              <w:rPr>
                <w:rFonts w:ascii="Arial" w:cs="Arial" w:eastAsia="Arial" w:hAnsi="Arial"/>
                <w:sz w:val="18"/>
                <w:szCs w:val="18"/>
                <w:color w:val="auto"/>
              </w:rPr>
              <w:t>by proxy at the Annual Meeting and entitled to</w:t>
            </w: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9"/>
        </w:trPr>
        <w:tc>
          <w:tcPr>
            <w:tcW w:w="340" w:type="dxa"/>
            <w:vAlign w:val="bottom"/>
            <w:shd w:val="clear" w:color="auto" w:fill="D5DCE4"/>
          </w:tcPr>
          <w:p>
            <w:pPr>
              <w:spacing w:after="0"/>
              <w:rPr>
                <w:sz w:val="20"/>
                <w:szCs w:val="20"/>
                <w:color w:val="auto"/>
              </w:rPr>
            </w:pPr>
          </w:p>
        </w:tc>
        <w:tc>
          <w:tcPr>
            <w:tcW w:w="3860" w:type="dxa"/>
            <w:vAlign w:val="bottom"/>
            <w:shd w:val="clear" w:color="auto" w:fill="D5DCE4"/>
          </w:tcPr>
          <w:p>
            <w:pPr>
              <w:ind w:left="120"/>
              <w:spacing w:after="0"/>
              <w:rPr>
                <w:sz w:val="20"/>
                <w:szCs w:val="20"/>
                <w:color w:val="auto"/>
              </w:rPr>
            </w:pPr>
            <w:r>
              <w:rPr>
                <w:rFonts w:ascii="Arial" w:cs="Arial" w:eastAsia="Arial" w:hAnsi="Arial"/>
                <w:sz w:val="18"/>
                <w:szCs w:val="18"/>
                <w:color w:val="auto"/>
              </w:rPr>
              <w:t>public accounting firm for 2024</w:t>
            </w:r>
          </w:p>
        </w:tc>
        <w:tc>
          <w:tcPr>
            <w:tcW w:w="3940" w:type="dxa"/>
            <w:vAlign w:val="bottom"/>
          </w:tcPr>
          <w:p>
            <w:pPr>
              <w:ind w:left="120"/>
              <w:spacing w:after="0"/>
              <w:rPr>
                <w:sz w:val="20"/>
                <w:szCs w:val="20"/>
                <w:color w:val="auto"/>
              </w:rPr>
            </w:pPr>
            <w:r>
              <w:rPr>
                <w:rFonts w:ascii="Arial" w:cs="Arial" w:eastAsia="Arial" w:hAnsi="Arial"/>
                <w:sz w:val="18"/>
                <w:szCs w:val="18"/>
                <w:color w:val="auto"/>
              </w:rPr>
              <w:t>vote</w:t>
            </w:r>
          </w:p>
        </w:tc>
        <w:tc>
          <w:tcPr>
            <w:tcW w:w="18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04"/>
        </w:trPr>
        <w:tc>
          <w:tcPr>
            <w:tcW w:w="340" w:type="dxa"/>
            <w:vAlign w:val="bottom"/>
            <w:tcBorders>
              <w:bottom w:val="single" w:sz="8" w:color="auto"/>
            </w:tcBorders>
            <w:shd w:val="clear" w:color="auto" w:fill="D5DCE4"/>
          </w:tcPr>
          <w:p>
            <w:pPr>
              <w:spacing w:after="0"/>
              <w:rPr>
                <w:sz w:val="9"/>
                <w:szCs w:val="9"/>
                <w:color w:val="auto"/>
              </w:rPr>
            </w:pPr>
          </w:p>
        </w:tc>
        <w:tc>
          <w:tcPr>
            <w:tcW w:w="3860" w:type="dxa"/>
            <w:vAlign w:val="bottom"/>
            <w:tcBorders>
              <w:bottom w:val="single" w:sz="8" w:color="auto"/>
            </w:tcBorders>
            <w:shd w:val="clear" w:color="auto" w:fill="D5DCE4"/>
          </w:tcPr>
          <w:p>
            <w:pPr>
              <w:spacing w:after="0"/>
              <w:rPr>
                <w:sz w:val="9"/>
                <w:szCs w:val="9"/>
                <w:color w:val="auto"/>
              </w:rPr>
            </w:pPr>
          </w:p>
        </w:tc>
        <w:tc>
          <w:tcPr>
            <w:tcW w:w="394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r>
      <w:tr>
        <w:trPr>
          <w:trHeight w:val="191"/>
        </w:trPr>
        <w:tc>
          <w:tcPr>
            <w:tcW w:w="340" w:type="dxa"/>
            <w:vAlign w:val="bottom"/>
            <w:shd w:val="clear" w:color="auto" w:fill="D5DCE4"/>
          </w:tcPr>
          <w:p>
            <w:pPr>
              <w:jc w:val="right"/>
              <w:ind w:right="110"/>
              <w:spacing w:after="0" w:line="191" w:lineRule="exact"/>
              <w:rPr>
                <w:sz w:val="20"/>
                <w:szCs w:val="20"/>
                <w:color w:val="auto"/>
              </w:rPr>
            </w:pPr>
            <w:r>
              <w:rPr>
                <w:rFonts w:ascii="Arial" w:cs="Arial" w:eastAsia="Arial" w:hAnsi="Arial"/>
                <w:sz w:val="18"/>
                <w:szCs w:val="18"/>
                <w:color w:val="auto"/>
                <w:w w:val="79"/>
              </w:rPr>
              <w:t>3.</w:t>
            </w:r>
          </w:p>
        </w:tc>
        <w:tc>
          <w:tcPr>
            <w:tcW w:w="3860" w:type="dxa"/>
            <w:vAlign w:val="bottom"/>
            <w:shd w:val="clear" w:color="auto" w:fill="D5DCE4"/>
          </w:tcPr>
          <w:p>
            <w:pPr>
              <w:ind w:left="120"/>
              <w:spacing w:after="0" w:line="191" w:lineRule="exact"/>
              <w:rPr>
                <w:sz w:val="20"/>
                <w:szCs w:val="20"/>
                <w:color w:val="auto"/>
              </w:rPr>
            </w:pPr>
            <w:r>
              <w:rPr>
                <w:rFonts w:ascii="Arial" w:cs="Arial" w:eastAsia="Arial" w:hAnsi="Arial"/>
                <w:sz w:val="18"/>
                <w:szCs w:val="18"/>
                <w:color w:val="auto"/>
              </w:rPr>
              <w:t>Approval, on an advisory basis, of the</w:t>
            </w:r>
          </w:p>
        </w:tc>
        <w:tc>
          <w:tcPr>
            <w:tcW w:w="3940" w:type="dxa"/>
            <w:vAlign w:val="bottom"/>
          </w:tcPr>
          <w:p>
            <w:pPr>
              <w:ind w:left="120"/>
              <w:spacing w:after="0" w:line="191" w:lineRule="exact"/>
              <w:rPr>
                <w:sz w:val="20"/>
                <w:szCs w:val="20"/>
                <w:color w:val="auto"/>
              </w:rPr>
            </w:pPr>
            <w:r>
              <w:rPr>
                <w:rFonts w:ascii="Arial" w:cs="Arial" w:eastAsia="Arial" w:hAnsi="Arial"/>
                <w:sz w:val="18"/>
                <w:szCs w:val="18"/>
                <w:color w:val="auto"/>
              </w:rPr>
              <w:t>Majority of the shares present or represented</w:t>
            </w:r>
          </w:p>
        </w:tc>
        <w:tc>
          <w:tcPr>
            <w:tcW w:w="1800" w:type="dxa"/>
            <w:vAlign w:val="bottom"/>
          </w:tcPr>
          <w:p>
            <w:pPr>
              <w:jc w:val="center"/>
              <w:spacing w:after="0" w:line="191" w:lineRule="exact"/>
              <w:rPr>
                <w:sz w:val="20"/>
                <w:szCs w:val="20"/>
                <w:color w:val="auto"/>
              </w:rPr>
            </w:pPr>
            <w:r>
              <w:rPr>
                <w:rFonts w:ascii="MS PGothic" w:cs="MS PGothic" w:eastAsia="MS PGothic" w:hAnsi="MS PGothic"/>
                <w:sz w:val="18"/>
                <w:szCs w:val="18"/>
                <w:color w:val="0070C0"/>
                <w:w w:val="94"/>
              </w:rPr>
              <w:t>✓</w:t>
            </w:r>
            <w:r>
              <w:rPr>
                <w:rFonts w:ascii="Arial" w:cs="Arial" w:eastAsia="Arial" w:hAnsi="Arial"/>
                <w:sz w:val="18"/>
                <w:szCs w:val="18"/>
                <w:b w:val="1"/>
                <w:bCs w:val="1"/>
                <w:color w:val="0070C0"/>
                <w:w w:val="94"/>
              </w:rPr>
              <w:t xml:space="preserve"> FOR</w:t>
            </w:r>
          </w:p>
        </w:tc>
        <w:tc>
          <w:tcPr>
            <w:tcW w:w="1080" w:type="dxa"/>
            <w:vAlign w:val="bottom"/>
          </w:tcPr>
          <w:p>
            <w:pPr>
              <w:jc w:val="center"/>
              <w:spacing w:after="0" w:line="191" w:lineRule="exact"/>
              <w:rPr>
                <w:sz w:val="20"/>
                <w:szCs w:val="20"/>
                <w:color w:val="auto"/>
              </w:rPr>
            </w:pPr>
            <w:r>
              <w:rPr>
                <w:rFonts w:ascii="Arial" w:cs="Arial" w:eastAsia="Arial" w:hAnsi="Arial"/>
                <w:sz w:val="18"/>
                <w:szCs w:val="18"/>
                <w:color w:val="auto"/>
                <w:w w:val="99"/>
              </w:rPr>
              <w:t>44</w:t>
            </w:r>
          </w:p>
        </w:tc>
      </w:tr>
      <w:tr>
        <w:trPr>
          <w:trHeight w:val="203"/>
        </w:trPr>
        <w:tc>
          <w:tcPr>
            <w:tcW w:w="340" w:type="dxa"/>
            <w:vAlign w:val="bottom"/>
            <w:shd w:val="clear" w:color="auto" w:fill="D5DCE4"/>
          </w:tcPr>
          <w:p>
            <w:pPr>
              <w:spacing w:after="0"/>
              <w:rPr>
                <w:sz w:val="17"/>
                <w:szCs w:val="17"/>
                <w:color w:val="auto"/>
              </w:rPr>
            </w:pPr>
          </w:p>
        </w:tc>
        <w:tc>
          <w:tcPr>
            <w:tcW w:w="3860" w:type="dxa"/>
            <w:vAlign w:val="bottom"/>
            <w:shd w:val="clear" w:color="auto" w:fill="D5DCE4"/>
          </w:tcPr>
          <w:p>
            <w:pPr>
              <w:ind w:left="120"/>
              <w:spacing w:after="0" w:line="202" w:lineRule="exact"/>
              <w:rPr>
                <w:sz w:val="20"/>
                <w:szCs w:val="20"/>
                <w:color w:val="auto"/>
              </w:rPr>
            </w:pPr>
            <w:r>
              <w:rPr>
                <w:rFonts w:ascii="Arial" w:cs="Arial" w:eastAsia="Arial" w:hAnsi="Arial"/>
                <w:sz w:val="18"/>
                <w:szCs w:val="18"/>
                <w:color w:val="auto"/>
              </w:rPr>
              <w:t>compensation of our named executive officers</w:t>
            </w:r>
          </w:p>
        </w:tc>
        <w:tc>
          <w:tcPr>
            <w:tcW w:w="3940" w:type="dxa"/>
            <w:vAlign w:val="bottom"/>
          </w:tcPr>
          <w:p>
            <w:pPr>
              <w:ind w:left="120"/>
              <w:spacing w:after="0" w:line="202" w:lineRule="exact"/>
              <w:rPr>
                <w:sz w:val="20"/>
                <w:szCs w:val="20"/>
                <w:color w:val="auto"/>
              </w:rPr>
            </w:pPr>
            <w:r>
              <w:rPr>
                <w:rFonts w:ascii="Arial" w:cs="Arial" w:eastAsia="Arial" w:hAnsi="Arial"/>
                <w:sz w:val="18"/>
                <w:szCs w:val="18"/>
                <w:color w:val="auto"/>
              </w:rPr>
              <w:t>by proxy at the Annual Meeting and entitled to</w:t>
            </w: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69"/>
        </w:trPr>
        <w:tc>
          <w:tcPr>
            <w:tcW w:w="340" w:type="dxa"/>
            <w:vAlign w:val="bottom"/>
            <w:tcBorders>
              <w:bottom w:val="single" w:sz="8" w:color="D5DCE4"/>
            </w:tcBorders>
            <w:shd w:val="clear" w:color="auto" w:fill="D5DCE4"/>
          </w:tcPr>
          <w:p>
            <w:pPr>
              <w:spacing w:after="0"/>
              <w:rPr>
                <w:sz w:val="23"/>
                <w:szCs w:val="23"/>
                <w:color w:val="auto"/>
              </w:rPr>
            </w:pPr>
          </w:p>
        </w:tc>
        <w:tc>
          <w:tcPr>
            <w:tcW w:w="3860" w:type="dxa"/>
            <w:vAlign w:val="bottom"/>
            <w:tcBorders>
              <w:bottom w:val="single" w:sz="8" w:color="D5DCE4"/>
            </w:tcBorders>
            <w:shd w:val="clear" w:color="auto" w:fill="D5DCE4"/>
          </w:tcPr>
          <w:p>
            <w:pPr>
              <w:spacing w:after="0"/>
              <w:rPr>
                <w:sz w:val="23"/>
                <w:szCs w:val="23"/>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vote</w:t>
            </w:r>
          </w:p>
        </w:tc>
        <w:tc>
          <w:tcPr>
            <w:tcW w:w="18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Business Overview</w:t>
      </w:r>
    </w:p>
    <w:p>
      <w:pPr>
        <w:spacing w:after="0" w:line="243" w:lineRule="exact"/>
        <w:rPr>
          <w:sz w:val="20"/>
          <w:szCs w:val="20"/>
          <w:color w:val="auto"/>
        </w:rPr>
      </w:pPr>
    </w:p>
    <w:p>
      <w:pPr>
        <w:ind w:right="580"/>
        <w:spacing w:after="0" w:line="241" w:lineRule="auto"/>
        <w:rPr>
          <w:sz w:val="20"/>
          <w:szCs w:val="20"/>
          <w:color w:val="auto"/>
        </w:rPr>
      </w:pPr>
      <w:r>
        <w:rPr>
          <w:rFonts w:ascii="Arial" w:cs="Arial" w:eastAsia="Arial" w:hAnsi="Arial"/>
          <w:sz w:val="18"/>
          <w:szCs w:val="18"/>
          <w:color w:val="auto"/>
        </w:rPr>
        <w:t>Our primary business is the installation of building products, mainly insulation, in residential and commercial buildings. In addition to insulation, we also install a diversified range of other products, including waterproofing, fire-stopping, fireproofing, garage doors, rain gutters, window blinds, shower doors, closet shelving, mirrors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-23495</wp:posOffset>
            </wp:positionV>
            <wp:extent cx="3308985" cy="2040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08985" cy="2040255"/>
                    </a:xfrm>
                    <a:prstGeom prst="rect">
                      <a:avLst/>
                    </a:prstGeom>
                    <a:noFill/>
                  </pic:spPr>
                </pic:pic>
              </a:graphicData>
            </a:graphic>
          </wp:anchor>
        </w:drawing>
      </w:r>
    </w:p>
    <w:p>
      <w:pPr>
        <w:ind w:right="5520"/>
        <w:spacing w:after="0" w:line="242" w:lineRule="auto"/>
        <w:rPr>
          <w:sz w:val="20"/>
          <w:szCs w:val="20"/>
          <w:color w:val="auto"/>
        </w:rPr>
      </w:pPr>
      <w:r>
        <w:rPr>
          <w:rFonts w:ascii="Arial" w:cs="Arial" w:eastAsia="Arial" w:hAnsi="Arial"/>
          <w:sz w:val="18"/>
          <w:szCs w:val="18"/>
          <w:color w:val="auto"/>
        </w:rPr>
        <w:t>and other products. We offer our services from our network of approximately 250 branch locations serving the 48 continental United States and the District of Columbia.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20"/>
                <w:szCs w:val="20"/>
                <w:color w:val="auto"/>
              </w:rPr>
            </w:pPr>
            <w:r>
              <w:rPr>
                <w:rFonts w:ascii="Arial" w:cs="Arial" w:eastAsia="Arial" w:hAnsi="Arial"/>
                <w:sz w:val="18"/>
                <w:szCs w:val="18"/>
                <w:color w:val="auto"/>
              </w:rPr>
              <w:t>Our distribution platform consists of two regional distributors. AMD</w:t>
            </w:r>
          </w:p>
        </w:tc>
        <w:tc>
          <w:tcPr>
            <w:tcW w:w="4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Distribution Services, LLC has eight locations serving the Midwest</w:t>
            </w:r>
          </w:p>
        </w:tc>
        <w:tc>
          <w:tcPr>
            <w:tcW w:w="4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and Mountain West regions and distributes spray foam insulation,</w:t>
            </w:r>
          </w:p>
        </w:tc>
        <w:tc>
          <w:tcPr>
            <w:tcW w:w="4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metal building insulation, residential insulation, mechanical and</w:t>
            </w:r>
          </w:p>
        </w:tc>
        <w:tc>
          <w:tcPr>
            <w:tcW w:w="4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fabricated Styrofoam insulation and accessories. Central Aluminum</w:t>
            </w:r>
          </w:p>
        </w:tc>
        <w:tc>
          <w:tcPr>
            <w:tcW w:w="4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Supply Corporation and Central Aluminum Supply of North Jersey,</w:t>
            </w:r>
          </w:p>
        </w:tc>
        <w:tc>
          <w:tcPr>
            <w:tcW w:w="4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L.L.C. distribute gutter supplies and accessories for construction</w:t>
            </w:r>
          </w:p>
        </w:tc>
        <w:tc>
          <w:tcPr>
            <w:tcW w:w="4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560" w:type="dxa"/>
            <w:vAlign w:val="bottom"/>
          </w:tcPr>
          <w:p>
            <w:pPr>
              <w:spacing w:after="0"/>
              <w:rPr>
                <w:sz w:val="20"/>
                <w:szCs w:val="20"/>
                <w:color w:val="auto"/>
              </w:rPr>
            </w:pPr>
            <w:r>
              <w:rPr>
                <w:rFonts w:ascii="Arial" w:cs="Arial" w:eastAsia="Arial" w:hAnsi="Arial"/>
                <w:sz w:val="18"/>
                <w:szCs w:val="18"/>
                <w:color w:val="auto"/>
              </w:rPr>
              <w:t>projects across the Northeast and Mid-Atlantic regions.</w:t>
            </w:r>
          </w:p>
        </w:tc>
        <w:tc>
          <w:tcPr>
            <w:tcW w:w="4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5560" w:type="dxa"/>
            <w:vAlign w:val="bottom"/>
          </w:tcPr>
          <w:p>
            <w:pPr>
              <w:spacing w:after="0"/>
              <w:rPr>
                <w:sz w:val="20"/>
                <w:szCs w:val="20"/>
                <w:color w:val="auto"/>
              </w:rPr>
            </w:pPr>
            <w:r>
              <w:rPr>
                <w:rFonts w:ascii="Arial" w:cs="Arial" w:eastAsia="Arial" w:hAnsi="Arial"/>
                <w:sz w:val="18"/>
                <w:szCs w:val="18"/>
                <w:color w:val="auto"/>
              </w:rPr>
              <w:t>We also operate a small manufacturing operation located in Bucyrus,</w:t>
            </w:r>
          </w:p>
        </w:tc>
        <w:tc>
          <w:tcPr>
            <w:tcW w:w="4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Ohio, which produces cellulose insulation with an 85% recycled</w:t>
            </w:r>
          </w:p>
        </w:tc>
        <w:tc>
          <w:tcPr>
            <w:tcW w:w="4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560" w:type="dxa"/>
            <w:vAlign w:val="bottom"/>
          </w:tcPr>
          <w:p>
            <w:pPr>
              <w:spacing w:after="0"/>
              <w:rPr>
                <w:sz w:val="20"/>
                <w:szCs w:val="20"/>
                <w:color w:val="auto"/>
              </w:rPr>
            </w:pPr>
            <w:r>
              <w:rPr>
                <w:rFonts w:ascii="Arial" w:cs="Arial" w:eastAsia="Arial" w:hAnsi="Arial"/>
                <w:sz w:val="18"/>
                <w:szCs w:val="18"/>
                <w:color w:val="auto"/>
              </w:rPr>
              <w:t>wastepaper content and other specialty industrial fibers.</w:t>
            </w:r>
          </w:p>
        </w:tc>
        <w:tc>
          <w:tcPr>
            <w:tcW w:w="4920" w:type="dxa"/>
            <w:vAlign w:val="bottom"/>
            <w:vMerge w:val="restart"/>
          </w:tcPr>
          <w:p>
            <w:pPr>
              <w:ind w:left="60"/>
              <w:spacing w:after="0"/>
              <w:rPr>
                <w:sz w:val="20"/>
                <w:szCs w:val="20"/>
                <w:color w:val="auto"/>
              </w:rPr>
            </w:pPr>
            <w:r>
              <w:rPr>
                <w:rFonts w:ascii="Arial" w:cs="Arial" w:eastAsia="Arial" w:hAnsi="Arial"/>
                <w:sz w:val="11"/>
                <w:szCs w:val="11"/>
                <w:color w:val="auto"/>
                <w:w w:val="97"/>
              </w:rPr>
              <w:t>Note: Shaded states are where we have a physical presence. Some dots represent multiple locations.</w:t>
            </w:r>
          </w:p>
        </w:tc>
        <w:tc>
          <w:tcPr>
            <w:tcW w:w="0" w:type="dxa"/>
            <w:vAlign w:val="bottom"/>
          </w:tcPr>
          <w:p>
            <w:pPr>
              <w:spacing w:after="0"/>
              <w:rPr>
                <w:sz w:val="1"/>
                <w:szCs w:val="1"/>
                <w:color w:val="auto"/>
              </w:rPr>
            </w:pPr>
          </w:p>
        </w:tc>
      </w:tr>
      <w:tr>
        <w:trPr>
          <w:trHeight w:val="44"/>
        </w:trPr>
        <w:tc>
          <w:tcPr>
            <w:tcW w:w="5560" w:type="dxa"/>
            <w:vAlign w:val="bottom"/>
          </w:tcPr>
          <w:p>
            <w:pPr>
              <w:spacing w:after="0"/>
              <w:rPr>
                <w:sz w:val="3"/>
                <w:szCs w:val="3"/>
                <w:color w:val="auto"/>
              </w:rPr>
            </w:pPr>
          </w:p>
        </w:tc>
        <w:tc>
          <w:tcPr>
            <w:tcW w:w="4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132715</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Proxy Summary</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1</w:t>
      </w:r>
    </w:p>
    <w:p>
      <w:pPr>
        <w:sectPr>
          <w:pgSz w:w="11900" w:h="16838" w:orient="portrait"/>
          <w:cols w:equalWidth="0" w:num="1">
            <w:col w:w="11020"/>
          </w:cols>
          <w:pgMar w:left="440" w:top="261" w:right="4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00206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Our Growth Strategy</w:t>
      </w:r>
    </w:p>
    <w:p>
      <w:pPr>
        <w:spacing w:after="0" w:line="256"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color w:val="auto"/>
        </w:rPr>
        <w:t>We are focused on diversifying our products and services, broadening our mix of end market exposure and expanding our geographic footprint. Our growth strategy includes acquisition of residential and commercial installers in new markets, acquisitions of businesses offering complementary products, introduction of new product offerings in existing markets, pursuit of new product categories in commercial markets, and expanding our multi-family sales in existing branches.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We have a demonstrated record of success for each of our growth strategies:</w:t>
      </w:r>
    </w:p>
    <w:p>
      <w:pPr>
        <w:spacing w:after="0" w:line="239" w:lineRule="exact"/>
        <w:rPr>
          <w:sz w:val="20"/>
          <w:szCs w:val="20"/>
          <w:color w:val="auto"/>
        </w:rPr>
      </w:pPr>
    </w:p>
    <w:p>
      <w:pPr>
        <w:ind w:left="960" w:right="40" w:hanging="532"/>
        <w:spacing w:after="0" w:line="213" w:lineRule="auto"/>
        <w:tabs>
          <w:tab w:leader="none" w:pos="960" w:val="left"/>
        </w:tabs>
        <w:numPr>
          <w:ilvl w:val="0"/>
          <w:numId w:val="7"/>
        </w:numPr>
        <w:rPr>
          <w:rFonts w:ascii="MS PGothic" w:cs="MS PGothic" w:eastAsia="MS PGothic" w:hAnsi="MS PGothic"/>
          <w:sz w:val="29"/>
          <w:szCs w:val="29"/>
          <w:color w:val="002060"/>
          <w:vertAlign w:val="superscript"/>
        </w:rPr>
      </w:pPr>
      <w:r>
        <w:rPr>
          <w:rFonts w:ascii="Arial" w:cs="Arial" w:eastAsia="Arial" w:hAnsi="Arial"/>
          <w:sz w:val="18"/>
          <w:szCs w:val="18"/>
          <w:color w:val="auto"/>
        </w:rPr>
        <w:t>Product diversification - Revenue from insulation installation services represented approximately 66% of our total revenues in 2018 compared to 60% in 2023.</w:t>
      </w:r>
    </w:p>
    <w:p>
      <w:pPr>
        <w:spacing w:after="0" w:line="4" w:lineRule="exact"/>
        <w:rPr>
          <w:rFonts w:ascii="MS PGothic" w:cs="MS PGothic" w:eastAsia="MS PGothic" w:hAnsi="MS PGothic"/>
          <w:sz w:val="29"/>
          <w:szCs w:val="29"/>
          <w:color w:val="002060"/>
          <w:vertAlign w:val="superscript"/>
        </w:rPr>
      </w:pPr>
    </w:p>
    <w:p>
      <w:pPr>
        <w:ind w:left="960" w:right="380" w:hanging="532"/>
        <w:spacing w:after="0" w:line="213" w:lineRule="auto"/>
        <w:tabs>
          <w:tab w:leader="none" w:pos="960" w:val="left"/>
        </w:tabs>
        <w:numPr>
          <w:ilvl w:val="0"/>
          <w:numId w:val="7"/>
        </w:numPr>
        <w:rPr>
          <w:rFonts w:ascii="MS PGothic" w:cs="MS PGothic" w:eastAsia="MS PGothic" w:hAnsi="MS PGothic"/>
          <w:sz w:val="29"/>
          <w:szCs w:val="29"/>
          <w:color w:val="002060"/>
          <w:vertAlign w:val="superscript"/>
        </w:rPr>
      </w:pPr>
      <w:r>
        <w:rPr>
          <w:rFonts w:ascii="Arial" w:cs="Arial" w:eastAsia="Arial" w:hAnsi="Arial"/>
          <w:sz w:val="18"/>
          <w:szCs w:val="18"/>
          <w:color w:val="auto"/>
        </w:rPr>
        <w:t>End market diversification - We have decreased our residential new construction end market exposure from 77% in 2018 compared to 72% in 2023.</w:t>
      </w:r>
    </w:p>
    <w:p>
      <w:pPr>
        <w:ind w:left="960" w:hanging="532"/>
        <w:spacing w:after="0" w:line="201" w:lineRule="auto"/>
        <w:tabs>
          <w:tab w:leader="none" w:pos="960" w:val="left"/>
        </w:tabs>
        <w:numPr>
          <w:ilvl w:val="0"/>
          <w:numId w:val="7"/>
        </w:numPr>
        <w:rPr>
          <w:rFonts w:ascii="MS PGothic" w:cs="MS PGothic" w:eastAsia="MS PGothic" w:hAnsi="MS PGothic"/>
          <w:sz w:val="29"/>
          <w:szCs w:val="29"/>
          <w:color w:val="002060"/>
          <w:vertAlign w:val="superscript"/>
        </w:rPr>
      </w:pPr>
      <w:r>
        <w:rPr>
          <w:rFonts w:ascii="Arial" w:cs="Arial" w:eastAsia="Arial" w:hAnsi="Arial"/>
          <w:sz w:val="18"/>
          <w:szCs w:val="18"/>
          <w:color w:val="auto"/>
        </w:rPr>
        <w:t>Geographic expansion - We have added 75 new branch locations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Our Capital Allocation Strategy</w:t>
      </w:r>
    </w:p>
    <w:p>
      <w:pPr>
        <w:spacing w:after="0" w:line="256"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Our primary use of capital is acquisitions, which are responsible for much of the success of our growth strategy. Our asset-light model generates substantial operating cash flow, which supports further acquisition growth.</w:t>
      </w:r>
    </w:p>
    <w:p>
      <w:pPr>
        <w:spacing w:after="0" w:line="154"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In addition to pursuing strategic acquisitions, in 2023, we returned nearly $70 million to stockholders, including quarterly and variable dividends of $63.1 million and stock repurchases totaling $6.3 million.</w:t>
      </w:r>
    </w:p>
    <w:p>
      <w:pPr>
        <w:spacing w:after="0" w:line="179" w:lineRule="exact"/>
        <w:rPr>
          <w:sz w:val="20"/>
          <w:szCs w:val="20"/>
          <w:color w:val="auto"/>
        </w:rPr>
      </w:pPr>
    </w:p>
    <w:tbl>
      <w:tblPr>
        <w:tblLayout w:type="fixed"/>
        <w:tblInd w:w="1760" w:type="dxa"/>
        <w:tblCellMar>
          <w:top w:w="0" w:type="dxa"/>
          <w:left w:w="0" w:type="dxa"/>
          <w:bottom w:w="0" w:type="dxa"/>
          <w:right w:w="0" w:type="dxa"/>
        </w:tblCellMar>
      </w:tblPr>
      <w:tr>
        <w:trPr>
          <w:trHeight w:val="47"/>
        </w:trPr>
        <w:tc>
          <w:tcPr>
            <w:tcW w:w="3880" w:type="dxa"/>
            <w:vAlign w:val="bottom"/>
            <w:tcBorders>
              <w:top w:val="single" w:sz="8" w:color="0070C0"/>
            </w:tcBorders>
            <w:vMerge w:val="restart"/>
          </w:tcPr>
          <w:p>
            <w:pPr>
              <w:jc w:val="center"/>
              <w:ind w:right="16"/>
              <w:spacing w:after="0"/>
              <w:rPr>
                <w:sz w:val="20"/>
                <w:szCs w:val="20"/>
                <w:color w:val="auto"/>
              </w:rPr>
            </w:pPr>
            <w:r>
              <w:rPr>
                <w:rFonts w:ascii="Arial" w:cs="Arial" w:eastAsia="Arial" w:hAnsi="Arial"/>
                <w:sz w:val="29"/>
                <w:szCs w:val="29"/>
                <w:b w:val="1"/>
                <w:bCs w:val="1"/>
                <w:color w:val="0070C0"/>
                <w:w w:val="99"/>
              </w:rPr>
              <w:t>2023 Cash Dividends</w:t>
            </w:r>
          </w:p>
        </w:tc>
        <w:tc>
          <w:tcPr>
            <w:tcW w:w="20" w:type="dxa"/>
            <w:vAlign w:val="bottom"/>
            <w:tcBorders>
              <w:top w:val="single" w:sz="8" w:color="0070C0"/>
            </w:tcBorders>
          </w:tcPr>
          <w:p>
            <w:pPr>
              <w:spacing w:after="0"/>
              <w:rPr>
                <w:sz w:val="4"/>
                <w:szCs w:val="4"/>
                <w:color w:val="auto"/>
              </w:rPr>
            </w:pPr>
          </w:p>
        </w:tc>
        <w:tc>
          <w:tcPr>
            <w:tcW w:w="3580" w:type="dxa"/>
            <w:vAlign w:val="bottom"/>
            <w:tcBorders>
              <w:top w:val="single" w:sz="8" w:color="0070C0"/>
            </w:tcBorders>
            <w:vMerge w:val="restart"/>
          </w:tcPr>
          <w:p>
            <w:pPr>
              <w:jc w:val="center"/>
              <w:ind w:left="16"/>
              <w:spacing w:after="0"/>
              <w:rPr>
                <w:sz w:val="20"/>
                <w:szCs w:val="20"/>
                <w:color w:val="auto"/>
              </w:rPr>
            </w:pPr>
            <w:r>
              <w:rPr>
                <w:rFonts w:ascii="Arial" w:cs="Arial" w:eastAsia="Arial" w:hAnsi="Arial"/>
                <w:sz w:val="29"/>
                <w:szCs w:val="29"/>
                <w:b w:val="1"/>
                <w:bCs w:val="1"/>
                <w:color w:val="0070C0"/>
                <w:w w:val="98"/>
              </w:rPr>
              <w:t>2023 Stock Repurchases</w:t>
            </w:r>
          </w:p>
        </w:tc>
        <w:tc>
          <w:tcPr>
            <w:tcW w:w="0" w:type="dxa"/>
            <w:vAlign w:val="bottom"/>
          </w:tcPr>
          <w:p>
            <w:pPr>
              <w:spacing w:after="0"/>
              <w:rPr>
                <w:sz w:val="1"/>
                <w:szCs w:val="1"/>
                <w:color w:val="auto"/>
              </w:rPr>
            </w:pPr>
          </w:p>
        </w:tc>
      </w:tr>
      <w:tr>
        <w:trPr>
          <w:trHeight w:val="572"/>
        </w:trPr>
        <w:tc>
          <w:tcPr>
            <w:tcW w:w="3880" w:type="dxa"/>
            <w:vAlign w:val="bottom"/>
            <w:vMerge w:val="continue"/>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3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880" w:type="dxa"/>
            <w:vAlign w:val="bottom"/>
          </w:tcPr>
          <w:p>
            <w:pPr>
              <w:jc w:val="center"/>
              <w:ind w:right="16"/>
              <w:spacing w:after="0"/>
              <w:rPr>
                <w:sz w:val="20"/>
                <w:szCs w:val="20"/>
                <w:color w:val="auto"/>
              </w:rPr>
            </w:pPr>
            <w:r>
              <w:rPr>
                <w:rFonts w:ascii="Arial" w:cs="Arial" w:eastAsia="Arial" w:hAnsi="Arial"/>
                <w:sz w:val="29"/>
                <w:szCs w:val="29"/>
                <w:b w:val="1"/>
                <w:bCs w:val="1"/>
                <w:color w:val="auto"/>
                <w:w w:val="98"/>
              </w:rPr>
              <w:t>$63.1 million</w:t>
            </w:r>
          </w:p>
        </w:tc>
        <w:tc>
          <w:tcPr>
            <w:tcW w:w="20" w:type="dxa"/>
            <w:vAlign w:val="bottom"/>
            <w:shd w:val="clear" w:color="auto" w:fill="000000"/>
          </w:tcPr>
          <w:p>
            <w:pPr>
              <w:spacing w:after="0"/>
              <w:rPr>
                <w:sz w:val="24"/>
                <w:szCs w:val="24"/>
                <w:color w:val="auto"/>
              </w:rPr>
            </w:pPr>
          </w:p>
        </w:tc>
        <w:tc>
          <w:tcPr>
            <w:tcW w:w="3580" w:type="dxa"/>
            <w:vAlign w:val="bottom"/>
          </w:tcPr>
          <w:p>
            <w:pPr>
              <w:jc w:val="center"/>
              <w:ind w:left="16"/>
              <w:spacing w:after="0"/>
              <w:rPr>
                <w:sz w:val="20"/>
                <w:szCs w:val="20"/>
                <w:color w:val="auto"/>
              </w:rPr>
            </w:pPr>
            <w:r>
              <w:rPr>
                <w:rFonts w:ascii="Arial" w:cs="Arial" w:eastAsia="Arial" w:hAnsi="Arial"/>
                <w:sz w:val="29"/>
                <w:szCs w:val="29"/>
                <w:b w:val="1"/>
                <w:bCs w:val="1"/>
                <w:color w:val="auto"/>
                <w:w w:val="99"/>
              </w:rPr>
              <w:t>$6.3 million</w:t>
            </w:r>
          </w:p>
        </w:tc>
        <w:tc>
          <w:tcPr>
            <w:tcW w:w="0" w:type="dxa"/>
            <w:vAlign w:val="bottom"/>
          </w:tcPr>
          <w:p>
            <w:pPr>
              <w:spacing w:after="0"/>
              <w:rPr>
                <w:sz w:val="1"/>
                <w:szCs w:val="1"/>
                <w:color w:val="auto"/>
              </w:rPr>
            </w:pPr>
          </w:p>
        </w:tc>
      </w:tr>
      <w:tr>
        <w:trPr>
          <w:trHeight w:val="130"/>
        </w:trPr>
        <w:tc>
          <w:tcPr>
            <w:tcW w:w="3880" w:type="dxa"/>
            <w:vAlign w:val="bottom"/>
            <w:tcBorders>
              <w:bottom w:val="single" w:sz="8" w:color="0070C0"/>
            </w:tcBorders>
          </w:tcPr>
          <w:p>
            <w:pPr>
              <w:spacing w:after="0"/>
              <w:rPr>
                <w:sz w:val="11"/>
                <w:szCs w:val="11"/>
                <w:color w:val="auto"/>
              </w:rPr>
            </w:pPr>
          </w:p>
        </w:tc>
        <w:tc>
          <w:tcPr>
            <w:tcW w:w="20" w:type="dxa"/>
            <w:vAlign w:val="bottom"/>
            <w:tcBorders>
              <w:bottom w:val="single" w:sz="8" w:color="0070C0"/>
            </w:tcBorders>
            <w:shd w:val="clear" w:color="auto" w:fill="000000"/>
          </w:tcPr>
          <w:p>
            <w:pPr>
              <w:spacing w:after="0"/>
              <w:rPr>
                <w:sz w:val="11"/>
                <w:szCs w:val="11"/>
                <w:color w:val="auto"/>
              </w:rPr>
            </w:pPr>
          </w:p>
        </w:tc>
        <w:tc>
          <w:tcPr>
            <w:tcW w:w="3580" w:type="dxa"/>
            <w:vAlign w:val="bottom"/>
            <w:tcBorders>
              <w:bottom w:val="single" w:sz="8" w:color="0070C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Our Acquisition Strategy</w:t>
      </w:r>
    </w:p>
    <w:p>
      <w:pPr>
        <w:spacing w:after="0" w:line="21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the 1990s, we began our acquisition strategy with the goal of creating a national platform and have since grown, by our estimate, to become one of the nation’s largest installers of insulation in the residential new construction end market. Since 1999, we have successfully completed and integrated over 190 acquisitions, expanding our geographic footprint and market presence and diversifying our product offerings. In 2023, we successfully acquired and integrated eight businesses representing approximately $75 million in annual aggregate revenues.</w:t>
      </w:r>
    </w:p>
    <w:p>
      <w:pPr>
        <w:spacing w:after="0" w:line="203" w:lineRule="exact"/>
        <w:rPr>
          <w:sz w:val="20"/>
          <w:szCs w:val="20"/>
          <w:color w:val="auto"/>
        </w:rPr>
      </w:pPr>
    </w:p>
    <w:p>
      <w:pPr>
        <w:ind w:left="260"/>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Keys to our approach</w:t>
      </w:r>
    </w:p>
    <w:p>
      <w:pPr>
        <w:spacing w:after="0" w:line="9" w:lineRule="exact"/>
        <w:rPr>
          <w:sz w:val="20"/>
          <w:szCs w:val="20"/>
          <w:color w:val="auto"/>
        </w:rPr>
      </w:pPr>
    </w:p>
    <w:p>
      <w:pPr>
        <w:ind w:left="640" w:hanging="194"/>
        <w:spacing w:after="0"/>
        <w:tabs>
          <w:tab w:leader="none" w:pos="640" w:val="left"/>
        </w:tabs>
        <w:numPr>
          <w:ilvl w:val="0"/>
          <w:numId w:val="8"/>
        </w:numPr>
        <w:rPr>
          <w:rFonts w:ascii="MS PGothic" w:cs="MS PGothic" w:eastAsia="MS PGothic" w:hAnsi="MS PGothic"/>
          <w:sz w:val="18"/>
          <w:szCs w:val="18"/>
          <w:color w:val="002060"/>
        </w:rPr>
      </w:pPr>
      <w:r>
        <w:rPr>
          <w:rFonts w:ascii="Arial" w:cs="Arial" w:eastAsia="Arial" w:hAnsi="Arial"/>
          <w:sz w:val="18"/>
          <w:szCs w:val="18"/>
          <w:color w:val="auto"/>
        </w:rPr>
        <w:t>Target profitable markets</w:t>
      </w:r>
    </w:p>
    <w:p>
      <w:pPr>
        <w:spacing w:after="0" w:line="13" w:lineRule="exact"/>
        <w:rPr>
          <w:rFonts w:ascii="MS PGothic" w:cs="MS PGothic" w:eastAsia="MS PGothic" w:hAnsi="MS PGothic"/>
          <w:sz w:val="18"/>
          <w:szCs w:val="18"/>
          <w:color w:val="002060"/>
        </w:rPr>
      </w:pPr>
    </w:p>
    <w:p>
      <w:pPr>
        <w:ind w:left="640" w:hanging="194"/>
        <w:spacing w:after="0"/>
        <w:tabs>
          <w:tab w:leader="none" w:pos="640" w:val="left"/>
        </w:tabs>
        <w:numPr>
          <w:ilvl w:val="0"/>
          <w:numId w:val="8"/>
        </w:numPr>
        <w:rPr>
          <w:rFonts w:ascii="MS PGothic" w:cs="MS PGothic" w:eastAsia="MS PGothic" w:hAnsi="MS PGothic"/>
          <w:sz w:val="18"/>
          <w:szCs w:val="18"/>
          <w:color w:val="002060"/>
        </w:rPr>
      </w:pPr>
      <w:r>
        <w:rPr>
          <w:rFonts w:ascii="Arial" w:cs="Arial" w:eastAsia="Arial" w:hAnsi="Arial"/>
          <w:sz w:val="18"/>
          <w:szCs w:val="18"/>
          <w:color w:val="auto"/>
        </w:rPr>
        <w:t>Acquire operations with a strong reputation and customer base</w:t>
      </w:r>
    </w:p>
    <w:p>
      <w:pPr>
        <w:spacing w:after="0" w:line="9" w:lineRule="exact"/>
        <w:rPr>
          <w:rFonts w:ascii="MS PGothic" w:cs="MS PGothic" w:eastAsia="MS PGothic" w:hAnsi="MS PGothic"/>
          <w:sz w:val="18"/>
          <w:szCs w:val="18"/>
          <w:color w:val="002060"/>
        </w:rPr>
      </w:pPr>
    </w:p>
    <w:p>
      <w:pPr>
        <w:ind w:left="640" w:hanging="194"/>
        <w:spacing w:after="0"/>
        <w:tabs>
          <w:tab w:leader="none" w:pos="640" w:val="left"/>
        </w:tabs>
        <w:numPr>
          <w:ilvl w:val="0"/>
          <w:numId w:val="8"/>
        </w:numPr>
        <w:rPr>
          <w:rFonts w:ascii="MS PGothic" w:cs="MS PGothic" w:eastAsia="MS PGothic" w:hAnsi="MS PGothic"/>
          <w:sz w:val="18"/>
          <w:szCs w:val="18"/>
          <w:color w:val="002060"/>
        </w:rPr>
      </w:pPr>
      <w:r>
        <w:rPr>
          <w:rFonts w:ascii="Arial" w:cs="Arial" w:eastAsia="Arial" w:hAnsi="Arial"/>
          <w:sz w:val="18"/>
          <w:szCs w:val="18"/>
          <w:color w:val="auto"/>
        </w:rPr>
        <w:t>Leverage national buying power</w:t>
      </w:r>
    </w:p>
    <w:p>
      <w:pPr>
        <w:spacing w:after="0" w:line="9" w:lineRule="exact"/>
        <w:rPr>
          <w:rFonts w:ascii="MS PGothic" w:cs="MS PGothic" w:eastAsia="MS PGothic" w:hAnsi="MS PGothic"/>
          <w:sz w:val="18"/>
          <w:szCs w:val="18"/>
          <w:color w:val="002060"/>
        </w:rPr>
      </w:pPr>
    </w:p>
    <w:p>
      <w:pPr>
        <w:ind w:left="640" w:hanging="194"/>
        <w:spacing w:after="0"/>
        <w:tabs>
          <w:tab w:leader="none" w:pos="640" w:val="left"/>
        </w:tabs>
        <w:numPr>
          <w:ilvl w:val="0"/>
          <w:numId w:val="8"/>
        </w:numPr>
        <w:rPr>
          <w:rFonts w:ascii="MS PGothic" w:cs="MS PGothic" w:eastAsia="MS PGothic" w:hAnsi="MS PGothic"/>
          <w:sz w:val="18"/>
          <w:szCs w:val="18"/>
          <w:color w:val="002060"/>
        </w:rPr>
      </w:pPr>
      <w:r>
        <w:rPr>
          <w:rFonts w:ascii="Arial" w:cs="Arial" w:eastAsia="Arial" w:hAnsi="Arial"/>
          <w:sz w:val="18"/>
          <w:szCs w:val="18"/>
          <w:color w:val="auto"/>
        </w:rPr>
        <w:t>Leverage relationships with national homebuilders</w:t>
      </w:r>
    </w:p>
    <w:p>
      <w:pPr>
        <w:spacing w:after="0" w:line="9" w:lineRule="exact"/>
        <w:rPr>
          <w:rFonts w:ascii="MS PGothic" w:cs="MS PGothic" w:eastAsia="MS PGothic" w:hAnsi="MS PGothic"/>
          <w:sz w:val="18"/>
          <w:szCs w:val="18"/>
          <w:color w:val="002060"/>
        </w:rPr>
      </w:pPr>
    </w:p>
    <w:p>
      <w:pPr>
        <w:ind w:left="640" w:hanging="194"/>
        <w:spacing w:after="0"/>
        <w:tabs>
          <w:tab w:leader="none" w:pos="640" w:val="left"/>
        </w:tabs>
        <w:numPr>
          <w:ilvl w:val="0"/>
          <w:numId w:val="8"/>
        </w:numPr>
        <w:rPr>
          <w:rFonts w:ascii="MS PGothic" w:cs="MS PGothic" w:eastAsia="MS PGothic" w:hAnsi="MS PGothic"/>
          <w:sz w:val="18"/>
          <w:szCs w:val="18"/>
          <w:color w:val="002060"/>
        </w:rPr>
      </w:pPr>
      <w:r>
        <w:rPr>
          <w:rFonts w:ascii="Arial" w:cs="Arial" w:eastAsia="Arial" w:hAnsi="Arial"/>
          <w:sz w:val="18"/>
          <w:szCs w:val="18"/>
          <w:color w:val="auto"/>
        </w:rPr>
        <w:t>Maintain existing management teams and trade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69951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4780915</wp:posOffset>
            </wp:positionH>
            <wp:positionV relativeFrom="paragraph">
              <wp:posOffset>-678815</wp:posOffset>
            </wp:positionV>
            <wp:extent cx="2049145" cy="694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49145" cy="694690"/>
                    </a:xfrm>
                    <a:prstGeom prst="rect">
                      <a:avLst/>
                    </a:prstGeom>
                    <a:noFill/>
                  </pic:spPr>
                </pic:pic>
              </a:graphicData>
            </a:graphic>
          </wp:anchor>
        </w:drawing>
      </w: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0070C0"/>
        </w:rPr>
        <w:t>Proxy Summary</w:t>
      </w:r>
    </w:p>
    <w:p>
      <w:pPr>
        <w:spacing w:after="0" w:line="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0070C0"/>
        </w:rPr>
        <w:t>2</w:t>
      </w:r>
    </w:p>
    <w:p>
      <w:pPr>
        <w:sectPr>
          <w:pgSz w:w="11900" w:h="16838" w:orient="portrait"/>
          <w:cols w:equalWidth="0" w:num="1">
            <w:col w:w="10940"/>
          </w:cols>
          <w:pgMar w:left="440" w:top="287" w:right="51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00206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2023 Financial Highlights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Our record 2023 financial and operating results reflect the continued success of our key business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34" w:lineRule="exact"/>
        <w:rPr>
          <w:sz w:val="20"/>
          <w:szCs w:val="20"/>
          <w:color w:val="auto"/>
        </w:rPr>
      </w:pPr>
    </w:p>
    <w:tbl>
      <w:tblPr>
        <w:tblLayout w:type="fixed"/>
        <w:tblInd w:w="480" w:type="dxa"/>
        <w:tblCellMar>
          <w:top w:w="0" w:type="dxa"/>
          <w:left w:w="0" w:type="dxa"/>
          <w:bottom w:w="0" w:type="dxa"/>
          <w:right w:w="0" w:type="dxa"/>
        </w:tblCellMar>
      </w:tblPr>
      <w:tr>
        <w:trPr>
          <w:trHeight w:val="297"/>
        </w:trPr>
        <w:tc>
          <w:tcPr>
            <w:tcW w:w="20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25"/>
                <w:szCs w:val="25"/>
                <w:b w:val="1"/>
                <w:bCs w:val="1"/>
                <w:color w:val="0070C0"/>
                <w:w w:val="99"/>
              </w:rPr>
              <w:t>Record</w:t>
            </w:r>
          </w:p>
        </w:tc>
        <w:tc>
          <w:tcPr>
            <w:tcW w:w="1400" w:type="dxa"/>
            <w:vAlign w:val="bottom"/>
            <w:vMerge w:val="restart"/>
          </w:tcPr>
          <w:p>
            <w:pPr>
              <w:jc w:val="center"/>
              <w:ind w:left="214"/>
              <w:spacing w:after="0"/>
              <w:rPr>
                <w:sz w:val="20"/>
                <w:szCs w:val="20"/>
                <w:color w:val="auto"/>
              </w:rPr>
            </w:pPr>
            <w:r>
              <w:rPr>
                <w:rFonts w:ascii="Arial" w:cs="Arial" w:eastAsia="Arial" w:hAnsi="Arial"/>
                <w:sz w:val="25"/>
                <w:szCs w:val="25"/>
                <w:b w:val="1"/>
                <w:bCs w:val="1"/>
                <w:color w:val="0070C0"/>
                <w:w w:val="99"/>
              </w:rPr>
              <w:t>Record</w:t>
            </w:r>
          </w:p>
        </w:tc>
        <w:tc>
          <w:tcPr>
            <w:tcW w:w="0" w:type="dxa"/>
            <w:vAlign w:val="bottom"/>
          </w:tcPr>
          <w:p>
            <w:pPr>
              <w:spacing w:after="0"/>
              <w:rPr>
                <w:sz w:val="1"/>
                <w:szCs w:val="1"/>
                <w:color w:val="auto"/>
              </w:rPr>
            </w:pPr>
          </w:p>
        </w:tc>
      </w:tr>
      <w:tr>
        <w:trPr>
          <w:trHeight w:val="148"/>
        </w:trPr>
        <w:tc>
          <w:tcPr>
            <w:tcW w:w="2020" w:type="dxa"/>
            <w:vAlign w:val="bottom"/>
            <w:vMerge w:val="restart"/>
          </w:tcPr>
          <w:p>
            <w:pPr>
              <w:jc w:val="center"/>
              <w:ind w:right="354"/>
              <w:spacing w:after="0"/>
              <w:rPr>
                <w:sz w:val="20"/>
                <w:szCs w:val="20"/>
                <w:color w:val="auto"/>
              </w:rPr>
            </w:pPr>
            <w:r>
              <w:rPr>
                <w:rFonts w:ascii="Arial" w:cs="Arial" w:eastAsia="Arial" w:hAnsi="Arial"/>
                <w:sz w:val="25"/>
                <w:szCs w:val="25"/>
                <w:b w:val="1"/>
                <w:bCs w:val="1"/>
                <w:color w:val="0070C0"/>
                <w:w w:val="99"/>
              </w:rPr>
              <w:t>Record</w:t>
            </w:r>
          </w:p>
        </w:tc>
        <w:tc>
          <w:tcPr>
            <w:tcW w:w="2380" w:type="dxa"/>
            <w:vAlign w:val="bottom"/>
            <w:vMerge w:val="restart"/>
          </w:tcPr>
          <w:p>
            <w:pPr>
              <w:jc w:val="center"/>
              <w:spacing w:after="0"/>
              <w:rPr>
                <w:sz w:val="20"/>
                <w:szCs w:val="20"/>
                <w:color w:val="auto"/>
              </w:rPr>
            </w:pPr>
            <w:r>
              <w:rPr>
                <w:rFonts w:ascii="Arial" w:cs="Arial" w:eastAsia="Arial" w:hAnsi="Arial"/>
                <w:sz w:val="25"/>
                <w:szCs w:val="25"/>
                <w:b w:val="1"/>
                <w:bCs w:val="1"/>
                <w:color w:val="0070C0"/>
                <w:w w:val="99"/>
              </w:rPr>
              <w:t>Record</w:t>
            </w:r>
          </w:p>
        </w:tc>
        <w:tc>
          <w:tcPr>
            <w:tcW w:w="2180" w:type="dxa"/>
            <w:vAlign w:val="bottom"/>
            <w:vMerge w:val="restart"/>
          </w:tcPr>
          <w:p>
            <w:pPr>
              <w:jc w:val="center"/>
              <w:spacing w:after="0"/>
              <w:rPr>
                <w:sz w:val="20"/>
                <w:szCs w:val="20"/>
                <w:color w:val="auto"/>
              </w:rPr>
            </w:pPr>
            <w:r>
              <w:rPr>
                <w:rFonts w:ascii="Arial" w:cs="Arial" w:eastAsia="Arial" w:hAnsi="Arial"/>
                <w:sz w:val="25"/>
                <w:szCs w:val="25"/>
                <w:b w:val="1"/>
                <w:bCs w:val="1"/>
                <w:color w:val="0070C0"/>
              </w:rPr>
              <w:t>Record</w:t>
            </w:r>
          </w:p>
        </w:tc>
        <w:tc>
          <w:tcPr>
            <w:tcW w:w="2260" w:type="dxa"/>
            <w:vAlign w:val="bottom"/>
            <w:vMerge w:val="restart"/>
          </w:tcPr>
          <w:p>
            <w:pPr>
              <w:jc w:val="center"/>
              <w:spacing w:after="0"/>
              <w:rPr>
                <w:sz w:val="20"/>
                <w:szCs w:val="20"/>
                <w:color w:val="auto"/>
              </w:rPr>
            </w:pPr>
            <w:r>
              <w:rPr>
                <w:rFonts w:ascii="Arial" w:cs="Arial" w:eastAsia="Arial" w:hAnsi="Arial"/>
                <w:sz w:val="25"/>
                <w:szCs w:val="25"/>
                <w:b w:val="1"/>
                <w:bCs w:val="1"/>
                <w:color w:val="0070C0"/>
              </w:rPr>
              <w:t>Diluted</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vMerge w:val="continue"/>
          </w:tcPr>
          <w:p>
            <w:pPr>
              <w:spacing w:after="0"/>
              <w:rPr>
                <w:sz w:val="12"/>
                <w:szCs w:val="12"/>
                <w:color w:val="auto"/>
              </w:rPr>
            </w:pPr>
          </w:p>
        </w:tc>
        <w:tc>
          <w:tcPr>
            <w:tcW w:w="2380" w:type="dxa"/>
            <w:vAlign w:val="bottom"/>
            <w:vMerge w:val="continue"/>
          </w:tcPr>
          <w:p>
            <w:pPr>
              <w:spacing w:after="0"/>
              <w:rPr>
                <w:sz w:val="12"/>
                <w:szCs w:val="12"/>
                <w:color w:val="auto"/>
              </w:rPr>
            </w:pPr>
          </w:p>
        </w:tc>
        <w:tc>
          <w:tcPr>
            <w:tcW w:w="2180" w:type="dxa"/>
            <w:vAlign w:val="bottom"/>
            <w:vMerge w:val="continue"/>
          </w:tcPr>
          <w:p>
            <w:pPr>
              <w:spacing w:after="0"/>
              <w:rPr>
                <w:sz w:val="12"/>
                <w:szCs w:val="12"/>
                <w:color w:val="auto"/>
              </w:rPr>
            </w:pPr>
          </w:p>
        </w:tc>
        <w:tc>
          <w:tcPr>
            <w:tcW w:w="2260" w:type="dxa"/>
            <w:vAlign w:val="bottom"/>
            <w:vMerge w:val="continue"/>
          </w:tcPr>
          <w:p>
            <w:pPr>
              <w:spacing w:after="0"/>
              <w:rPr>
                <w:sz w:val="12"/>
                <w:szCs w:val="12"/>
                <w:color w:val="auto"/>
              </w:rPr>
            </w:pPr>
          </w:p>
        </w:tc>
        <w:tc>
          <w:tcPr>
            <w:tcW w:w="1400" w:type="dxa"/>
            <w:vAlign w:val="bottom"/>
            <w:vMerge w:val="restart"/>
          </w:tcPr>
          <w:p>
            <w:pPr>
              <w:jc w:val="center"/>
              <w:ind w:left="194"/>
              <w:spacing w:after="0"/>
              <w:rPr>
                <w:sz w:val="20"/>
                <w:szCs w:val="20"/>
                <w:color w:val="auto"/>
              </w:rPr>
            </w:pPr>
            <w:r>
              <w:rPr>
                <w:rFonts w:ascii="Arial" w:cs="Arial" w:eastAsia="Arial" w:hAnsi="Arial"/>
                <w:sz w:val="25"/>
                <w:szCs w:val="25"/>
                <w:b w:val="1"/>
                <w:bCs w:val="1"/>
                <w:color w:val="0070C0"/>
              </w:rPr>
              <w:t>Adjusted</w:t>
            </w:r>
          </w:p>
        </w:tc>
        <w:tc>
          <w:tcPr>
            <w:tcW w:w="0" w:type="dxa"/>
            <w:vAlign w:val="bottom"/>
          </w:tcPr>
          <w:p>
            <w:pPr>
              <w:spacing w:after="0"/>
              <w:rPr>
                <w:sz w:val="1"/>
                <w:szCs w:val="1"/>
                <w:color w:val="auto"/>
              </w:rPr>
            </w:pPr>
          </w:p>
        </w:tc>
      </w:tr>
      <w:tr>
        <w:trPr>
          <w:trHeight w:val="148"/>
        </w:trPr>
        <w:tc>
          <w:tcPr>
            <w:tcW w:w="2020" w:type="dxa"/>
            <w:vAlign w:val="bottom"/>
            <w:vMerge w:val="restart"/>
          </w:tcPr>
          <w:p>
            <w:pPr>
              <w:jc w:val="center"/>
              <w:ind w:right="354"/>
              <w:spacing w:after="0"/>
              <w:rPr>
                <w:sz w:val="20"/>
                <w:szCs w:val="20"/>
                <w:color w:val="auto"/>
              </w:rPr>
            </w:pPr>
            <w:r>
              <w:rPr>
                <w:rFonts w:ascii="Arial" w:cs="Arial" w:eastAsia="Arial" w:hAnsi="Arial"/>
                <w:sz w:val="25"/>
                <w:szCs w:val="25"/>
                <w:b w:val="1"/>
                <w:bCs w:val="1"/>
                <w:color w:val="0070C0"/>
              </w:rPr>
              <w:t>Net Revenue</w:t>
            </w:r>
          </w:p>
        </w:tc>
        <w:tc>
          <w:tcPr>
            <w:tcW w:w="2380" w:type="dxa"/>
            <w:vAlign w:val="bottom"/>
            <w:vMerge w:val="restart"/>
          </w:tcPr>
          <w:p>
            <w:pPr>
              <w:jc w:val="center"/>
              <w:spacing w:after="0"/>
              <w:rPr>
                <w:sz w:val="20"/>
                <w:szCs w:val="20"/>
                <w:color w:val="auto"/>
              </w:rPr>
            </w:pPr>
            <w:r>
              <w:rPr>
                <w:rFonts w:ascii="Arial" w:cs="Arial" w:eastAsia="Arial" w:hAnsi="Arial"/>
                <w:sz w:val="25"/>
                <w:szCs w:val="25"/>
                <w:b w:val="1"/>
                <w:bCs w:val="1"/>
                <w:color w:val="0070C0"/>
              </w:rPr>
              <w:t>Gross Profit</w:t>
            </w:r>
          </w:p>
        </w:tc>
        <w:tc>
          <w:tcPr>
            <w:tcW w:w="2180" w:type="dxa"/>
            <w:vAlign w:val="bottom"/>
            <w:vMerge w:val="restart"/>
          </w:tcPr>
          <w:p>
            <w:pPr>
              <w:jc w:val="center"/>
              <w:spacing w:after="0"/>
              <w:rPr>
                <w:sz w:val="20"/>
                <w:szCs w:val="20"/>
                <w:color w:val="auto"/>
              </w:rPr>
            </w:pPr>
            <w:r>
              <w:rPr>
                <w:rFonts w:ascii="Arial" w:cs="Arial" w:eastAsia="Arial" w:hAnsi="Arial"/>
                <w:sz w:val="25"/>
                <w:szCs w:val="25"/>
                <w:b w:val="1"/>
                <w:bCs w:val="1"/>
                <w:color w:val="0070C0"/>
              </w:rPr>
              <w:t>Net Income</w:t>
            </w:r>
          </w:p>
        </w:tc>
        <w:tc>
          <w:tcPr>
            <w:tcW w:w="2260" w:type="dxa"/>
            <w:vAlign w:val="bottom"/>
            <w:vMerge w:val="restart"/>
          </w:tcPr>
          <w:p>
            <w:pPr>
              <w:jc w:val="center"/>
              <w:spacing w:after="0"/>
              <w:rPr>
                <w:sz w:val="20"/>
                <w:szCs w:val="20"/>
                <w:color w:val="auto"/>
              </w:rPr>
            </w:pPr>
            <w:r>
              <w:rPr>
                <w:rFonts w:ascii="Arial" w:cs="Arial" w:eastAsia="Arial" w:hAnsi="Arial"/>
                <w:sz w:val="25"/>
                <w:szCs w:val="25"/>
                <w:b w:val="1"/>
                <w:bCs w:val="1"/>
                <w:color w:val="0070C0"/>
              </w:rPr>
              <w:t>Earnings Per</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20" w:type="dxa"/>
            <w:vAlign w:val="bottom"/>
            <w:vMerge w:val="continue"/>
          </w:tcPr>
          <w:p>
            <w:pPr>
              <w:spacing w:after="0"/>
              <w:rPr>
                <w:sz w:val="12"/>
                <w:szCs w:val="12"/>
                <w:color w:val="auto"/>
              </w:rPr>
            </w:pPr>
          </w:p>
        </w:tc>
        <w:tc>
          <w:tcPr>
            <w:tcW w:w="2380" w:type="dxa"/>
            <w:vAlign w:val="bottom"/>
            <w:vMerge w:val="continue"/>
          </w:tcPr>
          <w:p>
            <w:pPr>
              <w:spacing w:after="0"/>
              <w:rPr>
                <w:sz w:val="12"/>
                <w:szCs w:val="12"/>
                <w:color w:val="auto"/>
              </w:rPr>
            </w:pPr>
          </w:p>
        </w:tc>
        <w:tc>
          <w:tcPr>
            <w:tcW w:w="2180" w:type="dxa"/>
            <w:vAlign w:val="bottom"/>
            <w:vMerge w:val="continue"/>
          </w:tcPr>
          <w:p>
            <w:pPr>
              <w:spacing w:after="0"/>
              <w:rPr>
                <w:sz w:val="12"/>
                <w:szCs w:val="12"/>
                <w:color w:val="auto"/>
              </w:rPr>
            </w:pPr>
          </w:p>
        </w:tc>
        <w:tc>
          <w:tcPr>
            <w:tcW w:w="2260" w:type="dxa"/>
            <w:vAlign w:val="bottom"/>
            <w:vMerge w:val="continue"/>
          </w:tcPr>
          <w:p>
            <w:pPr>
              <w:spacing w:after="0"/>
              <w:rPr>
                <w:sz w:val="12"/>
                <w:szCs w:val="12"/>
                <w:color w:val="auto"/>
              </w:rPr>
            </w:pPr>
          </w:p>
        </w:tc>
        <w:tc>
          <w:tcPr>
            <w:tcW w:w="1400" w:type="dxa"/>
            <w:vAlign w:val="bottom"/>
            <w:vMerge w:val="restart"/>
          </w:tcPr>
          <w:p>
            <w:pPr>
              <w:jc w:val="center"/>
              <w:ind w:left="214"/>
              <w:spacing w:after="0"/>
              <w:rPr>
                <w:sz w:val="20"/>
                <w:szCs w:val="20"/>
                <w:color w:val="auto"/>
              </w:rPr>
            </w:pPr>
            <w:r>
              <w:rPr>
                <w:rFonts w:ascii="Arial" w:cs="Arial" w:eastAsia="Arial" w:hAnsi="Arial"/>
                <w:sz w:val="25"/>
                <w:szCs w:val="25"/>
                <w:b w:val="1"/>
                <w:bCs w:val="1"/>
                <w:color w:val="0070C0"/>
              </w:rPr>
              <w:t>EBITDA</w:t>
            </w:r>
          </w:p>
        </w:tc>
        <w:tc>
          <w:tcPr>
            <w:tcW w:w="0" w:type="dxa"/>
            <w:vAlign w:val="bottom"/>
          </w:tcPr>
          <w:p>
            <w:pPr>
              <w:spacing w:after="0"/>
              <w:rPr>
                <w:sz w:val="1"/>
                <w:szCs w:val="1"/>
                <w:color w:val="auto"/>
              </w:rPr>
            </w:pPr>
          </w:p>
        </w:tc>
      </w:tr>
      <w:tr>
        <w:trPr>
          <w:trHeight w:val="199"/>
        </w:trPr>
        <w:tc>
          <w:tcPr>
            <w:tcW w:w="20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60" w:type="dxa"/>
            <w:vAlign w:val="bottom"/>
            <w:vMerge w:val="restart"/>
          </w:tcPr>
          <w:p>
            <w:pPr>
              <w:jc w:val="center"/>
              <w:spacing w:after="0"/>
              <w:rPr>
                <w:sz w:val="20"/>
                <w:szCs w:val="20"/>
                <w:color w:val="auto"/>
              </w:rPr>
            </w:pPr>
            <w:r>
              <w:rPr>
                <w:rFonts w:ascii="Arial" w:cs="Arial" w:eastAsia="Arial" w:hAnsi="Arial"/>
                <w:sz w:val="25"/>
                <w:szCs w:val="25"/>
                <w:b w:val="1"/>
                <w:bCs w:val="1"/>
                <w:color w:val="0070C0"/>
              </w:rPr>
              <w:t>Share</w:t>
            </w: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6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-770890</wp:posOffset>
            </wp:positionV>
            <wp:extent cx="6995160" cy="15005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5005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17"/>
        </w:trPr>
        <w:tc>
          <w:tcPr>
            <w:tcW w:w="2460" w:type="dxa"/>
            <w:vAlign w:val="bottom"/>
          </w:tcPr>
          <w:p>
            <w:pPr>
              <w:jc w:val="center"/>
              <w:spacing w:after="0" w:line="317" w:lineRule="exact"/>
              <w:rPr>
                <w:sz w:val="20"/>
                <w:szCs w:val="20"/>
                <w:color w:val="auto"/>
              </w:rPr>
            </w:pPr>
            <w:r>
              <w:rPr>
                <w:rFonts w:ascii="Arial" w:cs="Arial" w:eastAsia="Arial" w:hAnsi="Arial"/>
                <w:sz w:val="29"/>
                <w:szCs w:val="29"/>
                <w:b w:val="1"/>
                <w:bCs w:val="1"/>
                <w:color w:val="auto"/>
                <w:w w:val="99"/>
              </w:rPr>
              <w:t>$2.8</w:t>
            </w:r>
          </w:p>
        </w:tc>
        <w:tc>
          <w:tcPr>
            <w:tcW w:w="2440" w:type="dxa"/>
            <w:vAlign w:val="bottom"/>
          </w:tcPr>
          <w:p>
            <w:pPr>
              <w:jc w:val="center"/>
              <w:spacing w:after="0" w:line="317" w:lineRule="exact"/>
              <w:rPr>
                <w:sz w:val="20"/>
                <w:szCs w:val="20"/>
                <w:color w:val="auto"/>
              </w:rPr>
            </w:pPr>
            <w:r>
              <w:rPr>
                <w:rFonts w:ascii="Arial" w:cs="Arial" w:eastAsia="Arial" w:hAnsi="Arial"/>
                <w:sz w:val="29"/>
                <w:szCs w:val="29"/>
                <w:b w:val="1"/>
                <w:bCs w:val="1"/>
                <w:color w:val="auto"/>
                <w:w w:val="99"/>
              </w:rPr>
              <w:t>$930.7</w:t>
            </w:r>
          </w:p>
        </w:tc>
        <w:tc>
          <w:tcPr>
            <w:tcW w:w="2180" w:type="dxa"/>
            <w:vAlign w:val="bottom"/>
          </w:tcPr>
          <w:p>
            <w:pPr>
              <w:jc w:val="center"/>
              <w:spacing w:after="0" w:line="317" w:lineRule="exact"/>
              <w:rPr>
                <w:sz w:val="20"/>
                <w:szCs w:val="20"/>
                <w:color w:val="auto"/>
              </w:rPr>
            </w:pPr>
            <w:r>
              <w:rPr>
                <w:rFonts w:ascii="Arial" w:cs="Arial" w:eastAsia="Arial" w:hAnsi="Arial"/>
                <w:sz w:val="29"/>
                <w:szCs w:val="29"/>
                <w:b w:val="1"/>
                <w:bCs w:val="1"/>
                <w:color w:val="auto"/>
                <w:w w:val="99"/>
              </w:rPr>
              <w:t>$243.7</w:t>
            </w:r>
          </w:p>
        </w:tc>
        <w:tc>
          <w:tcPr>
            <w:tcW w:w="2120" w:type="dxa"/>
            <w:vAlign w:val="bottom"/>
          </w:tcPr>
          <w:p>
            <w:pPr>
              <w:jc w:val="right"/>
              <w:ind w:right="514"/>
              <w:spacing w:after="0" w:line="317" w:lineRule="exact"/>
              <w:rPr>
                <w:sz w:val="20"/>
                <w:szCs w:val="20"/>
                <w:color w:val="auto"/>
              </w:rPr>
            </w:pPr>
            <w:r>
              <w:rPr>
                <w:rFonts w:ascii="Arial" w:cs="Arial" w:eastAsia="Arial" w:hAnsi="Arial"/>
                <w:sz w:val="29"/>
                <w:szCs w:val="29"/>
                <w:b w:val="1"/>
                <w:bCs w:val="1"/>
                <w:color w:val="auto"/>
              </w:rPr>
              <w:t>$8.61</w:t>
            </w:r>
          </w:p>
        </w:tc>
        <w:tc>
          <w:tcPr>
            <w:tcW w:w="1820" w:type="dxa"/>
            <w:vAlign w:val="bottom"/>
          </w:tcPr>
          <w:p>
            <w:pPr>
              <w:jc w:val="center"/>
              <w:ind w:left="8"/>
              <w:spacing w:after="0" w:line="317" w:lineRule="exact"/>
              <w:rPr>
                <w:sz w:val="20"/>
                <w:szCs w:val="20"/>
                <w:color w:val="auto"/>
              </w:rPr>
            </w:pPr>
            <w:r>
              <w:rPr>
                <w:rFonts w:ascii="Arial" w:cs="Arial" w:eastAsia="Arial" w:hAnsi="Arial"/>
                <w:sz w:val="29"/>
                <w:szCs w:val="29"/>
                <w:b w:val="1"/>
                <w:bCs w:val="1"/>
                <w:color w:val="auto"/>
                <w:w w:val="99"/>
              </w:rPr>
              <w:t>$485.9</w:t>
            </w:r>
          </w:p>
        </w:tc>
      </w:tr>
      <w:tr>
        <w:trPr>
          <w:trHeight w:val="397"/>
        </w:trPr>
        <w:tc>
          <w:tcPr>
            <w:tcW w:w="2460" w:type="dxa"/>
            <w:vAlign w:val="bottom"/>
          </w:tcPr>
          <w:p>
            <w:pPr>
              <w:jc w:val="center"/>
              <w:spacing w:after="0"/>
              <w:rPr>
                <w:sz w:val="20"/>
                <w:szCs w:val="20"/>
                <w:color w:val="auto"/>
              </w:rPr>
            </w:pPr>
            <w:r>
              <w:rPr>
                <w:rFonts w:ascii="Arial" w:cs="Arial" w:eastAsia="Arial" w:hAnsi="Arial"/>
                <w:sz w:val="29"/>
                <w:szCs w:val="29"/>
                <w:b w:val="1"/>
                <w:bCs w:val="1"/>
                <w:color w:val="auto"/>
              </w:rPr>
              <w:t>billion</w:t>
            </w:r>
          </w:p>
        </w:tc>
        <w:tc>
          <w:tcPr>
            <w:tcW w:w="2440" w:type="dxa"/>
            <w:vAlign w:val="bottom"/>
          </w:tcPr>
          <w:p>
            <w:pPr>
              <w:jc w:val="center"/>
              <w:spacing w:after="0"/>
              <w:rPr>
                <w:sz w:val="20"/>
                <w:szCs w:val="20"/>
                <w:color w:val="auto"/>
              </w:rPr>
            </w:pPr>
            <w:r>
              <w:rPr>
                <w:rFonts w:ascii="Arial" w:cs="Arial" w:eastAsia="Arial" w:hAnsi="Arial"/>
                <w:sz w:val="29"/>
                <w:szCs w:val="29"/>
                <w:b w:val="1"/>
                <w:bCs w:val="1"/>
                <w:color w:val="auto"/>
              </w:rPr>
              <w:t>million</w:t>
            </w:r>
          </w:p>
        </w:tc>
        <w:tc>
          <w:tcPr>
            <w:tcW w:w="2180" w:type="dxa"/>
            <w:vAlign w:val="bottom"/>
          </w:tcPr>
          <w:p>
            <w:pPr>
              <w:jc w:val="center"/>
              <w:spacing w:after="0"/>
              <w:rPr>
                <w:sz w:val="20"/>
                <w:szCs w:val="20"/>
                <w:color w:val="auto"/>
              </w:rPr>
            </w:pPr>
            <w:r>
              <w:rPr>
                <w:rFonts w:ascii="Arial" w:cs="Arial" w:eastAsia="Arial" w:hAnsi="Arial"/>
                <w:sz w:val="29"/>
                <w:szCs w:val="29"/>
                <w:b w:val="1"/>
                <w:bCs w:val="1"/>
                <w:color w:val="auto"/>
                <w:w w:val="98"/>
              </w:rPr>
              <w:t>million</w:t>
            </w:r>
          </w:p>
        </w:tc>
        <w:tc>
          <w:tcPr>
            <w:tcW w:w="2120" w:type="dxa"/>
            <w:vAlign w:val="bottom"/>
          </w:tcPr>
          <w:p>
            <w:pPr>
              <w:spacing w:after="0"/>
              <w:rPr>
                <w:sz w:val="24"/>
                <w:szCs w:val="24"/>
                <w:color w:val="auto"/>
              </w:rPr>
            </w:pPr>
          </w:p>
        </w:tc>
        <w:tc>
          <w:tcPr>
            <w:tcW w:w="1820" w:type="dxa"/>
            <w:vAlign w:val="bottom"/>
          </w:tcPr>
          <w:p>
            <w:pPr>
              <w:jc w:val="center"/>
              <w:ind w:left="28"/>
              <w:spacing w:after="0"/>
              <w:rPr>
                <w:sz w:val="20"/>
                <w:szCs w:val="20"/>
                <w:color w:val="auto"/>
              </w:rPr>
            </w:pPr>
            <w:r>
              <w:rPr>
                <w:rFonts w:ascii="Arial" w:cs="Arial" w:eastAsia="Arial" w:hAnsi="Arial"/>
                <w:sz w:val="29"/>
                <w:szCs w:val="29"/>
                <w:b w:val="1"/>
                <w:bCs w:val="1"/>
                <w:color w:val="auto"/>
              </w:rPr>
              <w:t>million</w:t>
            </w:r>
          </w:p>
        </w:tc>
      </w:tr>
      <w:tr>
        <w:trPr>
          <w:trHeight w:val="354"/>
        </w:trPr>
        <w:tc>
          <w:tcPr>
            <w:tcW w:w="2460" w:type="dxa"/>
            <w:vAlign w:val="bottom"/>
          </w:tcPr>
          <w:p>
            <w:pPr>
              <w:jc w:val="center"/>
              <w:spacing w:after="0"/>
              <w:rPr>
                <w:sz w:val="20"/>
                <w:szCs w:val="20"/>
                <w:color w:val="auto"/>
              </w:rPr>
            </w:pPr>
            <w:r>
              <w:rPr>
                <w:rFonts w:ascii="Arial" w:cs="Arial" w:eastAsia="Arial" w:hAnsi="Arial"/>
                <w:sz w:val="22"/>
                <w:szCs w:val="22"/>
                <w:color w:val="0070C0"/>
                <w:w w:val="98"/>
              </w:rPr>
              <w:t>4.1% increase</w:t>
            </w:r>
          </w:p>
        </w:tc>
        <w:tc>
          <w:tcPr>
            <w:tcW w:w="2440" w:type="dxa"/>
            <w:vAlign w:val="bottom"/>
          </w:tcPr>
          <w:p>
            <w:pPr>
              <w:jc w:val="center"/>
              <w:spacing w:after="0"/>
              <w:rPr>
                <w:sz w:val="20"/>
                <w:szCs w:val="20"/>
                <w:color w:val="auto"/>
              </w:rPr>
            </w:pPr>
            <w:r>
              <w:rPr>
                <w:rFonts w:ascii="Arial" w:cs="Arial" w:eastAsia="Arial" w:hAnsi="Arial"/>
                <w:sz w:val="22"/>
                <w:szCs w:val="22"/>
                <w:color w:val="0070C0"/>
                <w:w w:val="98"/>
              </w:rPr>
              <w:t>12.4% increase</w:t>
            </w:r>
          </w:p>
        </w:tc>
        <w:tc>
          <w:tcPr>
            <w:tcW w:w="2180" w:type="dxa"/>
            <w:vAlign w:val="bottom"/>
          </w:tcPr>
          <w:p>
            <w:pPr>
              <w:jc w:val="center"/>
              <w:spacing w:after="0"/>
              <w:rPr>
                <w:sz w:val="20"/>
                <w:szCs w:val="20"/>
                <w:color w:val="auto"/>
              </w:rPr>
            </w:pPr>
            <w:r>
              <w:rPr>
                <w:rFonts w:ascii="Arial" w:cs="Arial" w:eastAsia="Arial" w:hAnsi="Arial"/>
                <w:sz w:val="22"/>
                <w:szCs w:val="22"/>
                <w:color w:val="0070C0"/>
                <w:w w:val="97"/>
              </w:rPr>
              <w:t>9.1% increase</w:t>
            </w:r>
          </w:p>
        </w:tc>
        <w:tc>
          <w:tcPr>
            <w:tcW w:w="2120" w:type="dxa"/>
            <w:vAlign w:val="bottom"/>
          </w:tcPr>
          <w:p>
            <w:pPr>
              <w:jc w:val="center"/>
              <w:spacing w:after="0"/>
              <w:rPr>
                <w:sz w:val="20"/>
                <w:szCs w:val="20"/>
                <w:color w:val="auto"/>
              </w:rPr>
            </w:pPr>
            <w:r>
              <w:rPr>
                <w:rFonts w:ascii="Arial" w:cs="Arial" w:eastAsia="Arial" w:hAnsi="Arial"/>
                <w:sz w:val="22"/>
                <w:szCs w:val="22"/>
                <w:color w:val="0070C0"/>
                <w:w w:val="97"/>
              </w:rPr>
              <w:t>11.2% increase</w:t>
            </w:r>
          </w:p>
        </w:tc>
        <w:tc>
          <w:tcPr>
            <w:tcW w:w="1820" w:type="dxa"/>
            <w:vAlign w:val="bottom"/>
          </w:tcPr>
          <w:p>
            <w:pPr>
              <w:jc w:val="center"/>
              <w:ind w:left="28"/>
              <w:spacing w:after="0"/>
              <w:rPr>
                <w:sz w:val="20"/>
                <w:szCs w:val="20"/>
                <w:color w:val="auto"/>
              </w:rPr>
            </w:pPr>
            <w:r>
              <w:rPr>
                <w:rFonts w:ascii="Arial" w:cs="Arial" w:eastAsia="Arial" w:hAnsi="Arial"/>
                <w:sz w:val="22"/>
                <w:szCs w:val="22"/>
                <w:color w:val="0070C0"/>
                <w:w w:val="98"/>
              </w:rPr>
              <w:t>10.6% increase</w:t>
            </w:r>
          </w:p>
        </w:tc>
      </w:tr>
      <w:tr>
        <w:trPr>
          <w:trHeight w:val="182"/>
        </w:trPr>
        <w:tc>
          <w:tcPr>
            <w:tcW w:w="2460" w:type="dxa"/>
            <w:vAlign w:val="bottom"/>
            <w:tcBorders>
              <w:bottom w:val="single" w:sz="8" w:color="0070C0"/>
            </w:tcBorders>
          </w:tcPr>
          <w:p>
            <w:pPr>
              <w:spacing w:after="0"/>
              <w:rPr>
                <w:sz w:val="15"/>
                <w:szCs w:val="15"/>
                <w:color w:val="auto"/>
              </w:rPr>
            </w:pPr>
          </w:p>
        </w:tc>
        <w:tc>
          <w:tcPr>
            <w:tcW w:w="2440" w:type="dxa"/>
            <w:vAlign w:val="bottom"/>
            <w:tcBorders>
              <w:bottom w:val="single" w:sz="8" w:color="0070C0"/>
            </w:tcBorders>
          </w:tcPr>
          <w:p>
            <w:pPr>
              <w:spacing w:after="0"/>
              <w:rPr>
                <w:sz w:val="15"/>
                <w:szCs w:val="15"/>
                <w:color w:val="auto"/>
              </w:rPr>
            </w:pPr>
          </w:p>
        </w:tc>
        <w:tc>
          <w:tcPr>
            <w:tcW w:w="2180" w:type="dxa"/>
            <w:vAlign w:val="bottom"/>
            <w:tcBorders>
              <w:bottom w:val="single" w:sz="8" w:color="0070C0"/>
            </w:tcBorders>
          </w:tcPr>
          <w:p>
            <w:pPr>
              <w:spacing w:after="0"/>
              <w:rPr>
                <w:sz w:val="15"/>
                <w:szCs w:val="15"/>
                <w:color w:val="auto"/>
              </w:rPr>
            </w:pPr>
          </w:p>
        </w:tc>
        <w:tc>
          <w:tcPr>
            <w:tcW w:w="2120" w:type="dxa"/>
            <w:vAlign w:val="bottom"/>
            <w:tcBorders>
              <w:bottom w:val="single" w:sz="8" w:color="0070C0"/>
            </w:tcBorders>
          </w:tcPr>
          <w:p>
            <w:pPr>
              <w:spacing w:after="0"/>
              <w:rPr>
                <w:sz w:val="15"/>
                <w:szCs w:val="15"/>
                <w:color w:val="auto"/>
              </w:rPr>
            </w:pPr>
          </w:p>
        </w:tc>
        <w:tc>
          <w:tcPr>
            <w:tcW w:w="1820" w:type="dxa"/>
            <w:vAlign w:val="bottom"/>
            <w:tcBorders>
              <w:bottom w:val="single" w:sz="8" w:color="0070C0"/>
            </w:tcBorders>
          </w:tcPr>
          <w:p>
            <w:pPr>
              <w:spacing w:after="0"/>
              <w:rPr>
                <w:sz w:val="15"/>
                <w:szCs w:val="15"/>
                <w:color w:val="auto"/>
              </w:rPr>
            </w:pPr>
          </w:p>
        </w:tc>
      </w:tr>
    </w:tbl>
    <w:p>
      <w:pPr>
        <w:spacing w:after="0" w:line="238" w:lineRule="exact"/>
        <w:rPr>
          <w:sz w:val="20"/>
          <w:szCs w:val="20"/>
          <w:color w:val="auto"/>
        </w:rPr>
      </w:pPr>
    </w:p>
    <w:p>
      <w:pPr>
        <w:ind w:right="800"/>
        <w:spacing w:after="0" w:line="301" w:lineRule="auto"/>
        <w:rPr>
          <w:sz w:val="20"/>
          <w:szCs w:val="20"/>
          <w:color w:val="auto"/>
        </w:rPr>
      </w:pPr>
      <w:r>
        <w:rPr>
          <w:rFonts w:ascii="Arial" w:cs="Arial" w:eastAsia="Arial" w:hAnsi="Arial"/>
          <w:sz w:val="17"/>
          <w:szCs w:val="17"/>
          <w:color w:val="auto"/>
        </w:rPr>
        <w:t>See “</w:t>
      </w:r>
      <w:r>
        <w:rPr>
          <w:rFonts w:ascii="Arial" w:cs="Arial" w:eastAsia="Arial" w:hAnsi="Arial"/>
          <w:sz w:val="17"/>
          <w:szCs w:val="17"/>
          <w:i w:val="1"/>
          <w:iCs w:val="1"/>
          <w:color w:val="auto"/>
        </w:rPr>
        <w:t>Additional Information – Use of Non-GAAP Financial Measures</w:t>
      </w:r>
      <w:r>
        <w:rPr>
          <w:rFonts w:ascii="Arial" w:cs="Arial" w:eastAsia="Arial" w:hAnsi="Arial"/>
          <w:sz w:val="17"/>
          <w:szCs w:val="17"/>
          <w:color w:val="auto"/>
        </w:rPr>
        <w:t>” for a reconciliation of Adjusted EBITDA to the most directly comparable U.S. generally accepted accounting principles (“GAAP”) measure. Figures above reflect year-over-year increases.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Corporate Responsibility</w:t>
      </w:r>
    </w:p>
    <w:p>
      <w:pPr>
        <w:spacing w:after="0" w:line="216"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We recognize the importance of our environmental and social responsibilities and their impact on our stockholders, our customers, our employees and our communities. Good corporate citizenship is important to us and we are committed to promoting a culture of doing what is right and investing in the communities where we live and work. We integrate corporate responsibility every day through making buildings energy efficient, providing for the health, safety and welfare of our employees, advocating volunteerism and empowering philanthropy.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130175</wp:posOffset>
            </wp:positionV>
            <wp:extent cx="5871845" cy="11658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71845" cy="1165860"/>
                    </a:xfrm>
                    <a:prstGeom prst="rect">
                      <a:avLst/>
                    </a:prstGeom>
                    <a:noFill/>
                  </pic:spPr>
                </pic:pic>
              </a:graphicData>
            </a:graphic>
          </wp:anchor>
        </w:drawing>
      </w:r>
    </w:p>
    <w:p>
      <w:pPr>
        <w:spacing w:after="0" w:line="234" w:lineRule="exact"/>
        <w:rPr>
          <w:sz w:val="20"/>
          <w:szCs w:val="20"/>
          <w:color w:val="auto"/>
        </w:rPr>
      </w:pPr>
    </w:p>
    <w:tbl>
      <w:tblPr>
        <w:tblLayout w:type="fixed"/>
        <w:tblInd w:w="180" w:type="dxa"/>
        <w:tblCellMar>
          <w:top w:w="0" w:type="dxa"/>
          <w:left w:w="0" w:type="dxa"/>
          <w:bottom w:w="0" w:type="dxa"/>
          <w:right w:w="0" w:type="dxa"/>
        </w:tblCellMar>
      </w:tblPr>
      <w:tr>
        <w:trPr>
          <w:trHeight w:val="208"/>
        </w:trPr>
        <w:tc>
          <w:tcPr>
            <w:tcW w:w="1560" w:type="dxa"/>
            <w:vAlign w:val="bottom"/>
          </w:tcPr>
          <w:p>
            <w:pPr>
              <w:jc w:val="center"/>
              <w:ind w:right="50"/>
              <w:spacing w:after="0"/>
              <w:rPr>
                <w:sz w:val="20"/>
                <w:szCs w:val="20"/>
                <w:color w:val="auto"/>
              </w:rPr>
            </w:pPr>
            <w:r>
              <w:rPr>
                <w:rFonts w:ascii="Arial" w:cs="Arial" w:eastAsia="Arial" w:hAnsi="Arial"/>
                <w:sz w:val="18"/>
                <w:szCs w:val="18"/>
                <w:b w:val="1"/>
                <w:bCs w:val="1"/>
                <w:color w:val="002060"/>
                <w:w w:val="99"/>
              </w:rPr>
              <w:t>GOING BEYOND</w:t>
            </w:r>
          </w:p>
        </w:tc>
        <w:tc>
          <w:tcPr>
            <w:tcW w:w="8800" w:type="dxa"/>
            <w:vAlign w:val="bottom"/>
          </w:tcPr>
          <w:p>
            <w:pPr>
              <w:ind w:left="140"/>
              <w:spacing w:after="0"/>
              <w:rPr>
                <w:sz w:val="20"/>
                <w:szCs w:val="20"/>
                <w:color w:val="auto"/>
              </w:rPr>
            </w:pPr>
            <w:r>
              <w:rPr>
                <w:rFonts w:ascii="Arial" w:cs="Arial" w:eastAsia="Arial" w:hAnsi="Arial"/>
                <w:sz w:val="18"/>
                <w:szCs w:val="18"/>
                <w:color w:val="002060"/>
              </w:rPr>
              <w:t xml:space="preserve">   </w:t>
            </w:r>
            <w:r>
              <w:rPr>
                <w:rFonts w:ascii="Arial" w:cs="Arial" w:eastAsia="Arial" w:hAnsi="Arial"/>
                <w:sz w:val="18"/>
                <w:szCs w:val="18"/>
                <w:color w:val="000000"/>
              </w:rPr>
              <w:t>Jason R. Niswonger is our Chief Administrative and Sustainability Officer</w:t>
            </w:r>
          </w:p>
        </w:tc>
        <w:tc>
          <w:tcPr>
            <w:tcW w:w="0" w:type="dxa"/>
            <w:vAlign w:val="bottom"/>
          </w:tcPr>
          <w:p>
            <w:pPr>
              <w:spacing w:after="0"/>
              <w:rPr>
                <w:sz w:val="1"/>
                <w:szCs w:val="1"/>
                <w:color w:val="auto"/>
              </w:rPr>
            </w:pPr>
          </w:p>
        </w:tc>
      </w:tr>
      <w:tr>
        <w:trPr>
          <w:trHeight w:val="197"/>
        </w:trPr>
        <w:tc>
          <w:tcPr>
            <w:tcW w:w="1560" w:type="dxa"/>
            <w:vAlign w:val="bottom"/>
          </w:tcPr>
          <w:p>
            <w:pPr>
              <w:jc w:val="center"/>
              <w:ind w:right="70"/>
              <w:spacing w:after="0" w:line="197" w:lineRule="exact"/>
              <w:rPr>
                <w:sz w:val="20"/>
                <w:szCs w:val="20"/>
                <w:color w:val="auto"/>
              </w:rPr>
            </w:pPr>
            <w:r>
              <w:rPr>
                <w:rFonts w:ascii="Arial" w:cs="Arial" w:eastAsia="Arial" w:hAnsi="Arial"/>
                <w:sz w:val="18"/>
                <w:szCs w:val="18"/>
                <w:b w:val="1"/>
                <w:bCs w:val="1"/>
                <w:color w:val="002060"/>
                <w:w w:val="99"/>
              </w:rPr>
              <w:t>THE</w:t>
            </w:r>
          </w:p>
        </w:tc>
        <w:tc>
          <w:tcPr>
            <w:tcW w:w="8800" w:type="dxa"/>
            <w:vAlign w:val="bottom"/>
            <w:vMerge w:val="restart"/>
          </w:tcPr>
          <w:p>
            <w:pPr>
              <w:ind w:left="140"/>
              <w:spacing w:after="0"/>
              <w:rPr>
                <w:sz w:val="20"/>
                <w:szCs w:val="20"/>
                <w:color w:val="auto"/>
              </w:rPr>
            </w:pPr>
            <w:r>
              <w:rPr>
                <w:rFonts w:ascii="Arial" w:cs="Arial" w:eastAsia="Arial" w:hAnsi="Arial"/>
                <w:sz w:val="18"/>
                <w:szCs w:val="18"/>
                <w:color w:val="002060"/>
                <w:w w:val="99"/>
              </w:rPr>
              <w:t xml:space="preserve">   </w:t>
            </w:r>
            <w:r>
              <w:rPr>
                <w:rFonts w:ascii="Arial" w:cs="Arial" w:eastAsia="Arial" w:hAnsi="Arial"/>
                <w:sz w:val="18"/>
                <w:szCs w:val="18"/>
                <w:color w:val="000000"/>
                <w:w w:val="99"/>
              </w:rPr>
              <w:t>We have released our third annual Environmental, Social and Governance Report (“Sustainability Report”)</w:t>
            </w:r>
          </w:p>
        </w:tc>
        <w:tc>
          <w:tcPr>
            <w:tcW w:w="0" w:type="dxa"/>
            <w:vAlign w:val="bottom"/>
          </w:tcPr>
          <w:p>
            <w:pPr>
              <w:spacing w:after="0"/>
              <w:rPr>
                <w:sz w:val="1"/>
                <w:szCs w:val="1"/>
                <w:color w:val="auto"/>
              </w:rPr>
            </w:pPr>
          </w:p>
        </w:tc>
      </w:tr>
      <w:tr>
        <w:trPr>
          <w:trHeight w:val="204"/>
        </w:trPr>
        <w:tc>
          <w:tcPr>
            <w:tcW w:w="1560" w:type="dxa"/>
            <w:vAlign w:val="bottom"/>
          </w:tcPr>
          <w:p>
            <w:pPr>
              <w:jc w:val="center"/>
              <w:ind w:right="70"/>
              <w:spacing w:after="0" w:line="205" w:lineRule="exact"/>
              <w:rPr>
                <w:sz w:val="20"/>
                <w:szCs w:val="20"/>
                <w:color w:val="auto"/>
              </w:rPr>
            </w:pPr>
            <w:r>
              <w:rPr>
                <w:rFonts w:ascii="Arial" w:cs="Arial" w:eastAsia="Arial" w:hAnsi="Arial"/>
                <w:sz w:val="18"/>
                <w:szCs w:val="18"/>
                <w:b w:val="1"/>
                <w:bCs w:val="1"/>
                <w:color w:val="002060"/>
              </w:rPr>
              <w:t>BUILDINGS</w:t>
            </w:r>
          </w:p>
        </w:tc>
        <w:tc>
          <w:tcPr>
            <w:tcW w:w="8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1560" w:type="dxa"/>
            <w:vAlign w:val="bottom"/>
          </w:tcPr>
          <w:p>
            <w:pPr>
              <w:spacing w:after="0"/>
              <w:rPr>
                <w:sz w:val="24"/>
                <w:szCs w:val="24"/>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002060"/>
              </w:rPr>
              <w:t xml:space="preserve">   </w:t>
            </w:r>
            <w:r>
              <w:rPr>
                <w:rFonts w:ascii="Arial" w:cs="Arial" w:eastAsia="Arial" w:hAnsi="Arial"/>
                <w:sz w:val="18"/>
                <w:szCs w:val="18"/>
                <w:color w:val="000000"/>
              </w:rPr>
              <w:t>Our efforts to reduce our carbon footprint include the following goals: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-99060</wp:posOffset>
            </wp:positionV>
            <wp:extent cx="591185" cy="6172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1185" cy="617220"/>
                    </a:xfrm>
                    <a:prstGeom prst="rect">
                      <a:avLst/>
                    </a:prstGeom>
                    <a:noFill/>
                  </pic:spPr>
                </pic:pic>
              </a:graphicData>
            </a:graphic>
          </wp:anchor>
        </w:drawing>
      </w:r>
    </w:p>
    <w:p>
      <w:pPr>
        <w:ind w:left="2240" w:right="1740"/>
        <w:spacing w:after="0" w:line="196"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Reducing by 50% our carbon producing electricity usage from 2020 baseline by 2030 </w:t>
      </w:r>
      <w:r>
        <w:rPr>
          <w:rFonts w:ascii="MS PGothic" w:cs="MS PGothic" w:eastAsia="MS PGothic" w:hAnsi="MS PGothic"/>
          <w:sz w:val="18"/>
          <w:szCs w:val="18"/>
          <w:color w:val="0070C0"/>
        </w:rPr>
        <w:t>✓</w:t>
      </w:r>
      <w:r>
        <w:rPr>
          <w:rFonts w:ascii="Arial" w:cs="Arial" w:eastAsia="Arial" w:hAnsi="Arial"/>
          <w:sz w:val="18"/>
          <w:szCs w:val="18"/>
          <w:color w:val="auto"/>
        </w:rPr>
        <w:t xml:space="preserve">   Reducing by 50% the HFC blowing agent used from 2020 baseline by 2030</w:t>
      </w:r>
    </w:p>
    <w:p>
      <w:pPr>
        <w:spacing w:after="0" w:line="1" w:lineRule="exact"/>
        <w:rPr>
          <w:sz w:val="20"/>
          <w:szCs w:val="20"/>
          <w:color w:val="auto"/>
        </w:rPr>
      </w:pPr>
    </w:p>
    <w:p>
      <w:pPr>
        <w:ind w:left="2240" w:right="2420"/>
        <w:spacing w:after="0" w:line="232"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Reducing by 50% mobile combustion emissions from 2020 baseline by 2030 </w:t>
      </w:r>
      <w:r>
        <w:rPr>
          <w:rFonts w:ascii="MS PGothic" w:cs="MS PGothic" w:eastAsia="MS PGothic" w:hAnsi="MS PGothic"/>
          <w:sz w:val="18"/>
          <w:szCs w:val="18"/>
          <w:color w:val="0070C0"/>
        </w:rPr>
        <w:t>✓</w:t>
      </w:r>
      <w:r>
        <w:rPr>
          <w:rFonts w:ascii="Arial" w:cs="Arial" w:eastAsia="Arial" w:hAnsi="Arial"/>
          <w:sz w:val="18"/>
          <w:szCs w:val="18"/>
          <w:color w:val="auto"/>
        </w:rPr>
        <w:t xml:space="preserve">   Reducing landfill waste through increased recycling programs</w:t>
      </w:r>
    </w:p>
    <w:p>
      <w:pPr>
        <w:sectPr>
          <w:pgSz w:w="11900" w:h="16838" w:orient="portrait"/>
          <w:cols w:equalWidth="0" w:num="1">
            <w:col w:w="11020"/>
          </w:cols>
          <w:pgMar w:left="440" w:top="287" w:right="439" w:bottom="1440" w:gutter="0" w:footer="0" w:header="0"/>
        </w:sectPr>
      </w:pPr>
    </w:p>
    <w:p>
      <w:pPr>
        <w:spacing w:after="0" w:line="332" w:lineRule="exact"/>
        <w:rPr>
          <w:sz w:val="20"/>
          <w:szCs w:val="20"/>
          <w:color w:val="auto"/>
        </w:rPr>
      </w:pPr>
    </w:p>
    <w:p>
      <w:pPr>
        <w:jc w:val="center"/>
        <w:ind w:right="140"/>
        <w:spacing w:after="0"/>
        <w:rPr>
          <w:sz w:val="20"/>
          <w:szCs w:val="20"/>
          <w:color w:val="auto"/>
        </w:rPr>
      </w:pPr>
      <w:r>
        <w:rPr>
          <w:rFonts w:ascii="Arial" w:cs="Arial" w:eastAsia="Arial" w:hAnsi="Arial"/>
          <w:sz w:val="17"/>
          <w:szCs w:val="17"/>
          <w:b w:val="1"/>
          <w:bCs w:val="1"/>
          <w:color w:val="002060"/>
        </w:rPr>
        <w:t>COMMITTING TO</w:t>
      </w:r>
    </w:p>
    <w:p>
      <w:pPr>
        <w:spacing w:after="0" w:line="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002060"/>
        </w:rPr>
        <w:t>OUR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74930</wp:posOffset>
            </wp:positionV>
            <wp:extent cx="591185" cy="6254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1185" cy="6254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340"/>
        <w:spacing w:after="0" w:line="366" w:lineRule="auto"/>
        <w:rPr>
          <w:sz w:val="20"/>
          <w:szCs w:val="20"/>
          <w:color w:val="auto"/>
        </w:rPr>
      </w:pPr>
      <w:r>
        <w:rPr>
          <w:rFonts w:ascii="Arial" w:cs="Arial" w:eastAsia="Arial" w:hAnsi="Arial"/>
          <w:sz w:val="17"/>
          <w:szCs w:val="17"/>
          <w:color w:val="002060"/>
        </w:rPr>
        <w:t xml:space="preserve">     </w:t>
      </w:r>
      <w:r>
        <w:rPr>
          <w:rFonts w:ascii="Arial" w:cs="Arial" w:eastAsia="Arial" w:hAnsi="Arial"/>
          <w:sz w:val="17"/>
          <w:szCs w:val="17"/>
          <w:color w:val="000000"/>
        </w:rPr>
        <w:t>Training and development, including a management development program and language training;</w:t>
      </w:r>
      <w:r>
        <w:rPr>
          <w:rFonts w:ascii="Arial" w:cs="Arial" w:eastAsia="Arial" w:hAnsi="Arial"/>
          <w:sz w:val="17"/>
          <w:szCs w:val="17"/>
          <w:color w:val="002060"/>
        </w:rPr>
        <w:t xml:space="preserve">      </w:t>
      </w:r>
      <w:r>
        <w:rPr>
          <w:rFonts w:ascii="Arial" w:cs="Arial" w:eastAsia="Arial" w:hAnsi="Arial"/>
          <w:sz w:val="17"/>
          <w:szCs w:val="17"/>
          <w:color w:val="000000"/>
        </w:rPr>
        <w:t>Employee well-being, including our Positive Production Program and partnering with Care.com;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-375920</wp:posOffset>
            </wp:positionV>
            <wp:extent cx="5888990" cy="128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88990" cy="1285875"/>
                    </a:xfrm>
                    <a:prstGeom prst="rect">
                      <a:avLst/>
                    </a:prstGeom>
                    <a:noFill/>
                  </pic:spPr>
                </pic:pic>
              </a:graphicData>
            </a:graphic>
          </wp:anchor>
        </w:drawing>
      </w:r>
    </w:p>
    <w:p>
      <w:pPr>
        <w:ind w:left="260" w:right="960" w:hanging="359"/>
        <w:spacing w:after="0" w:line="181"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Philanthropy and community engagement, including regionalized DEI&amp;B committees and    development of DEI&amp;B-related metrics for grantmaking and volunteerism; and</w:t>
      </w:r>
    </w:p>
    <w:p>
      <w:pPr>
        <w:spacing w:after="0" w:line="1" w:lineRule="exact"/>
        <w:rPr>
          <w:sz w:val="20"/>
          <w:szCs w:val="20"/>
          <w:color w:val="auto"/>
        </w:rPr>
      </w:pPr>
    </w:p>
    <w:p>
      <w:pPr>
        <w:ind w:left="260" w:right="760" w:hanging="264"/>
        <w:spacing w:after="0" w:line="350" w:lineRule="auto"/>
        <w:rPr>
          <w:sz w:val="20"/>
          <w:szCs w:val="20"/>
          <w:color w:val="auto"/>
        </w:rPr>
      </w:pPr>
      <w:r>
        <w:rPr>
          <w:rFonts w:ascii="Arial" w:cs="Arial" w:eastAsia="Arial" w:hAnsi="Arial"/>
          <w:sz w:val="18"/>
          <w:szCs w:val="18"/>
          <w:color w:val="002060"/>
        </w:rPr>
        <w:t xml:space="preserve">     </w:t>
      </w:r>
      <w:r>
        <w:rPr>
          <w:rFonts w:ascii="Arial" w:cs="Arial" w:eastAsia="Arial" w:hAnsi="Arial"/>
          <w:sz w:val="18"/>
          <w:szCs w:val="18"/>
          <w:color w:val="000000"/>
        </w:rPr>
        <w:t>Workforce and leadership diversity, including diversity recruiting by using inclusive language,</w:t>
      </w:r>
      <w:r>
        <w:rPr>
          <w:rFonts w:ascii="Arial" w:cs="Arial" w:eastAsia="Arial" w:hAnsi="Arial"/>
          <w:sz w:val="18"/>
          <w:szCs w:val="18"/>
          <w:color w:val="002060"/>
        </w:rPr>
        <w:t xml:space="preserve"> </w:t>
      </w:r>
      <w:r>
        <w:rPr>
          <w:rFonts w:ascii="Arial" w:cs="Arial" w:eastAsia="Arial" w:hAnsi="Arial"/>
          <w:sz w:val="18"/>
          <w:szCs w:val="18"/>
          <w:color w:val="000000"/>
        </w:rPr>
        <w:t>  unbiased screening methods and local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-1652905</wp:posOffset>
            </wp:positionH>
            <wp:positionV relativeFrom="paragraph">
              <wp:posOffset>398780</wp:posOffset>
            </wp:positionV>
            <wp:extent cx="69951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80" w:space="720"/>
            <w:col w:w="8420"/>
          </w:cols>
          <w:pgMar w:left="440" w:top="287" w:right="439"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70C0"/>
        </w:rPr>
        <w:t>IBP 2024 Proxy Statement</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Proxy Summary</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3</w:t>
      </w:r>
    </w:p>
    <w:p>
      <w:pPr>
        <w:sectPr>
          <w:pgSz w:w="11900" w:h="16838" w:orient="portrait"/>
          <w:cols w:equalWidth="0" w:num="1">
            <w:col w:w="11020"/>
          </w:cols>
          <w:pgMar w:left="440" w:top="287" w:right="439" w:bottom="1440" w:gutter="0" w:footer="0" w:header="0"/>
          <w:type w:val="continuous"/>
        </w:sectPr>
      </w:pPr>
    </w:p>
    <w:bookmarkStart w:id="11" w:name="page12"/>
    <w:bookmarkEnd w:id="11"/>
    <w:tbl>
      <w:tblPr>
        <w:tblLayout w:type="fixed"/>
        <w:tblInd w:w="60" w:type="dxa"/>
        <w:tblCellMar>
          <w:top w:w="0" w:type="dxa"/>
          <w:left w:w="0" w:type="dxa"/>
          <w:bottom w:w="0" w:type="dxa"/>
          <w:right w:w="0" w:type="dxa"/>
        </w:tblCellMar>
      </w:tblPr>
      <w:tr>
        <w:trPr>
          <w:trHeight w:val="276"/>
        </w:trPr>
        <w:tc>
          <w:tcPr>
            <w:tcW w:w="1700" w:type="dxa"/>
            <w:vAlign w:val="bottom"/>
          </w:tcPr>
          <w:p>
            <w:pPr>
              <w:jc w:val="center"/>
              <w:spacing w:after="0"/>
              <w:rPr>
                <w:sz w:val="20"/>
                <w:szCs w:val="20"/>
                <w:color w:val="auto"/>
              </w:rPr>
            </w:pPr>
            <w:r>
              <w:rPr>
                <w:rFonts w:ascii="Arial" w:cs="Arial" w:eastAsia="Arial" w:hAnsi="Arial"/>
                <w:sz w:val="18"/>
                <w:szCs w:val="18"/>
                <w:b w:val="1"/>
                <w:bCs w:val="1"/>
                <w:color w:val="002060"/>
                <w:w w:val="97"/>
              </w:rPr>
              <w:t>ELEVATING OUR</w:t>
            </w:r>
          </w:p>
        </w:tc>
        <w:tc>
          <w:tcPr>
            <w:tcW w:w="9260" w:type="dxa"/>
            <w:vAlign w:val="bottom"/>
            <w:shd w:val="clear" w:color="auto" w:fill="D5DCE4"/>
          </w:tcPr>
          <w:p>
            <w:pPr>
              <w:ind w:left="120"/>
              <w:spacing w:after="0" w:line="276" w:lineRule="exact"/>
              <w:rPr>
                <w:sz w:val="20"/>
                <w:szCs w:val="20"/>
                <w:color w:val="auto"/>
              </w:rPr>
            </w:pPr>
            <w:r>
              <w:rPr>
                <w:rFonts w:ascii="MS PGothic" w:cs="MS PGothic" w:eastAsia="MS PGothic" w:hAnsi="MS PGothic"/>
                <w:sz w:val="24"/>
                <w:szCs w:val="24"/>
                <w:color w:val="002060"/>
                <w:vertAlign w:val="superscript"/>
              </w:rPr>
              <w:t>∎</w:t>
            </w:r>
            <w:r>
              <w:rPr>
                <w:rFonts w:ascii="Arial" w:cs="Arial" w:eastAsia="Arial" w:hAnsi="Arial"/>
                <w:sz w:val="18"/>
                <w:szCs w:val="18"/>
                <w:color w:val="auto"/>
              </w:rPr>
              <w:t>  Installed Building Products Foundation (“Foundation”) grants since 2019 inception (dollar amounts approximate):</w:t>
            </w:r>
          </w:p>
        </w:tc>
      </w:tr>
      <w:tr>
        <w:trPr>
          <w:trHeight w:val="203"/>
        </w:trPr>
        <w:tc>
          <w:tcPr>
            <w:tcW w:w="1700" w:type="dxa"/>
            <w:vAlign w:val="bottom"/>
          </w:tcPr>
          <w:p>
            <w:pPr>
              <w:jc w:val="center"/>
              <w:spacing w:after="0" w:line="202" w:lineRule="exact"/>
              <w:rPr>
                <w:sz w:val="20"/>
                <w:szCs w:val="20"/>
                <w:color w:val="auto"/>
              </w:rPr>
            </w:pPr>
            <w:r>
              <w:rPr>
                <w:rFonts w:ascii="Arial" w:cs="Arial" w:eastAsia="Arial" w:hAnsi="Arial"/>
                <w:sz w:val="18"/>
                <w:szCs w:val="18"/>
                <w:b w:val="1"/>
                <w:bCs w:val="1"/>
                <w:color w:val="002060"/>
              </w:rPr>
              <w:t>NEIGHBORHOODS</w:t>
            </w:r>
          </w:p>
        </w:tc>
        <w:tc>
          <w:tcPr>
            <w:tcW w:w="9260" w:type="dxa"/>
            <w:vAlign w:val="bottom"/>
            <w:shd w:val="clear" w:color="auto" w:fill="D5DCE4"/>
          </w:tcPr>
          <w:p>
            <w:pPr>
              <w:ind w:left="480"/>
              <w:spacing w:after="0" w:line="202"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 Scholarships - $3.6 million (308 grants)</w:t>
            </w:r>
          </w:p>
        </w:tc>
      </w:tr>
      <w:tr>
        <w:trPr>
          <w:trHeight w:val="216"/>
        </w:trPr>
        <w:tc>
          <w:tcPr>
            <w:tcW w:w="1700" w:type="dxa"/>
            <w:vAlign w:val="bottom"/>
          </w:tcPr>
          <w:p>
            <w:pPr>
              <w:spacing w:after="0"/>
              <w:rPr>
                <w:sz w:val="18"/>
                <w:szCs w:val="18"/>
                <w:color w:val="auto"/>
              </w:rPr>
            </w:pPr>
          </w:p>
        </w:tc>
        <w:tc>
          <w:tcPr>
            <w:tcW w:w="9260" w:type="dxa"/>
            <w:vAlign w:val="bottom"/>
            <w:shd w:val="clear" w:color="auto" w:fill="D5DCE4"/>
          </w:tcPr>
          <w:p>
            <w:pPr>
              <w:ind w:left="48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 Charitable Giving Match - $40,151 (120 matches)</w:t>
            </w:r>
          </w:p>
        </w:tc>
      </w:tr>
      <w:tr>
        <w:trPr>
          <w:trHeight w:val="216"/>
        </w:trPr>
        <w:tc>
          <w:tcPr>
            <w:tcW w:w="1700" w:type="dxa"/>
            <w:vAlign w:val="bottom"/>
          </w:tcPr>
          <w:p>
            <w:pPr>
              <w:spacing w:after="0"/>
              <w:rPr>
                <w:sz w:val="18"/>
                <w:szCs w:val="18"/>
                <w:color w:val="auto"/>
              </w:rPr>
            </w:pPr>
          </w:p>
        </w:tc>
        <w:tc>
          <w:tcPr>
            <w:tcW w:w="9260" w:type="dxa"/>
            <w:vAlign w:val="bottom"/>
            <w:shd w:val="clear" w:color="auto" w:fill="D5DCE4"/>
          </w:tcPr>
          <w:p>
            <w:pPr>
              <w:ind w:left="48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 Employee Financial Assistance - $325,866 (258 employees)</w:t>
            </w:r>
          </w:p>
        </w:tc>
      </w:tr>
      <w:tr>
        <w:trPr>
          <w:trHeight w:val="229"/>
        </w:trPr>
        <w:tc>
          <w:tcPr>
            <w:tcW w:w="1700" w:type="dxa"/>
            <w:vAlign w:val="bottom"/>
          </w:tcPr>
          <w:p>
            <w:pPr>
              <w:spacing w:after="0"/>
              <w:rPr>
                <w:sz w:val="19"/>
                <w:szCs w:val="19"/>
                <w:color w:val="auto"/>
              </w:rPr>
            </w:pPr>
          </w:p>
        </w:tc>
        <w:tc>
          <w:tcPr>
            <w:tcW w:w="9260" w:type="dxa"/>
            <w:vAlign w:val="bottom"/>
            <w:shd w:val="clear" w:color="auto" w:fill="D5DCE4"/>
          </w:tcPr>
          <w:p>
            <w:pPr>
              <w:ind w:left="48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 Major Grants Program - $4.1 million (94 grants)</w:t>
            </w:r>
          </w:p>
        </w:tc>
      </w:tr>
      <w:tr>
        <w:trPr>
          <w:trHeight w:val="224"/>
        </w:trPr>
        <w:tc>
          <w:tcPr>
            <w:tcW w:w="1700" w:type="dxa"/>
            <w:vAlign w:val="bottom"/>
          </w:tcPr>
          <w:p>
            <w:pPr>
              <w:spacing w:after="0"/>
              <w:rPr>
                <w:sz w:val="19"/>
                <w:szCs w:val="19"/>
                <w:color w:val="auto"/>
              </w:rPr>
            </w:pPr>
          </w:p>
        </w:tc>
        <w:tc>
          <w:tcPr>
            <w:tcW w:w="9260" w:type="dxa"/>
            <w:vAlign w:val="bottom"/>
            <w:shd w:val="clear" w:color="auto" w:fill="D5DCE4"/>
          </w:tcPr>
          <w:p>
            <w:pPr>
              <w:ind w:left="120"/>
              <w:spacing w:after="0" w:line="225" w:lineRule="exact"/>
              <w:rPr>
                <w:sz w:val="20"/>
                <w:szCs w:val="20"/>
                <w:color w:val="auto"/>
              </w:rPr>
            </w:pPr>
            <w:r>
              <w:rPr>
                <w:rFonts w:ascii="MS PGothic" w:cs="MS PGothic" w:eastAsia="MS PGothic" w:hAnsi="MS PGothic"/>
                <w:sz w:val="24"/>
                <w:szCs w:val="24"/>
                <w:color w:val="002060"/>
                <w:vertAlign w:val="superscript"/>
              </w:rPr>
              <w:t>∎</w:t>
            </w:r>
            <w:r>
              <w:rPr>
                <w:rFonts w:ascii="Arial" w:cs="Arial" w:eastAsia="Arial" w:hAnsi="Arial"/>
                <w:sz w:val="18"/>
                <w:szCs w:val="18"/>
                <w:color w:val="auto"/>
              </w:rPr>
              <w:t>  Corporate giving, including multi-year commitments to : The Gary Sinise Foundation’s R.I.S.E. Program,</w:t>
            </w:r>
          </w:p>
        </w:tc>
      </w:tr>
      <w:tr>
        <w:trPr>
          <w:trHeight w:val="203"/>
        </w:trPr>
        <w:tc>
          <w:tcPr>
            <w:tcW w:w="1700" w:type="dxa"/>
            <w:vAlign w:val="bottom"/>
          </w:tcPr>
          <w:p>
            <w:pPr>
              <w:spacing w:after="0"/>
              <w:rPr>
                <w:sz w:val="17"/>
                <w:szCs w:val="17"/>
                <w:color w:val="auto"/>
              </w:rPr>
            </w:pPr>
          </w:p>
        </w:tc>
        <w:tc>
          <w:tcPr>
            <w:tcW w:w="9260" w:type="dxa"/>
            <w:vAlign w:val="bottom"/>
            <w:shd w:val="clear" w:color="auto" w:fill="D5DCE4"/>
          </w:tcPr>
          <w:p>
            <w:pPr>
              <w:ind w:left="300"/>
              <w:spacing w:after="0" w:line="202" w:lineRule="exact"/>
              <w:rPr>
                <w:sz w:val="20"/>
                <w:szCs w:val="20"/>
                <w:color w:val="auto"/>
              </w:rPr>
            </w:pPr>
            <w:r>
              <w:rPr>
                <w:rFonts w:ascii="Arial" w:cs="Arial" w:eastAsia="Arial" w:hAnsi="Arial"/>
                <w:sz w:val="18"/>
                <w:szCs w:val="18"/>
                <w:color w:val="auto"/>
              </w:rPr>
              <w:t>Mid-Ohio Food Collective, YWCA of Central Ohio, SproutFive, St. Mary’s Scholarship Endowment, The</w:t>
            </w:r>
          </w:p>
        </w:tc>
      </w:tr>
      <w:tr>
        <w:trPr>
          <w:trHeight w:val="239"/>
        </w:trPr>
        <w:tc>
          <w:tcPr>
            <w:tcW w:w="1700" w:type="dxa"/>
            <w:vAlign w:val="bottom"/>
          </w:tcPr>
          <w:p>
            <w:pPr>
              <w:spacing w:after="0"/>
              <w:rPr>
                <w:sz w:val="20"/>
                <w:szCs w:val="20"/>
                <w:color w:val="auto"/>
              </w:rPr>
            </w:pPr>
          </w:p>
        </w:tc>
        <w:tc>
          <w:tcPr>
            <w:tcW w:w="9260" w:type="dxa"/>
            <w:vAlign w:val="bottom"/>
            <w:shd w:val="clear" w:color="auto" w:fill="D5DCE4"/>
          </w:tcPr>
          <w:p>
            <w:pPr>
              <w:ind w:left="300"/>
              <w:spacing w:after="0"/>
              <w:rPr>
                <w:sz w:val="20"/>
                <w:szCs w:val="20"/>
                <w:color w:val="auto"/>
              </w:rPr>
            </w:pPr>
            <w:r>
              <w:rPr>
                <w:rFonts w:ascii="Arial" w:cs="Arial" w:eastAsia="Arial" w:hAnsi="Arial"/>
                <w:sz w:val="18"/>
                <w:szCs w:val="18"/>
                <w:color w:val="auto"/>
              </w:rPr>
              <w:t>Columbus Promise, Besa Community, Inc. and Zora’s House.</w:t>
            </w:r>
          </w:p>
        </w:tc>
      </w:tr>
      <w:tr>
        <w:trPr>
          <w:trHeight w:val="158"/>
        </w:trPr>
        <w:tc>
          <w:tcPr>
            <w:tcW w:w="1700" w:type="dxa"/>
            <w:vAlign w:val="bottom"/>
          </w:tcPr>
          <w:p>
            <w:pPr>
              <w:spacing w:after="0"/>
              <w:rPr>
                <w:sz w:val="13"/>
                <w:szCs w:val="13"/>
                <w:color w:val="auto"/>
              </w:rPr>
            </w:pPr>
          </w:p>
        </w:tc>
        <w:tc>
          <w:tcPr>
            <w:tcW w:w="9260" w:type="dxa"/>
            <w:vAlign w:val="bottom"/>
            <w:shd w:val="clear" w:color="auto" w:fill="D5DCE4"/>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-839470</wp:posOffset>
            </wp:positionV>
            <wp:extent cx="591185" cy="5657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1185" cy="56578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Board of Directors Diversity and Skills</w:t>
      </w:r>
    </w:p>
    <w:p>
      <w:pPr>
        <w:spacing w:after="0" w:line="216"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Our Board of Directors (“Board”) is expected to represent a broad diversity of geographic, age, gender, racial and ethnic backgrounds and experience. Our goal is to ensure that the Board is comprised of individuals whose backgrounds, skills and expertise, when taken together, provide the Board with the range of skills and expertise necessary to oversee the Company’s strategy, operations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6995160" cy="3943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394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Proxy Summary</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4</w:t>
      </w:r>
    </w:p>
    <w:p>
      <w:pPr>
        <w:sectPr>
          <w:pgSz w:w="11900" w:h="16838" w:orient="portrait"/>
          <w:cols w:equalWidth="0" w:num="1">
            <w:col w:w="11020"/>
          </w:cols>
          <w:pgMar w:left="440" w:top="201" w:right="439" w:bottom="1440" w:gutter="0" w:footer="0" w:header="0"/>
        </w:sectPr>
      </w:pPr>
    </w:p>
    <w:bookmarkStart w:id="12" w:name="page13"/>
    <w:bookmarkEnd w:id="12"/>
    <w:p>
      <w:pPr>
        <w:jc w:val="right"/>
        <w:ind w:right="122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370840</wp:posOffset>
            </wp:positionH>
            <wp:positionV relativeFrom="page">
              <wp:posOffset>200660</wp:posOffset>
            </wp:positionV>
            <wp:extent cx="3429000" cy="1423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00" cy="1423035"/>
                    </a:xfrm>
                    <a:prstGeom prst="rect">
                      <a:avLst/>
                    </a:prstGeom>
                    <a:noFill/>
                  </pic:spPr>
                </pic:pic>
              </a:graphicData>
            </a:graphic>
          </wp:anchor>
        </w:drawing>
        <w:t>Industry Knowledge</w:t>
      </w:r>
    </w:p>
    <w:p>
      <w:pPr>
        <w:spacing w:after="0" w:line="73" w:lineRule="exact"/>
        <w:rPr>
          <w:sz w:val="20"/>
          <w:szCs w:val="20"/>
          <w:color w:val="auto"/>
        </w:rPr>
      </w:pPr>
    </w:p>
    <w:p>
      <w:pPr>
        <w:ind w:left="7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Housing</w:t>
      </w:r>
    </w:p>
    <w:p>
      <w:pPr>
        <w:spacing w:after="0" w:line="57" w:lineRule="exact"/>
        <w:rPr>
          <w:sz w:val="20"/>
          <w:szCs w:val="20"/>
          <w:color w:val="auto"/>
        </w:rPr>
      </w:pPr>
    </w:p>
    <w:p>
      <w:pPr>
        <w:ind w:left="7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Construction</w:t>
      </w:r>
    </w:p>
    <w:p>
      <w:pPr>
        <w:spacing w:after="0" w:line="15" w:lineRule="exact"/>
        <w:rPr>
          <w:sz w:val="20"/>
          <w:szCs w:val="20"/>
          <w:color w:val="auto"/>
        </w:rPr>
      </w:pPr>
    </w:p>
    <w:p>
      <w:pPr>
        <w:ind w:left="7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Building Materials</w:t>
      </w:r>
    </w:p>
    <w:p>
      <w:pPr>
        <w:spacing w:after="0" w:line="215" w:lineRule="exact"/>
        <w:rPr>
          <w:sz w:val="20"/>
          <w:szCs w:val="20"/>
          <w:color w:val="auto"/>
        </w:rPr>
      </w:pPr>
    </w:p>
    <w:p>
      <w:pPr>
        <w:ind w:left="2560"/>
        <w:spacing w:after="0"/>
        <w:rPr>
          <w:sz w:val="20"/>
          <w:szCs w:val="20"/>
          <w:color w:val="auto"/>
        </w:rPr>
      </w:pPr>
      <w:r>
        <w:rPr>
          <w:rFonts w:ascii="Arial" w:cs="Arial" w:eastAsia="Arial" w:hAnsi="Arial"/>
          <w:sz w:val="16"/>
          <w:szCs w:val="16"/>
          <w:b w:val="1"/>
          <w:bCs w:val="1"/>
          <w:color w:val="FFFFFF"/>
        </w:rPr>
        <w:t>Financial Skills</w:t>
      </w:r>
    </w:p>
    <w:p>
      <w:pPr>
        <w:spacing w:after="0" w:line="168" w:lineRule="exact"/>
        <w:rPr>
          <w:sz w:val="20"/>
          <w:szCs w:val="20"/>
          <w:color w:val="auto"/>
        </w:rPr>
      </w:pPr>
    </w:p>
    <w:p>
      <w:pPr>
        <w:ind w:left="7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Public Company Financial Reporting</w:t>
      </w:r>
    </w:p>
    <w:p>
      <w:pPr>
        <w:spacing w:after="0" w:line="57" w:lineRule="exact"/>
        <w:rPr>
          <w:sz w:val="20"/>
          <w:szCs w:val="20"/>
          <w:color w:val="auto"/>
        </w:rPr>
      </w:pPr>
    </w:p>
    <w:p>
      <w:pPr>
        <w:ind w:left="7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Capital Structure Experience</w:t>
      </w:r>
    </w:p>
    <w:p>
      <w:pPr>
        <w:spacing w:after="0" w:line="15" w:lineRule="exact"/>
        <w:rPr>
          <w:sz w:val="20"/>
          <w:szCs w:val="20"/>
          <w:color w:val="auto"/>
        </w:rPr>
      </w:pPr>
    </w:p>
    <w:p>
      <w:pPr>
        <w:ind w:left="7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M&amp;A Transactions</w:t>
      </w:r>
    </w:p>
    <w:p>
      <w:pPr>
        <w:spacing w:after="0" w:line="15" w:lineRule="exact"/>
        <w:rPr>
          <w:sz w:val="20"/>
          <w:szCs w:val="20"/>
          <w:color w:val="auto"/>
        </w:rPr>
      </w:pPr>
    </w:p>
    <w:p>
      <w:pPr>
        <w:ind w:left="7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Risk Management</w:t>
      </w:r>
    </w:p>
    <w:p>
      <w:pPr>
        <w:spacing w:after="0" w:line="20" w:lineRule="exact"/>
        <w:rPr>
          <w:sz w:val="20"/>
          <w:szCs w:val="20"/>
          <w:color w:val="auto"/>
        </w:rPr>
      </w:pPr>
      <w:r>
        <w:rPr>
          <w:sz w:val="20"/>
          <w:szCs w:val="20"/>
          <w:color w:val="auto"/>
        </w:rPr>
        <w:br w:type="column"/>
      </w:r>
    </w:p>
    <w:p>
      <w:pPr>
        <w:ind w:left="1980"/>
        <w:spacing w:after="0"/>
        <w:rPr>
          <w:sz w:val="20"/>
          <w:szCs w:val="20"/>
          <w:color w:val="auto"/>
        </w:rPr>
      </w:pPr>
      <w:r>
        <w:rPr>
          <w:rFonts w:ascii="Arial" w:cs="Arial" w:eastAsia="Arial" w:hAnsi="Arial"/>
          <w:sz w:val="16"/>
          <w:szCs w:val="16"/>
          <w:b w:val="1"/>
          <w:bCs w:val="1"/>
          <w:color w:val="FFFFFF"/>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-295910</wp:posOffset>
            </wp:positionV>
            <wp:extent cx="7174865" cy="55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-184150</wp:posOffset>
            </wp:positionV>
            <wp:extent cx="3129280" cy="2571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29280" cy="257175"/>
                    </a:xfrm>
                    <a:prstGeom prst="rect">
                      <a:avLst/>
                    </a:prstGeom>
                    <a:noFill/>
                  </pic:spPr>
                </pic:pic>
              </a:graphicData>
            </a:graphic>
          </wp:anchor>
        </w:drawing>
      </w:r>
    </w:p>
    <w:p>
      <w:pPr>
        <w:spacing w:after="0" w:line="296"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Public Board</w:t>
      </w:r>
    </w:p>
    <w:p>
      <w:pPr>
        <w:spacing w:after="0" w:line="57"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Audit Committee</w:t>
      </w:r>
    </w:p>
    <w:p>
      <w:pPr>
        <w:spacing w:after="0" w:line="15"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Compensation Committee</w:t>
      </w:r>
    </w:p>
    <w:p>
      <w:pPr>
        <w:spacing w:after="0" w:line="15"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Corporate Governance / Nominating Committee</w:t>
      </w:r>
    </w:p>
    <w:p>
      <w:pPr>
        <w:spacing w:after="0" w:line="15"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Executive Leadership</w:t>
      </w:r>
    </w:p>
    <w:p>
      <w:pPr>
        <w:spacing w:after="0" w:line="15"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Strategic / Operational / Industrial Distribution</w:t>
      </w:r>
    </w:p>
    <w:p>
      <w:pPr>
        <w:spacing w:after="0" w:line="15"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Human Capital Management</w:t>
      </w:r>
    </w:p>
    <w:p>
      <w:pPr>
        <w:spacing w:after="0" w:line="15"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IT / Technology / Cybersecurity / Digital Transformation</w:t>
      </w:r>
    </w:p>
    <w:p>
      <w:pPr>
        <w:spacing w:after="0" w:line="15"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ESG</w:t>
      </w:r>
    </w:p>
    <w:p>
      <w:pPr>
        <w:spacing w:after="0" w:line="200" w:lineRule="exact"/>
        <w:rPr>
          <w:sz w:val="20"/>
          <w:szCs w:val="20"/>
          <w:color w:val="auto"/>
        </w:rPr>
      </w:pPr>
    </w:p>
    <w:p>
      <w:pPr>
        <w:sectPr>
          <w:pgSz w:w="11900" w:h="16838" w:orient="portrait"/>
          <w:cols w:equalWidth="0" w:num="2">
            <w:col w:w="5140" w:space="720"/>
            <w:col w:w="5160"/>
          </w:cols>
          <w:pgMar w:left="440" w:top="422" w:right="439" w:bottom="1440" w:gutter="0" w:footer="0" w:header="0"/>
        </w:sectPr>
      </w:pP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2023 Executive Compensation at a Glance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gridSpan w:val="2"/>
          </w:tcPr>
          <w:p>
            <w:pPr>
              <w:jc w:val="center"/>
              <w:spacing w:after="0"/>
              <w:rPr>
                <w:sz w:val="20"/>
                <w:szCs w:val="20"/>
                <w:color w:val="auto"/>
              </w:rPr>
            </w:pPr>
            <w:r>
              <w:rPr>
                <w:rFonts w:ascii="Arial" w:cs="Arial" w:eastAsia="Arial" w:hAnsi="Arial"/>
                <w:sz w:val="16"/>
                <w:szCs w:val="16"/>
                <w:b w:val="1"/>
                <w:bCs w:val="1"/>
                <w:color w:val="002060"/>
              </w:rPr>
              <w:t>Performance-Based</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89"/>
        </w:trPr>
        <w:tc>
          <w:tcPr>
            <w:tcW w:w="46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tcPr>
          <w:p>
            <w:pPr>
              <w:jc w:val="center"/>
              <w:ind w:left="195"/>
              <w:spacing w:after="0"/>
              <w:rPr>
                <w:sz w:val="20"/>
                <w:szCs w:val="20"/>
                <w:color w:val="auto"/>
              </w:rPr>
            </w:pPr>
            <w:r>
              <w:rPr>
                <w:rFonts w:ascii="Arial" w:cs="Arial" w:eastAsia="Arial" w:hAnsi="Arial"/>
                <w:sz w:val="16"/>
                <w:szCs w:val="16"/>
                <w:b w:val="1"/>
                <w:bCs w:val="1"/>
                <w:color w:val="002060"/>
                <w:w w:val="99"/>
              </w:rPr>
              <w:t>Restricted Stock</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89"/>
        </w:trPr>
        <w:tc>
          <w:tcPr>
            <w:tcW w:w="4660" w:type="dxa"/>
            <w:vAlign w:val="bottom"/>
          </w:tcPr>
          <w:p>
            <w:pPr>
              <w:spacing w:after="0"/>
              <w:rPr>
                <w:sz w:val="16"/>
                <w:szCs w:val="16"/>
                <w:color w:val="auto"/>
              </w:rPr>
            </w:pPr>
          </w:p>
        </w:tc>
        <w:tc>
          <w:tcPr>
            <w:tcW w:w="1180" w:type="dxa"/>
            <w:vAlign w:val="bottom"/>
          </w:tcPr>
          <w:p>
            <w:pPr>
              <w:jc w:val="center"/>
              <w:ind w:left="33"/>
              <w:spacing w:after="0"/>
              <w:rPr>
                <w:sz w:val="20"/>
                <w:szCs w:val="20"/>
                <w:color w:val="auto"/>
              </w:rPr>
            </w:pPr>
            <w:r>
              <w:rPr>
                <w:rFonts w:ascii="Arial" w:cs="Arial" w:eastAsia="Arial" w:hAnsi="Arial"/>
                <w:sz w:val="16"/>
                <w:szCs w:val="16"/>
                <w:b w:val="1"/>
                <w:bCs w:val="1"/>
                <w:color w:val="002060"/>
                <w:w w:val="99"/>
              </w:rPr>
              <w:t>Base</w:t>
            </w:r>
          </w:p>
        </w:tc>
        <w:tc>
          <w:tcPr>
            <w:tcW w:w="1900" w:type="dxa"/>
            <w:vAlign w:val="bottom"/>
            <w:gridSpan w:val="2"/>
          </w:tcPr>
          <w:p>
            <w:pPr>
              <w:jc w:val="center"/>
              <w:spacing w:after="0"/>
              <w:rPr>
                <w:sz w:val="20"/>
                <w:szCs w:val="20"/>
                <w:color w:val="auto"/>
              </w:rPr>
            </w:pPr>
            <w:r>
              <w:rPr>
                <w:rFonts w:ascii="Arial" w:cs="Arial" w:eastAsia="Arial" w:hAnsi="Arial"/>
                <w:sz w:val="16"/>
                <w:szCs w:val="16"/>
                <w:b w:val="1"/>
                <w:bCs w:val="1"/>
                <w:color w:val="002060"/>
              </w:rPr>
              <w:t>Performance-Based</w:t>
            </w:r>
          </w:p>
        </w:tc>
        <w:tc>
          <w:tcPr>
            <w:tcW w:w="1940" w:type="dxa"/>
            <w:vAlign w:val="bottom"/>
            <w:gridSpan w:val="2"/>
          </w:tcPr>
          <w:p>
            <w:pPr>
              <w:jc w:val="center"/>
              <w:spacing w:after="0"/>
              <w:rPr>
                <w:sz w:val="20"/>
                <w:szCs w:val="20"/>
                <w:color w:val="auto"/>
              </w:rPr>
            </w:pPr>
            <w:r>
              <w:rPr>
                <w:rFonts w:ascii="Arial" w:cs="Arial" w:eastAsia="Arial" w:hAnsi="Arial"/>
                <w:sz w:val="16"/>
                <w:szCs w:val="16"/>
                <w:b w:val="1"/>
                <w:bCs w:val="1"/>
                <w:color w:val="002060"/>
              </w:rPr>
              <w:t>Award at Grant Date</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89"/>
        </w:trPr>
        <w:tc>
          <w:tcPr>
            <w:tcW w:w="4660" w:type="dxa"/>
            <w:vAlign w:val="bottom"/>
          </w:tcPr>
          <w:p>
            <w:pPr>
              <w:spacing w:after="0"/>
              <w:rPr>
                <w:sz w:val="16"/>
                <w:szCs w:val="16"/>
                <w:color w:val="auto"/>
              </w:rPr>
            </w:pPr>
          </w:p>
        </w:tc>
        <w:tc>
          <w:tcPr>
            <w:tcW w:w="1180" w:type="dxa"/>
            <w:vAlign w:val="bottom"/>
          </w:tcPr>
          <w:p>
            <w:pPr>
              <w:jc w:val="center"/>
              <w:ind w:left="33"/>
              <w:spacing w:after="0"/>
              <w:rPr>
                <w:sz w:val="20"/>
                <w:szCs w:val="20"/>
                <w:color w:val="auto"/>
              </w:rPr>
            </w:pPr>
            <w:r>
              <w:rPr>
                <w:rFonts w:ascii="Arial" w:cs="Arial" w:eastAsia="Arial" w:hAnsi="Arial"/>
                <w:sz w:val="16"/>
                <w:szCs w:val="16"/>
                <w:b w:val="1"/>
                <w:bCs w:val="1"/>
                <w:color w:val="002060"/>
              </w:rPr>
              <w:t>Salary</w:t>
            </w:r>
          </w:p>
        </w:tc>
        <w:tc>
          <w:tcPr>
            <w:tcW w:w="1900" w:type="dxa"/>
            <w:vAlign w:val="bottom"/>
            <w:gridSpan w:val="2"/>
          </w:tcPr>
          <w:p>
            <w:pPr>
              <w:jc w:val="center"/>
              <w:spacing w:after="0"/>
              <w:rPr>
                <w:sz w:val="20"/>
                <w:szCs w:val="20"/>
                <w:color w:val="auto"/>
              </w:rPr>
            </w:pPr>
            <w:r>
              <w:rPr>
                <w:rFonts w:ascii="Arial" w:cs="Arial" w:eastAsia="Arial" w:hAnsi="Arial"/>
                <w:sz w:val="16"/>
                <w:szCs w:val="16"/>
                <w:b w:val="1"/>
                <w:bCs w:val="1"/>
                <w:color w:val="002060"/>
              </w:rPr>
              <w:t>Cash Award Earned</w:t>
            </w:r>
          </w:p>
        </w:tc>
        <w:tc>
          <w:tcPr>
            <w:tcW w:w="1620" w:type="dxa"/>
            <w:vAlign w:val="bottom"/>
          </w:tcPr>
          <w:p>
            <w:pPr>
              <w:jc w:val="center"/>
              <w:ind w:left="195"/>
              <w:spacing w:after="0"/>
              <w:rPr>
                <w:sz w:val="20"/>
                <w:szCs w:val="20"/>
                <w:color w:val="auto"/>
              </w:rPr>
            </w:pPr>
            <w:r>
              <w:rPr>
                <w:rFonts w:ascii="Arial" w:cs="Arial" w:eastAsia="Arial" w:hAnsi="Arial"/>
                <w:sz w:val="16"/>
                <w:szCs w:val="16"/>
                <w:b w:val="1"/>
                <w:bCs w:val="1"/>
                <w:color w:val="002060"/>
              </w:rPr>
              <w:t>Fair Value</w:t>
            </w:r>
          </w:p>
        </w:tc>
        <w:tc>
          <w:tcPr>
            <w:tcW w:w="320" w:type="dxa"/>
            <w:vAlign w:val="bottom"/>
          </w:tcPr>
          <w:p>
            <w:pPr>
              <w:spacing w:after="0"/>
              <w:rPr>
                <w:sz w:val="16"/>
                <w:szCs w:val="16"/>
                <w:color w:val="auto"/>
              </w:rPr>
            </w:pPr>
          </w:p>
        </w:tc>
        <w:tc>
          <w:tcPr>
            <w:tcW w:w="1120" w:type="dxa"/>
            <w:vAlign w:val="bottom"/>
          </w:tcPr>
          <w:p>
            <w:pPr>
              <w:jc w:val="right"/>
              <w:ind w:right="133"/>
              <w:spacing w:after="0"/>
              <w:rPr>
                <w:sz w:val="20"/>
                <w:szCs w:val="20"/>
                <w:color w:val="auto"/>
              </w:rPr>
            </w:pPr>
            <w:r>
              <w:rPr>
                <w:rFonts w:ascii="Arial" w:cs="Arial" w:eastAsia="Arial" w:hAnsi="Arial"/>
                <w:sz w:val="16"/>
                <w:szCs w:val="16"/>
                <w:b w:val="1"/>
                <w:bCs w:val="1"/>
                <w:color w:val="002060"/>
              </w:rPr>
              <w:t>Total</w:t>
            </w:r>
          </w:p>
        </w:tc>
        <w:tc>
          <w:tcPr>
            <w:tcW w:w="220" w:type="dxa"/>
            <w:vAlign w:val="bottom"/>
          </w:tcPr>
          <w:p>
            <w:pPr>
              <w:spacing w:after="0"/>
              <w:rPr>
                <w:sz w:val="16"/>
                <w:szCs w:val="16"/>
                <w:color w:val="auto"/>
              </w:rPr>
            </w:pPr>
          </w:p>
        </w:tc>
      </w:tr>
      <w:tr>
        <w:trPr>
          <w:trHeight w:val="224"/>
        </w:trPr>
        <w:tc>
          <w:tcPr>
            <w:tcW w:w="4660" w:type="dxa"/>
            <w:vAlign w:val="bottom"/>
            <w:tcBorders>
              <w:bottom w:val="single" w:sz="8" w:color="0070C0"/>
            </w:tcBorders>
          </w:tcPr>
          <w:p>
            <w:pPr>
              <w:spacing w:after="0"/>
              <w:rPr>
                <w:sz w:val="20"/>
                <w:szCs w:val="20"/>
                <w:color w:val="auto"/>
              </w:rPr>
            </w:pPr>
            <w:r>
              <w:rPr>
                <w:rFonts w:ascii="Arial" w:cs="Arial" w:eastAsia="Arial" w:hAnsi="Arial"/>
                <w:sz w:val="16"/>
                <w:szCs w:val="16"/>
                <w:b w:val="1"/>
                <w:bCs w:val="1"/>
                <w:color w:val="002060"/>
              </w:rPr>
              <w:t>Name</w:t>
            </w:r>
          </w:p>
        </w:tc>
        <w:tc>
          <w:tcPr>
            <w:tcW w:w="1180" w:type="dxa"/>
            <w:vAlign w:val="bottom"/>
            <w:tcBorders>
              <w:bottom w:val="single" w:sz="8" w:color="0070C0"/>
            </w:tcBorders>
          </w:tcPr>
          <w:p>
            <w:pPr>
              <w:jc w:val="center"/>
              <w:ind w:left="33"/>
              <w:spacing w:after="0"/>
              <w:rPr>
                <w:sz w:val="20"/>
                <w:szCs w:val="20"/>
                <w:color w:val="auto"/>
              </w:rPr>
            </w:pPr>
            <w:r>
              <w:rPr>
                <w:rFonts w:ascii="Arial" w:cs="Arial" w:eastAsia="Arial" w:hAnsi="Arial"/>
                <w:sz w:val="16"/>
                <w:szCs w:val="16"/>
                <w:b w:val="1"/>
                <w:bCs w:val="1"/>
                <w:color w:val="002060"/>
                <w:w w:val="97"/>
              </w:rPr>
              <w:t>($)(1)</w:t>
            </w:r>
          </w:p>
        </w:tc>
        <w:tc>
          <w:tcPr>
            <w:tcW w:w="1560" w:type="dxa"/>
            <w:vAlign w:val="bottom"/>
            <w:tcBorders>
              <w:bottom w:val="single" w:sz="8" w:color="0070C0"/>
            </w:tcBorders>
          </w:tcPr>
          <w:p>
            <w:pPr>
              <w:jc w:val="center"/>
              <w:ind w:left="233"/>
              <w:spacing w:after="0"/>
              <w:rPr>
                <w:sz w:val="20"/>
                <w:szCs w:val="20"/>
                <w:color w:val="auto"/>
              </w:rPr>
            </w:pPr>
            <w:r>
              <w:rPr>
                <w:rFonts w:ascii="Arial" w:cs="Arial" w:eastAsia="Arial" w:hAnsi="Arial"/>
                <w:sz w:val="16"/>
                <w:szCs w:val="16"/>
                <w:b w:val="1"/>
                <w:bCs w:val="1"/>
                <w:color w:val="002060"/>
              </w:rPr>
              <w:t>($)</w:t>
            </w:r>
          </w:p>
        </w:tc>
        <w:tc>
          <w:tcPr>
            <w:tcW w:w="340" w:type="dxa"/>
            <w:vAlign w:val="bottom"/>
            <w:tcBorders>
              <w:bottom w:val="single" w:sz="8" w:color="0070C0"/>
            </w:tcBorders>
          </w:tcPr>
          <w:p>
            <w:pPr>
              <w:spacing w:after="0"/>
              <w:rPr>
                <w:sz w:val="19"/>
                <w:szCs w:val="19"/>
                <w:color w:val="auto"/>
              </w:rPr>
            </w:pPr>
          </w:p>
        </w:tc>
        <w:tc>
          <w:tcPr>
            <w:tcW w:w="1620" w:type="dxa"/>
            <w:vAlign w:val="bottom"/>
            <w:tcBorders>
              <w:bottom w:val="single" w:sz="8" w:color="0070C0"/>
            </w:tcBorders>
          </w:tcPr>
          <w:p>
            <w:pPr>
              <w:jc w:val="center"/>
              <w:ind w:left="195"/>
              <w:spacing w:after="0"/>
              <w:rPr>
                <w:sz w:val="20"/>
                <w:szCs w:val="20"/>
                <w:color w:val="auto"/>
              </w:rPr>
            </w:pPr>
            <w:r>
              <w:rPr>
                <w:rFonts w:ascii="Arial" w:cs="Arial" w:eastAsia="Arial" w:hAnsi="Arial"/>
                <w:sz w:val="16"/>
                <w:szCs w:val="16"/>
                <w:b w:val="1"/>
                <w:bCs w:val="1"/>
                <w:color w:val="002060"/>
                <w:w w:val="91"/>
              </w:rPr>
              <w:t>($)</w:t>
            </w:r>
          </w:p>
        </w:tc>
        <w:tc>
          <w:tcPr>
            <w:tcW w:w="320" w:type="dxa"/>
            <w:vAlign w:val="bottom"/>
            <w:tcBorders>
              <w:bottom w:val="single" w:sz="8" w:color="0070C0"/>
            </w:tcBorders>
          </w:tcPr>
          <w:p>
            <w:pPr>
              <w:spacing w:after="0"/>
              <w:rPr>
                <w:sz w:val="19"/>
                <w:szCs w:val="19"/>
                <w:color w:val="auto"/>
              </w:rPr>
            </w:pPr>
          </w:p>
        </w:tc>
        <w:tc>
          <w:tcPr>
            <w:tcW w:w="1120" w:type="dxa"/>
            <w:vAlign w:val="bottom"/>
            <w:tcBorders>
              <w:bottom w:val="single" w:sz="8" w:color="0070C0"/>
            </w:tcBorders>
          </w:tcPr>
          <w:p>
            <w:pPr>
              <w:jc w:val="right"/>
              <w:ind w:right="213"/>
              <w:spacing w:after="0"/>
              <w:rPr>
                <w:sz w:val="20"/>
                <w:szCs w:val="20"/>
                <w:color w:val="auto"/>
              </w:rPr>
            </w:pPr>
            <w:r>
              <w:rPr>
                <w:rFonts w:ascii="Arial" w:cs="Arial" w:eastAsia="Arial" w:hAnsi="Arial"/>
                <w:sz w:val="16"/>
                <w:szCs w:val="16"/>
                <w:b w:val="1"/>
                <w:bCs w:val="1"/>
                <w:color w:val="002060"/>
              </w:rPr>
              <w:t>($)</w:t>
            </w:r>
          </w:p>
        </w:tc>
        <w:tc>
          <w:tcPr>
            <w:tcW w:w="220" w:type="dxa"/>
            <w:vAlign w:val="bottom"/>
            <w:tcBorders>
              <w:bottom w:val="single" w:sz="8" w:color="0070C0"/>
            </w:tcBorders>
          </w:tcPr>
          <w:p>
            <w:pPr>
              <w:spacing w:after="0"/>
              <w:rPr>
                <w:sz w:val="19"/>
                <w:szCs w:val="19"/>
                <w:color w:val="auto"/>
              </w:rPr>
            </w:pPr>
          </w:p>
        </w:tc>
      </w:tr>
      <w:tr>
        <w:trPr>
          <w:trHeight w:val="216"/>
        </w:trPr>
        <w:tc>
          <w:tcPr>
            <w:tcW w:w="4660" w:type="dxa"/>
            <w:vAlign w:val="bottom"/>
            <w:tcBorders>
              <w:bottom w:val="single" w:sz="8" w:color="auto"/>
            </w:tcBorders>
            <w:shd w:val="clear" w:color="auto" w:fill="D5DCE4"/>
          </w:tcPr>
          <w:p>
            <w:pPr>
              <w:spacing w:after="0"/>
              <w:rPr>
                <w:sz w:val="20"/>
                <w:szCs w:val="20"/>
                <w:color w:val="auto"/>
              </w:rPr>
            </w:pPr>
            <w:r>
              <w:rPr>
                <w:rFonts w:ascii="Arial" w:cs="Arial" w:eastAsia="Arial" w:hAnsi="Arial"/>
                <w:sz w:val="18"/>
                <w:szCs w:val="18"/>
                <w:color w:val="auto"/>
              </w:rPr>
              <w:t>  Jeffrey W. Edwards</w:t>
            </w: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840,000</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1,225,900 </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16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3,837,502 </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5,903,402 </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w:t>
            </w:r>
          </w:p>
        </w:tc>
      </w:tr>
      <w:tr>
        <w:trPr>
          <w:trHeight w:val="196"/>
        </w:trPr>
        <w:tc>
          <w:tcPr>
            <w:tcW w:w="466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  Michael T. Miller</w:t>
            </w:r>
          </w:p>
        </w:tc>
        <w:tc>
          <w:tcPr>
            <w:tcW w:w="1180" w:type="dxa"/>
            <w:vAlign w:val="bottom"/>
            <w:tcBorders>
              <w:bottom w:val="single" w:sz="8" w:color="auto"/>
            </w:tcBorders>
          </w:tcPr>
          <w:p>
            <w:pPr>
              <w:jc w:val="right"/>
              <w:ind w:right="93"/>
              <w:spacing w:after="0" w:line="196" w:lineRule="exact"/>
              <w:rPr>
                <w:sz w:val="20"/>
                <w:szCs w:val="20"/>
                <w:color w:val="auto"/>
              </w:rPr>
            </w:pPr>
            <w:r>
              <w:rPr>
                <w:rFonts w:ascii="Arial" w:cs="Arial" w:eastAsia="Arial" w:hAnsi="Arial"/>
                <w:sz w:val="18"/>
                <w:szCs w:val="18"/>
                <w:color w:val="auto"/>
              </w:rPr>
              <w:t>445,000</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458,380 </w:t>
            </w:r>
          </w:p>
        </w:tc>
        <w:tc>
          <w:tcPr>
            <w:tcW w:w="34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 </w:t>
            </w:r>
          </w:p>
        </w:tc>
        <w:tc>
          <w:tcPr>
            <w:tcW w:w="1620" w:type="dxa"/>
            <w:vAlign w:val="bottom"/>
            <w:tcBorders>
              <w:bottom w:val="single" w:sz="8" w:color="auto"/>
            </w:tcBorders>
          </w:tcPr>
          <w:p>
            <w:pPr>
              <w:jc w:val="right"/>
              <w:ind w:right="15"/>
              <w:spacing w:after="0" w:line="196" w:lineRule="exact"/>
              <w:rPr>
                <w:sz w:val="20"/>
                <w:szCs w:val="20"/>
                <w:color w:val="auto"/>
              </w:rPr>
            </w:pPr>
            <w:r>
              <w:rPr>
                <w:rFonts w:ascii="Arial" w:cs="Arial" w:eastAsia="Arial" w:hAnsi="Arial"/>
                <w:sz w:val="18"/>
                <w:szCs w:val="18"/>
                <w:color w:val="auto"/>
              </w:rPr>
              <w:t>1,236,500 </w:t>
            </w:r>
          </w:p>
        </w:tc>
        <w:tc>
          <w:tcPr>
            <w:tcW w:w="3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 </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2,139,880 </w:t>
            </w:r>
          </w:p>
        </w:tc>
        <w:tc>
          <w:tcPr>
            <w:tcW w:w="22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 </w:t>
            </w:r>
          </w:p>
        </w:tc>
      </w:tr>
      <w:tr>
        <w:trPr>
          <w:trHeight w:val="196"/>
        </w:trPr>
        <w:tc>
          <w:tcPr>
            <w:tcW w:w="466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  Jay P. Elliott</w:t>
            </w:r>
          </w:p>
        </w:tc>
        <w:tc>
          <w:tcPr>
            <w:tcW w:w="1180" w:type="dxa"/>
            <w:vAlign w:val="bottom"/>
            <w:tcBorders>
              <w:bottom w:val="single" w:sz="8" w:color="auto"/>
            </w:tcBorders>
          </w:tcPr>
          <w:p>
            <w:pPr>
              <w:jc w:val="right"/>
              <w:ind w:right="93"/>
              <w:spacing w:after="0" w:line="196" w:lineRule="exact"/>
              <w:rPr>
                <w:sz w:val="20"/>
                <w:szCs w:val="20"/>
                <w:color w:val="auto"/>
              </w:rPr>
            </w:pPr>
            <w:r>
              <w:rPr>
                <w:rFonts w:ascii="Arial" w:cs="Arial" w:eastAsia="Arial" w:hAnsi="Arial"/>
                <w:sz w:val="18"/>
                <w:szCs w:val="18"/>
                <w:color w:val="auto"/>
              </w:rPr>
              <w:t>485,000</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346,450 </w:t>
            </w:r>
          </w:p>
        </w:tc>
        <w:tc>
          <w:tcPr>
            <w:tcW w:w="34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 </w:t>
            </w:r>
          </w:p>
        </w:tc>
        <w:tc>
          <w:tcPr>
            <w:tcW w:w="1620" w:type="dxa"/>
            <w:vAlign w:val="bottom"/>
            <w:tcBorders>
              <w:bottom w:val="single" w:sz="8" w:color="auto"/>
            </w:tcBorders>
          </w:tcPr>
          <w:p>
            <w:pPr>
              <w:jc w:val="right"/>
              <w:ind w:right="15"/>
              <w:spacing w:after="0" w:line="196" w:lineRule="exact"/>
              <w:rPr>
                <w:sz w:val="20"/>
                <w:szCs w:val="20"/>
                <w:color w:val="auto"/>
              </w:rPr>
            </w:pPr>
            <w:r>
              <w:rPr>
                <w:rFonts w:ascii="Arial" w:cs="Arial" w:eastAsia="Arial" w:hAnsi="Arial"/>
                <w:sz w:val="18"/>
                <w:szCs w:val="18"/>
                <w:color w:val="auto"/>
              </w:rPr>
              <w:t>1,279,089 </w:t>
            </w:r>
          </w:p>
        </w:tc>
        <w:tc>
          <w:tcPr>
            <w:tcW w:w="3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 </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2,110,539 </w:t>
            </w:r>
          </w:p>
        </w:tc>
        <w:tc>
          <w:tcPr>
            <w:tcW w:w="22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 </w:t>
            </w:r>
          </w:p>
        </w:tc>
      </w:tr>
      <w:tr>
        <w:trPr>
          <w:trHeight w:val="196"/>
        </w:trPr>
        <w:tc>
          <w:tcPr>
            <w:tcW w:w="466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  W. Jeffrey Hire</w:t>
            </w:r>
          </w:p>
        </w:tc>
        <w:tc>
          <w:tcPr>
            <w:tcW w:w="1180" w:type="dxa"/>
            <w:vAlign w:val="bottom"/>
            <w:tcBorders>
              <w:bottom w:val="single" w:sz="8" w:color="auto"/>
            </w:tcBorders>
          </w:tcPr>
          <w:p>
            <w:pPr>
              <w:jc w:val="right"/>
              <w:ind w:right="93"/>
              <w:spacing w:after="0" w:line="196" w:lineRule="exact"/>
              <w:rPr>
                <w:sz w:val="20"/>
                <w:szCs w:val="20"/>
                <w:color w:val="auto"/>
              </w:rPr>
            </w:pPr>
            <w:r>
              <w:rPr>
                <w:rFonts w:ascii="Arial" w:cs="Arial" w:eastAsia="Arial" w:hAnsi="Arial"/>
                <w:sz w:val="18"/>
                <w:szCs w:val="18"/>
                <w:color w:val="auto"/>
              </w:rPr>
              <w:t>420,000</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213,200 </w:t>
            </w:r>
          </w:p>
        </w:tc>
        <w:tc>
          <w:tcPr>
            <w:tcW w:w="34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 </w:t>
            </w:r>
          </w:p>
        </w:tc>
        <w:tc>
          <w:tcPr>
            <w:tcW w:w="1620" w:type="dxa"/>
            <w:vAlign w:val="bottom"/>
            <w:tcBorders>
              <w:bottom w:val="single" w:sz="8" w:color="auto"/>
            </w:tcBorders>
          </w:tcPr>
          <w:p>
            <w:pPr>
              <w:jc w:val="right"/>
              <w:ind w:right="15"/>
              <w:spacing w:after="0" w:line="196" w:lineRule="exact"/>
              <w:rPr>
                <w:sz w:val="20"/>
                <w:szCs w:val="20"/>
                <w:color w:val="auto"/>
              </w:rPr>
            </w:pPr>
            <w:r>
              <w:rPr>
                <w:rFonts w:ascii="Arial" w:cs="Arial" w:eastAsia="Arial" w:hAnsi="Arial"/>
                <w:sz w:val="18"/>
                <w:szCs w:val="18"/>
                <w:color w:val="auto"/>
              </w:rPr>
              <w:t>266,418 </w:t>
            </w:r>
          </w:p>
        </w:tc>
        <w:tc>
          <w:tcPr>
            <w:tcW w:w="3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 </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899,618 </w:t>
            </w:r>
          </w:p>
        </w:tc>
        <w:tc>
          <w:tcPr>
            <w:tcW w:w="22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 </w:t>
            </w:r>
          </w:p>
        </w:tc>
      </w:tr>
      <w:tr>
        <w:trPr>
          <w:trHeight w:val="203"/>
        </w:trPr>
        <w:tc>
          <w:tcPr>
            <w:tcW w:w="4660" w:type="dxa"/>
            <w:vAlign w:val="bottom"/>
            <w:tcBorders>
              <w:bottom w:val="single" w:sz="8" w:color="0070C0"/>
            </w:tcBorders>
            <w:shd w:val="clear" w:color="auto" w:fill="D5DCE4"/>
          </w:tcPr>
          <w:p>
            <w:pPr>
              <w:spacing w:after="0" w:line="196" w:lineRule="exact"/>
              <w:rPr>
                <w:sz w:val="20"/>
                <w:szCs w:val="20"/>
                <w:color w:val="auto"/>
              </w:rPr>
            </w:pPr>
            <w:r>
              <w:rPr>
                <w:rFonts w:ascii="Arial" w:cs="Arial" w:eastAsia="Arial" w:hAnsi="Arial"/>
                <w:sz w:val="18"/>
                <w:szCs w:val="18"/>
                <w:color w:val="auto"/>
              </w:rPr>
              <w:t>  Jason R. Niswonger</w:t>
            </w:r>
          </w:p>
        </w:tc>
        <w:tc>
          <w:tcPr>
            <w:tcW w:w="1180" w:type="dxa"/>
            <w:vAlign w:val="bottom"/>
            <w:tcBorders>
              <w:bottom w:val="single" w:sz="8" w:color="0070C0"/>
            </w:tcBorders>
          </w:tcPr>
          <w:p>
            <w:pPr>
              <w:jc w:val="right"/>
              <w:ind w:right="93"/>
              <w:spacing w:after="0" w:line="196" w:lineRule="exact"/>
              <w:rPr>
                <w:sz w:val="20"/>
                <w:szCs w:val="20"/>
                <w:color w:val="auto"/>
              </w:rPr>
            </w:pPr>
            <w:r>
              <w:rPr>
                <w:rFonts w:ascii="Arial" w:cs="Arial" w:eastAsia="Arial" w:hAnsi="Arial"/>
                <w:sz w:val="18"/>
                <w:szCs w:val="18"/>
                <w:color w:val="auto"/>
              </w:rPr>
              <w:t>425,000</w:t>
            </w:r>
          </w:p>
        </w:tc>
        <w:tc>
          <w:tcPr>
            <w:tcW w:w="1560" w:type="dxa"/>
            <w:vAlign w:val="bottom"/>
            <w:tcBorders>
              <w:bottom w:val="single" w:sz="8" w:color="0070C0"/>
            </w:tcBorders>
          </w:tcPr>
          <w:p>
            <w:pPr>
              <w:jc w:val="right"/>
              <w:spacing w:after="0" w:line="196" w:lineRule="exact"/>
              <w:rPr>
                <w:sz w:val="20"/>
                <w:szCs w:val="20"/>
                <w:color w:val="auto"/>
              </w:rPr>
            </w:pPr>
            <w:r>
              <w:rPr>
                <w:rFonts w:ascii="Arial" w:cs="Arial" w:eastAsia="Arial" w:hAnsi="Arial"/>
                <w:sz w:val="18"/>
                <w:szCs w:val="18"/>
                <w:color w:val="auto"/>
              </w:rPr>
              <w:t>282,490 </w:t>
            </w:r>
          </w:p>
        </w:tc>
        <w:tc>
          <w:tcPr>
            <w:tcW w:w="340" w:type="dxa"/>
            <w:vAlign w:val="bottom"/>
            <w:tcBorders>
              <w:bottom w:val="single" w:sz="8" w:color="0070C0"/>
            </w:tcBorders>
          </w:tcPr>
          <w:p>
            <w:pPr>
              <w:ind w:left="60"/>
              <w:spacing w:after="0" w:line="196" w:lineRule="exact"/>
              <w:rPr>
                <w:sz w:val="20"/>
                <w:szCs w:val="20"/>
                <w:color w:val="auto"/>
              </w:rPr>
            </w:pPr>
            <w:r>
              <w:rPr>
                <w:rFonts w:ascii="Arial" w:cs="Arial" w:eastAsia="Arial" w:hAnsi="Arial"/>
                <w:sz w:val="18"/>
                <w:szCs w:val="18"/>
                <w:color w:val="auto"/>
              </w:rPr>
              <w:t> </w:t>
            </w:r>
          </w:p>
        </w:tc>
        <w:tc>
          <w:tcPr>
            <w:tcW w:w="1620" w:type="dxa"/>
            <w:vAlign w:val="bottom"/>
            <w:tcBorders>
              <w:bottom w:val="single" w:sz="8" w:color="0070C0"/>
            </w:tcBorders>
          </w:tcPr>
          <w:p>
            <w:pPr>
              <w:jc w:val="right"/>
              <w:ind w:right="15"/>
              <w:spacing w:after="0" w:line="196" w:lineRule="exact"/>
              <w:rPr>
                <w:sz w:val="20"/>
                <w:szCs w:val="20"/>
                <w:color w:val="auto"/>
              </w:rPr>
            </w:pPr>
            <w:r>
              <w:rPr>
                <w:rFonts w:ascii="Arial" w:cs="Arial" w:eastAsia="Arial" w:hAnsi="Arial"/>
                <w:sz w:val="18"/>
                <w:szCs w:val="18"/>
                <w:color w:val="auto"/>
              </w:rPr>
              <w:t>437,011 </w:t>
            </w:r>
          </w:p>
        </w:tc>
        <w:tc>
          <w:tcPr>
            <w:tcW w:w="320" w:type="dxa"/>
            <w:vAlign w:val="bottom"/>
            <w:tcBorders>
              <w:bottom w:val="single" w:sz="8" w:color="0070C0"/>
            </w:tcBorders>
          </w:tcPr>
          <w:p>
            <w:pPr>
              <w:ind w:left="20"/>
              <w:spacing w:after="0" w:line="196" w:lineRule="exact"/>
              <w:rPr>
                <w:sz w:val="20"/>
                <w:szCs w:val="20"/>
                <w:color w:val="auto"/>
              </w:rPr>
            </w:pPr>
            <w:r>
              <w:rPr>
                <w:rFonts w:ascii="Arial" w:cs="Arial" w:eastAsia="Arial" w:hAnsi="Arial"/>
                <w:sz w:val="18"/>
                <w:szCs w:val="18"/>
                <w:color w:val="auto"/>
              </w:rPr>
              <w:t> </w:t>
            </w:r>
          </w:p>
        </w:tc>
        <w:tc>
          <w:tcPr>
            <w:tcW w:w="1120" w:type="dxa"/>
            <w:vAlign w:val="bottom"/>
            <w:tcBorders>
              <w:bottom w:val="single" w:sz="8" w:color="0070C0"/>
            </w:tcBorders>
          </w:tcPr>
          <w:p>
            <w:pPr>
              <w:jc w:val="right"/>
              <w:spacing w:after="0" w:line="196" w:lineRule="exact"/>
              <w:rPr>
                <w:sz w:val="20"/>
                <w:szCs w:val="20"/>
                <w:color w:val="auto"/>
              </w:rPr>
            </w:pPr>
            <w:r>
              <w:rPr>
                <w:rFonts w:ascii="Arial" w:cs="Arial" w:eastAsia="Arial" w:hAnsi="Arial"/>
                <w:sz w:val="18"/>
                <w:szCs w:val="18"/>
                <w:color w:val="auto"/>
              </w:rPr>
              <w:t>1,144,501 </w:t>
            </w:r>
          </w:p>
        </w:tc>
        <w:tc>
          <w:tcPr>
            <w:tcW w:w="220" w:type="dxa"/>
            <w:vAlign w:val="bottom"/>
            <w:tcBorders>
              <w:bottom w:val="single" w:sz="8" w:color="0070C0"/>
            </w:tcBorders>
          </w:tcPr>
          <w:p>
            <w:pPr>
              <w:ind w:left="60"/>
              <w:spacing w:after="0" w:line="196" w:lineRule="exact"/>
              <w:rPr>
                <w:sz w:val="20"/>
                <w:szCs w:val="20"/>
                <w:color w:val="auto"/>
              </w:rPr>
            </w:pPr>
            <w:r>
              <w:rPr>
                <w:rFonts w:ascii="Arial" w:cs="Arial" w:eastAsia="Arial" w:hAnsi="Arial"/>
                <w:sz w:val="18"/>
                <w:szCs w:val="18"/>
                <w:color w:val="auto"/>
              </w:rPr>
              <w:t> </w:t>
            </w:r>
          </w:p>
        </w:tc>
      </w:tr>
    </w:tbl>
    <w:p>
      <w:pPr>
        <w:spacing w:after="0" w:line="103" w:lineRule="exact"/>
        <w:rPr>
          <w:sz w:val="20"/>
          <w:szCs w:val="20"/>
          <w:color w:val="auto"/>
        </w:rPr>
      </w:pPr>
    </w:p>
    <w:p>
      <w:pPr>
        <w:sectPr>
          <w:pgSz w:w="11900" w:h="16838" w:orient="portrait"/>
          <w:cols w:equalWidth="0" w:num="1">
            <w:col w:w="11020"/>
          </w:cols>
          <w:pgMar w:left="440" w:top="422" w:right="439" w:bottom="1440" w:gutter="0" w:footer="0" w:header="0"/>
          <w:type w:val="continuous"/>
        </w:sectPr>
      </w:pPr>
    </w:p>
    <w:p>
      <w:pPr>
        <w:ind w:left="760" w:hanging="54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 April 1, 2023.</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Key Compensation Practices for Executives</w:t>
      </w:r>
    </w:p>
    <w:p>
      <w:pPr>
        <w:spacing w:after="0" w:line="243"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35744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43" w:lineRule="exact"/>
        <w:rPr>
          <w:sz w:val="20"/>
          <w:szCs w:val="20"/>
          <w:color w:val="auto"/>
        </w:rPr>
      </w:pPr>
    </w:p>
    <w:p>
      <w:pPr>
        <w:ind w:left="440" w:right="640" w:hanging="269"/>
        <w:spacing w:after="0" w:line="232"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0070C0"/>
        </w:rPr>
        <w:t xml:space="preserve">   </w:t>
      </w:r>
      <w:r>
        <w:rPr>
          <w:rFonts w:ascii="Arial" w:cs="Arial" w:eastAsia="Arial" w:hAnsi="Arial"/>
          <w:sz w:val="18"/>
          <w:szCs w:val="18"/>
          <w:b w:val="1"/>
          <w:bCs w:val="1"/>
          <w:color w:val="000000"/>
        </w:rPr>
        <w:t>Pay for Performance</w:t>
      </w:r>
      <w:r>
        <w:rPr>
          <w:rFonts w:ascii="Arial" w:cs="Arial" w:eastAsia="Arial" w:hAnsi="Arial"/>
          <w:sz w:val="18"/>
          <w:szCs w:val="18"/>
          <w:color w:val="0070C0"/>
        </w:rPr>
        <w:t xml:space="preserve"> </w:t>
      </w:r>
      <w:r>
        <w:rPr>
          <w:rFonts w:ascii="Arial" w:cs="Arial" w:eastAsia="Arial" w:hAnsi="Arial"/>
          <w:sz w:val="18"/>
          <w:szCs w:val="18"/>
          <w:color w:val="000000"/>
        </w:rPr>
        <w:t>where a substantial percentage of</w:t>
      </w:r>
      <w:r>
        <w:rPr>
          <w:rFonts w:ascii="Arial" w:cs="Arial" w:eastAsia="Arial" w:hAnsi="Arial"/>
          <w:sz w:val="18"/>
          <w:szCs w:val="18"/>
          <w:color w:val="0070C0"/>
        </w:rPr>
        <w:t xml:space="preserve"> </w:t>
      </w:r>
      <w:r>
        <w:rPr>
          <w:rFonts w:ascii="Arial" w:cs="Arial" w:eastAsia="Arial" w:hAnsi="Arial"/>
          <w:sz w:val="18"/>
          <w:szCs w:val="18"/>
          <w:color w:val="000000"/>
        </w:rPr>
        <w:t>compensation is based on achievement of objective pre-established performance metrics</w:t>
      </w:r>
    </w:p>
    <w:p>
      <w:pPr>
        <w:spacing w:after="0" w:line="2" w:lineRule="exact"/>
        <w:rPr>
          <w:sz w:val="20"/>
          <w:szCs w:val="20"/>
          <w:color w:val="auto"/>
        </w:rPr>
      </w:pPr>
    </w:p>
    <w:p>
      <w:pPr>
        <w:ind w:left="440" w:hanging="269"/>
        <w:spacing w:after="0" w:line="230"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0070C0"/>
        </w:rPr>
        <w:t xml:space="preserve">   </w:t>
      </w:r>
      <w:r>
        <w:rPr>
          <w:rFonts w:ascii="Arial" w:cs="Arial" w:eastAsia="Arial" w:hAnsi="Arial"/>
          <w:sz w:val="18"/>
          <w:szCs w:val="18"/>
          <w:b w:val="1"/>
          <w:bCs w:val="1"/>
          <w:color w:val="000000"/>
        </w:rPr>
        <w:t>Balanced Compensation Mix</w:t>
      </w:r>
      <w:r>
        <w:rPr>
          <w:rFonts w:ascii="Arial" w:cs="Arial" w:eastAsia="Arial" w:hAnsi="Arial"/>
          <w:sz w:val="18"/>
          <w:szCs w:val="18"/>
          <w:color w:val="0070C0"/>
        </w:rPr>
        <w:t xml:space="preserve"> </w:t>
      </w:r>
      <w:r>
        <w:rPr>
          <w:rFonts w:ascii="Arial" w:cs="Arial" w:eastAsia="Arial" w:hAnsi="Arial"/>
          <w:sz w:val="18"/>
          <w:szCs w:val="18"/>
          <w:color w:val="000000"/>
        </w:rPr>
        <w:t>of salary and performance-based</w:t>
      </w:r>
      <w:r>
        <w:rPr>
          <w:rFonts w:ascii="Arial" w:cs="Arial" w:eastAsia="Arial" w:hAnsi="Arial"/>
          <w:sz w:val="18"/>
          <w:szCs w:val="18"/>
          <w:color w:val="0070C0"/>
        </w:rPr>
        <w:t xml:space="preserve"> </w:t>
      </w:r>
      <w:r>
        <w:rPr>
          <w:rFonts w:ascii="Arial" w:cs="Arial" w:eastAsia="Arial" w:hAnsi="Arial"/>
          <w:sz w:val="18"/>
          <w:szCs w:val="18"/>
          <w:color w:val="000000"/>
        </w:rPr>
        <w:t>cash bonuses and restricted stock awards</w:t>
      </w:r>
    </w:p>
    <w:p>
      <w:pPr>
        <w:ind w:left="440" w:right="260" w:hanging="269"/>
        <w:spacing w:after="0" w:line="230"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0070C0"/>
        </w:rPr>
        <w:t xml:space="preserve">   </w:t>
      </w:r>
      <w:r>
        <w:rPr>
          <w:rFonts w:ascii="Arial" w:cs="Arial" w:eastAsia="Arial" w:hAnsi="Arial"/>
          <w:sz w:val="18"/>
          <w:szCs w:val="18"/>
          <w:b w:val="1"/>
          <w:bCs w:val="1"/>
          <w:color w:val="000000"/>
        </w:rPr>
        <w:t>Multi-year Vesting of Equity Awards</w:t>
      </w:r>
      <w:r>
        <w:rPr>
          <w:rFonts w:ascii="Arial" w:cs="Arial" w:eastAsia="Arial" w:hAnsi="Arial"/>
          <w:sz w:val="18"/>
          <w:szCs w:val="18"/>
          <w:color w:val="0070C0"/>
        </w:rPr>
        <w:t xml:space="preserve"> </w:t>
      </w:r>
      <w:r>
        <w:rPr>
          <w:rFonts w:ascii="Arial" w:cs="Arial" w:eastAsia="Arial" w:hAnsi="Arial"/>
          <w:sz w:val="18"/>
          <w:szCs w:val="18"/>
          <w:color w:val="000000"/>
        </w:rPr>
        <w:t>over a two-year period</w:t>
      </w:r>
      <w:r>
        <w:rPr>
          <w:rFonts w:ascii="Arial" w:cs="Arial" w:eastAsia="Arial" w:hAnsi="Arial"/>
          <w:sz w:val="18"/>
          <w:szCs w:val="18"/>
          <w:color w:val="0070C0"/>
        </w:rPr>
        <w:t xml:space="preserve"> </w:t>
      </w:r>
      <w:r>
        <w:rPr>
          <w:rFonts w:ascii="Arial" w:cs="Arial" w:eastAsia="Arial" w:hAnsi="Arial"/>
          <w:sz w:val="18"/>
          <w:szCs w:val="18"/>
          <w:color w:val="000000"/>
        </w:rPr>
        <w:t>after the performance target is met</w:t>
      </w:r>
    </w:p>
    <w:p>
      <w:pPr>
        <w:ind w:left="440" w:right="420" w:hanging="269"/>
        <w:spacing w:after="0" w:line="230"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0070C0"/>
        </w:rPr>
        <w:t xml:space="preserve">   </w:t>
      </w:r>
      <w:r>
        <w:rPr>
          <w:rFonts w:ascii="Arial" w:cs="Arial" w:eastAsia="Arial" w:hAnsi="Arial"/>
          <w:sz w:val="18"/>
          <w:szCs w:val="18"/>
          <w:b w:val="1"/>
          <w:bCs w:val="1"/>
          <w:color w:val="000000"/>
        </w:rPr>
        <w:t>Limited Perquisites</w:t>
      </w:r>
      <w:r>
        <w:rPr>
          <w:rFonts w:ascii="Arial" w:cs="Arial" w:eastAsia="Arial" w:hAnsi="Arial"/>
          <w:sz w:val="18"/>
          <w:szCs w:val="18"/>
          <w:color w:val="0070C0"/>
        </w:rPr>
        <w:t xml:space="preserve"> </w:t>
      </w:r>
      <w:r>
        <w:rPr>
          <w:rFonts w:ascii="Arial" w:cs="Arial" w:eastAsia="Arial" w:hAnsi="Arial"/>
          <w:sz w:val="18"/>
          <w:szCs w:val="18"/>
          <w:color w:val="000000"/>
        </w:rPr>
        <w:t>that are not available to other salaried</w:t>
      </w:r>
      <w:r>
        <w:rPr>
          <w:rFonts w:ascii="Arial" w:cs="Arial" w:eastAsia="Arial" w:hAnsi="Arial"/>
          <w:sz w:val="18"/>
          <w:szCs w:val="18"/>
          <w:color w:val="0070C0"/>
        </w:rPr>
        <w:t xml:space="preserve"> </w:t>
      </w:r>
      <w:r>
        <w:rPr>
          <w:rFonts w:ascii="Arial" w:cs="Arial" w:eastAsia="Arial" w:hAnsi="Arial"/>
          <w:sz w:val="18"/>
          <w:szCs w:val="18"/>
          <w:color w:val="000000"/>
        </w:rPr>
        <w:t>employees</w:t>
      </w:r>
    </w:p>
    <w:p>
      <w:pPr>
        <w:ind w:left="18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0070C0"/>
        </w:rPr>
        <w:t xml:space="preserve">   </w:t>
      </w:r>
      <w:r>
        <w:rPr>
          <w:rFonts w:ascii="Arial" w:cs="Arial" w:eastAsia="Arial" w:hAnsi="Arial"/>
          <w:sz w:val="18"/>
          <w:szCs w:val="18"/>
          <w:b w:val="1"/>
          <w:bCs w:val="1"/>
          <w:color w:val="000000"/>
        </w:rPr>
        <w:t>Competitive Pay</w:t>
      </w:r>
      <w:r>
        <w:rPr>
          <w:rFonts w:ascii="Arial" w:cs="Arial" w:eastAsia="Arial" w:hAnsi="Arial"/>
          <w:sz w:val="18"/>
          <w:szCs w:val="18"/>
          <w:color w:val="0070C0"/>
        </w:rPr>
        <w:t xml:space="preserve"> </w:t>
      </w:r>
      <w:r>
        <w:rPr>
          <w:rFonts w:ascii="Arial" w:cs="Arial" w:eastAsia="Arial" w:hAnsi="Arial"/>
          <w:sz w:val="18"/>
          <w:szCs w:val="18"/>
          <w:color w:val="000000"/>
        </w:rPr>
        <w:t>targeted near the median of our peer group</w:t>
      </w:r>
    </w:p>
    <w:p>
      <w:pPr>
        <w:spacing w:after="0" w:line="60" w:lineRule="exact"/>
        <w:rPr>
          <w:sz w:val="20"/>
          <w:szCs w:val="20"/>
          <w:color w:val="auto"/>
        </w:rPr>
      </w:pPr>
    </w:p>
    <w:p>
      <w:pPr>
        <w:ind w:left="440" w:right="160" w:hanging="269"/>
        <w:spacing w:after="0" w:line="225"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0070C0"/>
        </w:rPr>
        <w:t xml:space="preserve">   </w:t>
      </w:r>
      <w:r>
        <w:rPr>
          <w:rFonts w:ascii="Arial" w:cs="Arial" w:eastAsia="Arial" w:hAnsi="Arial"/>
          <w:sz w:val="18"/>
          <w:szCs w:val="18"/>
          <w:b w:val="1"/>
          <w:bCs w:val="1"/>
          <w:color w:val="000000"/>
        </w:rPr>
        <w:t>Clawback Policy</w:t>
      </w:r>
      <w:r>
        <w:rPr>
          <w:rFonts w:ascii="Arial" w:cs="Arial" w:eastAsia="Arial" w:hAnsi="Arial"/>
          <w:sz w:val="18"/>
          <w:szCs w:val="18"/>
          <w:color w:val="0070C0"/>
        </w:rPr>
        <w:t xml:space="preserve"> </w:t>
      </w:r>
      <w:r>
        <w:rPr>
          <w:rFonts w:ascii="Arial" w:cs="Arial" w:eastAsia="Arial" w:hAnsi="Arial"/>
          <w:sz w:val="18"/>
          <w:szCs w:val="18"/>
          <w:color w:val="000000"/>
        </w:rPr>
        <w:t>allowing recovery of incentive compensation</w:t>
      </w:r>
      <w:r>
        <w:rPr>
          <w:rFonts w:ascii="Arial" w:cs="Arial" w:eastAsia="Arial" w:hAnsi="Arial"/>
          <w:sz w:val="18"/>
          <w:szCs w:val="18"/>
          <w:color w:val="0070C0"/>
        </w:rPr>
        <w:t xml:space="preserve"> </w:t>
      </w:r>
      <w:r>
        <w:rPr>
          <w:rFonts w:ascii="Arial" w:cs="Arial" w:eastAsia="Arial" w:hAnsi="Arial"/>
          <w:sz w:val="18"/>
          <w:szCs w:val="18"/>
          <w:color w:val="000000"/>
        </w:rPr>
        <w:t>under specified circumstances</w:t>
      </w:r>
    </w:p>
    <w:p>
      <w:pPr>
        <w:ind w:left="440" w:right="220" w:hanging="269"/>
        <w:spacing w:after="0" w:line="230"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0070C0"/>
        </w:rPr>
        <w:t xml:space="preserve">   </w:t>
      </w:r>
      <w:r>
        <w:rPr>
          <w:rFonts w:ascii="Arial" w:cs="Arial" w:eastAsia="Arial" w:hAnsi="Arial"/>
          <w:sz w:val="18"/>
          <w:szCs w:val="18"/>
          <w:b w:val="1"/>
          <w:bCs w:val="1"/>
          <w:color w:val="000000"/>
        </w:rPr>
        <w:t>Meaningful Equity Ownership Requirements</w:t>
      </w:r>
      <w:r>
        <w:rPr>
          <w:rFonts w:ascii="Arial" w:cs="Arial" w:eastAsia="Arial" w:hAnsi="Arial"/>
          <w:sz w:val="18"/>
          <w:szCs w:val="18"/>
          <w:color w:val="0070C0"/>
        </w:rPr>
        <w:t xml:space="preserve"> </w:t>
      </w:r>
      <w:r>
        <w:rPr>
          <w:rFonts w:ascii="Arial" w:cs="Arial" w:eastAsia="Arial" w:hAnsi="Arial"/>
          <w:sz w:val="18"/>
          <w:szCs w:val="18"/>
          <w:color w:val="000000"/>
        </w:rPr>
        <w:t>in multiples of</w:t>
      </w:r>
      <w:r>
        <w:rPr>
          <w:rFonts w:ascii="Arial" w:cs="Arial" w:eastAsia="Arial" w:hAnsi="Arial"/>
          <w:sz w:val="18"/>
          <w:szCs w:val="18"/>
          <w:color w:val="0070C0"/>
        </w:rPr>
        <w:t xml:space="preserve"> </w:t>
      </w:r>
      <w:r>
        <w:rPr>
          <w:rFonts w:ascii="Arial" w:cs="Arial" w:eastAsia="Arial" w:hAnsi="Arial"/>
          <w:sz w:val="18"/>
          <w:szCs w:val="18"/>
          <w:color w:val="000000"/>
        </w:rPr>
        <w:t>base salary</w:t>
      </w:r>
    </w:p>
    <w:p>
      <w:pPr>
        <w:ind w:left="18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0070C0"/>
        </w:rPr>
        <w:t xml:space="preserve">   </w:t>
      </w:r>
      <w:r>
        <w:rPr>
          <w:rFonts w:ascii="Arial" w:cs="Arial" w:eastAsia="Arial" w:hAnsi="Arial"/>
          <w:sz w:val="18"/>
          <w:szCs w:val="18"/>
          <w:b w:val="1"/>
          <w:bCs w:val="1"/>
          <w:color w:val="000000"/>
        </w:rPr>
        <w:t>Annual Say-on-Pay Vote</w:t>
      </w:r>
      <w:r>
        <w:rPr>
          <w:rFonts w:ascii="Arial" w:cs="Arial" w:eastAsia="Arial" w:hAnsi="Arial"/>
          <w:sz w:val="18"/>
          <w:szCs w:val="18"/>
          <w:color w:val="0070C0"/>
        </w:rPr>
        <w:t xml:space="preserve"> </w:t>
      </w:r>
      <w:r>
        <w:rPr>
          <w:rFonts w:ascii="Arial" w:cs="Arial" w:eastAsia="Arial" w:hAnsi="Arial"/>
          <w:sz w:val="18"/>
          <w:szCs w:val="18"/>
          <w:color w:val="000000"/>
        </w:rPr>
        <w:t>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1092200</wp:posOffset>
            </wp:positionV>
            <wp:extent cx="6995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17780</wp:posOffset>
            </wp:positionV>
            <wp:extent cx="33515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sz w:val="1"/>
          <w:szCs w:val="1"/>
          <w:color w:val="auto"/>
        </w:rPr>
        <w:drawing>
          <wp:inline distT="0" distB="0" distL="0" distR="0">
            <wp:extent cx="180340" cy="1543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0340" cy="154305"/>
                    </a:xfrm>
                    <a:prstGeom prst="rect">
                      <a:avLst/>
                    </a:prstGeom>
                    <a:noFill/>
                    <a:ln>
                      <a:noFill/>
                    </a:ln>
                  </pic:spPr>
                </pic:pic>
              </a:graphicData>
            </a:graphic>
          </wp:inline>
        </w:drawing>
      </w:r>
      <w:r>
        <w:rPr>
          <w:rFonts w:ascii="Arial" w:cs="Arial" w:eastAsia="Arial" w:hAnsi="Arial"/>
          <w:sz w:val="18"/>
          <w:szCs w:val="18"/>
          <w:b w:val="1"/>
          <w:bCs w:val="1"/>
          <w:color w:val="auto"/>
        </w:rPr>
        <w:t xml:space="preserve"> NO Tax Gross-Ups </w:t>
      </w:r>
      <w:r>
        <w:rPr>
          <w:rFonts w:ascii="Arial" w:cs="Arial" w:eastAsia="Arial" w:hAnsi="Arial"/>
          <w:sz w:val="18"/>
          <w:szCs w:val="18"/>
          <w:color w:val="auto"/>
        </w:rPr>
        <w:t>for perquisites or excise taxes</w:t>
      </w:r>
    </w:p>
    <w:p>
      <w:pPr>
        <w:spacing w:after="0" w:line="2" w:lineRule="exact"/>
        <w:rPr>
          <w:sz w:val="20"/>
          <w:szCs w:val="20"/>
          <w:color w:val="auto"/>
        </w:rPr>
      </w:pPr>
    </w:p>
    <w:p>
      <w:pPr>
        <w:ind w:left="280" w:right="420" w:hanging="269"/>
        <w:spacing w:after="0" w:line="249" w:lineRule="auto"/>
        <w:rPr>
          <w:sz w:val="20"/>
          <w:szCs w:val="20"/>
          <w:color w:val="auto"/>
        </w:rPr>
      </w:pPr>
      <w:r>
        <w:rPr>
          <w:sz w:val="1"/>
          <w:szCs w:val="1"/>
          <w:color w:val="auto"/>
        </w:rPr>
        <w:drawing>
          <wp:inline distT="0" distB="0" distL="0" distR="0">
            <wp:extent cx="180340" cy="14287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0340" cy="142875"/>
                    </a:xfrm>
                    <a:prstGeom prst="rect">
                      <a:avLst/>
                    </a:prstGeom>
                    <a:noFill/>
                    <a:ln>
                      <a:noFill/>
                    </a:ln>
                  </pic:spPr>
                </pic:pic>
              </a:graphicData>
            </a:graphic>
          </wp:inline>
        </w:drawing>
      </w:r>
      <w:r>
        <w:rPr>
          <w:rFonts w:ascii="Arial" w:cs="Arial" w:eastAsia="Arial" w:hAnsi="Arial"/>
          <w:sz w:val="18"/>
          <w:szCs w:val="18"/>
          <w:b w:val="1"/>
          <w:bCs w:val="1"/>
          <w:color w:val="auto"/>
        </w:rPr>
        <w:t xml:space="preserve"> NO Pension Plans </w:t>
      </w:r>
      <w:r>
        <w:rPr>
          <w:rFonts w:ascii="Arial" w:cs="Arial" w:eastAsia="Arial" w:hAnsi="Arial"/>
          <w:sz w:val="18"/>
          <w:szCs w:val="18"/>
          <w:color w:val="auto"/>
        </w:rPr>
        <w:t>or retirement benefits that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to other salaried employees</w:t>
      </w:r>
    </w:p>
    <w:p>
      <w:pPr>
        <w:ind w:left="280" w:right="60" w:hanging="269"/>
        <w:spacing w:after="0" w:line="242" w:lineRule="auto"/>
        <w:rPr>
          <w:sz w:val="20"/>
          <w:szCs w:val="20"/>
          <w:color w:val="auto"/>
        </w:rPr>
      </w:pPr>
      <w:r>
        <w:rPr>
          <w:sz w:val="1"/>
          <w:szCs w:val="1"/>
          <w:color w:val="auto"/>
        </w:rPr>
        <w:drawing>
          <wp:inline distT="0" distB="0" distL="0" distR="0">
            <wp:extent cx="180340" cy="14287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0340" cy="142875"/>
                    </a:xfrm>
                    <a:prstGeom prst="rect">
                      <a:avLst/>
                    </a:prstGeom>
                    <a:noFill/>
                    <a:ln>
                      <a:noFill/>
                    </a:ln>
                  </pic:spPr>
                </pic:pic>
              </a:graphicData>
            </a:graphic>
          </wp:inline>
        </w:drawing>
      </w:r>
      <w:r>
        <w:rPr>
          <w:rFonts w:ascii="Arial" w:cs="Arial" w:eastAsia="Arial" w:hAnsi="Arial"/>
          <w:sz w:val="18"/>
          <w:szCs w:val="18"/>
          <w:b w:val="1"/>
          <w:bCs w:val="1"/>
          <w:color w:val="auto"/>
        </w:rPr>
        <w:t xml:space="preserve"> NO Hedging </w:t>
      </w:r>
      <w:r>
        <w:rPr>
          <w:rFonts w:ascii="Arial" w:cs="Arial" w:eastAsia="Arial" w:hAnsi="Arial"/>
          <w:sz w:val="18"/>
          <w:szCs w:val="18"/>
          <w:color w:val="auto"/>
        </w:rPr>
        <w:t>or other monetization transactions involving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securities (the Board has made an exception to the policy for our Chief Executive Officer, see Footnote 2 in the “</w:t>
      </w:r>
      <w:r>
        <w:rPr>
          <w:rFonts w:ascii="Arial" w:cs="Arial" w:eastAsia="Arial" w:hAnsi="Arial"/>
          <w:sz w:val="18"/>
          <w:szCs w:val="18"/>
          <w:i w:val="1"/>
          <w:iCs w:val="1"/>
          <w:color w:val="auto"/>
        </w:rPr>
        <w:t>Stock Ownership Table”</w:t>
      </w:r>
      <w:r>
        <w:rPr>
          <w:rFonts w:ascii="Arial" w:cs="Arial" w:eastAsia="Arial" w:hAnsi="Arial"/>
          <w:sz w:val="18"/>
          <w:szCs w:val="18"/>
          <w:color w:val="auto"/>
        </w:rPr>
        <w:t xml:space="preserve"> beginning on page 73)</w:t>
      </w:r>
    </w:p>
    <w:p>
      <w:pPr>
        <w:ind w:left="280" w:right="740" w:hanging="269"/>
        <w:spacing w:after="0" w:line="249" w:lineRule="auto"/>
        <w:rPr>
          <w:sz w:val="20"/>
          <w:szCs w:val="20"/>
          <w:color w:val="auto"/>
        </w:rPr>
      </w:pPr>
      <w:r>
        <w:rPr>
          <w:sz w:val="1"/>
          <w:szCs w:val="1"/>
          <w:color w:val="auto"/>
        </w:rPr>
        <w:drawing>
          <wp:inline distT="0" distB="0" distL="0" distR="0">
            <wp:extent cx="180340" cy="14287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0340" cy="142875"/>
                    </a:xfrm>
                    <a:prstGeom prst="rect">
                      <a:avLst/>
                    </a:prstGeom>
                    <a:noFill/>
                    <a:ln>
                      <a:noFill/>
                    </a:ln>
                  </pic:spPr>
                </pic:pic>
              </a:graphicData>
            </a:graphic>
          </wp:inline>
        </w:drawing>
      </w:r>
      <w:r>
        <w:rPr>
          <w:rFonts w:ascii="Arial" w:cs="Arial" w:eastAsia="Arial" w:hAnsi="Arial"/>
          <w:sz w:val="18"/>
          <w:szCs w:val="18"/>
          <w:b w:val="1"/>
          <w:bCs w:val="1"/>
          <w:color w:val="auto"/>
        </w:rPr>
        <w:t xml:space="preserve"> NO Short Sales </w:t>
      </w:r>
      <w:r>
        <w:rPr>
          <w:rFonts w:ascii="Arial" w:cs="Arial" w:eastAsia="Arial" w:hAnsi="Arial"/>
          <w:sz w:val="18"/>
          <w:szCs w:val="18"/>
          <w:color w:val="auto"/>
        </w:rPr>
        <w:t>or other speculative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involving Company securities</w:t>
      </w:r>
    </w:p>
    <w:p>
      <w:pPr>
        <w:ind w:left="280" w:right="40" w:hanging="269"/>
        <w:spacing w:after="0" w:line="249" w:lineRule="auto"/>
        <w:rPr>
          <w:sz w:val="20"/>
          <w:szCs w:val="20"/>
          <w:color w:val="auto"/>
        </w:rPr>
      </w:pPr>
      <w:r>
        <w:rPr>
          <w:sz w:val="1"/>
          <w:szCs w:val="1"/>
          <w:color w:val="auto"/>
        </w:rPr>
        <w:drawing>
          <wp:inline distT="0" distB="0" distL="0" distR="0">
            <wp:extent cx="180340" cy="14287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0340" cy="142875"/>
                    </a:xfrm>
                    <a:prstGeom prst="rect">
                      <a:avLst/>
                    </a:prstGeom>
                    <a:noFill/>
                    <a:ln>
                      <a:noFill/>
                    </a:ln>
                  </pic:spPr>
                </pic:pic>
              </a:graphicData>
            </a:graphic>
          </wp:inline>
        </w:drawing>
      </w:r>
      <w:r>
        <w:rPr>
          <w:rFonts w:ascii="Arial" w:cs="Arial" w:eastAsia="Arial" w:hAnsi="Arial"/>
          <w:sz w:val="18"/>
          <w:szCs w:val="18"/>
          <w:b w:val="1"/>
          <w:bCs w:val="1"/>
          <w:color w:val="auto"/>
        </w:rPr>
        <w:t xml:space="preserve"> NO Option Repricing </w:t>
      </w:r>
      <w:r>
        <w:rPr>
          <w:rFonts w:ascii="Arial" w:cs="Arial" w:eastAsia="Arial" w:hAnsi="Arial"/>
          <w:sz w:val="18"/>
          <w:szCs w:val="18"/>
          <w:color w:val="auto"/>
        </w:rPr>
        <w:t>of underwater stock options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 approval</w:t>
      </w:r>
    </w:p>
    <w:p>
      <w:pPr>
        <w:ind w:left="280" w:right="200" w:hanging="269"/>
        <w:spacing w:after="0" w:line="244" w:lineRule="auto"/>
        <w:rPr>
          <w:sz w:val="20"/>
          <w:szCs w:val="20"/>
          <w:color w:val="auto"/>
        </w:rPr>
      </w:pPr>
      <w:r>
        <w:rPr>
          <w:sz w:val="1"/>
          <w:szCs w:val="1"/>
          <w:color w:val="auto"/>
        </w:rPr>
        <w:drawing>
          <wp:inline distT="0" distB="0" distL="0" distR="0">
            <wp:extent cx="180340" cy="14287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0340" cy="142875"/>
                    </a:xfrm>
                    <a:prstGeom prst="rect">
                      <a:avLst/>
                    </a:prstGeom>
                    <a:noFill/>
                    <a:ln>
                      <a:noFill/>
                    </a:ln>
                  </pic:spPr>
                </pic:pic>
              </a:graphicData>
            </a:graphic>
          </wp:inline>
        </w:drawing>
      </w:r>
      <w:r>
        <w:rPr>
          <w:rFonts w:ascii="Arial" w:cs="Arial" w:eastAsia="Arial" w:hAnsi="Arial"/>
          <w:sz w:val="18"/>
          <w:szCs w:val="18"/>
          <w:b w:val="1"/>
          <w:bCs w:val="1"/>
          <w:color w:val="auto"/>
        </w:rPr>
        <w:t xml:space="preserve"> NO Single Trigger </w:t>
      </w:r>
      <w:r>
        <w:rPr>
          <w:rFonts w:ascii="Arial" w:cs="Arial" w:eastAsia="Arial" w:hAnsi="Arial"/>
          <w:sz w:val="18"/>
          <w:szCs w:val="18"/>
          <w:color w:val="auto"/>
        </w:rPr>
        <w:t>accelerated vesting of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awards upon a change in control without a qualifying loss of employment</w:t>
      </w:r>
    </w:p>
    <w:p>
      <w:pPr>
        <w:spacing w:after="0" w:line="1" w:lineRule="exact"/>
        <w:rPr>
          <w:sz w:val="20"/>
          <w:szCs w:val="20"/>
          <w:color w:val="auto"/>
        </w:rPr>
      </w:pPr>
    </w:p>
    <w:p>
      <w:pPr>
        <w:ind w:left="280" w:right="40" w:hanging="269"/>
        <w:spacing w:after="0"/>
        <w:rPr>
          <w:sz w:val="20"/>
          <w:szCs w:val="20"/>
          <w:color w:val="auto"/>
        </w:rPr>
      </w:pPr>
      <w:r>
        <w:rPr>
          <w:sz w:val="1"/>
          <w:szCs w:val="1"/>
          <w:color w:val="auto"/>
        </w:rPr>
        <w:drawing>
          <wp:inline distT="0" distB="0" distL="0" distR="0">
            <wp:extent cx="180340" cy="14287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0340" cy="142875"/>
                    </a:xfrm>
                    <a:prstGeom prst="rect">
                      <a:avLst/>
                    </a:prstGeom>
                    <a:noFill/>
                    <a:ln>
                      <a:noFill/>
                    </a:ln>
                  </pic:spPr>
                </pic:pic>
              </a:graphicData>
            </a:graphic>
          </wp:inline>
        </w:drawing>
      </w:r>
      <w:r>
        <w:rPr>
          <w:rFonts w:ascii="Arial" w:cs="Arial" w:eastAsia="Arial" w:hAnsi="Arial"/>
          <w:sz w:val="18"/>
          <w:szCs w:val="18"/>
          <w:b w:val="1"/>
          <w:bCs w:val="1"/>
          <w:color w:val="auto"/>
        </w:rPr>
        <w:t xml:space="preserve"> NO Pledging </w:t>
      </w:r>
      <w:r>
        <w:rPr>
          <w:rFonts w:ascii="Arial" w:cs="Arial" w:eastAsia="Arial" w:hAnsi="Arial"/>
          <w:sz w:val="18"/>
          <w:szCs w:val="18"/>
          <w:color w:val="auto"/>
        </w:rPr>
        <w:t>of Company securities as collateral or</w:t>
      </w:r>
      <w:r>
        <w:rPr>
          <w:rFonts w:ascii="Arial" w:cs="Arial" w:eastAsia="Arial" w:hAnsi="Arial"/>
          <w:sz w:val="18"/>
          <w:szCs w:val="18"/>
          <w:b w:val="1"/>
          <w:bCs w:val="1"/>
          <w:color w:val="auto"/>
        </w:rPr>
        <w:t xml:space="preserve"> </w:t>
      </w:r>
      <w:r>
        <w:rPr>
          <w:rFonts w:ascii="Arial" w:cs="Arial" w:eastAsia="Arial" w:hAnsi="Arial"/>
          <w:sz w:val="18"/>
          <w:szCs w:val="18"/>
          <w:color w:val="auto"/>
        </w:rPr>
        <w:t>holding Company securities as collateral in a margin account (the Board has made an exception to the policy for our Chief Executive Officer, see Footnote 2 in the “</w:t>
      </w:r>
      <w:r>
        <w:rPr>
          <w:rFonts w:ascii="Arial" w:cs="Arial" w:eastAsia="Arial" w:hAnsi="Arial"/>
          <w:sz w:val="18"/>
          <w:szCs w:val="18"/>
          <w:i w:val="1"/>
          <w:iCs w:val="1"/>
          <w:color w:val="auto"/>
        </w:rPr>
        <w:t>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Ownership Table” </w:t>
      </w:r>
      <w:r>
        <w:rPr>
          <w:rFonts w:ascii="Arial" w:cs="Arial" w:eastAsia="Arial" w:hAnsi="Arial"/>
          <w:sz w:val="18"/>
          <w:szCs w:val="18"/>
          <w:color w:val="auto"/>
        </w:rPr>
        <w:t>beginning on page 73)</w:t>
      </w:r>
    </w:p>
    <w:p>
      <w:pPr>
        <w:spacing w:after="0" w:line="2" w:lineRule="exact"/>
        <w:rPr>
          <w:sz w:val="20"/>
          <w:szCs w:val="20"/>
          <w:color w:val="auto"/>
        </w:rPr>
      </w:pPr>
    </w:p>
    <w:p>
      <w:pPr>
        <w:ind w:left="280" w:right="260" w:hanging="269"/>
        <w:spacing w:after="0" w:line="261" w:lineRule="auto"/>
        <w:rPr>
          <w:sz w:val="20"/>
          <w:szCs w:val="20"/>
          <w:color w:val="auto"/>
        </w:rPr>
      </w:pPr>
      <w:r>
        <w:rPr>
          <w:sz w:val="1"/>
          <w:szCs w:val="1"/>
          <w:color w:val="auto"/>
        </w:rPr>
        <w:drawing>
          <wp:inline distT="0" distB="0" distL="0" distR="0">
            <wp:extent cx="180340" cy="1543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0340" cy="154305"/>
                    </a:xfrm>
                    <a:prstGeom prst="rect">
                      <a:avLst/>
                    </a:prstGeom>
                    <a:noFill/>
                    <a:ln>
                      <a:noFill/>
                    </a:ln>
                  </pic:spPr>
                </pic:pic>
              </a:graphicData>
            </a:graphic>
          </wp:inline>
        </w:drawing>
      </w:r>
      <w:r>
        <w:rPr>
          <w:rFonts w:ascii="Arial" w:cs="Arial" w:eastAsia="Arial" w:hAnsi="Arial"/>
          <w:sz w:val="18"/>
          <w:szCs w:val="18"/>
          <w:b w:val="1"/>
          <w:bCs w:val="1"/>
          <w:color w:val="auto"/>
        </w:rPr>
        <w:t xml:space="preserve"> NO Employment Agreements </w:t>
      </w:r>
      <w:r>
        <w:rPr>
          <w:rFonts w:ascii="Arial" w:cs="Arial" w:eastAsia="Arial" w:hAnsi="Arial"/>
          <w:sz w:val="18"/>
          <w:szCs w:val="18"/>
          <w:color w:val="auto"/>
        </w:rPr>
        <w:t>for our executives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our Chief Executive Officer</w:t>
      </w:r>
    </w:p>
    <w:p>
      <w:pPr>
        <w:spacing w:after="0" w:line="200" w:lineRule="exact"/>
        <w:rPr>
          <w:sz w:val="20"/>
          <w:szCs w:val="20"/>
          <w:color w:val="auto"/>
        </w:rPr>
      </w:pPr>
    </w:p>
    <w:p>
      <w:pPr>
        <w:sectPr>
          <w:pgSz w:w="11900" w:h="16838" w:orient="portrait"/>
          <w:cols w:equalWidth="0" w:num="2">
            <w:col w:w="5600" w:space="400"/>
            <w:col w:w="5020"/>
          </w:cols>
          <w:pgMar w:left="440" w:top="422" w:right="439" w:bottom="1440" w:gutter="0" w:footer="0" w:header="0"/>
          <w:type w:val="continuous"/>
        </w:sectPr>
      </w:pP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70C0"/>
        </w:rPr>
        <w:t>IBP 2024 Proxy Statement</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Proxy Summary</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5</w:t>
      </w:r>
    </w:p>
    <w:p>
      <w:pPr>
        <w:sectPr>
          <w:pgSz w:w="11900" w:h="16838" w:orient="portrait"/>
          <w:cols w:equalWidth="0" w:num="1">
            <w:col w:w="11020"/>
          </w:cols>
          <w:pgMar w:left="440" w:top="422" w:right="439" w:bottom="1440" w:gutter="0" w:footer="0" w:header="0"/>
          <w:type w:val="continuous"/>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40"/>
          <w:szCs w:val="40"/>
          <w:b w:val="1"/>
          <w:bCs w:val="1"/>
          <w:color w:val="0070C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69951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Upon the recommendation of the Nominating and Corporate Governance Committee (“NCG Committee”), the Board has nominated and is submitting to a vote of our stockholders a proposal to elect Margot L. Carter, David R. Meuse and Michael H. Thomas as Class II directors to serve for three-year terms. Each nominee’s term runs until the 2027 Annual Meeting of Stockholders.</w:t>
      </w:r>
    </w:p>
    <w:p>
      <w:pPr>
        <w:spacing w:after="0" w:line="16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NCG Committee and the Board evaluated the background, experience, qualifications, attributes and skills of each nominee, as well as the years of experience they have had working together on the Board and the knowledge of the Company’s business and operations they have developed as a result of such service. The NCG Committee and the Board also considered Board refreshment and each nominee’s contributions to the Board and role in the operation of the Board as a whole. See “</w:t>
      </w:r>
      <w:r>
        <w:rPr>
          <w:rFonts w:ascii="Arial" w:cs="Arial" w:eastAsia="Arial" w:hAnsi="Arial"/>
          <w:sz w:val="18"/>
          <w:szCs w:val="18"/>
          <w:i w:val="1"/>
          <w:iCs w:val="1"/>
          <w:color w:val="auto"/>
        </w:rPr>
        <w:t>Director Qualifications,” “Board Composition</w:t>
      </w:r>
      <w:r>
        <w:rPr>
          <w:rFonts w:ascii="Arial" w:cs="Arial" w:eastAsia="Arial" w:hAnsi="Arial"/>
          <w:sz w:val="18"/>
          <w:szCs w:val="18"/>
          <w:color w:val="auto"/>
        </w:rPr>
        <w:t>” and “</w:t>
      </w:r>
      <w:r>
        <w:rPr>
          <w:rFonts w:ascii="Arial" w:cs="Arial" w:eastAsia="Arial" w:hAnsi="Arial"/>
          <w:sz w:val="18"/>
          <w:szCs w:val="18"/>
          <w:i w:val="1"/>
          <w:iCs w:val="1"/>
          <w:color w:val="auto"/>
        </w:rPr>
        <w:t>Director Skills, Experience and Background</w:t>
      </w:r>
      <w:r>
        <w:rPr>
          <w:rFonts w:ascii="Arial" w:cs="Arial" w:eastAsia="Arial" w:hAnsi="Arial"/>
          <w:sz w:val="18"/>
          <w:szCs w:val="18"/>
          <w:color w:val="auto"/>
        </w:rPr>
        <w:t>” below.</w:t>
      </w:r>
    </w:p>
    <w:p>
      <w:pPr>
        <w:spacing w:after="0" w:line="176"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color w:val="auto"/>
        </w:rPr>
        <w:t>Director nominees are expected to demonstrate leadership and to possess the highest professional and personal integrity, values and judgment. The NCG Committee and the Board have determined that each of our nominees possesses the skills, experience and perspectives, collectively with other directors, to comprise a well-rounded, highly effective Board of Directors, and have determined that the nominees add to the overall diversity of the Board by bringing insights and practical wisdom based on their experience or expertise.</w:t>
      </w:r>
    </w:p>
    <w:p>
      <w:pPr>
        <w:spacing w:after="0" w:line="15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All of the director nominees currently serve on the Board. Each nominee has accepted the nomination and has agreed to serve if elected. If a nominee is unable to serve as a director, the Board may reduce the number of directors constituting the full Board or may choose a substitute nominee.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Overview of the Board</w:t>
      </w:r>
    </w:p>
    <w:p>
      <w:pPr>
        <w:spacing w:after="0" w:line="256"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Our directors are divided into three classes, as nearly equal in number as possible and designated Class I, Class II and Class III, with one class of directors elected annually for a three-year term and the other classes of directors continuing to serve for the remainder of their respective terms. Each director holds office until his or her successor is duly elected and qualified or until his or her earlier death, resignation, retirement, disqualification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139700</wp:posOffset>
            </wp:positionV>
            <wp:extent cx="6309360" cy="6083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0936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number of directors constituting the Board is fixed from time to time by a majority vote of the directors then in office. Our Board of Directors has currently fixed the number of directors at nine. No decrease in the authorized number of directors will result in the removal of an incumbent director until that director’s term of office expires. Vacancies may be filled by the Board.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Director Qualifications</w:t>
      </w:r>
    </w:p>
    <w:p>
      <w:pPr>
        <w:spacing w:after="0" w:line="256"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Our NCG Committee is responsible for annually reviewing the qualifications for Board membership and identifying and assessing the appropriate skills and characteristics of our directors and director candidates with a view toward ensuring that the Board is comprised of individuals whose backgrounds, skills, experience and expertise, when taken together, provide the Board with the ability to provide effective oversight of the Company and its operations, strategy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6995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70C0"/>
        </w:rPr>
        <w:t>Proposal 1 – Election of Directors</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70C0"/>
        </w:rPr>
        <w:t>6</w:t>
      </w:r>
    </w:p>
    <w:p>
      <w:pPr>
        <w:sectPr>
          <w:pgSz w:w="11900" w:h="16838" w:orient="portrait"/>
          <w:cols w:equalWidth="0" w:num="1">
            <w:col w:w="11000"/>
          </w:cols>
          <w:pgMar w:left="440" w:top="261" w:right="459" w:bottom="1440" w:gutter="0" w:footer="0" w:header="0"/>
        </w:sectPr>
      </w:pPr>
    </w:p>
    <w:bookmarkStart w:id="14" w:name="page15"/>
    <w:bookmarkEnd w:id="14"/>
    <w:p>
      <w:pPr>
        <w:ind w:right="60"/>
        <w:spacing w:after="0" w:line="24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 evaluating the suitability of director candidates, the NCG Committee considers evolving needs within the Board and evaluates the entirety of each director candidate’s credentials. The NCG Committee considers numerous factors, including those set forth in the matrix below, in seeking to maintain a balance of knowledge, experience, expertise, background and capability. The skills matrix assists the NCG Committee in determining whether a director candidate or a Board member possesses skills that may be valuable in light of current and anticipated strategic plans, operational requirements and risk challenges and in the long term interest of our stockholders. Each of our director nominees and continuing directors possess valuable skills and experience that are not reflected in the matrix.</w:t>
      </w:r>
    </w:p>
    <w:p>
      <w:pPr>
        <w:spacing w:after="0" w:line="205" w:lineRule="exact"/>
        <w:rPr>
          <w:sz w:val="20"/>
          <w:szCs w:val="20"/>
          <w:color w:val="auto"/>
        </w:rPr>
      </w:pPr>
    </w:p>
    <w:tbl>
      <w:tblPr>
        <w:tblLayout w:type="fixed"/>
        <w:tblInd w:w="220" w:type="dxa"/>
        <w:tblCellMar>
          <w:top w:w="0" w:type="dxa"/>
          <w:left w:w="0" w:type="dxa"/>
          <w:bottom w:w="0" w:type="dxa"/>
          <w:right w:w="0" w:type="dxa"/>
        </w:tblCellMar>
      </w:tblPr>
      <w:tr>
        <w:trPr>
          <w:trHeight w:val="1880"/>
        </w:trPr>
        <w:tc>
          <w:tcPr>
            <w:tcW w:w="660" w:type="dxa"/>
            <w:vAlign w:val="bottom"/>
            <w:tcBorders>
              <w:top w:val="single" w:sz="8" w:color="0070C0"/>
            </w:tcBorders>
            <w:shd w:val="clear" w:color="auto" w:fill="002060"/>
          </w:tcPr>
          <w:p>
            <w:pPr>
              <w:spacing w:after="0"/>
              <w:rPr>
                <w:sz w:val="24"/>
                <w:szCs w:val="24"/>
                <w:color w:val="auto"/>
              </w:rPr>
            </w:pPr>
          </w:p>
        </w:tc>
        <w:tc>
          <w:tcPr>
            <w:tcW w:w="200" w:type="dxa"/>
            <w:vAlign w:val="bottom"/>
            <w:tcBorders>
              <w:top w:val="single" w:sz="8" w:color="0070C0"/>
            </w:tcBorders>
            <w:shd w:val="clear" w:color="auto" w:fill="D5DCE4"/>
          </w:tcPr>
          <w:p>
            <w:pPr>
              <w:spacing w:after="0"/>
              <w:rPr>
                <w:sz w:val="24"/>
                <w:szCs w:val="24"/>
                <w:color w:val="auto"/>
              </w:rPr>
            </w:pPr>
          </w:p>
        </w:tc>
        <w:tc>
          <w:tcPr>
            <w:tcW w:w="4140" w:type="dxa"/>
            <w:vAlign w:val="bottom"/>
            <w:tcBorders>
              <w:top w:val="single" w:sz="8" w:color="0070C0"/>
              <w:right w:val="single" w:sz="8" w:color="auto"/>
            </w:tcBorders>
            <w:shd w:val="clear" w:color="auto" w:fill="D5DCE4"/>
          </w:tcPr>
          <w:p>
            <w:pPr>
              <w:spacing w:after="0"/>
              <w:rPr>
                <w:sz w:val="24"/>
                <w:szCs w:val="24"/>
                <w:color w:val="auto"/>
              </w:rPr>
            </w:pPr>
          </w:p>
        </w:tc>
        <w:tc>
          <w:tcPr>
            <w:tcW w:w="640" w:type="dxa"/>
            <w:vAlign w:val="bottom"/>
            <w:tcBorders>
              <w:top w:val="single" w:sz="8" w:color="0070C0"/>
              <w:right w:val="single" w:sz="8" w:color="auto"/>
            </w:tcBorders>
          </w:tcPr>
          <w:p>
            <w:pPr>
              <w:ind w:left="360"/>
              <w:spacing w:after="0"/>
              <w:rPr>
                <w:sz w:val="20"/>
                <w:szCs w:val="20"/>
                <w:color w:val="auto"/>
              </w:rPr>
            </w:pPr>
            <w:r>
              <w:rPr>
                <w:rFonts w:ascii="Arial" w:cs="Arial" w:eastAsia="Arial" w:hAnsi="Arial"/>
                <w:sz w:val="18"/>
                <w:szCs w:val="18"/>
                <w:color w:val="auto"/>
              </w:rPr>
              <w:t xml:space="preserve">    </w:t>
            </w:r>
          </w:p>
        </w:tc>
        <w:tc>
          <w:tcPr>
            <w:tcW w:w="640" w:type="dxa"/>
            <w:vAlign w:val="bottom"/>
            <w:tcBorders>
              <w:top w:val="single" w:sz="8" w:color="0070C0"/>
              <w:right w:val="single" w:sz="8" w:color="auto"/>
            </w:tcBorders>
          </w:tcPr>
          <w:p>
            <w:pPr>
              <w:ind w:left="380"/>
              <w:spacing w:after="0"/>
              <w:rPr>
                <w:sz w:val="20"/>
                <w:szCs w:val="20"/>
                <w:color w:val="auto"/>
              </w:rPr>
            </w:pPr>
            <w:r>
              <w:rPr>
                <w:rFonts w:ascii="Arial" w:cs="Arial" w:eastAsia="Arial" w:hAnsi="Arial"/>
                <w:sz w:val="18"/>
                <w:szCs w:val="18"/>
                <w:color w:val="auto"/>
              </w:rPr>
              <w:t xml:space="preserve">    </w:t>
            </w:r>
          </w:p>
        </w:tc>
        <w:tc>
          <w:tcPr>
            <w:tcW w:w="660" w:type="dxa"/>
            <w:vAlign w:val="bottom"/>
            <w:tcBorders>
              <w:top w:val="single" w:sz="8" w:color="0070C0"/>
              <w:right w:val="single" w:sz="8" w:color="auto"/>
            </w:tcBorders>
          </w:tcPr>
          <w:p>
            <w:pPr>
              <w:ind w:left="360"/>
              <w:spacing w:after="0"/>
              <w:rPr>
                <w:sz w:val="20"/>
                <w:szCs w:val="20"/>
                <w:color w:val="auto"/>
              </w:rPr>
            </w:pPr>
            <w:r>
              <w:rPr>
                <w:rFonts w:ascii="Arial" w:cs="Arial" w:eastAsia="Arial" w:hAnsi="Arial"/>
                <w:sz w:val="18"/>
                <w:szCs w:val="18"/>
                <w:color w:val="auto"/>
              </w:rPr>
              <w:t xml:space="preserve">    </w:t>
            </w:r>
          </w:p>
        </w:tc>
        <w:tc>
          <w:tcPr>
            <w:tcW w:w="640" w:type="dxa"/>
            <w:vAlign w:val="bottom"/>
            <w:tcBorders>
              <w:top w:val="single" w:sz="8" w:color="0070C0"/>
              <w:right w:val="single" w:sz="8" w:color="auto"/>
            </w:tcBorders>
          </w:tcPr>
          <w:p>
            <w:pPr>
              <w:ind w:left="340"/>
              <w:spacing w:after="0"/>
              <w:rPr>
                <w:sz w:val="20"/>
                <w:szCs w:val="20"/>
                <w:color w:val="auto"/>
              </w:rPr>
            </w:pPr>
            <w:r>
              <w:rPr>
                <w:rFonts w:ascii="Arial" w:cs="Arial" w:eastAsia="Arial" w:hAnsi="Arial"/>
                <w:sz w:val="18"/>
                <w:szCs w:val="18"/>
                <w:color w:val="auto"/>
              </w:rPr>
              <w:t xml:space="preserve">    </w:t>
            </w:r>
          </w:p>
        </w:tc>
        <w:tc>
          <w:tcPr>
            <w:tcW w:w="660" w:type="dxa"/>
            <w:vAlign w:val="bottom"/>
            <w:tcBorders>
              <w:top w:val="single" w:sz="8" w:color="0070C0"/>
              <w:right w:val="single" w:sz="8" w:color="auto"/>
            </w:tcBorders>
          </w:tcPr>
          <w:p>
            <w:pPr>
              <w:ind w:left="360"/>
              <w:spacing w:after="0"/>
              <w:rPr>
                <w:sz w:val="20"/>
                <w:szCs w:val="20"/>
                <w:color w:val="auto"/>
              </w:rPr>
            </w:pPr>
            <w:r>
              <w:rPr>
                <w:rFonts w:ascii="Arial" w:cs="Arial" w:eastAsia="Arial" w:hAnsi="Arial"/>
                <w:sz w:val="18"/>
                <w:szCs w:val="18"/>
                <w:color w:val="auto"/>
              </w:rPr>
              <w:t xml:space="preserve">    </w:t>
            </w:r>
          </w:p>
        </w:tc>
        <w:tc>
          <w:tcPr>
            <w:tcW w:w="640" w:type="dxa"/>
            <w:vAlign w:val="bottom"/>
            <w:tcBorders>
              <w:top w:val="single" w:sz="8" w:color="0070C0"/>
              <w:right w:val="single" w:sz="8" w:color="auto"/>
            </w:tcBorders>
          </w:tcPr>
          <w:p>
            <w:pPr>
              <w:ind w:left="360"/>
              <w:spacing w:after="0"/>
              <w:rPr>
                <w:sz w:val="20"/>
                <w:szCs w:val="20"/>
                <w:color w:val="auto"/>
              </w:rPr>
            </w:pPr>
            <w:r>
              <w:rPr>
                <w:rFonts w:ascii="Arial" w:cs="Arial" w:eastAsia="Arial" w:hAnsi="Arial"/>
                <w:sz w:val="18"/>
                <w:szCs w:val="18"/>
                <w:color w:val="auto"/>
              </w:rPr>
              <w:t xml:space="preserve">    </w:t>
            </w:r>
          </w:p>
        </w:tc>
        <w:tc>
          <w:tcPr>
            <w:tcW w:w="640" w:type="dxa"/>
            <w:vAlign w:val="bottom"/>
            <w:tcBorders>
              <w:top w:val="single" w:sz="8" w:color="0070C0"/>
              <w:right w:val="single" w:sz="8" w:color="auto"/>
            </w:tcBorders>
          </w:tcPr>
          <w:p>
            <w:pPr>
              <w:ind w:left="360"/>
              <w:spacing w:after="0"/>
              <w:rPr>
                <w:sz w:val="20"/>
                <w:szCs w:val="20"/>
                <w:color w:val="auto"/>
              </w:rPr>
            </w:pPr>
            <w:r>
              <w:rPr>
                <w:rFonts w:ascii="Arial" w:cs="Arial" w:eastAsia="Arial" w:hAnsi="Arial"/>
                <w:sz w:val="18"/>
                <w:szCs w:val="18"/>
                <w:color w:val="auto"/>
              </w:rPr>
              <w:t xml:space="preserve">    </w:t>
            </w:r>
          </w:p>
        </w:tc>
        <w:tc>
          <w:tcPr>
            <w:tcW w:w="660" w:type="dxa"/>
            <w:vAlign w:val="bottom"/>
            <w:tcBorders>
              <w:top w:val="single" w:sz="8" w:color="0070C0"/>
              <w:right w:val="single" w:sz="8" w:color="auto"/>
            </w:tcBorders>
          </w:tcPr>
          <w:p>
            <w:pPr>
              <w:ind w:left="360"/>
              <w:spacing w:after="0"/>
              <w:rPr>
                <w:sz w:val="20"/>
                <w:szCs w:val="20"/>
                <w:color w:val="auto"/>
              </w:rPr>
            </w:pPr>
            <w:r>
              <w:rPr>
                <w:rFonts w:ascii="Arial" w:cs="Arial" w:eastAsia="Arial" w:hAnsi="Arial"/>
                <w:sz w:val="18"/>
                <w:szCs w:val="18"/>
                <w:color w:val="auto"/>
              </w:rPr>
              <w:t xml:space="preserve">    </w:t>
            </w:r>
          </w:p>
        </w:tc>
        <w:tc>
          <w:tcPr>
            <w:tcW w:w="640" w:type="dxa"/>
            <w:vAlign w:val="bottom"/>
            <w:tcBorders>
              <w:top w:val="single" w:sz="8" w:color="0070C0"/>
              <w:right w:val="single" w:sz="8" w:color="auto"/>
            </w:tcBorders>
          </w:tcPr>
          <w:p>
            <w:pPr>
              <w:ind w:left="320"/>
              <w:spacing w:after="0"/>
              <w:rPr>
                <w:sz w:val="20"/>
                <w:szCs w:val="20"/>
                <w:color w:val="auto"/>
              </w:rPr>
            </w:pP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91"/>
        </w:trPr>
        <w:tc>
          <w:tcPr>
            <w:tcW w:w="660" w:type="dxa"/>
            <w:vAlign w:val="bottom"/>
            <w:shd w:val="clear" w:color="auto" w:fill="002060"/>
          </w:tcPr>
          <w:p>
            <w:pPr>
              <w:spacing w:after="0"/>
              <w:rPr>
                <w:sz w:val="7"/>
                <w:szCs w:val="7"/>
                <w:color w:val="auto"/>
              </w:rPr>
            </w:pPr>
          </w:p>
        </w:tc>
        <w:tc>
          <w:tcPr>
            <w:tcW w:w="4340" w:type="dxa"/>
            <w:vAlign w:val="bottom"/>
            <w:tcBorders>
              <w:right w:val="single" w:sz="8" w:color="auto"/>
            </w:tcBorders>
            <w:gridSpan w:val="2"/>
            <w:shd w:val="clear" w:color="auto" w:fill="D5DCE4"/>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60" w:type="dxa"/>
            <w:vAlign w:val="bottom"/>
            <w:shd w:val="clear" w:color="auto" w:fill="002060"/>
          </w:tcPr>
          <w:p>
            <w:pPr>
              <w:spacing w:after="0"/>
              <w:rPr>
                <w:sz w:val="24"/>
                <w:szCs w:val="24"/>
                <w:color w:val="auto"/>
              </w:rPr>
            </w:pPr>
          </w:p>
        </w:tc>
        <w:tc>
          <w:tcPr>
            <w:tcW w:w="4340" w:type="dxa"/>
            <w:vAlign w:val="bottom"/>
            <w:tcBorders>
              <w:right w:val="single" w:sz="8" w:color="auto"/>
            </w:tcBorders>
            <w:gridSpan w:val="2"/>
            <w:shd w:val="clear" w:color="auto" w:fill="002060"/>
          </w:tcPr>
          <w:p>
            <w:pPr>
              <w:spacing w:after="0"/>
              <w:rPr>
                <w:sz w:val="20"/>
                <w:szCs w:val="20"/>
                <w:color w:val="auto"/>
              </w:rPr>
            </w:pPr>
            <w:r>
              <w:rPr>
                <w:rFonts w:ascii="Arial" w:cs="Arial" w:eastAsia="Arial" w:hAnsi="Arial"/>
                <w:sz w:val="16"/>
                <w:szCs w:val="16"/>
                <w:b w:val="1"/>
                <w:bCs w:val="1"/>
                <w:color w:val="FFFFFF"/>
              </w:rPr>
              <w:t>Industry Knowledge</w:t>
            </w:r>
          </w:p>
        </w:tc>
        <w:tc>
          <w:tcPr>
            <w:tcW w:w="640" w:type="dxa"/>
            <w:vAlign w:val="bottom"/>
            <w:tcBorders>
              <w:right w:val="single" w:sz="8" w:color="auto"/>
            </w:tcBorders>
            <w:shd w:val="clear" w:color="auto" w:fill="002060"/>
          </w:tcPr>
          <w:p>
            <w:pPr>
              <w:spacing w:after="0"/>
              <w:rPr>
                <w:sz w:val="24"/>
                <w:szCs w:val="24"/>
                <w:color w:val="auto"/>
              </w:rPr>
            </w:pPr>
          </w:p>
        </w:tc>
        <w:tc>
          <w:tcPr>
            <w:tcW w:w="640" w:type="dxa"/>
            <w:vAlign w:val="bottom"/>
            <w:tcBorders>
              <w:right w:val="single" w:sz="8" w:color="auto"/>
            </w:tcBorders>
            <w:shd w:val="clear" w:color="auto" w:fill="002060"/>
          </w:tcPr>
          <w:p>
            <w:pPr>
              <w:spacing w:after="0"/>
              <w:rPr>
                <w:sz w:val="24"/>
                <w:szCs w:val="24"/>
                <w:color w:val="auto"/>
              </w:rPr>
            </w:pPr>
          </w:p>
        </w:tc>
        <w:tc>
          <w:tcPr>
            <w:tcW w:w="660" w:type="dxa"/>
            <w:vAlign w:val="bottom"/>
            <w:tcBorders>
              <w:right w:val="single" w:sz="8" w:color="auto"/>
            </w:tcBorders>
            <w:shd w:val="clear" w:color="auto" w:fill="002060"/>
          </w:tcPr>
          <w:p>
            <w:pPr>
              <w:spacing w:after="0"/>
              <w:rPr>
                <w:sz w:val="24"/>
                <w:szCs w:val="24"/>
                <w:color w:val="auto"/>
              </w:rPr>
            </w:pPr>
          </w:p>
        </w:tc>
        <w:tc>
          <w:tcPr>
            <w:tcW w:w="640" w:type="dxa"/>
            <w:vAlign w:val="bottom"/>
            <w:tcBorders>
              <w:right w:val="single" w:sz="8" w:color="auto"/>
            </w:tcBorders>
            <w:shd w:val="clear" w:color="auto" w:fill="002060"/>
          </w:tcPr>
          <w:p>
            <w:pPr>
              <w:spacing w:after="0"/>
              <w:rPr>
                <w:sz w:val="24"/>
                <w:szCs w:val="24"/>
                <w:color w:val="auto"/>
              </w:rPr>
            </w:pPr>
          </w:p>
        </w:tc>
        <w:tc>
          <w:tcPr>
            <w:tcW w:w="660" w:type="dxa"/>
            <w:vAlign w:val="bottom"/>
            <w:tcBorders>
              <w:right w:val="single" w:sz="8" w:color="auto"/>
            </w:tcBorders>
            <w:shd w:val="clear" w:color="auto" w:fill="002060"/>
          </w:tcPr>
          <w:p>
            <w:pPr>
              <w:spacing w:after="0"/>
              <w:rPr>
                <w:sz w:val="24"/>
                <w:szCs w:val="24"/>
                <w:color w:val="auto"/>
              </w:rPr>
            </w:pPr>
          </w:p>
        </w:tc>
        <w:tc>
          <w:tcPr>
            <w:tcW w:w="640" w:type="dxa"/>
            <w:vAlign w:val="bottom"/>
            <w:tcBorders>
              <w:right w:val="single" w:sz="8" w:color="auto"/>
            </w:tcBorders>
            <w:shd w:val="clear" w:color="auto" w:fill="002060"/>
          </w:tcPr>
          <w:p>
            <w:pPr>
              <w:spacing w:after="0"/>
              <w:rPr>
                <w:sz w:val="24"/>
                <w:szCs w:val="24"/>
                <w:color w:val="auto"/>
              </w:rPr>
            </w:pPr>
          </w:p>
        </w:tc>
        <w:tc>
          <w:tcPr>
            <w:tcW w:w="640" w:type="dxa"/>
            <w:vAlign w:val="bottom"/>
            <w:tcBorders>
              <w:right w:val="single" w:sz="8" w:color="auto"/>
            </w:tcBorders>
            <w:shd w:val="clear" w:color="auto" w:fill="002060"/>
          </w:tcPr>
          <w:p>
            <w:pPr>
              <w:spacing w:after="0"/>
              <w:rPr>
                <w:sz w:val="24"/>
                <w:szCs w:val="24"/>
                <w:color w:val="auto"/>
              </w:rPr>
            </w:pPr>
          </w:p>
        </w:tc>
        <w:tc>
          <w:tcPr>
            <w:tcW w:w="660" w:type="dxa"/>
            <w:vAlign w:val="bottom"/>
            <w:tcBorders>
              <w:right w:val="single" w:sz="8" w:color="auto"/>
            </w:tcBorders>
            <w:vMerge w:val="restart"/>
            <w:shd w:val="clear" w:color="auto" w:fill="002060"/>
          </w:tcPr>
          <w:p>
            <w:pPr>
              <w:ind w:left="100"/>
              <w:spacing w:after="0"/>
              <w:rPr>
                <w:sz w:val="20"/>
                <w:szCs w:val="20"/>
                <w:color w:val="auto"/>
              </w:rPr>
            </w:pPr>
            <w:r>
              <w:rPr>
                <w:rFonts w:ascii="Arial" w:cs="Arial" w:eastAsia="Arial" w:hAnsi="Arial"/>
                <w:sz w:val="18"/>
                <w:szCs w:val="18"/>
                <w:color w:val="auto"/>
              </w:rPr>
              <w:t> </w:t>
            </w:r>
          </w:p>
        </w:tc>
        <w:tc>
          <w:tcPr>
            <w:tcW w:w="640" w:type="dxa"/>
            <w:vAlign w:val="bottom"/>
            <w:tcBorders>
              <w:right w:val="single" w:sz="8" w:color="auto"/>
            </w:tcBorders>
            <w:shd w:val="clear" w:color="auto" w:fill="002060"/>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660" w:type="dxa"/>
            <w:vAlign w:val="bottom"/>
            <w:shd w:val="clear" w:color="auto" w:fill="002060"/>
          </w:tcPr>
          <w:p>
            <w:pPr>
              <w:spacing w:after="0"/>
              <w:rPr>
                <w:sz w:val="5"/>
                <w:szCs w:val="5"/>
                <w:color w:val="auto"/>
              </w:rPr>
            </w:pPr>
          </w:p>
        </w:tc>
        <w:tc>
          <w:tcPr>
            <w:tcW w:w="200" w:type="dxa"/>
            <w:vAlign w:val="bottom"/>
            <w:shd w:val="clear" w:color="auto" w:fill="002060"/>
          </w:tcPr>
          <w:p>
            <w:pPr>
              <w:spacing w:after="0"/>
              <w:rPr>
                <w:sz w:val="5"/>
                <w:szCs w:val="5"/>
                <w:color w:val="auto"/>
              </w:rPr>
            </w:pPr>
          </w:p>
        </w:tc>
        <w:tc>
          <w:tcPr>
            <w:tcW w:w="4140" w:type="dxa"/>
            <w:vAlign w:val="bottom"/>
            <w:tcBorders>
              <w:right w:val="single" w:sz="8" w:color="auto"/>
            </w:tcBorders>
            <w:shd w:val="clear" w:color="auto" w:fill="002060"/>
          </w:tcPr>
          <w:p>
            <w:pPr>
              <w:spacing w:after="0"/>
              <w:rPr>
                <w:sz w:val="5"/>
                <w:szCs w:val="5"/>
                <w:color w:val="auto"/>
              </w:rPr>
            </w:pPr>
          </w:p>
        </w:tc>
        <w:tc>
          <w:tcPr>
            <w:tcW w:w="640" w:type="dxa"/>
            <w:vAlign w:val="bottom"/>
            <w:tcBorders>
              <w:right w:val="single" w:sz="8" w:color="auto"/>
            </w:tcBorders>
            <w:shd w:val="clear" w:color="auto" w:fill="002060"/>
          </w:tcPr>
          <w:p>
            <w:pPr>
              <w:spacing w:after="0"/>
              <w:rPr>
                <w:sz w:val="5"/>
                <w:szCs w:val="5"/>
                <w:color w:val="auto"/>
              </w:rPr>
            </w:pPr>
          </w:p>
        </w:tc>
        <w:tc>
          <w:tcPr>
            <w:tcW w:w="640" w:type="dxa"/>
            <w:vAlign w:val="bottom"/>
            <w:tcBorders>
              <w:right w:val="single" w:sz="8" w:color="auto"/>
            </w:tcBorders>
            <w:shd w:val="clear" w:color="auto" w:fill="002060"/>
          </w:tcPr>
          <w:p>
            <w:pPr>
              <w:spacing w:after="0"/>
              <w:rPr>
                <w:sz w:val="5"/>
                <w:szCs w:val="5"/>
                <w:color w:val="auto"/>
              </w:rPr>
            </w:pPr>
          </w:p>
        </w:tc>
        <w:tc>
          <w:tcPr>
            <w:tcW w:w="660" w:type="dxa"/>
            <w:vAlign w:val="bottom"/>
            <w:tcBorders>
              <w:right w:val="single" w:sz="8" w:color="auto"/>
            </w:tcBorders>
            <w:shd w:val="clear" w:color="auto" w:fill="002060"/>
          </w:tcPr>
          <w:p>
            <w:pPr>
              <w:spacing w:after="0"/>
              <w:rPr>
                <w:sz w:val="5"/>
                <w:szCs w:val="5"/>
                <w:color w:val="auto"/>
              </w:rPr>
            </w:pPr>
          </w:p>
        </w:tc>
        <w:tc>
          <w:tcPr>
            <w:tcW w:w="640" w:type="dxa"/>
            <w:vAlign w:val="bottom"/>
            <w:tcBorders>
              <w:right w:val="single" w:sz="8" w:color="auto"/>
            </w:tcBorders>
            <w:shd w:val="clear" w:color="auto" w:fill="002060"/>
          </w:tcPr>
          <w:p>
            <w:pPr>
              <w:spacing w:after="0"/>
              <w:rPr>
                <w:sz w:val="5"/>
                <w:szCs w:val="5"/>
                <w:color w:val="auto"/>
              </w:rPr>
            </w:pPr>
          </w:p>
        </w:tc>
        <w:tc>
          <w:tcPr>
            <w:tcW w:w="660" w:type="dxa"/>
            <w:vAlign w:val="bottom"/>
            <w:tcBorders>
              <w:right w:val="single" w:sz="8" w:color="auto"/>
            </w:tcBorders>
            <w:shd w:val="clear" w:color="auto" w:fill="002060"/>
          </w:tcPr>
          <w:p>
            <w:pPr>
              <w:spacing w:after="0"/>
              <w:rPr>
                <w:sz w:val="5"/>
                <w:szCs w:val="5"/>
                <w:color w:val="auto"/>
              </w:rPr>
            </w:pPr>
          </w:p>
        </w:tc>
        <w:tc>
          <w:tcPr>
            <w:tcW w:w="640" w:type="dxa"/>
            <w:vAlign w:val="bottom"/>
            <w:tcBorders>
              <w:right w:val="single" w:sz="8" w:color="auto"/>
            </w:tcBorders>
            <w:shd w:val="clear" w:color="auto" w:fill="002060"/>
          </w:tcPr>
          <w:p>
            <w:pPr>
              <w:spacing w:after="0"/>
              <w:rPr>
                <w:sz w:val="5"/>
                <w:szCs w:val="5"/>
                <w:color w:val="auto"/>
              </w:rPr>
            </w:pPr>
          </w:p>
        </w:tc>
        <w:tc>
          <w:tcPr>
            <w:tcW w:w="640" w:type="dxa"/>
            <w:vAlign w:val="bottom"/>
            <w:tcBorders>
              <w:right w:val="single" w:sz="8" w:color="auto"/>
            </w:tcBorders>
            <w:shd w:val="clear" w:color="auto" w:fill="002060"/>
          </w:tcPr>
          <w:p>
            <w:pPr>
              <w:spacing w:after="0"/>
              <w:rPr>
                <w:sz w:val="5"/>
                <w:szCs w:val="5"/>
                <w:color w:val="auto"/>
              </w:rPr>
            </w:pPr>
          </w:p>
        </w:tc>
        <w:tc>
          <w:tcPr>
            <w:tcW w:w="660" w:type="dxa"/>
            <w:vAlign w:val="bottom"/>
            <w:tcBorders>
              <w:right w:val="single" w:sz="8" w:color="auto"/>
            </w:tcBorders>
            <w:vMerge w:val="continue"/>
            <w:shd w:val="clear" w:color="auto" w:fill="002060"/>
          </w:tcPr>
          <w:p>
            <w:pPr>
              <w:spacing w:after="0"/>
              <w:rPr>
                <w:sz w:val="5"/>
                <w:szCs w:val="5"/>
                <w:color w:val="auto"/>
              </w:rPr>
            </w:pPr>
          </w:p>
        </w:tc>
        <w:tc>
          <w:tcPr>
            <w:tcW w:w="640" w:type="dxa"/>
            <w:vAlign w:val="bottom"/>
            <w:tcBorders>
              <w:right w:val="single" w:sz="8" w:color="auto"/>
            </w:tcBorders>
            <w:shd w:val="clear" w:color="auto" w:fill="002060"/>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60" w:type="dxa"/>
            <w:vAlign w:val="bottom"/>
            <w:tcBorders>
              <w:bottom w:val="single" w:sz="8" w:color="002060"/>
            </w:tcBorders>
            <w:shd w:val="clear" w:color="auto" w:fill="002060"/>
          </w:tcPr>
          <w:p>
            <w:pPr>
              <w:spacing w:after="0"/>
              <w:rPr>
                <w:sz w:val="18"/>
                <w:szCs w:val="18"/>
                <w:color w:val="auto"/>
              </w:rPr>
            </w:pPr>
          </w:p>
        </w:tc>
        <w:tc>
          <w:tcPr>
            <w:tcW w:w="200" w:type="dxa"/>
            <w:vAlign w:val="bottom"/>
            <w:tcBorders>
              <w:bottom w:val="single" w:sz="8" w:color="auto"/>
            </w:tcBorders>
            <w:shd w:val="clear" w:color="auto" w:fill="D5DCE4"/>
          </w:tcPr>
          <w:p>
            <w:pPr>
              <w:ind w:left="100"/>
              <w:spacing w:after="0"/>
              <w:rPr>
                <w:sz w:val="20"/>
                <w:szCs w:val="20"/>
                <w:color w:val="auto"/>
              </w:rPr>
            </w:pPr>
            <w:r>
              <w:rPr>
                <w:rFonts w:ascii="Arial" w:cs="Arial" w:eastAsia="Arial" w:hAnsi="Arial"/>
                <w:sz w:val="11"/>
                <w:szCs w:val="11"/>
                <w:color w:val="auto"/>
                <w:w w:val="72"/>
              </w:rPr>
              <w:t> </w:t>
            </w:r>
          </w:p>
        </w:tc>
        <w:tc>
          <w:tcPr>
            <w:tcW w:w="4140" w:type="dxa"/>
            <w:vAlign w:val="bottom"/>
            <w:tcBorders>
              <w:bottom w:val="single" w:sz="8" w:color="auto"/>
              <w:right w:val="single" w:sz="8" w:color="auto"/>
            </w:tcBorders>
            <w:shd w:val="clear" w:color="auto" w:fill="D5DCE4"/>
          </w:tcPr>
          <w:p>
            <w:pPr>
              <w:ind w:left="60"/>
              <w:spacing w:after="0"/>
              <w:rPr>
                <w:sz w:val="20"/>
                <w:szCs w:val="20"/>
                <w:color w:val="auto"/>
              </w:rPr>
            </w:pPr>
            <w:r>
              <w:rPr>
                <w:rFonts w:ascii="Arial" w:cs="Arial" w:eastAsia="Arial" w:hAnsi="Arial"/>
                <w:sz w:val="16"/>
                <w:szCs w:val="16"/>
                <w:color w:val="auto"/>
              </w:rPr>
              <w:t>Housing</w:t>
            </w:r>
          </w:p>
        </w:tc>
        <w:tc>
          <w:tcPr>
            <w:tcW w:w="640" w:type="dxa"/>
            <w:vAlign w:val="bottom"/>
            <w:tcBorders>
              <w:bottom w:val="single" w:sz="8" w:color="auto"/>
              <w:right w:val="single" w:sz="8" w:color="auto"/>
            </w:tcBorders>
          </w:tcPr>
          <w:p>
            <w:pPr>
              <w:ind w:left="24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6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209"/>
        </w:trPr>
        <w:tc>
          <w:tcPr>
            <w:tcW w:w="660" w:type="dxa"/>
            <w:vAlign w:val="bottom"/>
            <w:tcBorders>
              <w:bottom w:val="single" w:sz="8" w:color="002060"/>
            </w:tcBorders>
            <w:shd w:val="clear" w:color="auto" w:fill="002060"/>
          </w:tcPr>
          <w:p>
            <w:pPr>
              <w:spacing w:after="0"/>
              <w:rPr>
                <w:sz w:val="18"/>
                <w:szCs w:val="18"/>
                <w:color w:val="auto"/>
              </w:rPr>
            </w:pPr>
          </w:p>
        </w:tc>
        <w:tc>
          <w:tcPr>
            <w:tcW w:w="200" w:type="dxa"/>
            <w:vAlign w:val="bottom"/>
            <w:tcBorders>
              <w:bottom w:val="single" w:sz="8" w:color="auto"/>
            </w:tcBorders>
            <w:shd w:val="clear" w:color="auto" w:fill="D5DCE4"/>
          </w:tcPr>
          <w:p>
            <w:pPr>
              <w:ind w:left="100"/>
              <w:spacing w:after="0"/>
              <w:rPr>
                <w:sz w:val="20"/>
                <w:szCs w:val="20"/>
                <w:color w:val="auto"/>
              </w:rPr>
            </w:pPr>
            <w:r>
              <w:rPr>
                <w:rFonts w:ascii="Arial" w:cs="Arial" w:eastAsia="Arial" w:hAnsi="Arial"/>
                <w:sz w:val="11"/>
                <w:szCs w:val="11"/>
                <w:color w:val="auto"/>
                <w:w w:val="72"/>
              </w:rPr>
              <w:t> </w:t>
            </w:r>
          </w:p>
        </w:tc>
        <w:tc>
          <w:tcPr>
            <w:tcW w:w="4140" w:type="dxa"/>
            <w:vAlign w:val="bottom"/>
            <w:tcBorders>
              <w:bottom w:val="single" w:sz="8" w:color="auto"/>
              <w:right w:val="single" w:sz="8" w:color="auto"/>
            </w:tcBorders>
            <w:shd w:val="clear" w:color="auto" w:fill="D5DCE4"/>
          </w:tcPr>
          <w:p>
            <w:pPr>
              <w:ind w:left="60"/>
              <w:spacing w:after="0"/>
              <w:rPr>
                <w:sz w:val="20"/>
                <w:szCs w:val="20"/>
                <w:color w:val="auto"/>
              </w:rPr>
            </w:pPr>
            <w:r>
              <w:rPr>
                <w:rFonts w:ascii="Arial" w:cs="Arial" w:eastAsia="Arial" w:hAnsi="Arial"/>
                <w:sz w:val="16"/>
                <w:szCs w:val="16"/>
                <w:color w:val="auto"/>
              </w:rPr>
              <w:t>Construction</w:t>
            </w:r>
          </w:p>
        </w:tc>
        <w:tc>
          <w:tcPr>
            <w:tcW w:w="640" w:type="dxa"/>
            <w:vAlign w:val="bottom"/>
            <w:tcBorders>
              <w:bottom w:val="single" w:sz="8" w:color="auto"/>
              <w:right w:val="single" w:sz="8" w:color="auto"/>
            </w:tcBorders>
          </w:tcPr>
          <w:p>
            <w:pPr>
              <w:ind w:left="24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6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209"/>
        </w:trPr>
        <w:tc>
          <w:tcPr>
            <w:tcW w:w="660" w:type="dxa"/>
            <w:vAlign w:val="bottom"/>
            <w:shd w:val="clear" w:color="auto" w:fill="002060"/>
          </w:tcPr>
          <w:p>
            <w:pPr>
              <w:spacing w:after="0"/>
              <w:rPr>
                <w:sz w:val="18"/>
                <w:szCs w:val="18"/>
                <w:color w:val="auto"/>
              </w:rPr>
            </w:pPr>
          </w:p>
        </w:tc>
        <w:tc>
          <w:tcPr>
            <w:tcW w:w="200" w:type="dxa"/>
            <w:vAlign w:val="bottom"/>
            <w:shd w:val="clear" w:color="auto" w:fill="D5DCE4"/>
          </w:tcPr>
          <w:p>
            <w:pPr>
              <w:ind w:left="100"/>
              <w:spacing w:after="0"/>
              <w:rPr>
                <w:sz w:val="20"/>
                <w:szCs w:val="20"/>
                <w:color w:val="auto"/>
              </w:rPr>
            </w:pPr>
            <w:r>
              <w:rPr>
                <w:rFonts w:ascii="Arial" w:cs="Arial" w:eastAsia="Arial" w:hAnsi="Arial"/>
                <w:sz w:val="11"/>
                <w:szCs w:val="11"/>
                <w:color w:val="auto"/>
                <w:w w:val="72"/>
              </w:rPr>
              <w:t> </w:t>
            </w:r>
          </w:p>
        </w:tc>
        <w:tc>
          <w:tcPr>
            <w:tcW w:w="4140" w:type="dxa"/>
            <w:vAlign w:val="bottom"/>
            <w:tcBorders>
              <w:right w:val="single" w:sz="8" w:color="auto"/>
            </w:tcBorders>
            <w:shd w:val="clear" w:color="auto" w:fill="D5DCE4"/>
          </w:tcPr>
          <w:p>
            <w:pPr>
              <w:ind w:left="60"/>
              <w:spacing w:after="0"/>
              <w:rPr>
                <w:sz w:val="20"/>
                <w:szCs w:val="20"/>
                <w:color w:val="auto"/>
              </w:rPr>
            </w:pPr>
            <w:r>
              <w:rPr>
                <w:rFonts w:ascii="Arial" w:cs="Arial" w:eastAsia="Arial" w:hAnsi="Arial"/>
                <w:sz w:val="16"/>
                <w:szCs w:val="16"/>
                <w:color w:val="auto"/>
              </w:rPr>
              <w:t>Building Materials</w:t>
            </w:r>
          </w:p>
        </w:tc>
        <w:tc>
          <w:tcPr>
            <w:tcW w:w="640" w:type="dxa"/>
            <w:vAlign w:val="bottom"/>
            <w:tcBorders>
              <w:right w:val="single" w:sz="8" w:color="auto"/>
            </w:tcBorders>
          </w:tcPr>
          <w:p>
            <w:pPr>
              <w:ind w:left="24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338"/>
        </w:trPr>
        <w:tc>
          <w:tcPr>
            <w:tcW w:w="660" w:type="dxa"/>
            <w:vAlign w:val="bottom"/>
            <w:shd w:val="clear" w:color="auto" w:fill="002060"/>
          </w:tcPr>
          <w:p>
            <w:pPr>
              <w:spacing w:after="0"/>
              <w:rPr>
                <w:sz w:val="24"/>
                <w:szCs w:val="24"/>
                <w:color w:val="auto"/>
              </w:rPr>
            </w:pPr>
          </w:p>
        </w:tc>
        <w:tc>
          <w:tcPr>
            <w:tcW w:w="4340" w:type="dxa"/>
            <w:vAlign w:val="bottom"/>
            <w:tcBorders>
              <w:right w:val="single" w:sz="8" w:color="auto"/>
            </w:tcBorders>
            <w:gridSpan w:val="2"/>
            <w:shd w:val="clear" w:color="auto" w:fill="002060"/>
          </w:tcPr>
          <w:p>
            <w:pPr>
              <w:spacing w:after="0"/>
              <w:rPr>
                <w:sz w:val="20"/>
                <w:szCs w:val="20"/>
                <w:color w:val="auto"/>
              </w:rPr>
            </w:pPr>
            <w:r>
              <w:rPr>
                <w:rFonts w:ascii="Arial" w:cs="Arial" w:eastAsia="Arial" w:hAnsi="Arial"/>
                <w:sz w:val="16"/>
                <w:szCs w:val="16"/>
                <w:b w:val="1"/>
                <w:bCs w:val="1"/>
                <w:color w:val="FFFFFF"/>
              </w:rPr>
              <w:t>Financial Skills</w:t>
            </w:r>
          </w:p>
        </w:tc>
        <w:tc>
          <w:tcPr>
            <w:tcW w:w="640" w:type="dxa"/>
            <w:vAlign w:val="bottom"/>
            <w:tcBorders>
              <w:right w:val="single" w:sz="8" w:color="auto"/>
            </w:tcBorders>
            <w:shd w:val="clear" w:color="auto" w:fill="002060"/>
          </w:tcPr>
          <w:p>
            <w:pPr>
              <w:spacing w:after="0"/>
              <w:rPr>
                <w:sz w:val="24"/>
                <w:szCs w:val="24"/>
                <w:color w:val="auto"/>
              </w:rPr>
            </w:pPr>
          </w:p>
        </w:tc>
        <w:tc>
          <w:tcPr>
            <w:tcW w:w="640" w:type="dxa"/>
            <w:vAlign w:val="bottom"/>
            <w:tcBorders>
              <w:right w:val="single" w:sz="8" w:color="auto"/>
            </w:tcBorders>
            <w:shd w:val="clear" w:color="auto" w:fill="002060"/>
          </w:tcPr>
          <w:p>
            <w:pPr>
              <w:spacing w:after="0"/>
              <w:rPr>
                <w:sz w:val="24"/>
                <w:szCs w:val="24"/>
                <w:color w:val="auto"/>
              </w:rPr>
            </w:pPr>
          </w:p>
        </w:tc>
        <w:tc>
          <w:tcPr>
            <w:tcW w:w="660" w:type="dxa"/>
            <w:vAlign w:val="bottom"/>
            <w:tcBorders>
              <w:right w:val="single" w:sz="8" w:color="auto"/>
            </w:tcBorders>
            <w:shd w:val="clear" w:color="auto" w:fill="002060"/>
          </w:tcPr>
          <w:p>
            <w:pPr>
              <w:spacing w:after="0"/>
              <w:rPr>
                <w:sz w:val="24"/>
                <w:szCs w:val="24"/>
                <w:color w:val="auto"/>
              </w:rPr>
            </w:pPr>
          </w:p>
        </w:tc>
        <w:tc>
          <w:tcPr>
            <w:tcW w:w="640" w:type="dxa"/>
            <w:vAlign w:val="bottom"/>
            <w:tcBorders>
              <w:right w:val="single" w:sz="8" w:color="auto"/>
            </w:tcBorders>
            <w:shd w:val="clear" w:color="auto" w:fill="002060"/>
          </w:tcPr>
          <w:p>
            <w:pPr>
              <w:spacing w:after="0"/>
              <w:rPr>
                <w:sz w:val="24"/>
                <w:szCs w:val="24"/>
                <w:color w:val="auto"/>
              </w:rPr>
            </w:pPr>
          </w:p>
        </w:tc>
        <w:tc>
          <w:tcPr>
            <w:tcW w:w="660" w:type="dxa"/>
            <w:vAlign w:val="bottom"/>
            <w:tcBorders>
              <w:right w:val="single" w:sz="8" w:color="auto"/>
            </w:tcBorders>
            <w:shd w:val="clear" w:color="auto" w:fill="002060"/>
          </w:tcPr>
          <w:p>
            <w:pPr>
              <w:jc w:val="center"/>
              <w:spacing w:after="0"/>
              <w:rPr>
                <w:sz w:val="20"/>
                <w:szCs w:val="20"/>
                <w:color w:val="auto"/>
              </w:rPr>
            </w:pPr>
            <w:r>
              <w:rPr>
                <w:rFonts w:ascii="Arial" w:cs="Arial" w:eastAsia="Arial" w:hAnsi="Arial"/>
                <w:sz w:val="10"/>
                <w:szCs w:val="10"/>
                <w:color w:val="auto"/>
                <w:w w:val="71"/>
              </w:rPr>
              <w:t> </w:t>
            </w:r>
          </w:p>
        </w:tc>
        <w:tc>
          <w:tcPr>
            <w:tcW w:w="640" w:type="dxa"/>
            <w:vAlign w:val="bottom"/>
            <w:tcBorders>
              <w:right w:val="single" w:sz="8" w:color="auto"/>
            </w:tcBorders>
            <w:shd w:val="clear" w:color="auto" w:fill="002060"/>
          </w:tcPr>
          <w:p>
            <w:pPr>
              <w:jc w:val="center"/>
              <w:spacing w:after="0"/>
              <w:rPr>
                <w:sz w:val="20"/>
                <w:szCs w:val="20"/>
                <w:color w:val="auto"/>
              </w:rPr>
            </w:pPr>
            <w:r>
              <w:rPr>
                <w:rFonts w:ascii="Arial" w:cs="Arial" w:eastAsia="Arial" w:hAnsi="Arial"/>
                <w:sz w:val="15"/>
                <w:szCs w:val="15"/>
                <w:color w:val="auto"/>
                <w:w w:val="71"/>
              </w:rPr>
              <w:t> </w:t>
            </w:r>
          </w:p>
        </w:tc>
        <w:tc>
          <w:tcPr>
            <w:tcW w:w="640" w:type="dxa"/>
            <w:vAlign w:val="bottom"/>
            <w:tcBorders>
              <w:right w:val="single" w:sz="8" w:color="auto"/>
            </w:tcBorders>
            <w:shd w:val="clear" w:color="auto" w:fill="002060"/>
          </w:tcPr>
          <w:p>
            <w:pPr>
              <w:spacing w:after="0"/>
              <w:rPr>
                <w:sz w:val="24"/>
                <w:szCs w:val="24"/>
                <w:color w:val="auto"/>
              </w:rPr>
            </w:pPr>
          </w:p>
        </w:tc>
        <w:tc>
          <w:tcPr>
            <w:tcW w:w="660" w:type="dxa"/>
            <w:vAlign w:val="bottom"/>
            <w:tcBorders>
              <w:right w:val="single" w:sz="8" w:color="auto"/>
            </w:tcBorders>
            <w:shd w:val="clear" w:color="auto" w:fill="002060"/>
          </w:tcPr>
          <w:p>
            <w:pPr>
              <w:jc w:val="center"/>
              <w:spacing w:after="0"/>
              <w:rPr>
                <w:sz w:val="20"/>
                <w:szCs w:val="20"/>
                <w:color w:val="auto"/>
              </w:rPr>
            </w:pPr>
            <w:r>
              <w:rPr>
                <w:rFonts w:ascii="Arial" w:cs="Arial" w:eastAsia="Arial" w:hAnsi="Arial"/>
                <w:sz w:val="10"/>
                <w:szCs w:val="10"/>
                <w:color w:val="auto"/>
                <w:w w:val="71"/>
              </w:rPr>
              <w:t> </w:t>
            </w:r>
          </w:p>
        </w:tc>
        <w:tc>
          <w:tcPr>
            <w:tcW w:w="640" w:type="dxa"/>
            <w:vAlign w:val="bottom"/>
            <w:tcBorders>
              <w:right w:val="single" w:sz="8" w:color="auto"/>
            </w:tcBorders>
            <w:shd w:val="clear" w:color="auto" w:fill="002060"/>
          </w:tcPr>
          <w:p>
            <w:pPr>
              <w:jc w:val="cente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60" w:type="dxa"/>
            <w:vAlign w:val="bottom"/>
            <w:tcBorders>
              <w:bottom w:val="single" w:sz="8" w:color="002060"/>
            </w:tcBorders>
            <w:shd w:val="clear" w:color="auto" w:fill="002060"/>
          </w:tcPr>
          <w:p>
            <w:pPr>
              <w:spacing w:after="0"/>
              <w:rPr>
                <w:sz w:val="18"/>
                <w:szCs w:val="18"/>
                <w:color w:val="auto"/>
              </w:rPr>
            </w:pPr>
          </w:p>
        </w:tc>
        <w:tc>
          <w:tcPr>
            <w:tcW w:w="4340" w:type="dxa"/>
            <w:vAlign w:val="bottom"/>
            <w:tcBorders>
              <w:bottom w:val="single" w:sz="8" w:color="auto"/>
              <w:right w:val="single" w:sz="8" w:color="auto"/>
            </w:tcBorders>
            <w:gridSpan w:val="2"/>
            <w:shd w:val="clear" w:color="auto" w:fill="D5DCE4"/>
          </w:tcPr>
          <w:p>
            <w:pPr>
              <w:ind w:left="100"/>
              <w:spacing w:after="0"/>
              <w:rPr>
                <w:sz w:val="20"/>
                <w:szCs w:val="20"/>
                <w:color w:val="auto"/>
              </w:rPr>
            </w:pPr>
            <w:r>
              <w:rPr>
                <w:rFonts w:ascii="Arial" w:cs="Arial" w:eastAsia="Arial" w:hAnsi="Arial"/>
                <w:sz w:val="16"/>
                <w:szCs w:val="16"/>
                <w:color w:val="auto"/>
              </w:rPr>
              <w:t>   Public Company Financial Reporting</w:t>
            </w:r>
          </w:p>
        </w:tc>
        <w:tc>
          <w:tcPr>
            <w:tcW w:w="640" w:type="dxa"/>
            <w:vAlign w:val="bottom"/>
            <w:tcBorders>
              <w:bottom w:val="single" w:sz="8" w:color="auto"/>
              <w:right w:val="single" w:sz="8" w:color="auto"/>
            </w:tcBorders>
          </w:tcPr>
          <w:p>
            <w:pPr>
              <w:ind w:left="24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209"/>
        </w:trPr>
        <w:tc>
          <w:tcPr>
            <w:tcW w:w="660" w:type="dxa"/>
            <w:vAlign w:val="bottom"/>
            <w:tcBorders>
              <w:bottom w:val="single" w:sz="8" w:color="002060"/>
            </w:tcBorders>
            <w:shd w:val="clear" w:color="auto" w:fill="002060"/>
          </w:tcPr>
          <w:p>
            <w:pPr>
              <w:spacing w:after="0"/>
              <w:rPr>
                <w:sz w:val="18"/>
                <w:szCs w:val="18"/>
                <w:color w:val="auto"/>
              </w:rPr>
            </w:pPr>
          </w:p>
        </w:tc>
        <w:tc>
          <w:tcPr>
            <w:tcW w:w="200" w:type="dxa"/>
            <w:vAlign w:val="bottom"/>
            <w:tcBorders>
              <w:bottom w:val="single" w:sz="8" w:color="auto"/>
            </w:tcBorders>
            <w:shd w:val="clear" w:color="auto" w:fill="D5DCE4"/>
          </w:tcPr>
          <w:p>
            <w:pPr>
              <w:ind w:left="100"/>
              <w:spacing w:after="0"/>
              <w:rPr>
                <w:sz w:val="20"/>
                <w:szCs w:val="20"/>
                <w:color w:val="auto"/>
              </w:rPr>
            </w:pPr>
            <w:r>
              <w:rPr>
                <w:rFonts w:ascii="Arial" w:cs="Arial" w:eastAsia="Arial" w:hAnsi="Arial"/>
                <w:sz w:val="11"/>
                <w:szCs w:val="11"/>
                <w:color w:val="auto"/>
                <w:w w:val="72"/>
              </w:rPr>
              <w:t> </w:t>
            </w:r>
          </w:p>
        </w:tc>
        <w:tc>
          <w:tcPr>
            <w:tcW w:w="4140" w:type="dxa"/>
            <w:vAlign w:val="bottom"/>
            <w:tcBorders>
              <w:bottom w:val="single" w:sz="8" w:color="auto"/>
              <w:right w:val="single" w:sz="8" w:color="auto"/>
            </w:tcBorders>
            <w:shd w:val="clear" w:color="auto" w:fill="D5DCE4"/>
          </w:tcPr>
          <w:p>
            <w:pPr>
              <w:ind w:left="60"/>
              <w:spacing w:after="0"/>
              <w:rPr>
                <w:sz w:val="20"/>
                <w:szCs w:val="20"/>
                <w:color w:val="auto"/>
              </w:rPr>
            </w:pPr>
            <w:r>
              <w:rPr>
                <w:rFonts w:ascii="Arial" w:cs="Arial" w:eastAsia="Arial" w:hAnsi="Arial"/>
                <w:sz w:val="16"/>
                <w:szCs w:val="16"/>
                <w:color w:val="auto"/>
              </w:rPr>
              <w:t>Capital Structure Experience</w:t>
            </w:r>
          </w:p>
        </w:tc>
        <w:tc>
          <w:tcPr>
            <w:tcW w:w="640" w:type="dxa"/>
            <w:vAlign w:val="bottom"/>
            <w:tcBorders>
              <w:bottom w:val="single" w:sz="8" w:color="auto"/>
              <w:right w:val="single" w:sz="8" w:color="auto"/>
            </w:tcBorders>
          </w:tcPr>
          <w:p>
            <w:pPr>
              <w:ind w:left="24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6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209"/>
        </w:trPr>
        <w:tc>
          <w:tcPr>
            <w:tcW w:w="660" w:type="dxa"/>
            <w:vAlign w:val="bottom"/>
            <w:tcBorders>
              <w:bottom w:val="single" w:sz="8" w:color="002060"/>
            </w:tcBorders>
            <w:shd w:val="clear" w:color="auto" w:fill="002060"/>
          </w:tcPr>
          <w:p>
            <w:pPr>
              <w:spacing w:after="0"/>
              <w:rPr>
                <w:sz w:val="18"/>
                <w:szCs w:val="18"/>
                <w:color w:val="auto"/>
              </w:rPr>
            </w:pPr>
          </w:p>
        </w:tc>
        <w:tc>
          <w:tcPr>
            <w:tcW w:w="200" w:type="dxa"/>
            <w:vAlign w:val="bottom"/>
            <w:tcBorders>
              <w:bottom w:val="single" w:sz="8" w:color="auto"/>
            </w:tcBorders>
            <w:shd w:val="clear" w:color="auto" w:fill="D5DCE4"/>
          </w:tcPr>
          <w:p>
            <w:pPr>
              <w:ind w:left="100"/>
              <w:spacing w:after="0"/>
              <w:rPr>
                <w:sz w:val="20"/>
                <w:szCs w:val="20"/>
                <w:color w:val="auto"/>
              </w:rPr>
            </w:pPr>
            <w:r>
              <w:rPr>
                <w:rFonts w:ascii="Arial" w:cs="Arial" w:eastAsia="Arial" w:hAnsi="Arial"/>
                <w:sz w:val="11"/>
                <w:szCs w:val="11"/>
                <w:color w:val="auto"/>
                <w:w w:val="72"/>
              </w:rPr>
              <w:t> </w:t>
            </w:r>
          </w:p>
        </w:tc>
        <w:tc>
          <w:tcPr>
            <w:tcW w:w="4140" w:type="dxa"/>
            <w:vAlign w:val="bottom"/>
            <w:tcBorders>
              <w:bottom w:val="single" w:sz="8" w:color="auto"/>
              <w:right w:val="single" w:sz="8" w:color="auto"/>
            </w:tcBorders>
            <w:shd w:val="clear" w:color="auto" w:fill="D5DCE4"/>
          </w:tcPr>
          <w:p>
            <w:pPr>
              <w:ind w:left="60"/>
              <w:spacing w:after="0"/>
              <w:rPr>
                <w:sz w:val="20"/>
                <w:szCs w:val="20"/>
                <w:color w:val="auto"/>
              </w:rPr>
            </w:pPr>
            <w:r>
              <w:rPr>
                <w:rFonts w:ascii="Arial" w:cs="Arial" w:eastAsia="Arial" w:hAnsi="Arial"/>
                <w:sz w:val="16"/>
                <w:szCs w:val="16"/>
                <w:color w:val="auto"/>
              </w:rPr>
              <w:t>M&amp;A Transactions</w:t>
            </w:r>
          </w:p>
        </w:tc>
        <w:tc>
          <w:tcPr>
            <w:tcW w:w="640" w:type="dxa"/>
            <w:vAlign w:val="bottom"/>
            <w:tcBorders>
              <w:bottom w:val="single" w:sz="8" w:color="auto"/>
              <w:right w:val="single" w:sz="8" w:color="auto"/>
            </w:tcBorders>
          </w:tcPr>
          <w:p>
            <w:pPr>
              <w:ind w:left="24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6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ind w:left="26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210"/>
        </w:trPr>
        <w:tc>
          <w:tcPr>
            <w:tcW w:w="660" w:type="dxa"/>
            <w:vAlign w:val="bottom"/>
            <w:shd w:val="clear" w:color="auto" w:fill="002060"/>
          </w:tcPr>
          <w:p>
            <w:pPr>
              <w:spacing w:after="0"/>
              <w:rPr>
                <w:sz w:val="18"/>
                <w:szCs w:val="18"/>
                <w:color w:val="auto"/>
              </w:rPr>
            </w:pPr>
          </w:p>
        </w:tc>
        <w:tc>
          <w:tcPr>
            <w:tcW w:w="200" w:type="dxa"/>
            <w:vAlign w:val="bottom"/>
            <w:shd w:val="clear" w:color="auto" w:fill="D5DCE4"/>
          </w:tcPr>
          <w:p>
            <w:pPr>
              <w:ind w:left="100"/>
              <w:spacing w:after="0"/>
              <w:rPr>
                <w:sz w:val="20"/>
                <w:szCs w:val="20"/>
                <w:color w:val="auto"/>
              </w:rPr>
            </w:pPr>
            <w:r>
              <w:rPr>
                <w:rFonts w:ascii="Arial" w:cs="Arial" w:eastAsia="Arial" w:hAnsi="Arial"/>
                <w:sz w:val="11"/>
                <w:szCs w:val="11"/>
                <w:color w:val="auto"/>
                <w:w w:val="72"/>
              </w:rPr>
              <w:t> </w:t>
            </w:r>
          </w:p>
        </w:tc>
        <w:tc>
          <w:tcPr>
            <w:tcW w:w="4140" w:type="dxa"/>
            <w:vAlign w:val="bottom"/>
            <w:tcBorders>
              <w:right w:val="single" w:sz="8" w:color="auto"/>
            </w:tcBorders>
            <w:shd w:val="clear" w:color="auto" w:fill="D5DCE4"/>
          </w:tcPr>
          <w:p>
            <w:pPr>
              <w:ind w:left="60"/>
              <w:spacing w:after="0"/>
              <w:rPr>
                <w:sz w:val="20"/>
                <w:szCs w:val="20"/>
                <w:color w:val="auto"/>
              </w:rPr>
            </w:pPr>
            <w:r>
              <w:rPr>
                <w:rFonts w:ascii="Arial" w:cs="Arial" w:eastAsia="Arial" w:hAnsi="Arial"/>
                <w:sz w:val="16"/>
                <w:szCs w:val="16"/>
                <w:color w:val="auto"/>
              </w:rPr>
              <w:t>Risk Management</w:t>
            </w:r>
          </w:p>
        </w:tc>
        <w:tc>
          <w:tcPr>
            <w:tcW w:w="640" w:type="dxa"/>
            <w:vAlign w:val="bottom"/>
            <w:tcBorders>
              <w:right w:val="single" w:sz="8" w:color="auto"/>
            </w:tcBorders>
          </w:tcPr>
          <w:p>
            <w:pPr>
              <w:ind w:left="24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right w:val="single" w:sz="8" w:color="auto"/>
            </w:tcBorders>
          </w:tcPr>
          <w:p>
            <w:pPr>
              <w:ind w:left="26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338"/>
        </w:trPr>
        <w:tc>
          <w:tcPr>
            <w:tcW w:w="660" w:type="dxa"/>
            <w:vAlign w:val="bottom"/>
            <w:shd w:val="clear" w:color="auto" w:fill="002060"/>
          </w:tcPr>
          <w:p>
            <w:pPr>
              <w:spacing w:after="0"/>
              <w:rPr>
                <w:sz w:val="24"/>
                <w:szCs w:val="24"/>
                <w:color w:val="auto"/>
              </w:rPr>
            </w:pPr>
          </w:p>
        </w:tc>
        <w:tc>
          <w:tcPr>
            <w:tcW w:w="4340" w:type="dxa"/>
            <w:vAlign w:val="bottom"/>
            <w:tcBorders>
              <w:right w:val="single" w:sz="8" w:color="auto"/>
            </w:tcBorders>
            <w:gridSpan w:val="2"/>
            <w:shd w:val="clear" w:color="auto" w:fill="002060"/>
          </w:tcPr>
          <w:p>
            <w:pPr>
              <w:spacing w:after="0"/>
              <w:rPr>
                <w:sz w:val="20"/>
                <w:szCs w:val="20"/>
                <w:color w:val="auto"/>
              </w:rPr>
            </w:pPr>
            <w:r>
              <w:rPr>
                <w:rFonts w:ascii="Arial" w:cs="Arial" w:eastAsia="Arial" w:hAnsi="Arial"/>
                <w:sz w:val="16"/>
                <w:szCs w:val="16"/>
                <w:b w:val="1"/>
                <w:bCs w:val="1"/>
                <w:color w:val="FFFFFF"/>
              </w:rPr>
              <w:t>Experience</w:t>
            </w:r>
          </w:p>
        </w:tc>
        <w:tc>
          <w:tcPr>
            <w:tcW w:w="640" w:type="dxa"/>
            <w:vAlign w:val="bottom"/>
            <w:tcBorders>
              <w:right w:val="single" w:sz="8" w:color="auto"/>
            </w:tcBorders>
            <w:shd w:val="clear" w:color="auto" w:fill="002060"/>
          </w:tcPr>
          <w:p>
            <w:pPr>
              <w:spacing w:after="0"/>
              <w:rPr>
                <w:sz w:val="24"/>
                <w:szCs w:val="24"/>
                <w:color w:val="auto"/>
              </w:rPr>
            </w:pPr>
          </w:p>
        </w:tc>
        <w:tc>
          <w:tcPr>
            <w:tcW w:w="640" w:type="dxa"/>
            <w:vAlign w:val="bottom"/>
            <w:tcBorders>
              <w:right w:val="single" w:sz="8" w:color="auto"/>
            </w:tcBorders>
            <w:shd w:val="clear" w:color="auto" w:fill="002060"/>
          </w:tcPr>
          <w:p>
            <w:pPr>
              <w:jc w:val="center"/>
              <w:spacing w:after="0"/>
              <w:rPr>
                <w:sz w:val="20"/>
                <w:szCs w:val="20"/>
                <w:color w:val="auto"/>
              </w:rPr>
            </w:pPr>
            <w:r>
              <w:rPr>
                <w:rFonts w:ascii="Arial" w:cs="Arial" w:eastAsia="Arial" w:hAnsi="Arial"/>
                <w:sz w:val="15"/>
                <w:szCs w:val="15"/>
                <w:color w:val="auto"/>
                <w:w w:val="71"/>
              </w:rPr>
              <w:t> </w:t>
            </w:r>
          </w:p>
        </w:tc>
        <w:tc>
          <w:tcPr>
            <w:tcW w:w="660" w:type="dxa"/>
            <w:vAlign w:val="bottom"/>
            <w:tcBorders>
              <w:right w:val="single" w:sz="8" w:color="auto"/>
            </w:tcBorders>
            <w:shd w:val="clear" w:color="auto" w:fill="002060"/>
          </w:tcPr>
          <w:p>
            <w:pPr>
              <w:jc w:val="center"/>
              <w:spacing w:after="0"/>
              <w:rPr>
                <w:sz w:val="20"/>
                <w:szCs w:val="20"/>
                <w:color w:val="auto"/>
              </w:rPr>
            </w:pPr>
            <w:r>
              <w:rPr>
                <w:rFonts w:ascii="Arial" w:cs="Arial" w:eastAsia="Arial" w:hAnsi="Arial"/>
                <w:sz w:val="10"/>
                <w:szCs w:val="10"/>
                <w:color w:val="auto"/>
                <w:w w:val="71"/>
              </w:rPr>
              <w:t> </w:t>
            </w:r>
          </w:p>
        </w:tc>
        <w:tc>
          <w:tcPr>
            <w:tcW w:w="640" w:type="dxa"/>
            <w:vAlign w:val="bottom"/>
            <w:tcBorders>
              <w:right w:val="single" w:sz="8" w:color="auto"/>
            </w:tcBorders>
            <w:shd w:val="clear" w:color="auto" w:fill="002060"/>
          </w:tcPr>
          <w:p>
            <w:pPr>
              <w:spacing w:after="0"/>
              <w:rPr>
                <w:sz w:val="24"/>
                <w:szCs w:val="24"/>
                <w:color w:val="auto"/>
              </w:rPr>
            </w:pPr>
          </w:p>
        </w:tc>
        <w:tc>
          <w:tcPr>
            <w:tcW w:w="660" w:type="dxa"/>
            <w:vAlign w:val="bottom"/>
            <w:tcBorders>
              <w:right w:val="single" w:sz="8" w:color="auto"/>
            </w:tcBorders>
            <w:shd w:val="clear" w:color="auto" w:fill="002060"/>
          </w:tcPr>
          <w:p>
            <w:pPr>
              <w:jc w:val="center"/>
              <w:spacing w:after="0"/>
              <w:rPr>
                <w:sz w:val="20"/>
                <w:szCs w:val="20"/>
                <w:color w:val="auto"/>
              </w:rPr>
            </w:pPr>
            <w:r>
              <w:rPr>
                <w:rFonts w:ascii="Arial" w:cs="Arial" w:eastAsia="Arial" w:hAnsi="Arial"/>
                <w:sz w:val="10"/>
                <w:szCs w:val="10"/>
                <w:color w:val="auto"/>
                <w:w w:val="71"/>
              </w:rPr>
              <w:t> </w:t>
            </w:r>
          </w:p>
        </w:tc>
        <w:tc>
          <w:tcPr>
            <w:tcW w:w="640" w:type="dxa"/>
            <w:vAlign w:val="bottom"/>
            <w:tcBorders>
              <w:right w:val="single" w:sz="8" w:color="auto"/>
            </w:tcBorders>
            <w:shd w:val="clear" w:color="auto" w:fill="002060"/>
          </w:tcPr>
          <w:p>
            <w:pPr>
              <w:spacing w:after="0"/>
              <w:rPr>
                <w:sz w:val="24"/>
                <w:szCs w:val="24"/>
                <w:color w:val="auto"/>
              </w:rPr>
            </w:pPr>
          </w:p>
        </w:tc>
        <w:tc>
          <w:tcPr>
            <w:tcW w:w="640" w:type="dxa"/>
            <w:vAlign w:val="bottom"/>
            <w:tcBorders>
              <w:right w:val="single" w:sz="8" w:color="auto"/>
            </w:tcBorders>
            <w:shd w:val="clear" w:color="auto" w:fill="002060"/>
          </w:tcPr>
          <w:p>
            <w:pPr>
              <w:spacing w:after="0"/>
              <w:rPr>
                <w:sz w:val="24"/>
                <w:szCs w:val="24"/>
                <w:color w:val="auto"/>
              </w:rPr>
            </w:pPr>
          </w:p>
        </w:tc>
        <w:tc>
          <w:tcPr>
            <w:tcW w:w="660" w:type="dxa"/>
            <w:vAlign w:val="bottom"/>
            <w:tcBorders>
              <w:right w:val="single" w:sz="8" w:color="auto"/>
            </w:tcBorders>
            <w:shd w:val="clear" w:color="auto" w:fill="002060"/>
          </w:tcPr>
          <w:p>
            <w:pPr>
              <w:jc w:val="center"/>
              <w:spacing w:after="0"/>
              <w:rPr>
                <w:sz w:val="20"/>
                <w:szCs w:val="20"/>
                <w:color w:val="auto"/>
              </w:rPr>
            </w:pPr>
            <w:r>
              <w:rPr>
                <w:rFonts w:ascii="Arial" w:cs="Arial" w:eastAsia="Arial" w:hAnsi="Arial"/>
                <w:sz w:val="10"/>
                <w:szCs w:val="10"/>
                <w:color w:val="auto"/>
                <w:w w:val="71"/>
              </w:rPr>
              <w:t> </w:t>
            </w:r>
          </w:p>
        </w:tc>
        <w:tc>
          <w:tcPr>
            <w:tcW w:w="640" w:type="dxa"/>
            <w:vAlign w:val="bottom"/>
            <w:tcBorders>
              <w:right w:val="single" w:sz="8" w:color="auto"/>
            </w:tcBorders>
            <w:shd w:val="clear" w:color="auto" w:fill="002060"/>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Borders>
              <w:bottom w:val="single" w:sz="8" w:color="002060"/>
            </w:tcBorders>
            <w:shd w:val="clear" w:color="auto" w:fill="002060"/>
          </w:tcPr>
          <w:p>
            <w:pPr>
              <w:spacing w:after="0"/>
              <w:rPr>
                <w:sz w:val="18"/>
                <w:szCs w:val="18"/>
                <w:color w:val="auto"/>
              </w:rPr>
            </w:pPr>
          </w:p>
        </w:tc>
        <w:tc>
          <w:tcPr>
            <w:tcW w:w="200" w:type="dxa"/>
            <w:vAlign w:val="bottom"/>
            <w:tcBorders>
              <w:bottom w:val="single" w:sz="8" w:color="auto"/>
            </w:tcBorders>
            <w:shd w:val="clear" w:color="auto" w:fill="D5DCE4"/>
          </w:tcPr>
          <w:p>
            <w:pPr>
              <w:ind w:left="100"/>
              <w:spacing w:after="0"/>
              <w:rPr>
                <w:sz w:val="20"/>
                <w:szCs w:val="20"/>
                <w:color w:val="auto"/>
              </w:rPr>
            </w:pPr>
            <w:r>
              <w:rPr>
                <w:rFonts w:ascii="Arial" w:cs="Arial" w:eastAsia="Arial" w:hAnsi="Arial"/>
                <w:sz w:val="11"/>
                <w:szCs w:val="11"/>
                <w:color w:val="auto"/>
                <w:w w:val="72"/>
              </w:rPr>
              <w:t> </w:t>
            </w:r>
          </w:p>
        </w:tc>
        <w:tc>
          <w:tcPr>
            <w:tcW w:w="4140" w:type="dxa"/>
            <w:vAlign w:val="bottom"/>
            <w:tcBorders>
              <w:bottom w:val="single" w:sz="8" w:color="auto"/>
              <w:right w:val="single" w:sz="8" w:color="auto"/>
            </w:tcBorders>
            <w:shd w:val="clear" w:color="auto" w:fill="D5DCE4"/>
          </w:tcPr>
          <w:p>
            <w:pPr>
              <w:ind w:left="60"/>
              <w:spacing w:after="0"/>
              <w:rPr>
                <w:sz w:val="20"/>
                <w:szCs w:val="20"/>
                <w:color w:val="auto"/>
              </w:rPr>
            </w:pPr>
            <w:r>
              <w:rPr>
                <w:rFonts w:ascii="Arial" w:cs="Arial" w:eastAsia="Arial" w:hAnsi="Arial"/>
                <w:sz w:val="16"/>
                <w:szCs w:val="16"/>
                <w:color w:val="auto"/>
              </w:rPr>
              <w:t>Public Board</w:t>
            </w:r>
          </w:p>
        </w:tc>
        <w:tc>
          <w:tcPr>
            <w:tcW w:w="640" w:type="dxa"/>
            <w:vAlign w:val="bottom"/>
            <w:tcBorders>
              <w:bottom w:val="single" w:sz="8" w:color="auto"/>
              <w:right w:val="single" w:sz="8" w:color="auto"/>
            </w:tcBorders>
          </w:tcPr>
          <w:p>
            <w:pPr>
              <w:ind w:left="24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6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6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ind w:left="26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6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210"/>
        </w:trPr>
        <w:tc>
          <w:tcPr>
            <w:tcW w:w="660" w:type="dxa"/>
            <w:vAlign w:val="bottom"/>
            <w:tcBorders>
              <w:bottom w:val="single" w:sz="8" w:color="002060"/>
            </w:tcBorders>
            <w:shd w:val="clear" w:color="auto" w:fill="002060"/>
          </w:tcPr>
          <w:p>
            <w:pPr>
              <w:spacing w:after="0"/>
              <w:rPr>
                <w:sz w:val="18"/>
                <w:szCs w:val="18"/>
                <w:color w:val="auto"/>
              </w:rPr>
            </w:pPr>
          </w:p>
        </w:tc>
        <w:tc>
          <w:tcPr>
            <w:tcW w:w="200" w:type="dxa"/>
            <w:vAlign w:val="bottom"/>
            <w:tcBorders>
              <w:bottom w:val="single" w:sz="8" w:color="auto"/>
            </w:tcBorders>
            <w:shd w:val="clear" w:color="auto" w:fill="D5DCE4"/>
          </w:tcPr>
          <w:p>
            <w:pPr>
              <w:ind w:left="100"/>
              <w:spacing w:after="0"/>
              <w:rPr>
                <w:sz w:val="20"/>
                <w:szCs w:val="20"/>
                <w:color w:val="auto"/>
              </w:rPr>
            </w:pPr>
            <w:r>
              <w:rPr>
                <w:rFonts w:ascii="Arial" w:cs="Arial" w:eastAsia="Arial" w:hAnsi="Arial"/>
                <w:sz w:val="11"/>
                <w:szCs w:val="11"/>
                <w:color w:val="auto"/>
                <w:w w:val="72"/>
              </w:rPr>
              <w:t> </w:t>
            </w:r>
          </w:p>
        </w:tc>
        <w:tc>
          <w:tcPr>
            <w:tcW w:w="4140" w:type="dxa"/>
            <w:vAlign w:val="bottom"/>
            <w:tcBorders>
              <w:bottom w:val="single" w:sz="8" w:color="auto"/>
              <w:right w:val="single" w:sz="8" w:color="auto"/>
            </w:tcBorders>
            <w:shd w:val="clear" w:color="auto" w:fill="D5DCE4"/>
          </w:tcPr>
          <w:p>
            <w:pPr>
              <w:ind w:left="60"/>
              <w:spacing w:after="0"/>
              <w:rPr>
                <w:sz w:val="20"/>
                <w:szCs w:val="20"/>
                <w:color w:val="auto"/>
              </w:rPr>
            </w:pPr>
            <w:r>
              <w:rPr>
                <w:rFonts w:ascii="Arial" w:cs="Arial" w:eastAsia="Arial" w:hAnsi="Arial"/>
                <w:sz w:val="16"/>
                <w:szCs w:val="16"/>
                <w:color w:val="auto"/>
              </w:rPr>
              <w:t>Audit Committee</w:t>
            </w:r>
          </w:p>
        </w:tc>
        <w:tc>
          <w:tcPr>
            <w:tcW w:w="640" w:type="dxa"/>
            <w:vAlign w:val="bottom"/>
            <w:tcBorders>
              <w:bottom w:val="single" w:sz="8" w:color="auto"/>
              <w:right w:val="single" w:sz="8" w:color="auto"/>
            </w:tcBorders>
          </w:tcPr>
          <w:p>
            <w:pPr>
              <w:ind w:left="24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6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71"/>
              </w:rPr>
              <w:t> </w:t>
            </w:r>
          </w:p>
        </w:tc>
        <w:tc>
          <w:tcPr>
            <w:tcW w:w="66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209"/>
        </w:trPr>
        <w:tc>
          <w:tcPr>
            <w:tcW w:w="660" w:type="dxa"/>
            <w:vAlign w:val="bottom"/>
            <w:tcBorders>
              <w:bottom w:val="single" w:sz="8" w:color="002060"/>
            </w:tcBorders>
            <w:shd w:val="clear" w:color="auto" w:fill="002060"/>
          </w:tcPr>
          <w:p>
            <w:pPr>
              <w:spacing w:after="0"/>
              <w:rPr>
                <w:sz w:val="18"/>
                <w:szCs w:val="18"/>
                <w:color w:val="auto"/>
              </w:rPr>
            </w:pPr>
          </w:p>
        </w:tc>
        <w:tc>
          <w:tcPr>
            <w:tcW w:w="200" w:type="dxa"/>
            <w:vAlign w:val="bottom"/>
            <w:tcBorders>
              <w:bottom w:val="single" w:sz="8" w:color="auto"/>
            </w:tcBorders>
            <w:shd w:val="clear" w:color="auto" w:fill="D5DCE4"/>
          </w:tcPr>
          <w:p>
            <w:pPr>
              <w:ind w:left="100"/>
              <w:spacing w:after="0"/>
              <w:rPr>
                <w:sz w:val="20"/>
                <w:szCs w:val="20"/>
                <w:color w:val="auto"/>
              </w:rPr>
            </w:pPr>
            <w:r>
              <w:rPr>
                <w:rFonts w:ascii="Arial" w:cs="Arial" w:eastAsia="Arial" w:hAnsi="Arial"/>
                <w:sz w:val="11"/>
                <w:szCs w:val="11"/>
                <w:color w:val="auto"/>
                <w:w w:val="72"/>
              </w:rPr>
              <w:t> </w:t>
            </w:r>
          </w:p>
        </w:tc>
        <w:tc>
          <w:tcPr>
            <w:tcW w:w="4140" w:type="dxa"/>
            <w:vAlign w:val="bottom"/>
            <w:tcBorders>
              <w:bottom w:val="single" w:sz="8" w:color="auto"/>
              <w:right w:val="single" w:sz="8" w:color="auto"/>
            </w:tcBorders>
            <w:shd w:val="clear" w:color="auto" w:fill="D5DCE4"/>
          </w:tcPr>
          <w:p>
            <w:pPr>
              <w:ind w:left="60"/>
              <w:spacing w:after="0"/>
              <w:rPr>
                <w:sz w:val="20"/>
                <w:szCs w:val="20"/>
                <w:color w:val="auto"/>
              </w:rPr>
            </w:pPr>
            <w:r>
              <w:rPr>
                <w:rFonts w:ascii="Arial" w:cs="Arial" w:eastAsia="Arial" w:hAnsi="Arial"/>
                <w:sz w:val="16"/>
                <w:szCs w:val="16"/>
                <w:color w:val="auto"/>
              </w:rPr>
              <w:t>Compensation Committee</w:t>
            </w:r>
          </w:p>
        </w:tc>
        <w:tc>
          <w:tcPr>
            <w:tcW w:w="640" w:type="dxa"/>
            <w:vAlign w:val="bottom"/>
            <w:tcBorders>
              <w:bottom w:val="single" w:sz="8" w:color="auto"/>
              <w:right w:val="single" w:sz="8" w:color="auto"/>
            </w:tcBorders>
          </w:tcPr>
          <w:p>
            <w:pPr>
              <w:ind w:left="24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6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6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ind w:left="26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6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210"/>
        </w:trPr>
        <w:tc>
          <w:tcPr>
            <w:tcW w:w="660" w:type="dxa"/>
            <w:vAlign w:val="bottom"/>
            <w:tcBorders>
              <w:bottom w:val="single" w:sz="8" w:color="002060"/>
            </w:tcBorders>
            <w:shd w:val="clear" w:color="auto" w:fill="002060"/>
          </w:tcPr>
          <w:p>
            <w:pPr>
              <w:spacing w:after="0"/>
              <w:rPr>
                <w:sz w:val="18"/>
                <w:szCs w:val="18"/>
                <w:color w:val="auto"/>
              </w:rPr>
            </w:pPr>
          </w:p>
        </w:tc>
        <w:tc>
          <w:tcPr>
            <w:tcW w:w="4340" w:type="dxa"/>
            <w:vAlign w:val="bottom"/>
            <w:tcBorders>
              <w:bottom w:val="single" w:sz="8" w:color="auto"/>
              <w:right w:val="single" w:sz="8" w:color="auto"/>
            </w:tcBorders>
            <w:gridSpan w:val="2"/>
            <w:shd w:val="clear" w:color="auto" w:fill="D5DCE4"/>
          </w:tcPr>
          <w:p>
            <w:pPr>
              <w:ind w:left="100"/>
              <w:spacing w:after="0"/>
              <w:rPr>
                <w:sz w:val="20"/>
                <w:szCs w:val="20"/>
                <w:color w:val="auto"/>
              </w:rPr>
            </w:pPr>
            <w:r>
              <w:rPr>
                <w:rFonts w:ascii="Arial" w:cs="Arial" w:eastAsia="Arial" w:hAnsi="Arial"/>
                <w:sz w:val="16"/>
                <w:szCs w:val="16"/>
                <w:color w:val="auto"/>
              </w:rPr>
              <w:t>   Corporate Governance / Nominating Committee</w:t>
            </w:r>
          </w:p>
        </w:tc>
        <w:tc>
          <w:tcPr>
            <w:tcW w:w="640" w:type="dxa"/>
            <w:vAlign w:val="bottom"/>
            <w:tcBorders>
              <w:bottom w:val="single" w:sz="8" w:color="auto"/>
              <w:right w:val="single" w:sz="8" w:color="auto"/>
            </w:tcBorders>
          </w:tcPr>
          <w:p>
            <w:pPr>
              <w:ind w:left="24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6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6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ind w:left="26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6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210"/>
        </w:trPr>
        <w:tc>
          <w:tcPr>
            <w:tcW w:w="660" w:type="dxa"/>
            <w:vAlign w:val="bottom"/>
            <w:tcBorders>
              <w:bottom w:val="single" w:sz="8" w:color="002060"/>
            </w:tcBorders>
            <w:shd w:val="clear" w:color="auto" w:fill="002060"/>
          </w:tcPr>
          <w:p>
            <w:pPr>
              <w:spacing w:after="0"/>
              <w:rPr>
                <w:sz w:val="18"/>
                <w:szCs w:val="18"/>
                <w:color w:val="auto"/>
              </w:rPr>
            </w:pPr>
          </w:p>
        </w:tc>
        <w:tc>
          <w:tcPr>
            <w:tcW w:w="200" w:type="dxa"/>
            <w:vAlign w:val="bottom"/>
            <w:tcBorders>
              <w:bottom w:val="single" w:sz="8" w:color="auto"/>
            </w:tcBorders>
            <w:shd w:val="clear" w:color="auto" w:fill="D5DCE4"/>
          </w:tcPr>
          <w:p>
            <w:pPr>
              <w:ind w:left="100"/>
              <w:spacing w:after="0"/>
              <w:rPr>
                <w:sz w:val="20"/>
                <w:szCs w:val="20"/>
                <w:color w:val="auto"/>
              </w:rPr>
            </w:pPr>
            <w:r>
              <w:rPr>
                <w:rFonts w:ascii="Arial" w:cs="Arial" w:eastAsia="Arial" w:hAnsi="Arial"/>
                <w:sz w:val="11"/>
                <w:szCs w:val="11"/>
                <w:color w:val="auto"/>
                <w:w w:val="72"/>
              </w:rPr>
              <w:t> </w:t>
            </w:r>
          </w:p>
        </w:tc>
        <w:tc>
          <w:tcPr>
            <w:tcW w:w="4140" w:type="dxa"/>
            <w:vAlign w:val="bottom"/>
            <w:tcBorders>
              <w:bottom w:val="single" w:sz="8" w:color="auto"/>
              <w:right w:val="single" w:sz="8" w:color="auto"/>
            </w:tcBorders>
            <w:shd w:val="clear" w:color="auto" w:fill="D5DCE4"/>
          </w:tcPr>
          <w:p>
            <w:pPr>
              <w:ind w:left="60"/>
              <w:spacing w:after="0"/>
              <w:rPr>
                <w:sz w:val="20"/>
                <w:szCs w:val="20"/>
                <w:color w:val="auto"/>
              </w:rPr>
            </w:pPr>
            <w:r>
              <w:rPr>
                <w:rFonts w:ascii="Arial" w:cs="Arial" w:eastAsia="Arial" w:hAnsi="Arial"/>
                <w:sz w:val="16"/>
                <w:szCs w:val="16"/>
                <w:color w:val="auto"/>
              </w:rPr>
              <w:t>Executive Leadership</w:t>
            </w:r>
          </w:p>
        </w:tc>
        <w:tc>
          <w:tcPr>
            <w:tcW w:w="640" w:type="dxa"/>
            <w:vAlign w:val="bottom"/>
            <w:tcBorders>
              <w:bottom w:val="single" w:sz="8" w:color="auto"/>
              <w:right w:val="single" w:sz="8" w:color="auto"/>
            </w:tcBorders>
          </w:tcPr>
          <w:p>
            <w:pPr>
              <w:ind w:left="24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6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ind w:left="26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6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210"/>
        </w:trPr>
        <w:tc>
          <w:tcPr>
            <w:tcW w:w="660" w:type="dxa"/>
            <w:vAlign w:val="bottom"/>
            <w:tcBorders>
              <w:bottom w:val="single" w:sz="8" w:color="002060"/>
            </w:tcBorders>
            <w:shd w:val="clear" w:color="auto" w:fill="002060"/>
          </w:tcPr>
          <w:p>
            <w:pPr>
              <w:spacing w:after="0"/>
              <w:rPr>
                <w:sz w:val="18"/>
                <w:szCs w:val="18"/>
                <w:color w:val="auto"/>
              </w:rPr>
            </w:pPr>
          </w:p>
        </w:tc>
        <w:tc>
          <w:tcPr>
            <w:tcW w:w="4340" w:type="dxa"/>
            <w:vAlign w:val="bottom"/>
            <w:tcBorders>
              <w:bottom w:val="single" w:sz="8" w:color="auto"/>
              <w:right w:val="single" w:sz="8" w:color="auto"/>
            </w:tcBorders>
            <w:gridSpan w:val="2"/>
            <w:shd w:val="clear" w:color="auto" w:fill="D5DCE4"/>
          </w:tcPr>
          <w:p>
            <w:pPr>
              <w:ind w:left="100"/>
              <w:spacing w:after="0"/>
              <w:rPr>
                <w:sz w:val="20"/>
                <w:szCs w:val="20"/>
                <w:color w:val="auto"/>
              </w:rPr>
            </w:pPr>
            <w:r>
              <w:rPr>
                <w:rFonts w:ascii="Arial" w:cs="Arial" w:eastAsia="Arial" w:hAnsi="Arial"/>
                <w:sz w:val="16"/>
                <w:szCs w:val="16"/>
                <w:color w:val="auto"/>
              </w:rPr>
              <w:t>   Strategic / Operational / Industrial Distribution</w:t>
            </w:r>
          </w:p>
        </w:tc>
        <w:tc>
          <w:tcPr>
            <w:tcW w:w="640" w:type="dxa"/>
            <w:vAlign w:val="bottom"/>
            <w:tcBorders>
              <w:bottom w:val="single" w:sz="8" w:color="auto"/>
              <w:right w:val="single" w:sz="8" w:color="auto"/>
            </w:tcBorders>
          </w:tcPr>
          <w:p>
            <w:pPr>
              <w:ind w:left="24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6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209"/>
        </w:trPr>
        <w:tc>
          <w:tcPr>
            <w:tcW w:w="660" w:type="dxa"/>
            <w:vAlign w:val="bottom"/>
            <w:tcBorders>
              <w:bottom w:val="single" w:sz="8" w:color="002060"/>
            </w:tcBorders>
            <w:shd w:val="clear" w:color="auto" w:fill="002060"/>
          </w:tcPr>
          <w:p>
            <w:pPr>
              <w:spacing w:after="0"/>
              <w:rPr>
                <w:sz w:val="18"/>
                <w:szCs w:val="18"/>
                <w:color w:val="auto"/>
              </w:rPr>
            </w:pPr>
          </w:p>
        </w:tc>
        <w:tc>
          <w:tcPr>
            <w:tcW w:w="200" w:type="dxa"/>
            <w:vAlign w:val="bottom"/>
            <w:tcBorders>
              <w:bottom w:val="single" w:sz="8" w:color="auto"/>
            </w:tcBorders>
            <w:shd w:val="clear" w:color="auto" w:fill="D5DCE4"/>
          </w:tcPr>
          <w:p>
            <w:pPr>
              <w:ind w:left="100"/>
              <w:spacing w:after="0"/>
              <w:rPr>
                <w:sz w:val="20"/>
                <w:szCs w:val="20"/>
                <w:color w:val="auto"/>
              </w:rPr>
            </w:pPr>
            <w:r>
              <w:rPr>
                <w:rFonts w:ascii="Arial" w:cs="Arial" w:eastAsia="Arial" w:hAnsi="Arial"/>
                <w:sz w:val="11"/>
                <w:szCs w:val="11"/>
                <w:color w:val="auto"/>
                <w:w w:val="72"/>
              </w:rPr>
              <w:t> </w:t>
            </w:r>
          </w:p>
        </w:tc>
        <w:tc>
          <w:tcPr>
            <w:tcW w:w="4140" w:type="dxa"/>
            <w:vAlign w:val="bottom"/>
            <w:tcBorders>
              <w:bottom w:val="single" w:sz="8" w:color="auto"/>
              <w:right w:val="single" w:sz="8" w:color="auto"/>
            </w:tcBorders>
            <w:shd w:val="clear" w:color="auto" w:fill="D5DCE4"/>
          </w:tcPr>
          <w:p>
            <w:pPr>
              <w:ind w:left="60"/>
              <w:spacing w:after="0"/>
              <w:rPr>
                <w:sz w:val="20"/>
                <w:szCs w:val="20"/>
                <w:color w:val="auto"/>
              </w:rPr>
            </w:pPr>
            <w:r>
              <w:rPr>
                <w:rFonts w:ascii="Arial" w:cs="Arial" w:eastAsia="Arial" w:hAnsi="Arial"/>
                <w:sz w:val="16"/>
                <w:szCs w:val="16"/>
                <w:color w:val="auto"/>
              </w:rPr>
              <w:t>Human Capital Management</w:t>
            </w:r>
          </w:p>
        </w:tc>
        <w:tc>
          <w:tcPr>
            <w:tcW w:w="640" w:type="dxa"/>
            <w:vAlign w:val="bottom"/>
            <w:tcBorders>
              <w:bottom w:val="single" w:sz="8" w:color="auto"/>
              <w:right w:val="single" w:sz="8" w:color="auto"/>
            </w:tcBorders>
          </w:tcPr>
          <w:p>
            <w:pPr>
              <w:ind w:left="24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ind w:left="26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210"/>
        </w:trPr>
        <w:tc>
          <w:tcPr>
            <w:tcW w:w="660" w:type="dxa"/>
            <w:vAlign w:val="bottom"/>
            <w:tcBorders>
              <w:bottom w:val="single" w:sz="8" w:color="002060"/>
            </w:tcBorders>
            <w:shd w:val="clear" w:color="auto" w:fill="002060"/>
          </w:tcPr>
          <w:p>
            <w:pPr>
              <w:spacing w:after="0"/>
              <w:rPr>
                <w:sz w:val="18"/>
                <w:szCs w:val="18"/>
                <w:color w:val="auto"/>
              </w:rPr>
            </w:pPr>
          </w:p>
        </w:tc>
        <w:tc>
          <w:tcPr>
            <w:tcW w:w="4340" w:type="dxa"/>
            <w:vAlign w:val="bottom"/>
            <w:tcBorders>
              <w:bottom w:val="single" w:sz="8" w:color="auto"/>
              <w:right w:val="single" w:sz="8" w:color="auto"/>
            </w:tcBorders>
            <w:gridSpan w:val="2"/>
            <w:shd w:val="clear" w:color="auto" w:fill="D5DCE4"/>
          </w:tcPr>
          <w:p>
            <w:pPr>
              <w:ind w:left="100"/>
              <w:spacing w:after="0"/>
              <w:rPr>
                <w:sz w:val="20"/>
                <w:szCs w:val="20"/>
                <w:color w:val="auto"/>
              </w:rPr>
            </w:pPr>
            <w:r>
              <w:rPr>
                <w:rFonts w:ascii="Arial" w:cs="Arial" w:eastAsia="Arial" w:hAnsi="Arial"/>
                <w:sz w:val="16"/>
                <w:szCs w:val="16"/>
                <w:color w:val="auto"/>
              </w:rPr>
              <w:t>   IT / Technology / Cybersecurity / Digital Transformation</w:t>
            </w:r>
          </w:p>
        </w:tc>
        <w:tc>
          <w:tcPr>
            <w:tcW w:w="640" w:type="dxa"/>
            <w:vAlign w:val="bottom"/>
            <w:tcBorders>
              <w:bottom w:val="single" w:sz="8" w:color="auto"/>
              <w:right w:val="single" w:sz="8" w:color="auto"/>
            </w:tcBorders>
          </w:tcPr>
          <w:p>
            <w:pPr>
              <w:ind w:left="24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210"/>
        </w:trPr>
        <w:tc>
          <w:tcPr>
            <w:tcW w:w="660" w:type="dxa"/>
            <w:vAlign w:val="bottom"/>
            <w:tcBorders>
              <w:bottom w:val="single" w:sz="8" w:color="0070C0"/>
            </w:tcBorders>
            <w:shd w:val="clear" w:color="auto" w:fill="002060"/>
          </w:tcPr>
          <w:p>
            <w:pPr>
              <w:spacing w:after="0"/>
              <w:rPr>
                <w:sz w:val="18"/>
                <w:szCs w:val="18"/>
                <w:color w:val="auto"/>
              </w:rPr>
            </w:pPr>
          </w:p>
        </w:tc>
        <w:tc>
          <w:tcPr>
            <w:tcW w:w="200" w:type="dxa"/>
            <w:vAlign w:val="bottom"/>
            <w:tcBorders>
              <w:bottom w:val="single" w:sz="8" w:color="0070C0"/>
            </w:tcBorders>
            <w:shd w:val="clear" w:color="auto" w:fill="D5DCE4"/>
          </w:tcPr>
          <w:p>
            <w:pPr>
              <w:ind w:left="100"/>
              <w:spacing w:after="0"/>
              <w:rPr>
                <w:sz w:val="20"/>
                <w:szCs w:val="20"/>
                <w:color w:val="auto"/>
              </w:rPr>
            </w:pPr>
            <w:r>
              <w:rPr>
                <w:rFonts w:ascii="Arial" w:cs="Arial" w:eastAsia="Arial" w:hAnsi="Arial"/>
                <w:sz w:val="11"/>
                <w:szCs w:val="11"/>
                <w:color w:val="auto"/>
                <w:w w:val="72"/>
              </w:rPr>
              <w:t> </w:t>
            </w:r>
          </w:p>
        </w:tc>
        <w:tc>
          <w:tcPr>
            <w:tcW w:w="4140" w:type="dxa"/>
            <w:vAlign w:val="bottom"/>
            <w:tcBorders>
              <w:bottom w:val="single" w:sz="8" w:color="0070C0"/>
              <w:right w:val="single" w:sz="8" w:color="auto"/>
            </w:tcBorders>
            <w:shd w:val="clear" w:color="auto" w:fill="D5DCE4"/>
          </w:tcPr>
          <w:p>
            <w:pPr>
              <w:ind w:left="60"/>
              <w:spacing w:after="0"/>
              <w:rPr>
                <w:sz w:val="20"/>
                <w:szCs w:val="20"/>
                <w:color w:val="auto"/>
              </w:rPr>
            </w:pPr>
            <w:r>
              <w:rPr>
                <w:rFonts w:ascii="Arial" w:cs="Arial" w:eastAsia="Arial" w:hAnsi="Arial"/>
                <w:sz w:val="16"/>
                <w:szCs w:val="16"/>
                <w:color w:val="auto"/>
              </w:rPr>
              <w:t>ESG</w:t>
            </w:r>
          </w:p>
        </w:tc>
        <w:tc>
          <w:tcPr>
            <w:tcW w:w="640" w:type="dxa"/>
            <w:vAlign w:val="bottom"/>
            <w:tcBorders>
              <w:bottom w:val="single" w:sz="8" w:color="0070C0"/>
              <w:right w:val="single" w:sz="8" w:color="auto"/>
            </w:tcBorders>
          </w:tcPr>
          <w:p>
            <w:pPr>
              <w:ind w:left="24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0070C0"/>
              <w:right w:val="single" w:sz="8" w:color="auto"/>
            </w:tcBorders>
          </w:tcPr>
          <w:p>
            <w:pPr>
              <w:spacing w:after="0"/>
              <w:rPr>
                <w:sz w:val="18"/>
                <w:szCs w:val="18"/>
                <w:color w:val="auto"/>
              </w:rPr>
            </w:pPr>
          </w:p>
        </w:tc>
        <w:tc>
          <w:tcPr>
            <w:tcW w:w="660" w:type="dxa"/>
            <w:vAlign w:val="bottom"/>
            <w:tcBorders>
              <w:bottom w:val="single" w:sz="8" w:color="0070C0"/>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640" w:type="dxa"/>
            <w:vAlign w:val="bottom"/>
            <w:tcBorders>
              <w:bottom w:val="single" w:sz="8" w:color="0070C0"/>
              <w:right w:val="single" w:sz="8" w:color="auto"/>
            </w:tcBorders>
          </w:tcPr>
          <w:p>
            <w:pPr>
              <w:spacing w:after="0"/>
              <w:rPr>
                <w:sz w:val="18"/>
                <w:szCs w:val="18"/>
                <w:color w:val="auto"/>
              </w:rPr>
            </w:pPr>
          </w:p>
        </w:tc>
        <w:tc>
          <w:tcPr>
            <w:tcW w:w="660" w:type="dxa"/>
            <w:vAlign w:val="bottom"/>
            <w:tcBorders>
              <w:bottom w:val="single" w:sz="8" w:color="0070C0"/>
              <w:right w:val="single" w:sz="8" w:color="auto"/>
            </w:tcBorders>
          </w:tcPr>
          <w:p>
            <w:pPr>
              <w:spacing w:after="0"/>
              <w:rPr>
                <w:sz w:val="18"/>
                <w:szCs w:val="18"/>
                <w:color w:val="auto"/>
              </w:rPr>
            </w:pPr>
          </w:p>
        </w:tc>
        <w:tc>
          <w:tcPr>
            <w:tcW w:w="640" w:type="dxa"/>
            <w:vAlign w:val="bottom"/>
            <w:tcBorders>
              <w:bottom w:val="single" w:sz="8" w:color="0070C0"/>
              <w:right w:val="single" w:sz="8" w:color="auto"/>
            </w:tcBorders>
          </w:tcPr>
          <w:p>
            <w:pPr>
              <w:spacing w:after="0"/>
              <w:rPr>
                <w:sz w:val="18"/>
                <w:szCs w:val="18"/>
                <w:color w:val="auto"/>
              </w:rPr>
            </w:pPr>
          </w:p>
        </w:tc>
        <w:tc>
          <w:tcPr>
            <w:tcW w:w="640" w:type="dxa"/>
            <w:vAlign w:val="bottom"/>
            <w:tcBorders>
              <w:bottom w:val="single" w:sz="8" w:color="0070C0"/>
              <w:right w:val="single" w:sz="8" w:color="auto"/>
            </w:tcBorders>
          </w:tcPr>
          <w:p>
            <w:pPr>
              <w:spacing w:after="0"/>
              <w:rPr>
                <w:sz w:val="18"/>
                <w:szCs w:val="18"/>
                <w:color w:val="auto"/>
              </w:rPr>
            </w:pPr>
          </w:p>
        </w:tc>
        <w:tc>
          <w:tcPr>
            <w:tcW w:w="660" w:type="dxa"/>
            <w:vAlign w:val="bottom"/>
            <w:tcBorders>
              <w:bottom w:val="single" w:sz="8" w:color="0070C0"/>
              <w:right w:val="single" w:sz="8" w:color="auto"/>
            </w:tcBorders>
          </w:tcPr>
          <w:p>
            <w:pPr>
              <w:spacing w:after="0"/>
              <w:rPr>
                <w:sz w:val="18"/>
                <w:szCs w:val="18"/>
                <w:color w:val="auto"/>
              </w:rPr>
            </w:pPr>
          </w:p>
        </w:tc>
        <w:tc>
          <w:tcPr>
            <w:tcW w:w="640" w:type="dxa"/>
            <w:vAlign w:val="bottom"/>
            <w:tcBorders>
              <w:bottom w:val="single" w:sz="8" w:color="0070C0"/>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-2639695</wp:posOffset>
            </wp:positionV>
            <wp:extent cx="120015" cy="11061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1106170"/>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-3763010</wp:posOffset>
            </wp:positionV>
            <wp:extent cx="102870" cy="7112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870" cy="711200"/>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-3891280</wp:posOffset>
            </wp:positionV>
            <wp:extent cx="111125" cy="8401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1125" cy="840105"/>
                    </a:xfrm>
                    <a:prstGeom prst="rect">
                      <a:avLst/>
                    </a:prstGeom>
                    <a:noFill/>
                  </pic:spPr>
                </pic:pic>
              </a:graphicData>
            </a:graphic>
          </wp:anchor>
        </w:drawing>
        <w:drawing>
          <wp:anchor simplePos="0" relativeHeight="251657728" behindDoc="1" locked="0" layoutInCell="0" allowOverlap="1">
            <wp:simplePos x="0" y="0"/>
            <wp:positionH relativeFrom="column">
              <wp:posOffset>4266565</wp:posOffset>
            </wp:positionH>
            <wp:positionV relativeFrom="paragraph">
              <wp:posOffset>-4088765</wp:posOffset>
            </wp:positionV>
            <wp:extent cx="85725" cy="1036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1036955"/>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-3788410</wp:posOffset>
            </wp:positionV>
            <wp:extent cx="85725" cy="737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737235"/>
                    </a:xfrm>
                    <a:prstGeom prst="rect">
                      <a:avLst/>
                    </a:prstGeom>
                    <a:noFill/>
                  </pic:spPr>
                </pic:pic>
              </a:graphicData>
            </a:graphic>
          </wp:anchor>
        </w:drawing>
        <w:drawing>
          <wp:anchor simplePos="0" relativeHeight="251657728" behindDoc="1" locked="0" layoutInCell="0" allowOverlap="1">
            <wp:simplePos x="0" y="0"/>
            <wp:positionH relativeFrom="column">
              <wp:posOffset>5089525</wp:posOffset>
            </wp:positionH>
            <wp:positionV relativeFrom="paragraph">
              <wp:posOffset>-3711575</wp:posOffset>
            </wp:positionV>
            <wp:extent cx="94615" cy="6597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4615" cy="659765"/>
                    </a:xfrm>
                    <a:prstGeom prst="rect">
                      <a:avLst/>
                    </a:prstGeom>
                    <a:noFill/>
                  </pic:spPr>
                </pic:pic>
              </a:graphicData>
            </a:graphic>
          </wp:anchor>
        </w:drawing>
        <w:drawing>
          <wp:anchor simplePos="0" relativeHeight="251657728" behindDoc="1" locked="0" layoutInCell="0" allowOverlap="1">
            <wp:simplePos x="0" y="0"/>
            <wp:positionH relativeFrom="column">
              <wp:posOffset>5501005</wp:posOffset>
            </wp:positionH>
            <wp:positionV relativeFrom="paragraph">
              <wp:posOffset>-3763010</wp:posOffset>
            </wp:positionV>
            <wp:extent cx="94615" cy="7112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4615" cy="711200"/>
                    </a:xfrm>
                    <a:prstGeom prst="rect">
                      <a:avLst/>
                    </a:prstGeom>
                    <a:noFill/>
                  </pic:spPr>
                </pic:pic>
              </a:graphicData>
            </a:graphic>
          </wp:anchor>
        </w:drawing>
        <w:drawing>
          <wp:anchor simplePos="0" relativeHeight="251657728" behindDoc="1" locked="0" layoutInCell="0" allowOverlap="1">
            <wp:simplePos x="0" y="0"/>
            <wp:positionH relativeFrom="column">
              <wp:posOffset>5912485</wp:posOffset>
            </wp:positionH>
            <wp:positionV relativeFrom="paragraph">
              <wp:posOffset>-3883025</wp:posOffset>
            </wp:positionV>
            <wp:extent cx="85725" cy="8312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3121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-4097020</wp:posOffset>
            </wp:positionV>
            <wp:extent cx="85725" cy="1045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1045845"/>
                    </a:xfrm>
                    <a:prstGeom prst="rect">
                      <a:avLst/>
                    </a:prstGeom>
                    <a:noFill/>
                  </pic:spPr>
                </pic:pic>
              </a:graphicData>
            </a:graphic>
          </wp:anchor>
        </w:drawing>
        <w:drawing>
          <wp:anchor simplePos="0" relativeHeight="251657728" behindDoc="1" locked="0" layoutInCell="0" allowOverlap="1">
            <wp:simplePos x="0" y="0"/>
            <wp:positionH relativeFrom="column">
              <wp:posOffset>6718300</wp:posOffset>
            </wp:positionH>
            <wp:positionV relativeFrom="paragraph">
              <wp:posOffset>-3883025</wp:posOffset>
            </wp:positionV>
            <wp:extent cx="94615" cy="8312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4615" cy="831215"/>
                    </a:xfrm>
                    <a:prstGeom prst="rect">
                      <a:avLst/>
                    </a:prstGeom>
                    <a:noFill/>
                  </pic:spPr>
                </pic:pic>
              </a:graphicData>
            </a:graphic>
          </wp:anchor>
        </w:drawing>
      </w:r>
    </w:p>
    <w:p>
      <w:pPr>
        <w:spacing w:after="0" w:line="177"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NCG Committee also considers whether a director candidate meets applicable criteria for independence and whether the individual will enhance the diversity of views and experiences available to the Board in its deliberations. If the nominee is a current director, the NCG Committee takes into account the director’s individual contributions to the Board, the director’s ability to work collaboratively and the effectiveness of the Board as a whole. No specific weight is assigned to any particular factor and, depending on the current and anticipated needs of the Board, some factors may weigh more or less heavily.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6995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Proposal 1 – Election of Directors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7</w:t>
      </w:r>
    </w:p>
    <w:p>
      <w:pPr>
        <w:sectPr>
          <w:pgSz w:w="11900" w:h="16838" w:orient="portrait"/>
          <w:cols w:equalWidth="0" w:num="1">
            <w:col w:w="11020"/>
          </w:cols>
          <w:pgMar w:left="440" w:top="296" w:right="43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00206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Board Composition</w:t>
      </w:r>
    </w:p>
    <w:p>
      <w:pPr>
        <w:spacing w:after="0" w:line="256"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In addition to the skills and expertise described above, the NCG Committee also seeks diversity of age, gender and race and ethnicity among members of the Board. The Board, as a group, is expected to represent a broad range of backgrounds and experience. The NCG Committee and the Board believe that considering diversity is consistent with creating a Board that best serves the Company, our stockholders, our employees and our communities. The NCG Committee believes that our director nominees and continuing directors exhibit commitment to long-term value creation for our stockholders, outstanding personal and professional ethics, sound business judgment, strategic vision, leadership experience and an appreciation of different perspectives.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177165</wp:posOffset>
            </wp:positionV>
            <wp:extent cx="5648960" cy="38061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48960" cy="3806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200" w:val="left"/>
          <w:tab w:leader="none" w:pos="400" w:val="left"/>
        </w:tabs>
        <w:rPr>
          <w:sz w:val="20"/>
          <w:szCs w:val="20"/>
          <w:color w:val="auto"/>
        </w:rPr>
      </w:pPr>
      <w:r>
        <w:rPr>
          <w:rFonts w:ascii="Times New Roman" w:cs="Times New Roman" w:eastAsia="Times New Roman" w:hAnsi="Times New Roman"/>
          <w:sz w:val="22"/>
          <w:szCs w:val="22"/>
          <w:color w:val="auto"/>
        </w:rPr>
        <w:t> </w:t>
        <w:tab/>
        <w:t> </w:t>
      </w:r>
      <w:r>
        <w:rPr>
          <w:sz w:val="20"/>
          <w:szCs w:val="20"/>
          <w:color w:val="auto"/>
        </w:rPr>
        <w:tab/>
      </w:r>
      <w:r>
        <w:rPr>
          <w:rFonts w:ascii="Times New Roman" w:cs="Times New Roman" w:eastAsia="Times New Roman" w:hAnsi="Times New Roman"/>
          <w:sz w:val="6"/>
          <w:szCs w:val="6"/>
          <w:color w:val="auto"/>
        </w:rPr>
        <w:t> </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Director Skills, Experience and Background</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following biographical information regarding each director nominee and director continuing in office is as of April 11, 2024. In addition to age and tenure as a director, it includes information about each individual’s principal occupation, professional experience, educational background and certain other experience, attributes, qualifications and skills that make the director a valuable 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99695</wp:posOffset>
            </wp:positionV>
            <wp:extent cx="69951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70C0"/>
        </w:rPr>
        <w:t>Proposal 1 – Election of Directors</w:t>
      </w:r>
    </w:p>
    <w:p>
      <w:pPr>
        <w:spacing w:after="0" w:line="5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70C0"/>
        </w:rPr>
        <w:t>8</w:t>
      </w:r>
    </w:p>
    <w:p>
      <w:pPr>
        <w:sectPr>
          <w:pgSz w:w="11900" w:h="16838" w:orient="portrait"/>
          <w:cols w:equalWidth="0" w:num="1">
            <w:col w:w="10900"/>
          </w:cols>
          <w:pgMar w:left="440" w:top="287" w:right="55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200660</wp:posOffset>
            </wp:positionV>
            <wp:extent cx="1577340" cy="7037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77340" cy="7037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Age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56</w:t>
      </w:r>
    </w:p>
    <w:p>
      <w:pPr>
        <w:spacing w:after="0" w:line="221" w:lineRule="exact"/>
        <w:rPr>
          <w:sz w:val="20"/>
          <w:szCs w:val="20"/>
          <w:color w:val="auto"/>
        </w:rPr>
      </w:pPr>
    </w:p>
    <w:p>
      <w:pPr>
        <w:ind w:right="220"/>
        <w:spacing w:after="0" w:line="311" w:lineRule="auto"/>
        <w:rPr>
          <w:sz w:val="20"/>
          <w:szCs w:val="20"/>
          <w:color w:val="auto"/>
        </w:rPr>
      </w:pPr>
      <w:r>
        <w:rPr>
          <w:rFonts w:ascii="Arial" w:cs="Arial" w:eastAsia="Arial" w:hAnsi="Arial"/>
          <w:sz w:val="17"/>
          <w:szCs w:val="17"/>
          <w:b w:val="1"/>
          <w:bCs w:val="1"/>
          <w:color w:val="002060"/>
        </w:rPr>
        <w:t>Presiding Independent Director since 2014</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Independent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Director Since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Class II Director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Term Expires in 2024</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Board Committees</w:t>
      </w:r>
    </w:p>
    <w:p>
      <w:pPr>
        <w:spacing w:after="0" w:line="9" w:lineRule="exact"/>
        <w:rPr>
          <w:sz w:val="20"/>
          <w:szCs w:val="20"/>
          <w:color w:val="auto"/>
        </w:rPr>
      </w:pPr>
    </w:p>
    <w:p>
      <w:pPr>
        <w:ind w:left="80" w:right="480"/>
        <w:spacing w:after="0" w:line="218" w:lineRule="exact"/>
        <w:rPr>
          <w:sz w:val="20"/>
          <w:szCs w:val="20"/>
          <w:color w:val="auto"/>
        </w:rPr>
      </w:pPr>
      <w:r>
        <w:rPr>
          <w:rFonts w:ascii="MS PGothic" w:cs="MS PGothic" w:eastAsia="MS PGothic" w:hAnsi="MS PGothic"/>
          <w:sz w:val="17"/>
          <w:szCs w:val="17"/>
          <w:color w:val="002060"/>
        </w:rPr>
        <w:t>✓</w:t>
      </w:r>
      <w:r>
        <w:rPr>
          <w:rFonts w:ascii="Arial" w:cs="Arial" w:eastAsia="Arial" w:hAnsi="Arial"/>
          <w:sz w:val="17"/>
          <w:szCs w:val="17"/>
          <w:color w:val="auto"/>
        </w:rPr>
        <w:t xml:space="preserve">   Audit Committee </w:t>
      </w:r>
      <w:r>
        <w:rPr>
          <w:rFonts w:ascii="MS PGothic" w:cs="MS PGothic" w:eastAsia="MS PGothic" w:hAnsi="MS PGothic"/>
          <w:sz w:val="17"/>
          <w:szCs w:val="17"/>
          <w:color w:val="002060"/>
        </w:rPr>
        <w:t>✓</w:t>
      </w:r>
      <w:r>
        <w:rPr>
          <w:rFonts w:ascii="Arial" w:cs="Arial" w:eastAsia="Arial" w:hAnsi="Arial"/>
          <w:sz w:val="17"/>
          <w:szCs w:val="17"/>
          <w:color w:val="auto"/>
        </w:rPr>
        <w:t xml:space="preserve">   Nominating and</w:t>
      </w:r>
    </w:p>
    <w:p>
      <w:pPr>
        <w:spacing w:after="0" w:line="1" w:lineRule="exact"/>
        <w:rPr>
          <w:sz w:val="20"/>
          <w:szCs w:val="20"/>
          <w:color w:val="auto"/>
        </w:rPr>
      </w:pPr>
    </w:p>
    <w:p>
      <w:pPr>
        <w:ind w:left="80"/>
        <w:spacing w:after="0" w:line="279" w:lineRule="auto"/>
        <w:rPr>
          <w:sz w:val="20"/>
          <w:szCs w:val="20"/>
          <w:color w:val="auto"/>
        </w:rPr>
      </w:pPr>
      <w:r>
        <w:rPr>
          <w:rFonts w:ascii="Arial" w:cs="Arial" w:eastAsia="Arial" w:hAnsi="Arial"/>
          <w:sz w:val="17"/>
          <w:szCs w:val="17"/>
          <w:color w:val="auto"/>
        </w:rPr>
        <w:t>    Corporate Governance     Committee (Chair)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7"/>
          <w:szCs w:val="47"/>
          <w:b w:val="1"/>
          <w:bCs w:val="1"/>
          <w:color w:val="0070C0"/>
        </w:rPr>
        <w:t>Margot L.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-1003300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32"/>
          <w:szCs w:val="32"/>
          <w:i w:val="1"/>
          <w:iCs w:val="1"/>
          <w:color w:val="0070C0"/>
        </w:rPr>
        <w:t>Director Nominee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Occupation</w:t>
      </w:r>
    </w:p>
    <w:p>
      <w:pPr>
        <w:spacing w:after="0" w:line="14" w:lineRule="exact"/>
        <w:rPr>
          <w:sz w:val="20"/>
          <w:szCs w:val="20"/>
          <w:color w:val="auto"/>
        </w:rPr>
      </w:pPr>
    </w:p>
    <w:p>
      <w:pPr>
        <w:ind w:right="3040"/>
        <w:spacing w:after="0" w:line="250" w:lineRule="auto"/>
        <w:rPr>
          <w:sz w:val="20"/>
          <w:szCs w:val="20"/>
          <w:color w:val="auto"/>
        </w:rPr>
      </w:pPr>
      <w:r>
        <w:rPr>
          <w:rFonts w:ascii="Arial" w:cs="Arial" w:eastAsia="Arial" w:hAnsi="Arial"/>
          <w:sz w:val="18"/>
          <w:szCs w:val="18"/>
          <w:color w:val="auto"/>
        </w:rPr>
        <w:t>Living Mountain Capital L.L.C., a business advisory consulting firm President and Founder (1998–present)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Education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Binghamton University, B.A. in Economics and History</w:t>
      </w:r>
    </w:p>
    <w:p>
      <w:pPr>
        <w:spacing w:after="0" w:line="234" w:lineRule="auto"/>
        <w:rPr>
          <w:sz w:val="20"/>
          <w:szCs w:val="20"/>
          <w:color w:val="auto"/>
        </w:rPr>
      </w:pPr>
      <w:r>
        <w:rPr>
          <w:rFonts w:ascii="Arial" w:cs="Arial" w:eastAsia="Arial" w:hAnsi="Arial"/>
          <w:sz w:val="18"/>
          <w:szCs w:val="18"/>
          <w:color w:val="auto"/>
        </w:rPr>
        <w:t>Fordham University School of Law, J.D.</w:t>
      </w:r>
    </w:p>
    <w:p>
      <w:pPr>
        <w:spacing w:after="0" w:line="235" w:lineRule="auto"/>
        <w:rPr>
          <w:sz w:val="20"/>
          <w:szCs w:val="20"/>
          <w:color w:val="auto"/>
        </w:rPr>
      </w:pPr>
      <w:r>
        <w:rPr>
          <w:rFonts w:ascii="Arial" w:cs="Arial" w:eastAsia="Arial" w:hAnsi="Arial"/>
          <w:sz w:val="18"/>
          <w:szCs w:val="18"/>
          <w:color w:val="auto"/>
        </w:rPr>
        <w:t>MIT Sloan School of Management, Executive Certificate - Artificial Intelligence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Southern Methodist University Cox Business School, Certificate - Finance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Experience</w:t>
      </w:r>
    </w:p>
    <w:p>
      <w:pPr>
        <w:spacing w:after="0" w:line="40" w:lineRule="exact"/>
        <w:rPr>
          <w:sz w:val="20"/>
          <w:szCs w:val="20"/>
          <w:color w:val="auto"/>
        </w:rPr>
      </w:pPr>
    </w:p>
    <w:p>
      <w:pPr>
        <w:ind w:left="280" w:right="360" w:hanging="269"/>
        <w:spacing w:after="0" w:line="219"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RealPage, Inc., a leading global software and data analytics company for the real estate industry, Executive Vice President, Chief Legal Officer and Secretary</w:t>
      </w:r>
    </w:p>
    <w:p>
      <w:pPr>
        <w:spacing w:after="0" w:line="86" w:lineRule="exact"/>
        <w:rPr>
          <w:sz w:val="20"/>
          <w:szCs w:val="20"/>
          <w:color w:val="auto"/>
        </w:rPr>
      </w:pPr>
    </w:p>
    <w:p>
      <w:pPr>
        <w:ind w:left="280" w:right="260" w:hanging="269"/>
        <w:spacing w:after="0" w:line="220"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The Princeton Review, Inc., a global education technology company, Executive Vice President and General Counsel</w:t>
      </w:r>
    </w:p>
    <w:p>
      <w:pPr>
        <w:spacing w:after="0" w:line="87" w:lineRule="exact"/>
        <w:rPr>
          <w:sz w:val="20"/>
          <w:szCs w:val="20"/>
          <w:color w:val="auto"/>
        </w:rPr>
      </w:pPr>
    </w:p>
    <w:p>
      <w:pPr>
        <w:ind w:left="280" w:right="600" w:hanging="269"/>
        <w:spacing w:after="0" w:line="220"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Soundview Technology Group, Inc., a global technology financial services firm, Executive Vice President, General Counsel and Executive Managing Director</w:t>
      </w:r>
    </w:p>
    <w:p>
      <w:pPr>
        <w:spacing w:after="0" w:line="87" w:lineRule="exact"/>
        <w:rPr>
          <w:sz w:val="20"/>
          <w:szCs w:val="20"/>
          <w:color w:val="auto"/>
        </w:rPr>
      </w:pPr>
    </w:p>
    <w:p>
      <w:pPr>
        <w:ind w:left="280" w:right="560" w:hanging="269"/>
        <w:spacing w:after="0" w:line="220"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Cantor Fitzgerald and eSpeed, Inc., a global capital markets, financial services and technology company, Assistant General Counsel</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Other Board Service</w:t>
      </w:r>
    </w:p>
    <w:p>
      <w:pPr>
        <w:spacing w:after="0" w:line="40" w:lineRule="exact"/>
        <w:rPr>
          <w:sz w:val="20"/>
          <w:szCs w:val="20"/>
          <w:color w:val="auto"/>
        </w:rPr>
      </w:pPr>
    </w:p>
    <w:p>
      <w:pPr>
        <w:jc w:val="both"/>
        <w:ind w:left="280" w:right="780" w:hanging="269"/>
        <w:spacing w:after="0" w:line="214"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Eagle Materials, Inc., a publicly traded leading provider of building materials (2017-present), compensation and corporate governance and nominating committees (2017-present), audit committee (2017-2019)</w:t>
      </w:r>
    </w:p>
    <w:p>
      <w:pPr>
        <w:spacing w:after="0" w:line="86" w:lineRule="exact"/>
        <w:rPr>
          <w:sz w:val="20"/>
          <w:szCs w:val="20"/>
          <w:color w:val="auto"/>
        </w:rPr>
      </w:pPr>
    </w:p>
    <w:p>
      <w:pPr>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Interior Logic Group, a technology enabled building materials business (2017-2019)</w:t>
      </w:r>
    </w:p>
    <w:p>
      <w:pPr>
        <w:spacing w:after="0" w:line="117" w:lineRule="exact"/>
        <w:rPr>
          <w:sz w:val="20"/>
          <w:szCs w:val="20"/>
          <w:color w:val="auto"/>
        </w:rPr>
      </w:pPr>
    </w:p>
    <w:p>
      <w:pPr>
        <w:ind w:left="280" w:right="940" w:hanging="269"/>
        <w:spacing w:after="0" w:line="220" w:lineRule="exact"/>
        <w:rPr>
          <w:sz w:val="20"/>
          <w:szCs w:val="20"/>
          <w:color w:val="auto"/>
        </w:rPr>
      </w:pPr>
      <w:r>
        <w:rPr>
          <w:rFonts w:ascii="MS PGothic" w:cs="MS PGothic" w:eastAsia="MS PGothic" w:hAnsi="MS PGothic"/>
          <w:sz w:val="13"/>
          <w:szCs w:val="13"/>
          <w:color w:val="002060"/>
        </w:rPr>
        <w:t>∎</w:t>
      </w:r>
      <w:r>
        <w:rPr>
          <w:rFonts w:ascii="Arial" w:cs="Arial" w:eastAsia="Arial" w:hAnsi="Arial"/>
          <w:sz w:val="17"/>
          <w:szCs w:val="17"/>
          <w:color w:val="auto"/>
        </w:rPr>
        <w:t xml:space="preserve">    North Texas Chapter of National Association of Corporate Directors (2016–present), Chair (July 2022-July 2023), Chair Emeritus (July 2023–present); NACD Director Certified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Qualifications</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Ms. Carter’s experience in the technology, real estate and construction industries and her service as a director of a public company in the building materials industry bring to the Board knowledge of the housing and construction industries, corporate governance and technology and cybersecurity. Ms. Carter has extensive experience in mergers and acquisitions and business development, which provide insight for the Company’s growth strategies. Her experience as general counsel and service on board committees give her insight into the dynamics of a corporate board, risk oversight and human capital and environmental, social and governance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-1703705</wp:posOffset>
            </wp:positionH>
            <wp:positionV relativeFrom="paragraph">
              <wp:posOffset>455295</wp:posOffset>
            </wp:positionV>
            <wp:extent cx="6995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340"/>
            <w:col w:w="8340"/>
          </w:cols>
          <w:pgMar w:left="620" w:top="1180" w:right="4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0070C0"/>
        </w:rPr>
        <w:t>Proposal 1 – Election of Directors</w:t>
      </w:r>
    </w:p>
    <w:p>
      <w:pPr>
        <w:spacing w:after="0" w:line="5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0070C0"/>
        </w:rPr>
        <w:t>9</w:t>
      </w:r>
    </w:p>
    <w:p>
      <w:pPr>
        <w:sectPr>
          <w:pgSz w:w="11900" w:h="16838" w:orient="portrait"/>
          <w:cols w:equalWidth="0" w:num="1">
            <w:col w:w="10840"/>
          </w:cols>
          <w:pgMar w:left="620" w:top="1180" w:right="43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200660</wp:posOffset>
            </wp:positionV>
            <wp:extent cx="1517015" cy="63347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17015" cy="6334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Age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78</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Independent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Director since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Class II Director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Term Expires in 2024</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Board Committees</w:t>
      </w:r>
    </w:p>
    <w:p>
      <w:pPr>
        <w:spacing w:after="0" w:line="9" w:lineRule="exact"/>
        <w:rPr>
          <w:sz w:val="20"/>
          <w:szCs w:val="20"/>
          <w:color w:val="auto"/>
        </w:rPr>
      </w:pPr>
    </w:p>
    <w:p>
      <w:pPr>
        <w:ind w:left="80"/>
        <w:spacing w:after="0" w:line="196" w:lineRule="exact"/>
        <w:rPr>
          <w:sz w:val="20"/>
          <w:szCs w:val="20"/>
          <w:color w:val="auto"/>
        </w:rPr>
      </w:pPr>
      <w:r>
        <w:rPr>
          <w:rFonts w:ascii="MS PGothic" w:cs="MS PGothic" w:eastAsia="MS PGothic" w:hAnsi="MS PGothic"/>
          <w:sz w:val="17"/>
          <w:szCs w:val="17"/>
          <w:color w:val="002060"/>
        </w:rPr>
        <w:t>✓</w:t>
      </w:r>
      <w:r>
        <w:rPr>
          <w:rFonts w:ascii="Arial" w:cs="Arial" w:eastAsia="Arial" w:hAnsi="Arial"/>
          <w:sz w:val="17"/>
          <w:szCs w:val="17"/>
          <w:color w:val="auto"/>
        </w:rPr>
        <w:t xml:space="preserve">   Compensation and</w:t>
      </w:r>
    </w:p>
    <w:p>
      <w:pPr>
        <w:spacing w:after="0" w:line="25" w:lineRule="exact"/>
        <w:rPr>
          <w:sz w:val="20"/>
          <w:szCs w:val="20"/>
          <w:color w:val="auto"/>
        </w:rPr>
      </w:pPr>
    </w:p>
    <w:p>
      <w:pPr>
        <w:ind w:left="180" w:hanging="94"/>
        <w:spacing w:after="0"/>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Human Capital</w:t>
      </w:r>
    </w:p>
    <w:p>
      <w:pPr>
        <w:spacing w:after="0" w:line="18" w:lineRule="exact"/>
        <w:rPr>
          <w:rFonts w:ascii="Arial" w:cs="Arial" w:eastAsia="Arial" w:hAnsi="Arial"/>
          <w:sz w:val="16"/>
          <w:szCs w:val="16"/>
          <w:color w:val="auto"/>
        </w:rPr>
      </w:pPr>
    </w:p>
    <w:p>
      <w:pPr>
        <w:ind w:left="180" w:hanging="94"/>
        <w:spacing w:after="0"/>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7"/>
          <w:szCs w:val="47"/>
          <w:b w:val="1"/>
          <w:bCs w:val="1"/>
          <w:color w:val="0070C0"/>
        </w:rPr>
        <w:t>David R. Meuse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-969010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32"/>
          <w:szCs w:val="32"/>
          <w:i w:val="1"/>
          <w:iCs w:val="1"/>
          <w:color w:val="0070C0"/>
        </w:rPr>
        <w:t>Director Nominee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Occupation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Stonehenge Partners, Inc., a privately held mezzanine and equity investment firm and provider of</w:t>
      </w:r>
    </w:p>
    <w:p>
      <w:pPr>
        <w:spacing w:after="0" w:line="234" w:lineRule="auto"/>
        <w:rPr>
          <w:sz w:val="20"/>
          <w:szCs w:val="20"/>
          <w:color w:val="auto"/>
        </w:rPr>
      </w:pPr>
      <w:r>
        <w:rPr>
          <w:rFonts w:ascii="Arial" w:cs="Arial" w:eastAsia="Arial" w:hAnsi="Arial"/>
          <w:sz w:val="18"/>
          <w:szCs w:val="18"/>
          <w:color w:val="auto"/>
        </w:rPr>
        <w:t>financial and advisory services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Senior Advisor (2018–present)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Education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Carroll University, B.A. in Political Science and Philosophy</w:t>
      </w:r>
    </w:p>
    <w:p>
      <w:pPr>
        <w:spacing w:after="0" w:line="234" w:lineRule="auto"/>
        <w:rPr>
          <w:sz w:val="20"/>
          <w:szCs w:val="20"/>
          <w:color w:val="auto"/>
        </w:rPr>
      </w:pPr>
      <w:r>
        <w:rPr>
          <w:rFonts w:ascii="Arial" w:cs="Arial" w:eastAsia="Arial" w:hAnsi="Arial"/>
          <w:sz w:val="18"/>
          <w:szCs w:val="18"/>
          <w:color w:val="auto"/>
        </w:rPr>
        <w:t>Cleveland Marshall College of Law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Wharton School of Business, Securities Industry Institute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Experience</w:t>
      </w:r>
    </w:p>
    <w:p>
      <w:pPr>
        <w:spacing w:after="0" w:line="40" w:lineRule="exact"/>
        <w:rPr>
          <w:sz w:val="20"/>
          <w:szCs w:val="20"/>
          <w:color w:val="auto"/>
        </w:rPr>
      </w:pPr>
    </w:p>
    <w:p>
      <w:pPr>
        <w:ind w:left="280" w:right="80" w:hanging="269"/>
        <w:spacing w:after="0" w:line="214"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Banc One Capital Holdings Corporation, holding company for the investment banking, merchant banking, securities brokerage, investment advisory and insurance activities of Bank One Corporation, Chairman and Chief Executive Officer</w:t>
      </w:r>
    </w:p>
    <w:p>
      <w:pPr>
        <w:spacing w:after="0" w:line="5" w:lineRule="exact"/>
        <w:rPr>
          <w:sz w:val="20"/>
          <w:szCs w:val="20"/>
          <w:color w:val="auto"/>
        </w:rPr>
      </w:pPr>
    </w:p>
    <w:p>
      <w:pPr>
        <w:ind w:left="280" w:right="120" w:hanging="269"/>
        <w:spacing w:after="0" w:line="220"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Meuse, Rinker, Chapman, Endres &amp; Brooks, a regional investment banking firm, Chairman and Chief Executive Officer</w:t>
      </w:r>
    </w:p>
    <w:p>
      <w:pPr>
        <w:spacing w:after="0" w:line="6" w:lineRule="exact"/>
        <w:rPr>
          <w:sz w:val="20"/>
          <w:szCs w:val="20"/>
          <w:color w:val="auto"/>
        </w:rPr>
      </w:pPr>
    </w:p>
    <w:p>
      <w:pPr>
        <w:ind w:left="280" w:right="280" w:hanging="269"/>
        <w:spacing w:after="0" w:line="220"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Diamond Hill Investment Group, Inc., a publicly traded company providing investment advisory and fund administration services, Chairman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Other Board Service</w:t>
      </w:r>
    </w:p>
    <w:p>
      <w:pPr>
        <w:spacing w:after="0" w:line="40" w:lineRule="exact"/>
        <w:rPr>
          <w:sz w:val="20"/>
          <w:szCs w:val="20"/>
          <w:color w:val="auto"/>
        </w:rPr>
      </w:pPr>
    </w:p>
    <w:p>
      <w:pPr>
        <w:ind w:left="280" w:right="60" w:hanging="269"/>
        <w:spacing w:after="0" w:line="214"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State Auto Financial Corporation, a publicly traded casualty insurance holding company engaged in writing personal and business insurance, lead director (May 2015-February 2022), audit, independent and investment and finance committees (2006-February 2022)</w:t>
      </w:r>
    </w:p>
    <w:p>
      <w:pPr>
        <w:spacing w:after="0" w:line="5" w:lineRule="exact"/>
        <w:rPr>
          <w:sz w:val="20"/>
          <w:szCs w:val="20"/>
          <w:color w:val="auto"/>
        </w:rPr>
      </w:pPr>
    </w:p>
    <w:p>
      <w:pPr>
        <w:ind w:left="280" w:right="420" w:hanging="269"/>
        <w:spacing w:after="0" w:line="220"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Service on non-profit boards, including REV Ventures and The Columbus Foundation, a nonprofit community foundation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Qualifications</w:t>
      </w:r>
    </w:p>
    <w:p>
      <w:pPr>
        <w:spacing w:after="0" w:line="1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Mr. Meuse’s more than 40 years of experience in the investment banking, merchant banking, securities brokerage and private equity industries bring to the board expertise in financial markets, capital structure and mergers and acquisitions. Mr. Meuse’s executive leadership roles throughout his career and his public company board experience also provide the board with risk management, strategic and operational and governance skillsets.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-1640205</wp:posOffset>
            </wp:positionH>
            <wp:positionV relativeFrom="paragraph">
              <wp:posOffset>606425</wp:posOffset>
            </wp:positionV>
            <wp:extent cx="6995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80" w:space="520"/>
            <w:col w:w="8400"/>
          </w:cols>
          <w:pgMar w:left="620" w:top="1126"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0070C0"/>
        </w:rPr>
        <w:t>Proposal 1 – Election of Directors</w:t>
      </w:r>
    </w:p>
    <w:p>
      <w:pPr>
        <w:spacing w:after="0" w:line="5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0070C0"/>
        </w:rPr>
        <w:t>10</w:t>
      </w:r>
    </w:p>
    <w:p>
      <w:pPr>
        <w:sectPr>
          <w:pgSz w:w="11900" w:h="16838" w:orient="portrait"/>
          <w:cols w:equalWidth="0" w:num="1">
            <w:col w:w="10800"/>
          </w:cols>
          <w:pgMar w:left="620" w:top="1126" w:right="47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200660</wp:posOffset>
            </wp:positionV>
            <wp:extent cx="1482725" cy="55721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82725" cy="557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Age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74</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Independent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356"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color w:val="002060"/>
        </w:rPr>
        <w:t xml:space="preserve">Director since </w:t>
      </w:r>
      <w:r>
        <w:rPr>
          <w:rFonts w:ascii="Arial" w:cs="Arial" w:eastAsia="Arial" w:hAnsi="Arial"/>
          <w:sz w:val="18"/>
          <w:szCs w:val="18"/>
          <w:color w:val="000000"/>
        </w:rPr>
        <w:t>2014</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Class II Director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Term Expires in 2024</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Board Committees</w:t>
      </w:r>
    </w:p>
    <w:p>
      <w:pPr>
        <w:spacing w:after="0" w:line="9" w:lineRule="exact"/>
        <w:rPr>
          <w:sz w:val="20"/>
          <w:szCs w:val="20"/>
          <w:color w:val="auto"/>
        </w:rPr>
      </w:pPr>
    </w:p>
    <w:p>
      <w:pPr>
        <w:ind w:left="80"/>
        <w:spacing w:after="0" w:line="196" w:lineRule="exact"/>
        <w:rPr>
          <w:sz w:val="20"/>
          <w:szCs w:val="20"/>
          <w:color w:val="auto"/>
        </w:rPr>
      </w:pPr>
      <w:r>
        <w:rPr>
          <w:rFonts w:ascii="MS PGothic" w:cs="MS PGothic" w:eastAsia="MS PGothic" w:hAnsi="MS PGothic"/>
          <w:sz w:val="17"/>
          <w:szCs w:val="17"/>
          <w:color w:val="002060"/>
        </w:rPr>
        <w:t>✓</w:t>
      </w:r>
      <w:r>
        <w:rPr>
          <w:rFonts w:ascii="Arial" w:cs="Arial" w:eastAsia="Arial" w:hAnsi="Arial"/>
          <w:sz w:val="17"/>
          <w:szCs w:val="17"/>
          <w:color w:val="auto"/>
        </w:rPr>
        <w:t xml:space="preserve">   Audit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7"/>
          <w:szCs w:val="47"/>
          <w:b w:val="1"/>
          <w:bCs w:val="1"/>
          <w:color w:val="0070C0"/>
        </w:rPr>
        <w:t>Michael 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-942975</wp:posOffset>
            </wp:positionV>
            <wp:extent cx="7174865" cy="552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32"/>
          <w:szCs w:val="32"/>
          <w:i w:val="1"/>
          <w:iCs w:val="1"/>
          <w:color w:val="0070C0"/>
        </w:rPr>
        <w:t>Director Nominee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Occupation</w:t>
      </w:r>
    </w:p>
    <w:p>
      <w:pPr>
        <w:spacing w:after="0" w:line="14"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Stonehenge Partners, Inc., privately held mezzanine and equity investment firm and provider of financial and advisory services</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Retired partner, provided counsel in investment origination, portfolio asset management and disposition of investments (1999-2014)</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Education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University of Notre Dame, B.A. in Business Administration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Experience</w:t>
      </w:r>
    </w:p>
    <w:p>
      <w:pPr>
        <w:spacing w:after="0" w:line="40" w:lineRule="exact"/>
        <w:rPr>
          <w:sz w:val="20"/>
          <w:szCs w:val="20"/>
          <w:color w:val="auto"/>
        </w:rPr>
      </w:pPr>
    </w:p>
    <w:p>
      <w:pPr>
        <w:jc w:val="both"/>
        <w:ind w:left="260" w:right="680" w:hanging="269"/>
        <w:spacing w:after="0" w:line="213" w:lineRule="exact"/>
        <w:rPr>
          <w:sz w:val="20"/>
          <w:szCs w:val="20"/>
          <w:color w:val="auto"/>
        </w:rPr>
      </w:pPr>
      <w:r>
        <w:rPr>
          <w:rFonts w:ascii="MS PGothic" w:cs="MS PGothic" w:eastAsia="MS PGothic" w:hAnsi="MS PGothic"/>
          <w:sz w:val="13"/>
          <w:szCs w:val="13"/>
          <w:color w:val="002060"/>
        </w:rPr>
        <w:t>∎</w:t>
      </w:r>
      <w:r>
        <w:rPr>
          <w:rFonts w:ascii="Arial" w:cs="Arial" w:eastAsia="Arial" w:hAnsi="Arial"/>
          <w:sz w:val="17"/>
          <w:szCs w:val="17"/>
          <w:color w:val="auto"/>
        </w:rPr>
        <w:t xml:space="preserve">    JMAC, Inc., privately held investment company, directing investments in the financial services, publishing, health care, real estate and manufacturing sectors and responsible for the owners’ financial, estate and income tax planning, Executive Vice President and Treasurer</w:t>
      </w:r>
    </w:p>
    <w:p>
      <w:pPr>
        <w:spacing w:after="0" w:line="6" w:lineRule="exact"/>
        <w:rPr>
          <w:sz w:val="20"/>
          <w:szCs w:val="20"/>
          <w:color w:val="auto"/>
        </w:rPr>
      </w:pPr>
    </w:p>
    <w:p>
      <w:pPr>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Ernst &amp; Young LLP Columbus, Ohio tax practice, Manager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Other Board Service</w:t>
      </w:r>
    </w:p>
    <w:p>
      <w:pPr>
        <w:spacing w:after="0" w:line="40" w:lineRule="exact"/>
        <w:rPr>
          <w:sz w:val="20"/>
          <w:szCs w:val="20"/>
          <w:color w:val="auto"/>
        </w:rPr>
      </w:pPr>
    </w:p>
    <w:p>
      <w:pPr>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Served as a director of the Company’s predecessor (2004-2011)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Qualifications</w:t>
      </w:r>
    </w:p>
    <w:p>
      <w:pPr>
        <w:spacing w:after="0" w:line="1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Mr. Thomas’ significant business and investment experience brings to the Board executive leadership, capital structure, mergers and acquisitions, risk management and human capital skills. His longstanding service as a board member of the Company’s predecessor gives him a broad perspective of the housing industry and the Company’s culture and business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1077595</wp:posOffset>
            </wp:positionV>
            <wp:extent cx="6995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80" w:space="680"/>
            <w:col w:w="8400"/>
          </w:cols>
          <w:pgMar w:left="620" w:top="1086"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0070C0"/>
        </w:rPr>
        <w:t>Proposal 1 – Election of Directors</w:t>
      </w:r>
    </w:p>
    <w:p>
      <w:pPr>
        <w:spacing w:after="0" w:line="5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0070C0"/>
        </w:rPr>
        <w:t>11</w:t>
      </w:r>
    </w:p>
    <w:p>
      <w:pPr>
        <w:sectPr>
          <w:pgSz w:w="11900" w:h="16838" w:orient="portrait"/>
          <w:cols w:equalWidth="0" w:num="1">
            <w:col w:w="10760"/>
          </w:cols>
          <w:pgMar w:left="620" w:top="1086" w:right="519" w:bottom="1440" w:gutter="0" w:footer="0" w:header="0"/>
          <w:type w:val="continuous"/>
        </w:sectPr>
      </w:pPr>
    </w:p>
    <w:bookmarkStart w:id="19" w:name="page20"/>
    <w:bookmarkEnd w:id="19"/>
    <w:p>
      <w:pPr>
        <w:ind w:left="2360"/>
        <w:spacing w:after="0"/>
        <w:rPr>
          <w:sz w:val="20"/>
          <w:szCs w:val="20"/>
          <w:color w:val="auto"/>
        </w:rPr>
      </w:pPr>
      <w:r>
        <w:rPr>
          <w:rFonts w:ascii="Arial" w:cs="Arial" w:eastAsia="Arial" w:hAnsi="Arial"/>
          <w:sz w:val="46"/>
          <w:szCs w:val="46"/>
          <w:b w:val="1"/>
          <w:bCs w:val="1"/>
          <w:color w:val="0070C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5665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6566535"/>
                    </a:xfrm>
                    <a:prstGeom prst="rect">
                      <a:avLst/>
                    </a:prstGeom>
                    <a:noFill/>
                  </pic:spPr>
                </pic:pic>
              </a:graphicData>
            </a:graphic>
          </wp:anchor>
        </w:drawing>
        <w:t>Jeffrey W. Edwards</w:t>
      </w:r>
    </w:p>
    <w:p>
      <w:pPr>
        <w:spacing w:after="0" w:line="95" w:lineRule="exact"/>
        <w:rPr>
          <w:sz w:val="20"/>
          <w:szCs w:val="20"/>
          <w:color w:val="auto"/>
        </w:rPr>
      </w:pPr>
    </w:p>
    <w:p>
      <w:pPr>
        <w:ind w:left="2360"/>
        <w:spacing w:after="0"/>
        <w:rPr>
          <w:sz w:val="20"/>
          <w:szCs w:val="20"/>
          <w:color w:val="auto"/>
        </w:rPr>
      </w:pPr>
      <w:r>
        <w:rPr>
          <w:rFonts w:ascii="Arial" w:cs="Arial" w:eastAsia="Arial" w:hAnsi="Arial"/>
          <w:sz w:val="32"/>
          <w:szCs w:val="32"/>
          <w:i w:val="1"/>
          <w:iCs w:val="1"/>
          <w:color w:val="0070C0"/>
        </w:rPr>
        <w:t>Continuing Director</w:t>
      </w:r>
    </w:p>
    <w:p>
      <w:pPr>
        <w:sectPr>
          <w:pgSz w:w="11900" w:h="16838" w:orient="portrait"/>
          <w:cols w:equalWidth="0" w:num="1">
            <w:col w:w="10840"/>
          </w:cols>
          <w:pgMar w:left="620" w:top="1113" w:right="439" w:bottom="1440" w:gutter="0" w:footer="0" w:header="0"/>
        </w:sect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Age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60</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002060"/>
        </w:rPr>
        <w:t>Chairman since 1999</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Independent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356"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b w:val="1"/>
          <w:bCs w:val="1"/>
          <w:color w:val="002060"/>
        </w:rPr>
        <w:t xml:space="preserve">Director since </w:t>
      </w:r>
      <w:r>
        <w:rPr>
          <w:rFonts w:ascii="Arial" w:cs="Arial" w:eastAsia="Arial" w:hAnsi="Arial"/>
          <w:sz w:val="18"/>
          <w:szCs w:val="18"/>
          <w:color w:val="000000"/>
        </w:rPr>
        <w:t>1999</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Class III Director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Term Expires in 2025</w:t>
      </w:r>
    </w:p>
    <w:p>
      <w:pPr>
        <w:spacing w:after="0" w:line="356"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color w:val="002060"/>
        </w:rPr>
        <w:t xml:space="preserve">Board Committees </w:t>
      </w:r>
      <w:r>
        <w:rPr>
          <w:rFonts w:ascii="Arial" w:cs="Arial" w:eastAsia="Arial" w:hAnsi="Arial"/>
          <w:sz w:val="18"/>
          <w:szCs w:val="18"/>
          <w:color w:val="002060"/>
        </w:rPr>
        <w:t>None</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Occupation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Installed Building Products, Inc.,</w:t>
      </w:r>
    </w:p>
    <w:p>
      <w:pPr>
        <w:spacing w:after="0"/>
        <w:rPr>
          <w:sz w:val="20"/>
          <w:szCs w:val="20"/>
          <w:color w:val="auto"/>
        </w:rPr>
      </w:pPr>
      <w:r>
        <w:rPr>
          <w:rFonts w:ascii="Arial" w:cs="Arial" w:eastAsia="Arial" w:hAnsi="Arial"/>
          <w:sz w:val="18"/>
          <w:szCs w:val="18"/>
          <w:color w:val="auto"/>
        </w:rPr>
        <w:t>President (2011-present), Chief Executive Officer (2004-present) and Chairman (1999-present)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Education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Miami University, B.S. in Marketing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Experience</w:t>
      </w:r>
    </w:p>
    <w:p>
      <w:pPr>
        <w:spacing w:after="0" w:line="40" w:lineRule="exact"/>
        <w:rPr>
          <w:sz w:val="20"/>
          <w:szCs w:val="20"/>
          <w:color w:val="auto"/>
        </w:rPr>
      </w:pPr>
    </w:p>
    <w:p>
      <w:pPr>
        <w:ind w:left="280" w:hanging="269"/>
        <w:spacing w:after="0" w:line="214"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Officer and strategist for several family-owned companies across a variety of industries, including multi-family and student housing development and management, industrial tool distribution, wholesale building supply, homebuilding, real estate development and real estate brokerage</w:t>
      </w:r>
    </w:p>
    <w:p>
      <w:pPr>
        <w:spacing w:after="0" w:line="5" w:lineRule="exact"/>
        <w:rPr>
          <w:sz w:val="20"/>
          <w:szCs w:val="20"/>
          <w:color w:val="auto"/>
        </w:rPr>
      </w:pPr>
    </w:p>
    <w:p>
      <w:pPr>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Commercial and mixed real estate development throughout the U.S.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Other Board Service</w:t>
      </w:r>
    </w:p>
    <w:p>
      <w:pPr>
        <w:spacing w:after="0" w:line="40" w:lineRule="exact"/>
        <w:rPr>
          <w:sz w:val="20"/>
          <w:szCs w:val="20"/>
          <w:color w:val="auto"/>
        </w:rPr>
      </w:pPr>
    </w:p>
    <w:p>
      <w:pPr>
        <w:ind w:left="280" w:right="120" w:hanging="269"/>
        <w:spacing w:after="0" w:line="211"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Battelle, a leading independent research and development organization, serving governmental and commercial clients in the national security, energy, health and environmental sectors, non-voting member (November 2023-January 2024), voting member (January 2024-present), HR, Compensation and Governance committee</w:t>
      </w:r>
    </w:p>
    <w:p>
      <w:pPr>
        <w:spacing w:after="0" w:line="5" w:lineRule="exact"/>
        <w:rPr>
          <w:sz w:val="20"/>
          <w:szCs w:val="20"/>
          <w:color w:val="auto"/>
        </w:rPr>
      </w:pPr>
    </w:p>
    <w:p>
      <w:pPr>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Director of the Company’s predecessor (2004-2011)</w:t>
      </w:r>
    </w:p>
    <w:p>
      <w:pPr>
        <w:spacing w:after="0" w:line="40" w:lineRule="exact"/>
        <w:rPr>
          <w:sz w:val="20"/>
          <w:szCs w:val="20"/>
          <w:color w:val="auto"/>
        </w:rPr>
      </w:pPr>
    </w:p>
    <w:p>
      <w:pPr>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Columbus Museum of Art</w:t>
      </w:r>
    </w:p>
    <w:p>
      <w:pPr>
        <w:spacing w:after="0" w:line="36" w:lineRule="exact"/>
        <w:rPr>
          <w:sz w:val="20"/>
          <w:szCs w:val="20"/>
          <w:color w:val="auto"/>
        </w:rPr>
      </w:pPr>
    </w:p>
    <w:p>
      <w:pPr>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The Salvation Army, Emeritus Board Member</w:t>
      </w:r>
    </w:p>
    <w:p>
      <w:pPr>
        <w:spacing w:after="0" w:line="36" w:lineRule="exact"/>
        <w:rPr>
          <w:sz w:val="20"/>
          <w:szCs w:val="20"/>
          <w:color w:val="auto"/>
        </w:rPr>
      </w:pPr>
    </w:p>
    <w:p>
      <w:pPr>
        <w:jc w:val="both"/>
        <w:ind w:right="1500"/>
        <w:spacing w:after="0" w:line="243"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The Policy Advisory Board of Harvard University’s Joint Center for Housing Studies </w:t>
      </w:r>
      <w:r>
        <w:rPr>
          <w:rFonts w:ascii="MS PGothic" w:cs="MS PGothic" w:eastAsia="MS PGothic" w:hAnsi="MS PGothic"/>
          <w:sz w:val="14"/>
          <w:szCs w:val="14"/>
          <w:color w:val="002060"/>
        </w:rPr>
        <w:t>∎</w:t>
      </w:r>
      <w:r>
        <w:rPr>
          <w:rFonts w:ascii="Arial" w:cs="Arial" w:eastAsia="Arial" w:hAnsi="Arial"/>
          <w:sz w:val="18"/>
          <w:szCs w:val="18"/>
          <w:color w:val="auto"/>
        </w:rPr>
        <w:t xml:space="preserve">    The Columbus Foundation, a non-profit community foundation, governing committee </w:t>
      </w:r>
      <w:r>
        <w:rPr>
          <w:rFonts w:ascii="MS PGothic" w:cs="MS PGothic" w:eastAsia="MS PGothic" w:hAnsi="MS PGothic"/>
          <w:sz w:val="14"/>
          <w:szCs w:val="14"/>
          <w:color w:val="002060"/>
        </w:rPr>
        <w:t>∎</w:t>
      </w:r>
      <w:r>
        <w:rPr>
          <w:rFonts w:ascii="Arial" w:cs="Arial" w:eastAsia="Arial" w:hAnsi="Arial"/>
          <w:sz w:val="18"/>
          <w:szCs w:val="18"/>
          <w:color w:val="auto"/>
        </w:rPr>
        <w:t xml:space="preserve">  The Columbus Partnership</w:t>
      </w:r>
    </w:p>
    <w:p>
      <w:pPr>
        <w:spacing w:after="0" w:line="2" w:lineRule="exact"/>
        <w:rPr>
          <w:sz w:val="20"/>
          <w:szCs w:val="20"/>
          <w:color w:val="auto"/>
        </w:rPr>
      </w:pPr>
    </w:p>
    <w:p>
      <w:pPr>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The Columbus Downtown Development Corporation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Qualifications</w:t>
      </w:r>
    </w:p>
    <w:p>
      <w:pPr>
        <w:spacing w:after="0" w:line="1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As an industry leader with over 30 years of experience in the building products industry and in his roles as our CEO and Chairman, Mr. Edwards brings to the Board significant senior leadership, housing and construction industry knowledge, and strategic, operational and mergers and acquisitions experience. As founder of the Company, Mr. Edwards has direct knowledge and experience in the Company’s culture, business development, strategy and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606425</wp:posOffset>
            </wp:positionV>
            <wp:extent cx="6995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80" w:space="580"/>
            <w:col w:w="8480"/>
          </w:cols>
          <w:pgMar w:left="620" w:top="1113"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0070C0"/>
        </w:rPr>
        <w:t>Proposal 1 – Election of Directors</w:t>
      </w:r>
    </w:p>
    <w:p>
      <w:pPr>
        <w:spacing w:after="0" w:line="5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0070C0"/>
        </w:rPr>
        <w:t>12</w:t>
      </w:r>
    </w:p>
    <w:p>
      <w:pPr>
        <w:sectPr>
          <w:pgSz w:w="11900" w:h="16838" w:orient="portrait"/>
          <w:cols w:equalWidth="0" w:num="1">
            <w:col w:w="10840"/>
          </w:cols>
          <w:pgMar w:left="620" w:top="1113" w:right="439" w:bottom="1440" w:gutter="0" w:footer="0" w:header="0"/>
          <w:type w:val="continuous"/>
        </w:sectPr>
      </w:pPr>
    </w:p>
    <w:bookmarkStart w:id="20" w:name="page21"/>
    <w:bookmarkEnd w:id="20"/>
    <w:p>
      <w:pPr>
        <w:ind w:left="2360"/>
        <w:spacing w:after="0"/>
        <w:rPr>
          <w:sz w:val="20"/>
          <w:szCs w:val="20"/>
          <w:color w:val="auto"/>
        </w:rPr>
      </w:pPr>
      <w:r>
        <w:rPr>
          <w:rFonts w:ascii="Arial" w:cs="Arial" w:eastAsia="Arial" w:hAnsi="Arial"/>
          <w:sz w:val="46"/>
          <w:szCs w:val="46"/>
          <w:b w:val="1"/>
          <w:bCs w:val="1"/>
          <w:color w:val="0070C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325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6232525"/>
                    </a:xfrm>
                    <a:prstGeom prst="rect">
                      <a:avLst/>
                    </a:prstGeom>
                    <a:noFill/>
                  </pic:spPr>
                </pic:pic>
              </a:graphicData>
            </a:graphic>
          </wp:anchor>
        </w:drawing>
        <w:t>Lawrence A. Hilsheimer</w:t>
      </w:r>
    </w:p>
    <w:p>
      <w:pPr>
        <w:spacing w:after="0" w:line="95" w:lineRule="exact"/>
        <w:rPr>
          <w:sz w:val="20"/>
          <w:szCs w:val="20"/>
          <w:color w:val="auto"/>
        </w:rPr>
      </w:pPr>
    </w:p>
    <w:p>
      <w:pPr>
        <w:ind w:left="2360"/>
        <w:spacing w:after="0"/>
        <w:rPr>
          <w:sz w:val="20"/>
          <w:szCs w:val="20"/>
          <w:color w:val="auto"/>
        </w:rPr>
      </w:pPr>
      <w:r>
        <w:rPr>
          <w:rFonts w:ascii="Arial" w:cs="Arial" w:eastAsia="Arial" w:hAnsi="Arial"/>
          <w:sz w:val="32"/>
          <w:szCs w:val="32"/>
          <w:i w:val="1"/>
          <w:iCs w:val="1"/>
          <w:color w:val="0070C0"/>
        </w:rPr>
        <w:t>Continuing Director</w:t>
      </w:r>
    </w:p>
    <w:p>
      <w:pPr>
        <w:sectPr>
          <w:pgSz w:w="11900" w:h="16838" w:orient="portrait"/>
          <w:cols w:equalWidth="0" w:num="1">
            <w:col w:w="10720"/>
          </w:cols>
          <w:pgMar w:left="620" w:top="1113" w:right="559" w:bottom="1440" w:gutter="0" w:footer="0" w:header="0"/>
        </w:sect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Age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66</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Independent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356"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color w:val="002060"/>
        </w:rPr>
        <w:t xml:space="preserve">Director since </w:t>
      </w:r>
      <w:r>
        <w:rPr>
          <w:rFonts w:ascii="Arial" w:cs="Arial" w:eastAsia="Arial" w:hAnsi="Arial"/>
          <w:sz w:val="18"/>
          <w:szCs w:val="18"/>
          <w:color w:val="000000"/>
        </w:rPr>
        <w:t>2014</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Class III Director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Term Expires in 2025</w:t>
      </w:r>
    </w:p>
    <w:p>
      <w:pPr>
        <w:spacing w:after="0" w:line="367" w:lineRule="exact"/>
        <w:rPr>
          <w:sz w:val="20"/>
          <w:szCs w:val="20"/>
          <w:color w:val="auto"/>
        </w:rPr>
      </w:pPr>
    </w:p>
    <w:p>
      <w:pPr>
        <w:ind w:left="80" w:hanging="89"/>
        <w:spacing w:after="0" w:line="218" w:lineRule="exact"/>
        <w:rPr>
          <w:sz w:val="20"/>
          <w:szCs w:val="20"/>
          <w:color w:val="auto"/>
        </w:rPr>
      </w:pPr>
      <w:r>
        <w:rPr>
          <w:rFonts w:ascii="Arial" w:cs="Arial" w:eastAsia="Arial" w:hAnsi="Arial"/>
          <w:sz w:val="17"/>
          <w:szCs w:val="17"/>
          <w:b w:val="1"/>
          <w:bCs w:val="1"/>
          <w:color w:val="002060"/>
        </w:rPr>
        <w:t xml:space="preserve">Board Committees </w:t>
      </w:r>
      <w:r>
        <w:rPr>
          <w:rFonts w:ascii="MS PGothic" w:cs="MS PGothic" w:eastAsia="MS PGothic" w:hAnsi="MS PGothic"/>
          <w:sz w:val="17"/>
          <w:szCs w:val="17"/>
          <w:color w:val="002060"/>
        </w:rPr>
        <w:t>✓</w:t>
      </w:r>
      <w:r>
        <w:rPr>
          <w:rFonts w:ascii="Arial" w:cs="Arial" w:eastAsia="Arial" w:hAnsi="Arial"/>
          <w:sz w:val="17"/>
          <w:szCs w:val="17"/>
          <w:color w:val="002060"/>
        </w:rPr>
        <w:t xml:space="preserve">   Audit Committee</w:t>
      </w:r>
    </w:p>
    <w:p>
      <w:pPr>
        <w:ind w:left="360"/>
        <w:spacing w:after="0" w:line="231" w:lineRule="auto"/>
        <w:rPr>
          <w:sz w:val="20"/>
          <w:szCs w:val="20"/>
          <w:color w:val="auto"/>
        </w:rPr>
      </w:pPr>
      <w:r>
        <w:rPr>
          <w:rFonts w:ascii="Arial" w:cs="Arial" w:eastAsia="Arial" w:hAnsi="Arial"/>
          <w:sz w:val="18"/>
          <w:szCs w:val="18"/>
          <w:color w:val="002060"/>
        </w:rPr>
        <w:t>(Chair)</w:t>
      </w:r>
    </w:p>
    <w:p>
      <w:pPr>
        <w:spacing w:after="0" w:line="1" w:lineRule="exact"/>
        <w:rPr>
          <w:sz w:val="20"/>
          <w:szCs w:val="20"/>
          <w:color w:val="auto"/>
        </w:rPr>
      </w:pPr>
    </w:p>
    <w:p>
      <w:pPr>
        <w:ind w:left="360" w:right="60" w:hanging="269"/>
        <w:spacing w:after="0" w:line="212" w:lineRule="exact"/>
        <w:rPr>
          <w:sz w:val="20"/>
          <w:szCs w:val="20"/>
          <w:color w:val="auto"/>
        </w:rPr>
      </w:pPr>
      <w:r>
        <w:rPr>
          <w:rFonts w:ascii="MS PGothic" w:cs="MS PGothic" w:eastAsia="MS PGothic" w:hAnsi="MS PGothic"/>
          <w:sz w:val="18"/>
          <w:szCs w:val="18"/>
          <w:color w:val="002060"/>
        </w:rPr>
        <w:t>✓</w:t>
      </w:r>
      <w:r>
        <w:rPr>
          <w:rFonts w:ascii="Arial" w:cs="Arial" w:eastAsia="Arial" w:hAnsi="Arial"/>
          <w:sz w:val="18"/>
          <w:szCs w:val="18"/>
          <w:color w:val="002060"/>
        </w:rPr>
        <w:t xml:space="preserve">   Nominating and Corporate Governance Committee</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Occupation</w:t>
      </w:r>
    </w:p>
    <w:p>
      <w:pPr>
        <w:spacing w:after="0" w:line="14" w:lineRule="exact"/>
        <w:rPr>
          <w:sz w:val="20"/>
          <w:szCs w:val="20"/>
          <w:color w:val="auto"/>
        </w:rPr>
      </w:pPr>
    </w:p>
    <w:p>
      <w:pPr>
        <w:ind w:right="1660"/>
        <w:spacing w:after="0" w:line="250" w:lineRule="auto"/>
        <w:rPr>
          <w:sz w:val="20"/>
          <w:szCs w:val="20"/>
          <w:color w:val="auto"/>
        </w:rPr>
      </w:pPr>
      <w:r>
        <w:rPr>
          <w:rFonts w:ascii="Arial" w:cs="Arial" w:eastAsia="Arial" w:hAnsi="Arial"/>
          <w:sz w:val="18"/>
          <w:szCs w:val="18"/>
          <w:color w:val="auto"/>
        </w:rPr>
        <w:t>Greif, Inc., a publicly traded global leader in industrial packing products and services Executive Vice President and Chief Financial Officer (2014–present)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Education</w:t>
      </w:r>
    </w:p>
    <w:p>
      <w:pPr>
        <w:spacing w:after="0" w:line="14" w:lineRule="exact"/>
        <w:rPr>
          <w:sz w:val="20"/>
          <w:szCs w:val="20"/>
          <w:color w:val="auto"/>
        </w:rPr>
      </w:pPr>
    </w:p>
    <w:p>
      <w:pPr>
        <w:ind w:right="1520"/>
        <w:spacing w:after="0" w:line="250" w:lineRule="auto"/>
        <w:rPr>
          <w:sz w:val="20"/>
          <w:szCs w:val="20"/>
          <w:color w:val="auto"/>
        </w:rPr>
      </w:pPr>
      <w:r>
        <w:rPr>
          <w:rFonts w:ascii="Arial" w:cs="Arial" w:eastAsia="Arial" w:hAnsi="Arial"/>
          <w:sz w:val="18"/>
          <w:szCs w:val="18"/>
          <w:color w:val="auto"/>
        </w:rPr>
        <w:t>The Ohio State University Fisher College of Business, B.A. in Business Administration Capital University Law School, J.D.</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Experience</w:t>
      </w:r>
    </w:p>
    <w:p>
      <w:pPr>
        <w:spacing w:after="0" w:line="40" w:lineRule="exact"/>
        <w:rPr>
          <w:sz w:val="20"/>
          <w:szCs w:val="20"/>
          <w:color w:val="auto"/>
        </w:rPr>
      </w:pPr>
    </w:p>
    <w:p>
      <w:pPr>
        <w:ind w:left="280" w:right="400" w:hanging="269"/>
        <w:spacing w:after="0" w:line="219"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The Scotts Miracle-Gro Company, a publicly traded manufacturer of branded consumer lawn and garden products, Executive Vice President and Chief Financial Officer</w:t>
      </w:r>
    </w:p>
    <w:p>
      <w:pPr>
        <w:spacing w:after="0" w:line="5" w:lineRule="exact"/>
        <w:rPr>
          <w:sz w:val="20"/>
          <w:szCs w:val="20"/>
          <w:color w:val="auto"/>
        </w:rPr>
      </w:pPr>
    </w:p>
    <w:p>
      <w:pPr>
        <w:ind w:left="280" w:right="80" w:hanging="269"/>
        <w:spacing w:after="0" w:line="212"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Nationwide Mutual Insurance Company, a provider of property and casualty insurance and financial services, Executive Vice President and Chief Financial Officer; President and Chief Operating Officer of multiple business units, including Nationwide Direct and Customer Solutions and Nationwide Retirement Plans</w:t>
      </w:r>
    </w:p>
    <w:p>
      <w:pPr>
        <w:spacing w:after="0" w:line="5" w:lineRule="exact"/>
        <w:rPr>
          <w:sz w:val="20"/>
          <w:szCs w:val="20"/>
          <w:color w:val="auto"/>
        </w:rPr>
      </w:pPr>
    </w:p>
    <w:p>
      <w:pPr>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Deloitte &amp; Touche USA, LLP, Vice Chairman and Regional Managing Partner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Other Board Service</w:t>
      </w:r>
    </w:p>
    <w:p>
      <w:pPr>
        <w:spacing w:after="0" w:line="40" w:lineRule="exact"/>
        <w:rPr>
          <w:sz w:val="20"/>
          <w:szCs w:val="20"/>
          <w:color w:val="auto"/>
        </w:rPr>
      </w:pPr>
    </w:p>
    <w:p>
      <w:pPr>
        <w:ind w:left="280" w:right="300" w:hanging="269"/>
        <w:spacing w:after="0" w:line="219"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Root, Inc., the publicly traded parent of Root Insurance Company (October 2021-present), chair of audit committee, lead independent director</w:t>
      </w:r>
    </w:p>
    <w:p>
      <w:pPr>
        <w:spacing w:after="0" w:line="5" w:lineRule="exact"/>
        <w:rPr>
          <w:sz w:val="20"/>
          <w:szCs w:val="20"/>
          <w:color w:val="auto"/>
        </w:rPr>
      </w:pPr>
    </w:p>
    <w:p>
      <w:pPr>
        <w:jc w:val="both"/>
        <w:ind w:right="1100"/>
        <w:spacing w:after="0" w:line="245"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Root Insurance Company (2017-present), chair of audit committee (2017-January 2021) </w:t>
      </w:r>
      <w:r>
        <w:rPr>
          <w:rFonts w:ascii="MS PGothic" w:cs="MS PGothic" w:eastAsia="MS PGothic" w:hAnsi="MS PGothic"/>
          <w:sz w:val="14"/>
          <w:szCs w:val="14"/>
          <w:color w:val="002060"/>
        </w:rPr>
        <w:t>∎</w:t>
      </w:r>
      <w:r>
        <w:rPr>
          <w:rFonts w:ascii="Arial" w:cs="Arial" w:eastAsia="Arial" w:hAnsi="Arial"/>
          <w:sz w:val="18"/>
          <w:szCs w:val="18"/>
          <w:color w:val="auto"/>
        </w:rPr>
        <w:t xml:space="preserve">    National Veteran’s Memorial and Museum Foundation Board (November 2021- present) </w:t>
      </w:r>
      <w:r>
        <w:rPr>
          <w:rFonts w:ascii="MS PGothic" w:cs="MS PGothic" w:eastAsia="MS PGothic" w:hAnsi="MS PGothic"/>
          <w:sz w:val="14"/>
          <w:szCs w:val="14"/>
          <w:color w:val="002060"/>
        </w:rPr>
        <w:t>∎</w:t>
      </w:r>
      <w:r>
        <w:rPr>
          <w:rFonts w:ascii="Arial" w:cs="Arial" w:eastAsia="Arial" w:hAnsi="Arial"/>
          <w:sz w:val="18"/>
          <w:szCs w:val="18"/>
          <w:color w:val="auto"/>
        </w:rPr>
        <w:t xml:space="preserve">    Battelle for Kids (2012-2018), member of finance committee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Qualifications</w:t>
      </w:r>
    </w:p>
    <w:p>
      <w:pPr>
        <w:spacing w:after="0" w:line="1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Mr. Hilsheimer’s broad business background and corporate finance and public accounting roles bring to the Board public company financial reporting, capital structure, public board service, executive leadership and technology experience. Mr. Hilsheimer’s CERT Certificate in Cybersecurity Oversight from the National Association of Corporate Directors aids the Board’s understanding of the cybersecurity threat landscape and assists the Board in overseeing an effective risk management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606425</wp:posOffset>
            </wp:positionV>
            <wp:extent cx="69951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80" w:space="680"/>
            <w:col w:w="8360"/>
          </w:cols>
          <w:pgMar w:left="620" w:top="1113"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0070C0"/>
        </w:rPr>
        <w:t>Proposal 1 – Election of Directors</w:t>
      </w:r>
    </w:p>
    <w:p>
      <w:pPr>
        <w:spacing w:after="0" w:line="5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0070C0"/>
        </w:rPr>
        <w:t>13</w:t>
      </w:r>
    </w:p>
    <w:p>
      <w:pPr>
        <w:sectPr>
          <w:pgSz w:w="11900" w:h="16838" w:orient="portrait"/>
          <w:cols w:equalWidth="0" w:num="1">
            <w:col w:w="10720"/>
          </w:cols>
          <w:pgMar w:left="620" w:top="1113" w:right="559" w:bottom="144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200025</wp:posOffset>
            </wp:positionV>
            <wp:extent cx="1508760" cy="56921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08760" cy="5692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Age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71</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Independent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356"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b w:val="1"/>
          <w:bCs w:val="1"/>
          <w:color w:val="002060"/>
        </w:rPr>
        <w:t xml:space="preserve">Director since </w:t>
      </w:r>
      <w:r>
        <w:rPr>
          <w:rFonts w:ascii="Arial" w:cs="Arial" w:eastAsia="Arial" w:hAnsi="Arial"/>
          <w:sz w:val="18"/>
          <w:szCs w:val="18"/>
          <w:color w:val="000000"/>
        </w:rPr>
        <w:t>2014</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Class III Director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Term Expires in 2025</w:t>
      </w:r>
    </w:p>
    <w:p>
      <w:pPr>
        <w:spacing w:after="0" w:line="356" w:lineRule="exact"/>
        <w:rPr>
          <w:sz w:val="20"/>
          <w:szCs w:val="20"/>
          <w:color w:val="auto"/>
        </w:rPr>
      </w:pPr>
    </w:p>
    <w:p>
      <w:pPr>
        <w:ind w:left="80" w:hanging="89"/>
        <w:spacing w:after="0" w:line="219" w:lineRule="exact"/>
        <w:rPr>
          <w:sz w:val="20"/>
          <w:szCs w:val="20"/>
          <w:color w:val="auto"/>
        </w:rPr>
      </w:pPr>
      <w:r>
        <w:rPr>
          <w:rFonts w:ascii="Arial" w:cs="Arial" w:eastAsia="Arial" w:hAnsi="Arial"/>
          <w:sz w:val="18"/>
          <w:szCs w:val="18"/>
          <w:b w:val="1"/>
          <w:bCs w:val="1"/>
          <w:color w:val="002060"/>
        </w:rPr>
        <w:t xml:space="preserve">Board Committees </w:t>
      </w:r>
      <w:r>
        <w:rPr>
          <w:rFonts w:ascii="MS PGothic" w:cs="MS PGothic" w:eastAsia="MS PGothic" w:hAnsi="MS PGothic"/>
          <w:sz w:val="18"/>
          <w:szCs w:val="18"/>
          <w:color w:val="002060"/>
        </w:rPr>
        <w:t>✓</w:t>
      </w:r>
      <w:r>
        <w:rPr>
          <w:rFonts w:ascii="Arial" w:cs="Arial" w:eastAsia="Arial" w:hAnsi="Arial"/>
          <w:sz w:val="18"/>
          <w:szCs w:val="18"/>
          <w:color w:val="002060"/>
        </w:rPr>
        <w:t xml:space="preserve">   Compensation and</w:t>
      </w:r>
    </w:p>
    <w:p>
      <w:pPr>
        <w:ind w:left="360" w:right="60"/>
        <w:spacing w:after="0" w:line="246" w:lineRule="auto"/>
        <w:rPr>
          <w:sz w:val="20"/>
          <w:szCs w:val="20"/>
          <w:color w:val="auto"/>
        </w:rPr>
      </w:pPr>
      <w:r>
        <w:rPr>
          <w:rFonts w:ascii="Arial" w:cs="Arial" w:eastAsia="Arial" w:hAnsi="Arial"/>
          <w:sz w:val="17"/>
          <w:szCs w:val="17"/>
          <w:color w:val="002060"/>
        </w:rPr>
        <w:t>Human Capital Committee (Chair)</w:t>
      </w:r>
    </w:p>
    <w:p>
      <w:pPr>
        <w:ind w:left="360" w:right="260" w:hanging="269"/>
        <w:spacing w:after="0" w:line="212" w:lineRule="exact"/>
        <w:rPr>
          <w:sz w:val="20"/>
          <w:szCs w:val="20"/>
          <w:color w:val="auto"/>
        </w:rPr>
      </w:pPr>
      <w:r>
        <w:rPr>
          <w:rFonts w:ascii="MS PGothic" w:cs="MS PGothic" w:eastAsia="MS PGothic" w:hAnsi="MS PGothic"/>
          <w:sz w:val="18"/>
          <w:szCs w:val="18"/>
          <w:color w:val="002060"/>
        </w:rPr>
        <w:t>✓</w:t>
      </w:r>
      <w:r>
        <w:rPr>
          <w:rFonts w:ascii="Arial" w:cs="Arial" w:eastAsia="Arial" w:hAnsi="Arial"/>
          <w:sz w:val="18"/>
          <w:szCs w:val="18"/>
          <w:color w:val="002060"/>
        </w:rPr>
        <w:t xml:space="preserve">   Nominating and Corporate Governance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7"/>
          <w:szCs w:val="47"/>
          <w:b w:val="1"/>
          <w:bCs w:val="1"/>
          <w:color w:val="0070C0"/>
        </w:rPr>
        <w:t>Janet E.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-969010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32"/>
          <w:szCs w:val="32"/>
          <w:i w:val="1"/>
          <w:iCs w:val="1"/>
          <w:color w:val="0070C0"/>
        </w:rPr>
        <w:t>Continuing Director</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Occupation</w:t>
      </w:r>
    </w:p>
    <w:p>
      <w:pPr>
        <w:spacing w:after="0" w:line="14" w:lineRule="exact"/>
        <w:rPr>
          <w:sz w:val="20"/>
          <w:szCs w:val="20"/>
          <w:color w:val="auto"/>
        </w:rPr>
      </w:pPr>
    </w:p>
    <w:p>
      <w:pPr>
        <w:ind w:right="600"/>
        <w:spacing w:after="0" w:line="234" w:lineRule="auto"/>
        <w:rPr>
          <w:sz w:val="20"/>
          <w:szCs w:val="20"/>
          <w:color w:val="auto"/>
        </w:rPr>
      </w:pPr>
      <w:r>
        <w:rPr>
          <w:rFonts w:ascii="Arial" w:cs="Arial" w:eastAsia="Arial" w:hAnsi="Arial"/>
          <w:sz w:val="18"/>
          <w:szCs w:val="18"/>
          <w:color w:val="auto"/>
        </w:rPr>
        <w:t>United Way of Central Ohio, a nonprofit organization and one of the largest United Way affiliates in the U.S.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Retired President and Chief Executive Officer (2003-2017)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Education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Wittenberg University, B.A. in History</w:t>
      </w:r>
    </w:p>
    <w:p>
      <w:pPr>
        <w:spacing w:after="0"/>
        <w:rPr>
          <w:sz w:val="20"/>
          <w:szCs w:val="20"/>
          <w:color w:val="auto"/>
        </w:rPr>
      </w:pPr>
      <w:r>
        <w:rPr>
          <w:rFonts w:ascii="Arial" w:cs="Arial" w:eastAsia="Arial" w:hAnsi="Arial"/>
          <w:sz w:val="18"/>
          <w:szCs w:val="18"/>
          <w:color w:val="auto"/>
        </w:rPr>
        <w:t>National Law Center at The George Washington University, J.D.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Experience</w:t>
      </w:r>
    </w:p>
    <w:p>
      <w:pPr>
        <w:spacing w:after="0" w:line="40" w:lineRule="exact"/>
        <w:rPr>
          <w:sz w:val="20"/>
          <w:szCs w:val="20"/>
          <w:color w:val="auto"/>
        </w:rPr>
      </w:pPr>
    </w:p>
    <w:p>
      <w:pPr>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City Attorney, Columbus, Ohio</w:t>
      </w:r>
    </w:p>
    <w:p>
      <w:pPr>
        <w:spacing w:after="0" w:line="36" w:lineRule="exact"/>
        <w:rPr>
          <w:sz w:val="20"/>
          <w:szCs w:val="20"/>
          <w:color w:val="auto"/>
        </w:rPr>
      </w:pPr>
    </w:p>
    <w:p>
      <w:pPr>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Municipal Court Judge, Franklin County, Ohio</w:t>
      </w:r>
    </w:p>
    <w:p>
      <w:pPr>
        <w:spacing w:after="0" w:line="36" w:lineRule="exact"/>
        <w:rPr>
          <w:sz w:val="20"/>
          <w:szCs w:val="20"/>
          <w:color w:val="auto"/>
        </w:rPr>
      </w:pPr>
    </w:p>
    <w:p>
      <w:pPr>
        <w:ind w:left="260" w:right="660" w:hanging="269"/>
        <w:spacing w:after="0" w:line="219"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First woman and first African American to hold her position at United Way and to be elected as Columbus City Attorney, and the first African American female judge in Franklin County, Ohio</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Other Board Service</w:t>
      </w:r>
    </w:p>
    <w:p>
      <w:pPr>
        <w:spacing w:after="0" w:line="40" w:lineRule="exact"/>
        <w:rPr>
          <w:sz w:val="20"/>
          <w:szCs w:val="20"/>
          <w:color w:val="auto"/>
        </w:rPr>
      </w:pPr>
    </w:p>
    <w:p>
      <w:pPr>
        <w:ind w:left="260" w:right="380" w:hanging="269"/>
        <w:spacing w:after="0" w:line="211"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Wittenberg University (2016-present), governance and board affairs committee (2018-present), advancement and alumni relations committee (2017-present), enrollment management committee (2016-2018), academic and student life committee (2016-2019) and finance and investments committee (2020-present)</w:t>
      </w:r>
    </w:p>
    <w:p>
      <w:pPr>
        <w:spacing w:after="0" w:line="5" w:lineRule="exact"/>
        <w:rPr>
          <w:sz w:val="20"/>
          <w:szCs w:val="20"/>
          <w:color w:val="auto"/>
        </w:rPr>
      </w:pPr>
    </w:p>
    <w:p>
      <w:pPr>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City of Columbus Civilian Police Review Board, chair (April 2021-April 2023)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Qualifications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Ms. Jackson’s significant leadership experience and extensive background in public service bring to the Board executive leadership, strategic and operational and human capital skills. The Board also benefits from Ms. Jackson’s legal background, judgment and input on community investment and engagement and diversity, equity and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-1640205</wp:posOffset>
            </wp:positionH>
            <wp:positionV relativeFrom="paragraph">
              <wp:posOffset>606425</wp:posOffset>
            </wp:positionV>
            <wp:extent cx="6995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80" w:space="520"/>
            <w:col w:w="8420"/>
          </w:cols>
          <w:pgMar w:left="620" w:top="112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0070C0"/>
        </w:rPr>
        <w:t>Proposal 1 – Election of Directors</w:t>
      </w:r>
    </w:p>
    <w:p>
      <w:pPr>
        <w:spacing w:after="0" w:line="5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0070C0"/>
        </w:rPr>
        <w:t>14</w:t>
      </w:r>
    </w:p>
    <w:p>
      <w:pPr>
        <w:sectPr>
          <w:pgSz w:w="11900" w:h="16838" w:orient="portrait"/>
          <w:cols w:equalWidth="0" w:num="1">
            <w:col w:w="10820"/>
          </w:cols>
          <w:pgMar w:left="620" w:top="1126" w:right="459" w:bottom="144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200025</wp:posOffset>
            </wp:positionV>
            <wp:extent cx="1517015" cy="52635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17015" cy="526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Age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59</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Independent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Director since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Class I Director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Term Expires in 2026</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Board Committees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7"/>
          <w:szCs w:val="47"/>
          <w:b w:val="1"/>
          <w:bCs w:val="1"/>
          <w:color w:val="0070C0"/>
        </w:rPr>
        <w:t>Michael T.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-977265</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32"/>
          <w:szCs w:val="32"/>
          <w:i w:val="1"/>
          <w:iCs w:val="1"/>
          <w:color w:val="0070C0"/>
        </w:rPr>
        <w:t>Continuing Director</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Occupation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Installed Building Products, Inc.,</w:t>
      </w:r>
    </w:p>
    <w:p>
      <w:pPr>
        <w:spacing w:after="0"/>
        <w:rPr>
          <w:sz w:val="20"/>
          <w:szCs w:val="20"/>
          <w:color w:val="auto"/>
        </w:rPr>
      </w:pPr>
      <w:r>
        <w:rPr>
          <w:rFonts w:ascii="Arial" w:cs="Arial" w:eastAsia="Arial" w:hAnsi="Arial"/>
          <w:sz w:val="18"/>
          <w:szCs w:val="18"/>
          <w:color w:val="auto"/>
        </w:rPr>
        <w:t>Executive Vice President – Finance (2000-present) and Chief Financial Officer (2013-present)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Education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Wake Forest University, B.A. in Economics and German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Experience</w:t>
      </w:r>
    </w:p>
    <w:p>
      <w:pPr>
        <w:spacing w:after="0" w:line="40" w:lineRule="exact"/>
        <w:rPr>
          <w:sz w:val="20"/>
          <w:szCs w:val="20"/>
          <w:color w:val="auto"/>
        </w:rPr>
      </w:pPr>
    </w:p>
    <w:p>
      <w:pPr>
        <w:ind w:left="280" w:right="580" w:hanging="269"/>
        <w:spacing w:after="0" w:line="219"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Huntington Capital Corp., a subsidiary of Huntington Bancshares, Inc., a regional bank holding company, Corporate Investment Banking, Senior Vice President/Managing Director</w:t>
      </w:r>
    </w:p>
    <w:p>
      <w:pPr>
        <w:spacing w:after="0" w:line="5" w:lineRule="exact"/>
        <w:rPr>
          <w:sz w:val="20"/>
          <w:szCs w:val="20"/>
          <w:color w:val="auto"/>
        </w:rPr>
      </w:pPr>
    </w:p>
    <w:p>
      <w:pPr>
        <w:ind w:left="280" w:right="280" w:hanging="269"/>
        <w:spacing w:after="0" w:line="220"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Various positions with Deutsche Bank and Canadian Imperial Bank of Commerce in New York and First Union National Bank, Charlotte, North Carolina</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Other Board Service</w:t>
      </w:r>
    </w:p>
    <w:p>
      <w:pPr>
        <w:spacing w:after="0" w:line="40" w:lineRule="exact"/>
        <w:rPr>
          <w:sz w:val="20"/>
          <w:szCs w:val="20"/>
          <w:color w:val="auto"/>
        </w:rPr>
      </w:pPr>
    </w:p>
    <w:p>
      <w:pPr>
        <w:ind w:left="280" w:right="640" w:hanging="269"/>
        <w:spacing w:after="0" w:line="219"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BMC Stock Holdings, Inc. (2014-January 2021), a publicly traded leader in diversified building products, audit committee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Qualifications</w:t>
      </w:r>
    </w:p>
    <w:p>
      <w:pPr>
        <w:spacing w:after="0" w:line="1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our Chief Financial Officer and Executive Vice President of Finance for more than 20 years, Mr. Miller brings to the Board executive leadership and extensive housing and construction, strategic and operational, capital structure, risk management and mergers and acquisitions experience. His knowledge of financial markets and financing, in addition to his past service on the board and audit committee of a publicly-traded diversified building products company, contribute to the Board skills in public company financial reporting, internal controls and public board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-1640205</wp:posOffset>
            </wp:positionH>
            <wp:positionV relativeFrom="paragraph">
              <wp:posOffset>607060</wp:posOffset>
            </wp:positionV>
            <wp:extent cx="6995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80" w:space="720"/>
            <w:col w:w="8340"/>
          </w:cols>
          <w:pgMar w:left="620" w:top="1140"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0070C0"/>
        </w:rPr>
        <w:t>Proposal 1 – Election of Directors</w:t>
      </w:r>
    </w:p>
    <w:p>
      <w:pPr>
        <w:spacing w:after="0" w:line="5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0070C0"/>
        </w:rPr>
        <w:t>15</w:t>
      </w:r>
    </w:p>
    <w:p>
      <w:pPr>
        <w:sectPr>
          <w:pgSz w:w="11900" w:h="16838" w:orient="portrait"/>
          <w:cols w:equalWidth="0" w:num="1">
            <w:col w:w="10740"/>
          </w:cols>
          <w:pgMar w:left="620" w:top="1140" w:right="539" w:bottom="1440" w:gutter="0" w:footer="0" w:header="0"/>
          <w:type w:val="continuous"/>
        </w:sectPr>
      </w:pPr>
    </w:p>
    <w:bookmarkStart w:id="23" w:name="page24"/>
    <w:bookmarkEnd w:id="23"/>
    <w:p>
      <w:pPr>
        <w:ind w:left="2400"/>
        <w:spacing w:after="0"/>
        <w:rPr>
          <w:sz w:val="20"/>
          <w:szCs w:val="20"/>
          <w:color w:val="auto"/>
        </w:rPr>
      </w:pPr>
      <w:r>
        <w:rPr>
          <w:rFonts w:ascii="Arial" w:cs="Arial" w:eastAsia="Arial" w:hAnsi="Arial"/>
          <w:sz w:val="46"/>
          <w:szCs w:val="46"/>
          <w:b w:val="1"/>
          <w:bCs w:val="1"/>
          <w:color w:val="0070C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551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6755130"/>
                    </a:xfrm>
                    <a:prstGeom prst="rect">
                      <a:avLst/>
                    </a:prstGeom>
                    <a:noFill/>
                  </pic:spPr>
                </pic:pic>
              </a:graphicData>
            </a:graphic>
          </wp:anchor>
        </w:drawing>
        <w:t>Marchelle E. Moore</w:t>
      </w:r>
    </w:p>
    <w:p>
      <w:pPr>
        <w:spacing w:after="0" w:line="95" w:lineRule="exact"/>
        <w:rPr>
          <w:sz w:val="20"/>
          <w:szCs w:val="20"/>
          <w:color w:val="auto"/>
        </w:rPr>
      </w:pPr>
    </w:p>
    <w:p>
      <w:pPr>
        <w:ind w:left="2400"/>
        <w:spacing w:after="0"/>
        <w:rPr>
          <w:sz w:val="20"/>
          <w:szCs w:val="20"/>
          <w:color w:val="auto"/>
        </w:rPr>
      </w:pPr>
      <w:r>
        <w:rPr>
          <w:rFonts w:ascii="Arial" w:cs="Arial" w:eastAsia="Arial" w:hAnsi="Arial"/>
          <w:sz w:val="32"/>
          <w:szCs w:val="32"/>
          <w:i w:val="1"/>
          <w:iCs w:val="1"/>
          <w:color w:val="0070C0"/>
        </w:rPr>
        <w:t>Continuing Director</w:t>
      </w:r>
    </w:p>
    <w:p>
      <w:pPr>
        <w:sectPr>
          <w:pgSz w:w="11900" w:h="16838" w:orient="portrait"/>
          <w:cols w:equalWidth="0" w:num="1">
            <w:col w:w="10820"/>
          </w:cols>
          <w:pgMar w:left="620" w:top="1126" w:right="459" w:bottom="1440" w:gutter="0" w:footer="0" w:header="0"/>
        </w:sect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Age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51</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Independent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Director since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Class I Director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Term Expires in 2026</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Board Committees</w:t>
      </w:r>
    </w:p>
    <w:p>
      <w:pPr>
        <w:spacing w:after="0" w:line="9" w:lineRule="exact"/>
        <w:rPr>
          <w:sz w:val="20"/>
          <w:szCs w:val="20"/>
          <w:color w:val="auto"/>
        </w:rPr>
      </w:pPr>
    </w:p>
    <w:p>
      <w:pPr>
        <w:ind w:left="360" w:hanging="269"/>
        <w:spacing w:after="0" w:line="207" w:lineRule="exact"/>
        <w:rPr>
          <w:sz w:val="20"/>
          <w:szCs w:val="20"/>
          <w:color w:val="auto"/>
        </w:rPr>
      </w:pPr>
      <w:r>
        <w:rPr>
          <w:rFonts w:ascii="MS PGothic" w:cs="MS PGothic" w:eastAsia="MS PGothic" w:hAnsi="MS PGothic"/>
          <w:sz w:val="18"/>
          <w:szCs w:val="18"/>
          <w:color w:val="002060"/>
        </w:rPr>
        <w:t>✓</w:t>
      </w:r>
      <w:r>
        <w:rPr>
          <w:rFonts w:ascii="Arial" w:cs="Arial" w:eastAsia="Arial" w:hAnsi="Arial"/>
          <w:sz w:val="18"/>
          <w:szCs w:val="18"/>
          <w:color w:val="002060"/>
        </w:rPr>
        <w:t xml:space="preserve">   Compensation and Human Capital Committee</w:t>
      </w:r>
    </w:p>
    <w:p>
      <w:pPr>
        <w:ind w:left="360" w:right="260" w:hanging="269"/>
        <w:spacing w:after="0" w:line="212" w:lineRule="exact"/>
        <w:rPr>
          <w:sz w:val="20"/>
          <w:szCs w:val="20"/>
          <w:color w:val="auto"/>
        </w:rPr>
      </w:pPr>
      <w:r>
        <w:rPr>
          <w:rFonts w:ascii="MS PGothic" w:cs="MS PGothic" w:eastAsia="MS PGothic" w:hAnsi="MS PGothic"/>
          <w:sz w:val="18"/>
          <w:szCs w:val="18"/>
          <w:color w:val="002060"/>
        </w:rPr>
        <w:t>✓</w:t>
      </w:r>
      <w:r>
        <w:rPr>
          <w:rFonts w:ascii="Arial" w:cs="Arial" w:eastAsia="Arial" w:hAnsi="Arial"/>
          <w:sz w:val="18"/>
          <w:szCs w:val="18"/>
          <w:color w:val="002060"/>
        </w:rPr>
        <w:t xml:space="preserve">   Nominating and Corporate Governance Committee</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Occupation</w:t>
      </w:r>
    </w:p>
    <w:p>
      <w:pPr>
        <w:spacing w:after="0" w:line="14" w:lineRule="exact"/>
        <w:rPr>
          <w:sz w:val="20"/>
          <w:szCs w:val="20"/>
          <w:color w:val="auto"/>
        </w:rPr>
      </w:pPr>
    </w:p>
    <w:p>
      <w:pPr>
        <w:ind w:right="220"/>
        <w:spacing w:after="0" w:line="234" w:lineRule="auto"/>
        <w:rPr>
          <w:sz w:val="20"/>
          <w:szCs w:val="20"/>
          <w:color w:val="auto"/>
        </w:rPr>
      </w:pPr>
      <w:r>
        <w:rPr>
          <w:rFonts w:ascii="Arial" w:cs="Arial" w:eastAsia="Arial" w:hAnsi="Arial"/>
          <w:sz w:val="18"/>
          <w:szCs w:val="18"/>
          <w:color w:val="auto"/>
        </w:rPr>
        <w:t>Encova Mutual Insurance Group, Inc., a mutual insurance holding company providing a comprehensive range of insurance products</w:t>
      </w:r>
    </w:p>
    <w:p>
      <w:pPr>
        <w:spacing w:after="0" w:line="1" w:lineRule="exact"/>
        <w:rPr>
          <w:sz w:val="20"/>
          <w:szCs w:val="20"/>
          <w:color w:val="auto"/>
        </w:rPr>
      </w:pPr>
    </w:p>
    <w:p>
      <w:pPr>
        <w:ind w:right="1120"/>
        <w:spacing w:after="0" w:line="242" w:lineRule="auto"/>
        <w:rPr>
          <w:sz w:val="20"/>
          <w:szCs w:val="20"/>
          <w:color w:val="auto"/>
        </w:rPr>
      </w:pPr>
      <w:r>
        <w:rPr>
          <w:rFonts w:ascii="Arial" w:cs="Arial" w:eastAsia="Arial" w:hAnsi="Arial"/>
          <w:sz w:val="18"/>
          <w:szCs w:val="18"/>
          <w:color w:val="auto"/>
        </w:rPr>
        <w:t>Senior Vice President, External Affairs and Chief Diversity Officer (December 2022-present) Encova Foundation of Ohio, its affiliated philanthropic foundation President (December 2022-present)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Education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Ohio State University, B.A. in English</w:t>
      </w:r>
    </w:p>
    <w:p>
      <w:pPr>
        <w:spacing w:after="0"/>
        <w:rPr>
          <w:sz w:val="20"/>
          <w:szCs w:val="20"/>
          <w:color w:val="auto"/>
        </w:rPr>
      </w:pPr>
      <w:r>
        <w:rPr>
          <w:rFonts w:ascii="Arial" w:cs="Arial" w:eastAsia="Arial" w:hAnsi="Arial"/>
          <w:sz w:val="18"/>
          <w:szCs w:val="18"/>
          <w:color w:val="auto"/>
        </w:rPr>
        <w:t>The Ohio State University Moritz College of Law, J.D.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Experience</w:t>
      </w:r>
    </w:p>
    <w:p>
      <w:pPr>
        <w:spacing w:after="0" w:line="40" w:lineRule="exact"/>
        <w:rPr>
          <w:sz w:val="20"/>
          <w:szCs w:val="20"/>
          <w:color w:val="auto"/>
        </w:rPr>
      </w:pPr>
    </w:p>
    <w:p>
      <w:pPr>
        <w:ind w:left="280" w:right="160" w:hanging="269"/>
        <w:spacing w:after="0" w:line="214"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Encova Mutual Insurance Group, Inc., a mutual insurance holding company providing a comprehensive range of insurance products (October 2017-December 2022), Senior Vice President, Chief Legal Officer &amp; Corporate Secretary</w:t>
      </w:r>
    </w:p>
    <w:p>
      <w:pPr>
        <w:spacing w:after="0" w:line="5" w:lineRule="exact"/>
        <w:rPr>
          <w:sz w:val="20"/>
          <w:szCs w:val="20"/>
          <w:color w:val="auto"/>
        </w:rPr>
      </w:pPr>
    </w:p>
    <w:p>
      <w:pPr>
        <w:ind w:left="280" w:right="160" w:hanging="269"/>
        <w:spacing w:after="0" w:line="220"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Motorists Insurance Group (now Encova Mutual Insurance Group, Inc.), Senior Vice President, Chief Legal Officer &amp; General Counsel</w:t>
      </w:r>
    </w:p>
    <w:p>
      <w:pPr>
        <w:spacing w:after="0" w:line="6" w:lineRule="exact"/>
        <w:rPr>
          <w:sz w:val="20"/>
          <w:szCs w:val="20"/>
          <w:color w:val="auto"/>
        </w:rPr>
      </w:pPr>
    </w:p>
    <w:p>
      <w:pPr>
        <w:ind w:right="160"/>
        <w:spacing w:after="0" w:line="245" w:lineRule="exact"/>
        <w:rPr>
          <w:sz w:val="20"/>
          <w:szCs w:val="20"/>
          <w:color w:val="auto"/>
        </w:rPr>
      </w:pPr>
      <w:r>
        <w:rPr>
          <w:rFonts w:ascii="MS PGothic" w:cs="MS PGothic" w:eastAsia="MS PGothic" w:hAnsi="MS PGothic"/>
          <w:sz w:val="13"/>
          <w:szCs w:val="13"/>
          <w:color w:val="002060"/>
        </w:rPr>
        <w:t>∎</w:t>
      </w:r>
      <w:r>
        <w:rPr>
          <w:rFonts w:ascii="Arial" w:cs="Arial" w:eastAsia="Arial" w:hAnsi="Arial"/>
          <w:sz w:val="17"/>
          <w:szCs w:val="17"/>
          <w:color w:val="auto"/>
        </w:rPr>
        <w:t xml:space="preserve">    Central Ohio Transit Authority, Vice President of Legal and Government Affairs and General Counsel </w:t>
      </w:r>
      <w:r>
        <w:rPr>
          <w:rFonts w:ascii="MS PGothic" w:cs="MS PGothic" w:eastAsia="MS PGothic" w:hAnsi="MS PGothic"/>
          <w:sz w:val="13"/>
          <w:szCs w:val="13"/>
          <w:color w:val="002060"/>
        </w:rPr>
        <w:t>∎</w:t>
      </w:r>
      <w:r>
        <w:rPr>
          <w:rFonts w:ascii="Arial" w:cs="Arial" w:eastAsia="Arial" w:hAnsi="Arial"/>
          <w:sz w:val="17"/>
          <w:szCs w:val="17"/>
          <w:color w:val="auto"/>
        </w:rPr>
        <w:t xml:space="preserve">    Central Ohio Transit Authority, Interim Vice President of Human Resources and Labor Relations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Other Board Service</w:t>
      </w:r>
    </w:p>
    <w:p>
      <w:pPr>
        <w:spacing w:after="0" w:line="40" w:lineRule="exact"/>
        <w:rPr>
          <w:sz w:val="20"/>
          <w:szCs w:val="20"/>
          <w:color w:val="auto"/>
        </w:rPr>
      </w:pPr>
    </w:p>
    <w:p>
      <w:pPr>
        <w:ind w:left="280" w:right="80" w:hanging="269"/>
        <w:spacing w:after="0" w:line="219"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The Columbus Foundation/Community Foundations, Inc., a non-profit community foundation (January 2021-present)</w:t>
      </w:r>
    </w:p>
    <w:p>
      <w:pPr>
        <w:spacing w:after="0" w:line="5" w:lineRule="exact"/>
        <w:rPr>
          <w:sz w:val="20"/>
          <w:szCs w:val="20"/>
          <w:color w:val="auto"/>
        </w:rPr>
      </w:pPr>
    </w:p>
    <w:p>
      <w:pPr>
        <w:ind w:left="280" w:right="280" w:hanging="269"/>
        <w:spacing w:after="0" w:line="220"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Encova Foundation of Ohio (formerly The Motorists Insurance Companies Foundation) (April 2018-present), a non-profit corporate foundation, president (December 2022-present)</w:t>
      </w:r>
    </w:p>
    <w:p>
      <w:pPr>
        <w:spacing w:after="0" w:line="6" w:lineRule="exact"/>
        <w:rPr>
          <w:sz w:val="20"/>
          <w:szCs w:val="20"/>
          <w:color w:val="auto"/>
        </w:rPr>
      </w:pPr>
    </w:p>
    <w:p>
      <w:pPr>
        <w:ind w:left="280" w:right="220" w:hanging="269"/>
        <w:spacing w:after="0" w:line="220"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CampusParc Management, Inc./OSU Management GP, Inc., corporation created to manage parking system (2017-July 2021)</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Qualifications</w:t>
      </w:r>
    </w:p>
    <w:p>
      <w:pPr>
        <w:spacing w:after="0" w:line="14"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Ms. Moore’s executive leadership and general counsel experience in the insurance and public transportation industries bring to the Board mergers and acquisitions, corporate governance, risk management and strategic and operational skills. Ms. Moore’s roles as Chief Diversity Officer and Interim Vice President of Human Resources and her service on charitable boards provide valuable insight on community engagement, charitable giving, human capital management and diversity, equity and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-1640205</wp:posOffset>
            </wp:positionH>
            <wp:positionV relativeFrom="paragraph">
              <wp:posOffset>598805</wp:posOffset>
            </wp:positionV>
            <wp:extent cx="6995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80" w:space="520"/>
            <w:col w:w="8420"/>
          </w:cols>
          <w:pgMar w:left="620" w:top="1126"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0070C0"/>
        </w:rPr>
        <w:t>Proposal 1 – Election of Directors</w:t>
      </w:r>
    </w:p>
    <w:p>
      <w:pPr>
        <w:spacing w:after="0" w:line="5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0070C0"/>
        </w:rPr>
        <w:t>16</w:t>
      </w:r>
    </w:p>
    <w:p>
      <w:pPr>
        <w:sectPr>
          <w:pgSz w:w="11900" w:h="16838" w:orient="portrait"/>
          <w:cols w:equalWidth="0" w:num="1">
            <w:col w:w="10820"/>
          </w:cols>
          <w:pgMar w:left="620" w:top="1126" w:right="459" w:bottom="1440" w:gutter="0" w:footer="0" w:header="0"/>
          <w:type w:val="continuous"/>
        </w:sectPr>
      </w:pPr>
    </w:p>
    <w:bookmarkStart w:id="24" w:name="page25"/>
    <w:bookmarkEnd w:id="24"/>
    <w:p>
      <w:pPr>
        <w:ind w:left="2360"/>
        <w:spacing w:after="0"/>
        <w:rPr>
          <w:sz w:val="20"/>
          <w:szCs w:val="20"/>
          <w:color w:val="auto"/>
        </w:rPr>
      </w:pPr>
      <w:r>
        <w:rPr>
          <w:rFonts w:ascii="Arial" w:cs="Arial" w:eastAsia="Arial" w:hAnsi="Arial"/>
          <w:sz w:val="46"/>
          <w:szCs w:val="46"/>
          <w:b w:val="1"/>
          <w:bCs w:val="1"/>
          <w:color w:val="0070C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0007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6000750"/>
                    </a:xfrm>
                    <a:prstGeom prst="rect">
                      <a:avLst/>
                    </a:prstGeom>
                    <a:noFill/>
                  </pic:spPr>
                </pic:pic>
              </a:graphicData>
            </a:graphic>
          </wp:anchor>
        </w:drawing>
        <w:t>Robert H. Schottenstein</w:t>
      </w:r>
    </w:p>
    <w:p>
      <w:pPr>
        <w:spacing w:after="0" w:line="95" w:lineRule="exact"/>
        <w:rPr>
          <w:sz w:val="20"/>
          <w:szCs w:val="20"/>
          <w:color w:val="auto"/>
        </w:rPr>
      </w:pPr>
    </w:p>
    <w:p>
      <w:pPr>
        <w:ind w:left="2360"/>
        <w:spacing w:after="0"/>
        <w:rPr>
          <w:sz w:val="20"/>
          <w:szCs w:val="20"/>
          <w:color w:val="auto"/>
        </w:rPr>
      </w:pPr>
      <w:r>
        <w:rPr>
          <w:rFonts w:ascii="Arial" w:cs="Arial" w:eastAsia="Arial" w:hAnsi="Arial"/>
          <w:sz w:val="32"/>
          <w:szCs w:val="32"/>
          <w:i w:val="1"/>
          <w:iCs w:val="1"/>
          <w:color w:val="0070C0"/>
        </w:rPr>
        <w:t>Continuing Director</w:t>
      </w:r>
    </w:p>
    <w:p>
      <w:pPr>
        <w:sectPr>
          <w:pgSz w:w="11900" w:h="16838" w:orient="portrait"/>
          <w:cols w:equalWidth="0" w:num="1">
            <w:col w:w="10480"/>
          </w:cols>
          <w:pgMar w:left="620" w:top="1113" w:right="799" w:bottom="1440" w:gutter="0" w:footer="0" w:header="0"/>
        </w:sect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Age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71</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Independent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356"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color w:val="002060"/>
        </w:rPr>
        <w:t xml:space="preserve">Director since </w:t>
      </w:r>
      <w:r>
        <w:rPr>
          <w:rFonts w:ascii="Arial" w:cs="Arial" w:eastAsia="Arial" w:hAnsi="Arial"/>
          <w:sz w:val="18"/>
          <w:szCs w:val="18"/>
          <w:color w:val="000000"/>
        </w:rPr>
        <w:t>2022</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Class I Director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Term Expires in 2026</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Board Committees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Occupation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 Homes, Inc., one of the largest publicly traded home builders in the U.S.</w:t>
      </w:r>
    </w:p>
    <w:p>
      <w:pPr>
        <w:spacing w:after="0"/>
        <w:rPr>
          <w:sz w:val="20"/>
          <w:szCs w:val="20"/>
          <w:color w:val="auto"/>
        </w:rPr>
      </w:pPr>
      <w:r>
        <w:rPr>
          <w:rFonts w:ascii="Arial" w:cs="Arial" w:eastAsia="Arial" w:hAnsi="Arial"/>
          <w:sz w:val="18"/>
          <w:szCs w:val="18"/>
          <w:color w:val="auto"/>
        </w:rPr>
        <w:t>Chairman (2004-present), Chief Executive Officer (2004-present) and President (1996-present)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Education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Indiana University, B.A.</w:t>
      </w:r>
    </w:p>
    <w:p>
      <w:pPr>
        <w:spacing w:after="0"/>
        <w:rPr>
          <w:sz w:val="20"/>
          <w:szCs w:val="20"/>
          <w:color w:val="auto"/>
        </w:rPr>
      </w:pPr>
      <w:r>
        <w:rPr>
          <w:rFonts w:ascii="Arial" w:cs="Arial" w:eastAsia="Arial" w:hAnsi="Arial"/>
          <w:sz w:val="18"/>
          <w:szCs w:val="18"/>
          <w:color w:val="auto"/>
        </w:rPr>
        <w:t>Capital University Law School, J.D.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Experience</w:t>
      </w:r>
    </w:p>
    <w:p>
      <w:pPr>
        <w:spacing w:after="0" w:line="40" w:lineRule="exact"/>
        <w:rPr>
          <w:sz w:val="20"/>
          <w:szCs w:val="20"/>
          <w:color w:val="auto"/>
        </w:rPr>
      </w:pPr>
    </w:p>
    <w:p>
      <w:pPr>
        <w:ind w:left="280" w:right="160" w:hanging="269"/>
        <w:spacing w:after="0" w:line="219"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Private practice of law specializing in commercial real estate, corporate and banking transactions (1977-1990)</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Other Board Service</w:t>
      </w:r>
    </w:p>
    <w:p>
      <w:pPr>
        <w:spacing w:after="0" w:line="40" w:lineRule="exact"/>
        <w:rPr>
          <w:sz w:val="20"/>
          <w:szCs w:val="20"/>
          <w:color w:val="auto"/>
        </w:rPr>
      </w:pPr>
    </w:p>
    <w:p>
      <w:pPr>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Served as a director of our Company (April 2014–March 2020)</w:t>
      </w:r>
    </w:p>
    <w:p>
      <w:pPr>
        <w:spacing w:after="0" w:line="36" w:lineRule="exact"/>
        <w:rPr>
          <w:sz w:val="20"/>
          <w:szCs w:val="20"/>
          <w:color w:val="auto"/>
        </w:rPr>
      </w:pPr>
    </w:p>
    <w:p>
      <w:pPr>
        <w:ind w:left="280" w:right="160" w:hanging="269"/>
        <w:spacing w:after="0" w:line="219"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L Brands, a publicly traded leading specialty retailer focused on women’s apparel, personal care, beauty and home fragrance categories, audit committee (August 2017–May 2022)</w:t>
      </w:r>
    </w:p>
    <w:p>
      <w:pPr>
        <w:spacing w:after="0" w:line="5" w:lineRule="exact"/>
        <w:rPr>
          <w:sz w:val="20"/>
          <w:szCs w:val="20"/>
          <w:color w:val="auto"/>
        </w:rPr>
      </w:pPr>
    </w:p>
    <w:p>
      <w:pPr>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The Ohio State University Wexner Medical Center</w:t>
      </w:r>
    </w:p>
    <w:p>
      <w:pPr>
        <w:spacing w:after="0" w:line="40" w:lineRule="exact"/>
        <w:rPr>
          <w:sz w:val="20"/>
          <w:szCs w:val="20"/>
          <w:color w:val="auto"/>
        </w:rPr>
      </w:pPr>
    </w:p>
    <w:p>
      <w:pPr>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The Ohio State University Foundation</w:t>
      </w:r>
    </w:p>
    <w:p>
      <w:pPr>
        <w:spacing w:after="0" w:line="36" w:lineRule="exact"/>
        <w:rPr>
          <w:sz w:val="20"/>
          <w:szCs w:val="20"/>
          <w:color w:val="auto"/>
        </w:rPr>
      </w:pPr>
    </w:p>
    <w:p>
      <w:pPr>
        <w:ind w:right="720"/>
        <w:spacing w:after="0" w:line="243"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The Policy Advisory Board of Harvard University’s Joint Center for Housing Studies, Chair </w:t>
      </w:r>
      <w:r>
        <w:rPr>
          <w:rFonts w:ascii="MS PGothic" w:cs="MS PGothic" w:eastAsia="MS PGothic" w:hAnsi="MS PGothic"/>
          <w:sz w:val="14"/>
          <w:szCs w:val="14"/>
          <w:color w:val="002060"/>
        </w:rPr>
        <w:t>∎</w:t>
      </w:r>
      <w:r>
        <w:rPr>
          <w:rFonts w:ascii="Arial" w:cs="Arial" w:eastAsia="Arial" w:hAnsi="Arial"/>
          <w:sz w:val="18"/>
          <w:szCs w:val="18"/>
          <w:color w:val="auto"/>
        </w:rPr>
        <w:t xml:space="preserve">    Pelotonia, Chair</w:t>
      </w:r>
    </w:p>
    <w:p>
      <w:pPr>
        <w:spacing w:after="0" w:line="1" w:lineRule="exact"/>
        <w:rPr>
          <w:sz w:val="20"/>
          <w:szCs w:val="20"/>
          <w:color w:val="auto"/>
        </w:rPr>
      </w:pPr>
    </w:p>
    <w:p>
      <w:pPr>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The Columbus Partnership</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Qualifications</w:t>
      </w:r>
    </w:p>
    <w:p>
      <w:pPr>
        <w:spacing w:after="0" w:line="14"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Mr. Schottenstein’s more than 30 years of experience in the homebuilding industry brings to the Board expertise and valuable insight into the housing, construction and building materials industries.</w:t>
      </w:r>
    </w:p>
    <w:p>
      <w:pPr>
        <w:spacing w:after="0" w:line="1" w:lineRule="exact"/>
        <w:rPr>
          <w:sz w:val="20"/>
          <w:szCs w:val="20"/>
          <w:color w:val="auto"/>
        </w:rPr>
      </w:pPr>
    </w:p>
    <w:p>
      <w:pPr>
        <w:jc w:val="both"/>
        <w:ind w:right="80"/>
        <w:spacing w:after="0" w:line="242" w:lineRule="auto"/>
        <w:rPr>
          <w:sz w:val="20"/>
          <w:szCs w:val="20"/>
          <w:color w:val="auto"/>
        </w:rPr>
      </w:pPr>
      <w:r>
        <w:rPr>
          <w:rFonts w:ascii="Arial" w:cs="Arial" w:eastAsia="Arial" w:hAnsi="Arial"/>
          <w:sz w:val="18"/>
          <w:szCs w:val="18"/>
          <w:color w:val="auto"/>
        </w:rPr>
        <w:t>Mr. Schottenstein’s executive leadership, capital structure experience and service on public company boards are advantageous to the Board in exercising its strategic, operational, risk and human capital management oversight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605790</wp:posOffset>
            </wp:positionV>
            <wp:extent cx="6995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80" w:space="680"/>
            <w:col w:w="8120"/>
          </w:cols>
          <w:pgMar w:left="620" w:top="1113"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0070C0"/>
        </w:rPr>
        <w:t>Proposal 1 – Election of Directors</w:t>
      </w:r>
    </w:p>
    <w:p>
      <w:pPr>
        <w:spacing w:after="0" w:line="5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0070C0"/>
        </w:rPr>
        <w:t>17</w:t>
      </w:r>
    </w:p>
    <w:p>
      <w:pPr>
        <w:sectPr>
          <w:pgSz w:w="11900" w:h="16838" w:orient="portrait"/>
          <w:cols w:equalWidth="0" w:num="1">
            <w:col w:w="10480"/>
          </w:cols>
          <w:pgMar w:left="620" w:top="1113" w:right="79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00206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Director Compensation</w:t>
      </w:r>
    </w:p>
    <w:p>
      <w:pPr>
        <w:spacing w:after="0" w:line="212" w:lineRule="exact"/>
        <w:rPr>
          <w:sz w:val="20"/>
          <w:szCs w:val="20"/>
          <w:color w:val="auto"/>
        </w:rPr>
      </w:pPr>
    </w:p>
    <w:p>
      <w:pPr>
        <w:jc w:val="both"/>
        <w:ind w:right="680"/>
        <w:spacing w:after="0" w:line="253" w:lineRule="auto"/>
        <w:rPr>
          <w:sz w:val="20"/>
          <w:szCs w:val="20"/>
          <w:color w:val="auto"/>
        </w:rPr>
      </w:pPr>
      <w:r>
        <w:rPr>
          <w:rFonts w:ascii="Arial" w:cs="Arial" w:eastAsia="Arial" w:hAnsi="Arial"/>
          <w:sz w:val="18"/>
          <w:szCs w:val="18"/>
          <w:color w:val="auto"/>
        </w:rPr>
        <w:t>The Board of Directors annually reviews and determines the compensation of our non-employee directors, taking into account the recommendations of the Compensation and Human Capital Committee (“CHC Committee”). Our executive officers have no role in determining the amount or form of non-employee director compensation.</w:t>
      </w:r>
    </w:p>
    <w:p>
      <w:pPr>
        <w:spacing w:after="0" w:line="16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The Board and the CHC Committee consider current business and industry circumstances and the director compensation paid within our peer group, which is the same peer group used in reviewing the compensation of our executives. The Board believes that non-employee director compensation should be competitive to ensure that we attract and retain qualified non-employee directors, and that compensation should include an equity component to align the long-term interests of our non-employee directors with those of our stockholders. The Board does not have a pre-established policy or target for allocation between cash and equity and determines the mix of compensation based on what it believes is most appropriate under the circumstances. In 2023, the CHC Committee engaged Meridian Compensation Partners, LLC, an independent executive compensation consulting firm (“Meridian”), to review our non-employee director compensation program and to conduct market comparisons similar to those performed for our executive officer compensation program. See </w:t>
      </w:r>
      <w:r>
        <w:rPr>
          <w:rFonts w:ascii="Arial" w:cs="Arial" w:eastAsia="Arial" w:hAnsi="Arial"/>
          <w:sz w:val="18"/>
          <w:szCs w:val="18"/>
          <w:i w:val="1"/>
          <w:iCs w:val="1"/>
          <w:color w:val="auto"/>
        </w:rPr>
        <w:t xml:space="preserve">Compensation Discussion and Analysis –“Section 2 – How We Determine Pay – Our Executive Compensation Process – Role of Compensation Consultants </w:t>
      </w:r>
      <w:r>
        <w:rPr>
          <w:rFonts w:ascii="Arial" w:cs="Arial" w:eastAsia="Arial" w:hAnsi="Arial"/>
          <w:sz w:val="18"/>
          <w:szCs w:val="18"/>
          <w:color w:val="auto"/>
        </w:rPr>
        <w:t>and</w:t>
      </w:r>
      <w:r>
        <w:rPr>
          <w:rFonts w:ascii="Arial" w:cs="Arial" w:eastAsia="Arial" w:hAnsi="Arial"/>
          <w:sz w:val="18"/>
          <w:szCs w:val="18"/>
          <w:i w:val="1"/>
          <w:iCs w:val="1"/>
          <w:color w:val="auto"/>
        </w:rPr>
        <w:t xml:space="preserve"> Competitive Positioning</w:t>
      </w:r>
      <w:r>
        <w:rPr>
          <w:rFonts w:ascii="Arial" w:cs="Arial" w:eastAsia="Arial" w:hAnsi="Arial"/>
          <w:sz w:val="18"/>
          <w:szCs w:val="18"/>
          <w:color w:val="auto"/>
        </w:rPr>
        <w:t>.” The Committee discussed various alternatives proposed by Meridian, and made</w:t>
      </w:r>
      <w:r>
        <w:rPr>
          <w:rFonts w:ascii="Arial" w:cs="Arial" w:eastAsia="Arial" w:hAnsi="Arial"/>
          <w:sz w:val="18"/>
          <w:szCs w:val="18"/>
          <w:i w:val="1"/>
          <w:iCs w:val="1"/>
          <w:color w:val="auto"/>
        </w:rPr>
        <w:t xml:space="preserve"> </w:t>
      </w:r>
      <w:r>
        <w:rPr>
          <w:rFonts w:ascii="Arial" w:cs="Arial" w:eastAsia="Arial" w:hAnsi="Arial"/>
          <w:sz w:val="18"/>
          <w:szCs w:val="18"/>
          <w:color w:val="auto"/>
        </w:rPr>
        <w:t>the decision to recommend to the full Board an increase both cash and equity components to a level that brings our non-employee director compensation close to that of the median of our peer group. The Board approved the recommended changes effective December 1, 2023, which are reflected in the table below. The CHC Committee intends to engage Meridian or a similar firm to review our director compensation program approximately every two years.</w:t>
      </w:r>
    </w:p>
    <w:p>
      <w:pPr>
        <w:spacing w:after="0" w:line="215" w:lineRule="exact"/>
        <w:rPr>
          <w:sz w:val="20"/>
          <w:szCs w:val="20"/>
          <w:color w:val="auto"/>
        </w:rPr>
      </w:pPr>
    </w:p>
    <w:tbl>
      <w:tblPr>
        <w:tblLayout w:type="fixed"/>
        <w:tblInd w:w="220" w:type="dxa"/>
        <w:tblCellMar>
          <w:top w:w="0" w:type="dxa"/>
          <w:left w:w="0" w:type="dxa"/>
          <w:bottom w:w="0" w:type="dxa"/>
          <w:right w:w="0" w:type="dxa"/>
        </w:tblCellMar>
      </w:tblPr>
      <w:tr>
        <w:trPr>
          <w:trHeight w:val="324"/>
        </w:trPr>
        <w:tc>
          <w:tcPr>
            <w:tcW w:w="9060" w:type="dxa"/>
            <w:vAlign w:val="bottom"/>
            <w:tcBorders>
              <w:top w:val="single" w:sz="8" w:color="0070C0"/>
              <w:bottom w:val="single" w:sz="8" w:color="D5DCE4"/>
            </w:tcBorders>
            <w:shd w:val="clear" w:color="auto" w:fill="D5DCE4"/>
          </w:tcPr>
          <w:p>
            <w:pPr>
              <w:spacing w:after="0"/>
              <w:rPr>
                <w:sz w:val="20"/>
                <w:szCs w:val="20"/>
                <w:color w:val="auto"/>
              </w:rPr>
            </w:pPr>
            <w:r>
              <w:rPr>
                <w:rFonts w:ascii="Arial" w:cs="Arial" w:eastAsia="Arial" w:hAnsi="Arial"/>
                <w:sz w:val="18"/>
                <w:szCs w:val="18"/>
                <w:color w:val="auto"/>
              </w:rPr>
              <w:t>  Board service</w:t>
            </w:r>
          </w:p>
        </w:tc>
        <w:tc>
          <w:tcPr>
            <w:tcW w:w="1520" w:type="dxa"/>
            <w:vAlign w:val="bottom"/>
            <w:tcBorders>
              <w:top w:val="single" w:sz="8" w:color="0070C0"/>
            </w:tcBorders>
          </w:tcPr>
          <w:p>
            <w:pPr>
              <w:jc w:val="right"/>
              <w:ind w:right="110"/>
              <w:spacing w:after="0"/>
              <w:rPr>
                <w:sz w:val="20"/>
                <w:szCs w:val="20"/>
                <w:color w:val="auto"/>
              </w:rPr>
            </w:pPr>
            <w:r>
              <w:rPr>
                <w:rFonts w:ascii="Arial" w:cs="Arial" w:eastAsia="Arial" w:hAnsi="Arial"/>
                <w:sz w:val="18"/>
                <w:szCs w:val="18"/>
                <w:color w:val="auto"/>
              </w:rPr>
              <w:t>$85,000 </w:t>
            </w:r>
          </w:p>
        </w:tc>
      </w:tr>
      <w:tr>
        <w:trPr>
          <w:trHeight w:val="290"/>
        </w:trPr>
        <w:tc>
          <w:tcPr>
            <w:tcW w:w="9060" w:type="dxa"/>
            <w:vAlign w:val="bottom"/>
            <w:tcBorders>
              <w:top w:val="single" w:sz="8" w:color="auto"/>
              <w:bottom w:val="single" w:sz="8" w:color="D5DCE4"/>
            </w:tcBorders>
            <w:shd w:val="clear" w:color="auto" w:fill="D5DCE4"/>
          </w:tcPr>
          <w:p>
            <w:pPr>
              <w:spacing w:after="0"/>
              <w:rPr>
                <w:sz w:val="20"/>
                <w:szCs w:val="20"/>
                <w:color w:val="auto"/>
              </w:rPr>
            </w:pPr>
            <w:r>
              <w:rPr>
                <w:rFonts w:ascii="Arial" w:cs="Arial" w:eastAsia="Arial" w:hAnsi="Arial"/>
                <w:sz w:val="18"/>
                <w:szCs w:val="18"/>
                <w:color w:val="auto"/>
              </w:rPr>
              <w:t>  Audit Committee (chair)</w:t>
            </w:r>
          </w:p>
        </w:tc>
        <w:tc>
          <w:tcPr>
            <w:tcW w:w="15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$20,000 </w:t>
            </w:r>
          </w:p>
        </w:tc>
      </w:tr>
      <w:tr>
        <w:trPr>
          <w:trHeight w:val="291"/>
        </w:trPr>
        <w:tc>
          <w:tcPr>
            <w:tcW w:w="9060" w:type="dxa"/>
            <w:vAlign w:val="bottom"/>
            <w:tcBorders>
              <w:top w:val="single" w:sz="8" w:color="auto"/>
              <w:bottom w:val="single" w:sz="8" w:color="D5DCE4"/>
            </w:tcBorders>
            <w:shd w:val="clear" w:color="auto" w:fill="D5DCE4"/>
          </w:tcPr>
          <w:p>
            <w:pPr>
              <w:spacing w:after="0"/>
              <w:rPr>
                <w:sz w:val="20"/>
                <w:szCs w:val="20"/>
                <w:color w:val="auto"/>
              </w:rPr>
            </w:pPr>
            <w:r>
              <w:rPr>
                <w:rFonts w:ascii="Arial" w:cs="Arial" w:eastAsia="Arial" w:hAnsi="Arial"/>
                <w:sz w:val="18"/>
                <w:szCs w:val="18"/>
                <w:color w:val="auto"/>
              </w:rPr>
              <w:t>  CHC Committee (chair)</w:t>
            </w:r>
          </w:p>
        </w:tc>
        <w:tc>
          <w:tcPr>
            <w:tcW w:w="15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$17,500 </w:t>
            </w:r>
          </w:p>
        </w:tc>
      </w:tr>
      <w:tr>
        <w:trPr>
          <w:trHeight w:val="291"/>
        </w:trPr>
        <w:tc>
          <w:tcPr>
            <w:tcW w:w="9060" w:type="dxa"/>
            <w:vAlign w:val="bottom"/>
            <w:tcBorders>
              <w:top w:val="single" w:sz="8" w:color="auto"/>
              <w:bottom w:val="single" w:sz="8" w:color="D5DCE4"/>
            </w:tcBorders>
            <w:shd w:val="clear" w:color="auto" w:fill="D5DCE4"/>
          </w:tcPr>
          <w:p>
            <w:pPr>
              <w:spacing w:after="0"/>
              <w:rPr>
                <w:sz w:val="20"/>
                <w:szCs w:val="20"/>
                <w:color w:val="auto"/>
              </w:rPr>
            </w:pPr>
            <w:r>
              <w:rPr>
                <w:rFonts w:ascii="Arial" w:cs="Arial" w:eastAsia="Arial" w:hAnsi="Arial"/>
                <w:sz w:val="18"/>
                <w:szCs w:val="18"/>
                <w:color w:val="auto"/>
              </w:rPr>
              <w:t>  NCG Committee (chair)</w:t>
            </w:r>
          </w:p>
        </w:tc>
        <w:tc>
          <w:tcPr>
            <w:tcW w:w="15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$15,000 </w:t>
            </w:r>
          </w:p>
        </w:tc>
      </w:tr>
      <w:tr>
        <w:trPr>
          <w:trHeight w:val="290"/>
        </w:trPr>
        <w:tc>
          <w:tcPr>
            <w:tcW w:w="9060" w:type="dxa"/>
            <w:vAlign w:val="bottom"/>
            <w:tcBorders>
              <w:top w:val="single" w:sz="8" w:color="auto"/>
              <w:bottom w:val="single" w:sz="8" w:color="D5DCE4"/>
            </w:tcBorders>
            <w:shd w:val="clear" w:color="auto" w:fill="D5DCE4"/>
          </w:tcPr>
          <w:p>
            <w:pPr>
              <w:spacing w:after="0"/>
              <w:rPr>
                <w:sz w:val="20"/>
                <w:szCs w:val="20"/>
                <w:color w:val="auto"/>
              </w:rPr>
            </w:pPr>
            <w:r>
              <w:rPr>
                <w:rFonts w:ascii="Arial" w:cs="Arial" w:eastAsia="Arial" w:hAnsi="Arial"/>
                <w:sz w:val="18"/>
                <w:szCs w:val="18"/>
                <w:color w:val="auto"/>
              </w:rPr>
              <w:t>  Audit Committee (non-chair)</w:t>
            </w:r>
          </w:p>
        </w:tc>
        <w:tc>
          <w:tcPr>
            <w:tcW w:w="15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$10,000 </w:t>
            </w:r>
          </w:p>
        </w:tc>
      </w:tr>
      <w:tr>
        <w:trPr>
          <w:trHeight w:val="291"/>
        </w:trPr>
        <w:tc>
          <w:tcPr>
            <w:tcW w:w="9060" w:type="dxa"/>
            <w:vAlign w:val="bottom"/>
            <w:tcBorders>
              <w:top w:val="single" w:sz="8" w:color="auto"/>
              <w:bottom w:val="single" w:sz="8" w:color="D5DCE4"/>
            </w:tcBorders>
            <w:shd w:val="clear" w:color="auto" w:fill="D5DCE4"/>
          </w:tcPr>
          <w:p>
            <w:pPr>
              <w:spacing w:after="0"/>
              <w:rPr>
                <w:sz w:val="20"/>
                <w:szCs w:val="20"/>
                <w:color w:val="auto"/>
              </w:rPr>
            </w:pPr>
            <w:r>
              <w:rPr>
                <w:rFonts w:ascii="Arial" w:cs="Arial" w:eastAsia="Arial" w:hAnsi="Arial"/>
                <w:sz w:val="18"/>
                <w:szCs w:val="18"/>
                <w:color w:val="auto"/>
              </w:rPr>
              <w:t>  CHC Committee (non-chair)</w:t>
            </w:r>
          </w:p>
        </w:tc>
        <w:tc>
          <w:tcPr>
            <w:tcW w:w="15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$10,000 </w:t>
            </w:r>
          </w:p>
        </w:tc>
      </w:tr>
      <w:tr>
        <w:trPr>
          <w:trHeight w:val="290"/>
        </w:trPr>
        <w:tc>
          <w:tcPr>
            <w:tcW w:w="9060" w:type="dxa"/>
            <w:vAlign w:val="bottom"/>
            <w:tcBorders>
              <w:top w:val="single" w:sz="8" w:color="auto"/>
              <w:bottom w:val="single" w:sz="8" w:color="D5DCE4"/>
            </w:tcBorders>
            <w:shd w:val="clear" w:color="auto" w:fill="D5DCE4"/>
          </w:tcPr>
          <w:p>
            <w:pPr>
              <w:spacing w:after="0"/>
              <w:rPr>
                <w:sz w:val="20"/>
                <w:szCs w:val="20"/>
                <w:color w:val="auto"/>
              </w:rPr>
            </w:pPr>
            <w:r>
              <w:rPr>
                <w:rFonts w:ascii="Arial" w:cs="Arial" w:eastAsia="Arial" w:hAnsi="Arial"/>
                <w:sz w:val="18"/>
                <w:szCs w:val="18"/>
                <w:color w:val="auto"/>
              </w:rPr>
              <w:t>  NCG Committee (non-chair)</w:t>
            </w:r>
          </w:p>
        </w:tc>
        <w:tc>
          <w:tcPr>
            <w:tcW w:w="15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$7,500 </w:t>
            </w:r>
          </w:p>
        </w:tc>
      </w:tr>
      <w:tr>
        <w:trPr>
          <w:trHeight w:val="290"/>
        </w:trPr>
        <w:tc>
          <w:tcPr>
            <w:tcW w:w="9060" w:type="dxa"/>
            <w:vAlign w:val="bottom"/>
            <w:tcBorders>
              <w:top w:val="single" w:sz="8" w:color="auto"/>
              <w:bottom w:val="single" w:sz="8" w:color="D5DCE4"/>
            </w:tcBorders>
            <w:shd w:val="clear" w:color="auto" w:fill="D5DCE4"/>
          </w:tcPr>
          <w:p>
            <w:pPr>
              <w:spacing w:after="0"/>
              <w:rPr>
                <w:sz w:val="20"/>
                <w:szCs w:val="20"/>
                <w:color w:val="auto"/>
              </w:rPr>
            </w:pPr>
            <w:r>
              <w:rPr>
                <w:rFonts w:ascii="Arial" w:cs="Arial" w:eastAsia="Arial" w:hAnsi="Arial"/>
                <w:sz w:val="18"/>
                <w:szCs w:val="18"/>
                <w:color w:val="auto"/>
              </w:rPr>
              <w:t>  Presiding Independent Director</w:t>
            </w:r>
          </w:p>
        </w:tc>
        <w:tc>
          <w:tcPr>
            <w:tcW w:w="15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$25,000 </w:t>
            </w:r>
          </w:p>
        </w:tc>
      </w:tr>
      <w:tr>
        <w:trPr>
          <w:trHeight w:val="270"/>
        </w:trPr>
        <w:tc>
          <w:tcPr>
            <w:tcW w:w="9060" w:type="dxa"/>
            <w:vAlign w:val="bottom"/>
            <w:tcBorders>
              <w:top w:val="single" w:sz="8" w:color="auto"/>
              <w:bottom w:val="single" w:sz="8" w:color="D5DCE4"/>
            </w:tcBorders>
            <w:shd w:val="clear" w:color="auto" w:fill="D5DCE4"/>
          </w:tcPr>
          <w:p>
            <w:pPr>
              <w:spacing w:after="0"/>
              <w:rPr>
                <w:sz w:val="20"/>
                <w:szCs w:val="20"/>
                <w:color w:val="auto"/>
              </w:rPr>
            </w:pPr>
            <w:r>
              <w:rPr>
                <w:rFonts w:ascii="Arial" w:cs="Arial" w:eastAsia="Arial" w:hAnsi="Arial"/>
                <w:sz w:val="18"/>
                <w:szCs w:val="18"/>
                <w:color w:val="auto"/>
              </w:rPr>
              <w:t>  Grant of restricted stock (fair market value on grant date)</w:t>
            </w:r>
          </w:p>
        </w:tc>
        <w:tc>
          <w:tcPr>
            <w:tcW w:w="15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2"/>
              </w:rPr>
              <w:t>       $125,000 </w:t>
            </w:r>
          </w:p>
        </w:tc>
      </w:tr>
      <w:tr>
        <w:trPr>
          <w:trHeight w:val="27"/>
        </w:trPr>
        <w:tc>
          <w:tcPr>
            <w:tcW w:w="9060" w:type="dxa"/>
            <w:vAlign w:val="bottom"/>
            <w:shd w:val="clear" w:color="auto" w:fill="0070C0"/>
          </w:tcPr>
          <w:p>
            <w:pPr>
              <w:spacing w:after="0"/>
              <w:rPr>
                <w:sz w:val="2"/>
                <w:szCs w:val="2"/>
                <w:color w:val="auto"/>
              </w:rPr>
            </w:pPr>
          </w:p>
        </w:tc>
        <w:tc>
          <w:tcPr>
            <w:tcW w:w="1520" w:type="dxa"/>
            <w:vAlign w:val="bottom"/>
            <w:shd w:val="clear" w:color="auto" w:fill="0070C0"/>
          </w:tcPr>
          <w:p>
            <w:pPr>
              <w:spacing w:after="0"/>
              <w:rPr>
                <w:sz w:val="2"/>
                <w:szCs w:val="2"/>
                <w:color w:val="auto"/>
              </w:rPr>
            </w:pPr>
          </w:p>
        </w:tc>
      </w:tr>
    </w:tbl>
    <w:p>
      <w:pPr>
        <w:spacing w:after="0" w:line="197"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Annual equity awards are awarded on the date of the Annual Meeting of Stockholders, based on the closing market price of our common stock on that date. Directors appointed to the Board at other times during the year receive a pro rata equity award. Our 2023 Omnibus Incentive Plan provides that total cash and equity compensation to any individual non-employee director may not exceed $400,000 in any fiscal year.</w:t>
      </w:r>
    </w:p>
    <w:p>
      <w:pPr>
        <w:spacing w:after="0" w:line="174" w:lineRule="exact"/>
        <w:rPr>
          <w:sz w:val="20"/>
          <w:szCs w:val="20"/>
          <w:color w:val="auto"/>
        </w:rPr>
      </w:pPr>
    </w:p>
    <w:p>
      <w:pPr>
        <w:jc w:val="both"/>
        <w:ind w:right="40"/>
        <w:spacing w:after="0" w:line="247" w:lineRule="auto"/>
        <w:rPr>
          <w:sz w:val="20"/>
          <w:szCs w:val="20"/>
          <w:color w:val="auto"/>
        </w:rPr>
      </w:pPr>
      <w:r>
        <w:rPr>
          <w:rFonts w:ascii="Arial" w:cs="Arial" w:eastAsia="Arial" w:hAnsi="Arial"/>
          <w:sz w:val="18"/>
          <w:szCs w:val="18"/>
          <w:color w:val="auto"/>
        </w:rPr>
        <w:t>Non-employee directors are entitled to reimbursement for their reasonable expenses to attend Board and committee meetings, but do not receive fees for meeting attendance. Directors who are employees of the Company receive no compensation for their service as directors. We maintain directors’ and officers’ liability insurance and have entered into indemnification agreements with each of our directors. We do not provide incentive awards or retirement plans for our non-employee directors.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Director Compensation Table</w:t>
      </w:r>
    </w:p>
    <w:p>
      <w:pPr>
        <w:spacing w:after="0" w:line="21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following table presents the total compensation paid in 2023 (i) to each non-employee director and (ii) to Mr. Verma, an employee of the Company in 2023 who was a director until May 2023, but who received no compensation for his Board service, as noted below. Directors’ fees are paid quarterly.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6995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70C0"/>
        </w:rPr>
        <w:t>Proposal 1 – Election of Directors</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70C0"/>
        </w:rPr>
        <w:t>18</w:t>
      </w:r>
    </w:p>
    <w:p>
      <w:pPr>
        <w:sectPr>
          <w:pgSz w:w="11900" w:h="16838" w:orient="portrait"/>
          <w:cols w:equalWidth="0" w:num="1">
            <w:col w:w="11000"/>
          </w:cols>
          <w:pgMar w:left="440" w:top="296" w:right="4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002060"/>
              </w:rPr>
              <w:t>Fees Earned or Paid</w:t>
            </w:r>
          </w:p>
        </w:tc>
        <w:tc>
          <w:tcPr>
            <w:tcW w:w="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80" w:type="dxa"/>
            <w:vAlign w:val="bottom"/>
          </w:tcPr>
          <w:p>
            <w:pPr>
              <w:jc w:val="center"/>
              <w:ind w:right="415"/>
              <w:spacing w:after="0"/>
              <w:rPr>
                <w:sz w:val="20"/>
                <w:szCs w:val="20"/>
                <w:color w:val="auto"/>
              </w:rPr>
            </w:pPr>
            <w:r>
              <w:rPr>
                <w:rFonts w:ascii="Arial" w:cs="Arial" w:eastAsia="Arial" w:hAnsi="Arial"/>
                <w:sz w:val="14"/>
                <w:szCs w:val="14"/>
                <w:b w:val="1"/>
                <w:bCs w:val="1"/>
                <w:color w:val="002060"/>
              </w:rPr>
              <w:t>All Other</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2"/>
        </w:trPr>
        <w:tc>
          <w:tcPr>
            <w:tcW w:w="4200" w:type="dxa"/>
            <w:vAlign w:val="bottom"/>
          </w:tcPr>
          <w:p>
            <w:pPr>
              <w:spacing w:after="0"/>
              <w:rPr>
                <w:sz w:val="14"/>
                <w:szCs w:val="14"/>
                <w:color w:val="auto"/>
              </w:rPr>
            </w:pPr>
          </w:p>
        </w:tc>
        <w:tc>
          <w:tcPr>
            <w:tcW w:w="1260" w:type="dxa"/>
            <w:vAlign w:val="bottom"/>
          </w:tcPr>
          <w:p>
            <w:pPr>
              <w:jc w:val="center"/>
              <w:ind w:left="295"/>
              <w:spacing w:after="0"/>
              <w:rPr>
                <w:sz w:val="20"/>
                <w:szCs w:val="20"/>
                <w:color w:val="auto"/>
              </w:rPr>
            </w:pPr>
            <w:r>
              <w:rPr>
                <w:rFonts w:ascii="Arial" w:cs="Arial" w:eastAsia="Arial" w:hAnsi="Arial"/>
                <w:sz w:val="14"/>
                <w:szCs w:val="14"/>
                <w:b w:val="1"/>
                <w:bCs w:val="1"/>
                <w:color w:val="002060"/>
              </w:rPr>
              <w:t>In Cash</w:t>
            </w: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00" w:type="dxa"/>
            <w:vAlign w:val="bottom"/>
          </w:tcPr>
          <w:p>
            <w:pPr>
              <w:ind w:left="140"/>
              <w:spacing w:after="0"/>
              <w:rPr>
                <w:sz w:val="20"/>
                <w:szCs w:val="20"/>
                <w:color w:val="auto"/>
              </w:rPr>
            </w:pPr>
            <w:r>
              <w:rPr>
                <w:rFonts w:ascii="Arial" w:cs="Arial" w:eastAsia="Arial" w:hAnsi="Arial"/>
                <w:sz w:val="14"/>
                <w:szCs w:val="14"/>
                <w:b w:val="1"/>
                <w:bCs w:val="1"/>
                <w:color w:val="002060"/>
              </w:rPr>
              <w:t>Stock Awards</w:t>
            </w:r>
          </w:p>
        </w:tc>
        <w:tc>
          <w:tcPr>
            <w:tcW w:w="1780" w:type="dxa"/>
            <w:vAlign w:val="bottom"/>
          </w:tcPr>
          <w:p>
            <w:pPr>
              <w:jc w:val="center"/>
              <w:ind w:right="415"/>
              <w:spacing w:after="0"/>
              <w:rPr>
                <w:sz w:val="20"/>
                <w:szCs w:val="20"/>
                <w:color w:val="auto"/>
              </w:rPr>
            </w:pPr>
            <w:r>
              <w:rPr>
                <w:rFonts w:ascii="Arial" w:cs="Arial" w:eastAsia="Arial" w:hAnsi="Arial"/>
                <w:sz w:val="14"/>
                <w:szCs w:val="14"/>
                <w:b w:val="1"/>
                <w:bCs w:val="1"/>
                <w:color w:val="002060"/>
              </w:rPr>
              <w:t>Compensation</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002060"/>
              </w:rPr>
              <w:t xml:space="preserve">Total    </w:t>
            </w:r>
          </w:p>
        </w:tc>
        <w:tc>
          <w:tcPr>
            <w:tcW w:w="300" w:type="dxa"/>
            <w:vAlign w:val="bottom"/>
          </w:tcPr>
          <w:p>
            <w:pPr>
              <w:spacing w:after="0"/>
              <w:rPr>
                <w:sz w:val="14"/>
                <w:szCs w:val="14"/>
                <w:color w:val="auto"/>
              </w:rPr>
            </w:pPr>
          </w:p>
        </w:tc>
      </w:tr>
      <w:tr>
        <w:trPr>
          <w:trHeight w:val="192"/>
        </w:trPr>
        <w:tc>
          <w:tcPr>
            <w:tcW w:w="4200" w:type="dxa"/>
            <w:vAlign w:val="bottom"/>
            <w:tcBorders>
              <w:bottom w:val="single" w:sz="8" w:color="0070C0"/>
            </w:tcBorders>
          </w:tcPr>
          <w:p>
            <w:pPr>
              <w:spacing w:after="0"/>
              <w:rPr>
                <w:sz w:val="20"/>
                <w:szCs w:val="20"/>
                <w:color w:val="auto"/>
              </w:rPr>
            </w:pPr>
            <w:r>
              <w:rPr>
                <w:rFonts w:ascii="Arial" w:cs="Arial" w:eastAsia="Arial" w:hAnsi="Arial"/>
                <w:sz w:val="14"/>
                <w:szCs w:val="14"/>
                <w:b w:val="1"/>
                <w:bCs w:val="1"/>
                <w:color w:val="002060"/>
              </w:rPr>
              <w:t>Name</w:t>
            </w:r>
          </w:p>
        </w:tc>
        <w:tc>
          <w:tcPr>
            <w:tcW w:w="1260" w:type="dxa"/>
            <w:vAlign w:val="bottom"/>
            <w:tcBorders>
              <w:bottom w:val="single" w:sz="8" w:color="0070C0"/>
            </w:tcBorders>
          </w:tcPr>
          <w:p>
            <w:pPr>
              <w:jc w:val="center"/>
              <w:ind w:left="275"/>
              <w:spacing w:after="0"/>
              <w:rPr>
                <w:sz w:val="20"/>
                <w:szCs w:val="20"/>
                <w:color w:val="auto"/>
              </w:rPr>
            </w:pPr>
            <w:r>
              <w:rPr>
                <w:rFonts w:ascii="Arial" w:cs="Arial" w:eastAsia="Arial" w:hAnsi="Arial"/>
                <w:sz w:val="14"/>
                <w:szCs w:val="14"/>
                <w:b w:val="1"/>
                <w:bCs w:val="1"/>
                <w:color w:val="002060"/>
                <w:w w:val="99"/>
              </w:rPr>
              <w:t>($)(1)</w:t>
            </w:r>
          </w:p>
        </w:tc>
        <w:tc>
          <w:tcPr>
            <w:tcW w:w="320" w:type="dxa"/>
            <w:vAlign w:val="bottom"/>
            <w:tcBorders>
              <w:bottom w:val="single" w:sz="8" w:color="0070C0"/>
            </w:tcBorders>
          </w:tcPr>
          <w:p>
            <w:pPr>
              <w:spacing w:after="0"/>
              <w:rPr>
                <w:sz w:val="16"/>
                <w:szCs w:val="16"/>
                <w:color w:val="auto"/>
              </w:rPr>
            </w:pPr>
          </w:p>
        </w:tc>
        <w:tc>
          <w:tcPr>
            <w:tcW w:w="520" w:type="dxa"/>
            <w:vAlign w:val="bottom"/>
            <w:tcBorders>
              <w:bottom w:val="single" w:sz="8" w:color="0070C0"/>
            </w:tcBorders>
          </w:tcPr>
          <w:p>
            <w:pPr>
              <w:spacing w:after="0"/>
              <w:rPr>
                <w:sz w:val="16"/>
                <w:szCs w:val="16"/>
                <w:color w:val="auto"/>
              </w:rPr>
            </w:pPr>
          </w:p>
        </w:tc>
        <w:tc>
          <w:tcPr>
            <w:tcW w:w="1700" w:type="dxa"/>
            <w:vAlign w:val="bottom"/>
            <w:tcBorders>
              <w:bottom w:val="single" w:sz="8" w:color="0070C0"/>
            </w:tcBorders>
          </w:tcPr>
          <w:p>
            <w:pPr>
              <w:ind w:left="360"/>
              <w:spacing w:after="0"/>
              <w:rPr>
                <w:sz w:val="20"/>
                <w:szCs w:val="20"/>
                <w:color w:val="auto"/>
              </w:rPr>
            </w:pPr>
            <w:r>
              <w:rPr>
                <w:rFonts w:ascii="Arial" w:cs="Arial" w:eastAsia="Arial" w:hAnsi="Arial"/>
                <w:sz w:val="14"/>
                <w:szCs w:val="14"/>
                <w:b w:val="1"/>
                <w:bCs w:val="1"/>
                <w:color w:val="002060"/>
              </w:rPr>
              <w:t>($)(2)(3)</w:t>
            </w:r>
          </w:p>
        </w:tc>
        <w:tc>
          <w:tcPr>
            <w:tcW w:w="1780" w:type="dxa"/>
            <w:vAlign w:val="bottom"/>
            <w:tcBorders>
              <w:bottom w:val="single" w:sz="8" w:color="0070C0"/>
            </w:tcBorders>
          </w:tcPr>
          <w:p>
            <w:pPr>
              <w:jc w:val="center"/>
              <w:ind w:right="395"/>
              <w:spacing w:after="0"/>
              <w:rPr>
                <w:sz w:val="20"/>
                <w:szCs w:val="20"/>
                <w:color w:val="auto"/>
              </w:rPr>
            </w:pPr>
            <w:r>
              <w:rPr>
                <w:rFonts w:ascii="Arial" w:cs="Arial" w:eastAsia="Arial" w:hAnsi="Arial"/>
                <w:sz w:val="14"/>
                <w:szCs w:val="14"/>
                <w:b w:val="1"/>
                <w:bCs w:val="1"/>
                <w:color w:val="002060"/>
              </w:rPr>
              <w:t>($)</w:t>
            </w:r>
          </w:p>
        </w:tc>
        <w:tc>
          <w:tcPr>
            <w:tcW w:w="940" w:type="dxa"/>
            <w:vAlign w:val="bottom"/>
            <w:tcBorders>
              <w:bottom w:val="single" w:sz="8" w:color="0070C0"/>
            </w:tcBorders>
          </w:tcPr>
          <w:p>
            <w:pPr>
              <w:jc w:val="right"/>
              <w:ind w:right="74"/>
              <w:spacing w:after="0"/>
              <w:rPr>
                <w:sz w:val="20"/>
                <w:szCs w:val="20"/>
                <w:color w:val="auto"/>
              </w:rPr>
            </w:pPr>
            <w:r>
              <w:rPr>
                <w:rFonts w:ascii="Arial" w:cs="Arial" w:eastAsia="Arial" w:hAnsi="Arial"/>
                <w:sz w:val="14"/>
                <w:szCs w:val="14"/>
                <w:b w:val="1"/>
                <w:bCs w:val="1"/>
                <w:color w:val="002060"/>
              </w:rPr>
              <w:t xml:space="preserve">($)    </w:t>
            </w:r>
          </w:p>
        </w:tc>
        <w:tc>
          <w:tcPr>
            <w:tcW w:w="300" w:type="dxa"/>
            <w:vAlign w:val="bottom"/>
            <w:tcBorders>
              <w:bottom w:val="single" w:sz="8" w:color="0070C0"/>
            </w:tcBorders>
          </w:tcPr>
          <w:p>
            <w:pPr>
              <w:spacing w:after="0"/>
              <w:rPr>
                <w:sz w:val="16"/>
                <w:szCs w:val="16"/>
                <w:color w:val="auto"/>
              </w:rPr>
            </w:pPr>
          </w:p>
        </w:tc>
      </w:tr>
      <w:tr>
        <w:trPr>
          <w:trHeight w:val="297"/>
        </w:trPr>
        <w:tc>
          <w:tcPr>
            <w:tcW w:w="4200" w:type="dxa"/>
            <w:vAlign w:val="bottom"/>
            <w:tcBorders>
              <w:bottom w:val="single" w:sz="8" w:color="D5DCE4"/>
            </w:tcBorders>
            <w:shd w:val="clear" w:color="auto" w:fill="D5DCE4"/>
          </w:tcPr>
          <w:p>
            <w:pPr>
              <w:spacing w:after="0"/>
              <w:rPr>
                <w:sz w:val="20"/>
                <w:szCs w:val="20"/>
                <w:color w:val="auto"/>
              </w:rPr>
            </w:pPr>
            <w:r>
              <w:rPr>
                <w:rFonts w:ascii="Arial" w:cs="Arial" w:eastAsia="Arial" w:hAnsi="Arial"/>
                <w:sz w:val="18"/>
                <w:szCs w:val="18"/>
                <w:color w:val="auto"/>
              </w:rPr>
              <w:t>  Margot L. Carter</w:t>
            </w:r>
          </w:p>
        </w:tc>
        <w:tc>
          <w:tcPr>
            <w:tcW w:w="1260" w:type="dxa"/>
            <w:vAlign w:val="bottom"/>
          </w:tcPr>
          <w:p>
            <w:pPr>
              <w:jc w:val="right"/>
              <w:spacing w:after="0"/>
              <w:rPr>
                <w:sz w:val="20"/>
                <w:szCs w:val="20"/>
                <w:color w:val="auto"/>
              </w:rPr>
            </w:pPr>
            <w:r>
              <w:rPr>
                <w:rFonts w:ascii="Arial" w:cs="Arial" w:eastAsia="Arial" w:hAnsi="Arial"/>
                <w:sz w:val="18"/>
                <w:szCs w:val="18"/>
                <w:color w:val="auto"/>
              </w:rPr>
              <w:t>120,000 </w:t>
            </w:r>
          </w:p>
        </w:tc>
        <w:tc>
          <w:tcPr>
            <w:tcW w:w="320" w:type="dxa"/>
            <w:vAlign w:val="bottom"/>
          </w:tcPr>
          <w:p>
            <w:pPr>
              <w:ind w:left="60"/>
              <w:spacing w:after="0"/>
              <w:rPr>
                <w:sz w:val="20"/>
                <w:szCs w:val="20"/>
                <w:color w:val="auto"/>
              </w:rPr>
            </w:pPr>
            <w:r>
              <w:rPr>
                <w:rFonts w:ascii="Arial" w:cs="Arial" w:eastAsia="Arial" w:hAnsi="Arial"/>
                <w:sz w:val="18"/>
                <w:szCs w:val="18"/>
                <w:color w:val="auto"/>
              </w:rPr>
              <w:t> </w:t>
            </w:r>
          </w:p>
        </w:tc>
        <w:tc>
          <w:tcPr>
            <w:tcW w:w="520" w:type="dxa"/>
            <w:vAlign w:val="bottom"/>
          </w:tcPr>
          <w:p>
            <w:pPr>
              <w:ind w:left="80"/>
              <w:spacing w:after="0"/>
              <w:rPr>
                <w:sz w:val="20"/>
                <w:szCs w:val="20"/>
                <w:color w:val="auto"/>
              </w:rPr>
            </w:pPr>
            <w:r>
              <w:rPr>
                <w:rFonts w:ascii="Arial" w:cs="Arial" w:eastAsia="Arial" w:hAnsi="Arial"/>
                <w:sz w:val="18"/>
                <w:szCs w:val="18"/>
                <w:color w:val="auto"/>
              </w:rPr>
              <w:t xml:space="preserve">     </w:t>
            </w:r>
          </w:p>
        </w:tc>
        <w:tc>
          <w:tcPr>
            <w:tcW w:w="1700" w:type="dxa"/>
            <w:vAlign w:val="bottom"/>
          </w:tcPr>
          <w:p>
            <w:pPr>
              <w:ind w:left="360"/>
              <w:spacing w:after="0"/>
              <w:rPr>
                <w:sz w:val="20"/>
                <w:szCs w:val="20"/>
                <w:color w:val="auto"/>
              </w:rPr>
            </w:pPr>
            <w:r>
              <w:rPr>
                <w:rFonts w:ascii="Arial" w:cs="Arial" w:eastAsia="Arial" w:hAnsi="Arial"/>
                <w:sz w:val="18"/>
                <w:szCs w:val="18"/>
                <w:color w:val="auto"/>
              </w:rPr>
              <w:t xml:space="preserve">100,000        </w:t>
            </w:r>
          </w:p>
        </w:tc>
        <w:tc>
          <w:tcPr>
            <w:tcW w:w="1780" w:type="dxa"/>
            <w:vAlign w:val="bottom"/>
          </w:tcPr>
          <w:p>
            <w:pPr>
              <w:jc w:val="right"/>
              <w:ind w:right="95"/>
              <w:spacing w:after="0"/>
              <w:rPr>
                <w:sz w:val="20"/>
                <w:szCs w:val="20"/>
                <w:color w:val="auto"/>
              </w:rPr>
            </w:pPr>
            <w:r>
              <w:rPr>
                <w:rFonts w:ascii="Arial" w:cs="Arial" w:eastAsia="Arial" w:hAnsi="Arial"/>
                <w:sz w:val="18"/>
                <w:szCs w:val="18"/>
                <w:color w:val="auto"/>
              </w:rPr>
              <w:t xml:space="preserve">-       </w:t>
            </w:r>
          </w:p>
        </w:tc>
        <w:tc>
          <w:tcPr>
            <w:tcW w:w="940" w:type="dxa"/>
            <w:vAlign w:val="bottom"/>
          </w:tcPr>
          <w:p>
            <w:pPr>
              <w:jc w:val="right"/>
              <w:spacing w:after="0"/>
              <w:rPr>
                <w:sz w:val="20"/>
                <w:szCs w:val="20"/>
                <w:color w:val="auto"/>
              </w:rPr>
            </w:pPr>
            <w:r>
              <w:rPr>
                <w:rFonts w:ascii="Arial" w:cs="Arial" w:eastAsia="Arial" w:hAnsi="Arial"/>
                <w:sz w:val="18"/>
                <w:szCs w:val="18"/>
                <w:color w:val="auto"/>
              </w:rPr>
              <w:t>220,000 </w:t>
            </w:r>
          </w:p>
        </w:tc>
        <w:tc>
          <w:tcPr>
            <w:tcW w:w="300" w:type="dxa"/>
            <w:vAlign w:val="bottom"/>
          </w:tcPr>
          <w:p>
            <w:pPr>
              <w:ind w:left="60"/>
              <w:spacing w:after="0"/>
              <w:rPr>
                <w:sz w:val="20"/>
                <w:szCs w:val="20"/>
                <w:color w:val="auto"/>
              </w:rPr>
            </w:pPr>
            <w:r>
              <w:rPr>
                <w:rFonts w:ascii="Arial" w:cs="Arial" w:eastAsia="Arial" w:hAnsi="Arial"/>
                <w:sz w:val="18"/>
                <w:szCs w:val="18"/>
                <w:color w:val="auto"/>
              </w:rPr>
              <w:t> </w:t>
            </w:r>
          </w:p>
        </w:tc>
      </w:tr>
      <w:tr>
        <w:trPr>
          <w:trHeight w:val="290"/>
        </w:trPr>
        <w:tc>
          <w:tcPr>
            <w:tcW w:w="4200" w:type="dxa"/>
            <w:vAlign w:val="bottom"/>
            <w:tcBorders>
              <w:top w:val="single" w:sz="8" w:color="auto"/>
              <w:bottom w:val="single" w:sz="8" w:color="D5DCE4"/>
            </w:tcBorders>
            <w:shd w:val="clear" w:color="auto" w:fill="D5DCE4"/>
          </w:tcPr>
          <w:p>
            <w:pPr>
              <w:spacing w:after="0"/>
              <w:rPr>
                <w:sz w:val="20"/>
                <w:szCs w:val="20"/>
                <w:color w:val="auto"/>
              </w:rPr>
            </w:pPr>
            <w:r>
              <w:rPr>
                <w:rFonts w:ascii="Arial" w:cs="Arial" w:eastAsia="Arial" w:hAnsi="Arial"/>
                <w:sz w:val="18"/>
                <w:szCs w:val="18"/>
                <w:color w:val="auto"/>
              </w:rPr>
              <w:t>  Lawrence A. Hilsheimer</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102,500 </w:t>
            </w:r>
          </w:p>
        </w:tc>
        <w:tc>
          <w:tcPr>
            <w:tcW w:w="3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52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100,000 </w:t>
            </w:r>
          </w:p>
        </w:tc>
        <w:tc>
          <w:tcPr>
            <w:tcW w:w="1780" w:type="dxa"/>
            <w:vAlign w:val="bottom"/>
            <w:tcBorders>
              <w:top w:val="single" w:sz="8" w:color="auto"/>
            </w:tcBorders>
          </w:tcPr>
          <w:p>
            <w:pPr>
              <w:jc w:val="right"/>
              <w:ind w:right="555"/>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202,500 </w:t>
            </w:r>
          </w:p>
        </w:tc>
        <w:tc>
          <w:tcPr>
            <w:tcW w:w="3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 </w:t>
            </w:r>
          </w:p>
        </w:tc>
      </w:tr>
      <w:tr>
        <w:trPr>
          <w:trHeight w:val="291"/>
        </w:trPr>
        <w:tc>
          <w:tcPr>
            <w:tcW w:w="4200" w:type="dxa"/>
            <w:vAlign w:val="bottom"/>
            <w:tcBorders>
              <w:top w:val="single" w:sz="8" w:color="auto"/>
              <w:bottom w:val="single" w:sz="8" w:color="D5DCE4"/>
            </w:tcBorders>
            <w:shd w:val="clear" w:color="auto" w:fill="D5DCE4"/>
          </w:tcPr>
          <w:p>
            <w:pPr>
              <w:spacing w:after="0"/>
              <w:rPr>
                <w:sz w:val="20"/>
                <w:szCs w:val="20"/>
                <w:color w:val="auto"/>
              </w:rPr>
            </w:pPr>
            <w:r>
              <w:rPr>
                <w:rFonts w:ascii="Arial" w:cs="Arial" w:eastAsia="Arial" w:hAnsi="Arial"/>
                <w:sz w:val="18"/>
                <w:szCs w:val="18"/>
                <w:color w:val="auto"/>
              </w:rPr>
              <w:t>  Janet E. Jackson</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100,000 </w:t>
            </w:r>
          </w:p>
        </w:tc>
        <w:tc>
          <w:tcPr>
            <w:tcW w:w="3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52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100,000 </w:t>
            </w:r>
          </w:p>
        </w:tc>
        <w:tc>
          <w:tcPr>
            <w:tcW w:w="1780" w:type="dxa"/>
            <w:vAlign w:val="bottom"/>
            <w:tcBorders>
              <w:top w:val="single" w:sz="8" w:color="auto"/>
            </w:tcBorders>
          </w:tcPr>
          <w:p>
            <w:pPr>
              <w:jc w:val="right"/>
              <w:ind w:right="555"/>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200,000 </w:t>
            </w:r>
          </w:p>
        </w:tc>
        <w:tc>
          <w:tcPr>
            <w:tcW w:w="3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 </w:t>
            </w:r>
          </w:p>
        </w:tc>
      </w:tr>
      <w:tr>
        <w:trPr>
          <w:trHeight w:val="290"/>
        </w:trPr>
        <w:tc>
          <w:tcPr>
            <w:tcW w:w="4200" w:type="dxa"/>
            <w:vAlign w:val="bottom"/>
            <w:tcBorders>
              <w:top w:val="single" w:sz="8" w:color="auto"/>
              <w:bottom w:val="single" w:sz="8" w:color="D5DCE4"/>
            </w:tcBorders>
            <w:shd w:val="clear" w:color="auto" w:fill="D5DCE4"/>
          </w:tcPr>
          <w:p>
            <w:pPr>
              <w:spacing w:after="0"/>
              <w:rPr>
                <w:sz w:val="20"/>
                <w:szCs w:val="20"/>
                <w:color w:val="auto"/>
              </w:rPr>
            </w:pPr>
            <w:r>
              <w:rPr>
                <w:rFonts w:ascii="Arial" w:cs="Arial" w:eastAsia="Arial" w:hAnsi="Arial"/>
                <w:sz w:val="18"/>
                <w:szCs w:val="18"/>
                <w:color w:val="auto"/>
              </w:rPr>
              <w:t>  David R. Meuse</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85,000 </w:t>
            </w:r>
          </w:p>
        </w:tc>
        <w:tc>
          <w:tcPr>
            <w:tcW w:w="3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52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100,000 </w:t>
            </w:r>
          </w:p>
        </w:tc>
        <w:tc>
          <w:tcPr>
            <w:tcW w:w="1780" w:type="dxa"/>
            <w:vAlign w:val="bottom"/>
            <w:tcBorders>
              <w:top w:val="single" w:sz="8" w:color="auto"/>
            </w:tcBorders>
          </w:tcPr>
          <w:p>
            <w:pPr>
              <w:jc w:val="right"/>
              <w:ind w:right="555"/>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185,000 </w:t>
            </w:r>
          </w:p>
        </w:tc>
        <w:tc>
          <w:tcPr>
            <w:tcW w:w="3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 </w:t>
            </w:r>
          </w:p>
        </w:tc>
      </w:tr>
      <w:tr>
        <w:trPr>
          <w:trHeight w:val="291"/>
        </w:trPr>
        <w:tc>
          <w:tcPr>
            <w:tcW w:w="4200" w:type="dxa"/>
            <w:vAlign w:val="bottom"/>
            <w:tcBorders>
              <w:top w:val="single" w:sz="8" w:color="auto"/>
              <w:bottom w:val="single" w:sz="8" w:color="D5DCE4"/>
            </w:tcBorders>
            <w:shd w:val="clear" w:color="auto" w:fill="D5DCE4"/>
          </w:tcPr>
          <w:p>
            <w:pPr>
              <w:spacing w:after="0"/>
              <w:rPr>
                <w:sz w:val="20"/>
                <w:szCs w:val="20"/>
                <w:color w:val="auto"/>
              </w:rPr>
            </w:pPr>
            <w:r>
              <w:rPr>
                <w:rFonts w:ascii="Arial" w:cs="Arial" w:eastAsia="Arial" w:hAnsi="Arial"/>
                <w:sz w:val="18"/>
                <w:szCs w:val="18"/>
                <w:color w:val="auto"/>
              </w:rPr>
              <w:t>  Marchelle E. Moore(4)</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32,527 </w:t>
            </w:r>
          </w:p>
        </w:tc>
        <w:tc>
          <w:tcPr>
            <w:tcW w:w="3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52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100,000 </w:t>
            </w:r>
          </w:p>
        </w:tc>
        <w:tc>
          <w:tcPr>
            <w:tcW w:w="1780" w:type="dxa"/>
            <w:vAlign w:val="bottom"/>
            <w:tcBorders>
              <w:top w:val="single" w:sz="8" w:color="auto"/>
            </w:tcBorders>
          </w:tcPr>
          <w:p>
            <w:pPr>
              <w:jc w:val="right"/>
              <w:ind w:right="555"/>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132,527 </w:t>
            </w:r>
          </w:p>
        </w:tc>
        <w:tc>
          <w:tcPr>
            <w:tcW w:w="3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 </w:t>
            </w:r>
          </w:p>
        </w:tc>
      </w:tr>
      <w:tr>
        <w:trPr>
          <w:trHeight w:val="290"/>
        </w:trPr>
        <w:tc>
          <w:tcPr>
            <w:tcW w:w="4200" w:type="dxa"/>
            <w:vAlign w:val="bottom"/>
            <w:tcBorders>
              <w:top w:val="single" w:sz="8" w:color="auto"/>
              <w:bottom w:val="single" w:sz="8" w:color="D5DCE4"/>
            </w:tcBorders>
            <w:shd w:val="clear" w:color="auto" w:fill="D5DCE4"/>
          </w:tcPr>
          <w:p>
            <w:pPr>
              <w:spacing w:after="0"/>
              <w:rPr>
                <w:sz w:val="20"/>
                <w:szCs w:val="20"/>
                <w:color w:val="auto"/>
              </w:rPr>
            </w:pPr>
            <w:r>
              <w:rPr>
                <w:rFonts w:ascii="Arial" w:cs="Arial" w:eastAsia="Arial" w:hAnsi="Arial"/>
                <w:sz w:val="18"/>
                <w:szCs w:val="18"/>
                <w:color w:val="auto"/>
              </w:rPr>
              <w:t>  Robert H. Schottenstein</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75,000 </w:t>
            </w:r>
          </w:p>
        </w:tc>
        <w:tc>
          <w:tcPr>
            <w:tcW w:w="3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52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100,000 </w:t>
            </w:r>
          </w:p>
        </w:tc>
        <w:tc>
          <w:tcPr>
            <w:tcW w:w="1780" w:type="dxa"/>
            <w:vAlign w:val="bottom"/>
            <w:tcBorders>
              <w:top w:val="single" w:sz="8" w:color="auto"/>
            </w:tcBorders>
          </w:tcPr>
          <w:p>
            <w:pPr>
              <w:jc w:val="right"/>
              <w:ind w:right="555"/>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175,000 </w:t>
            </w:r>
          </w:p>
        </w:tc>
        <w:tc>
          <w:tcPr>
            <w:tcW w:w="3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 </w:t>
            </w:r>
          </w:p>
        </w:tc>
      </w:tr>
      <w:tr>
        <w:trPr>
          <w:trHeight w:val="291"/>
        </w:trPr>
        <w:tc>
          <w:tcPr>
            <w:tcW w:w="4200" w:type="dxa"/>
            <w:vAlign w:val="bottom"/>
            <w:tcBorders>
              <w:top w:val="single" w:sz="8" w:color="auto"/>
              <w:bottom w:val="single" w:sz="8" w:color="D5DCE4"/>
            </w:tcBorders>
            <w:shd w:val="clear" w:color="auto" w:fill="D5DCE4"/>
          </w:tcPr>
          <w:p>
            <w:pPr>
              <w:spacing w:after="0"/>
              <w:rPr>
                <w:sz w:val="20"/>
                <w:szCs w:val="20"/>
                <w:color w:val="auto"/>
              </w:rPr>
            </w:pPr>
            <w:r>
              <w:rPr>
                <w:rFonts w:ascii="Arial" w:cs="Arial" w:eastAsia="Arial" w:hAnsi="Arial"/>
                <w:sz w:val="18"/>
                <w:szCs w:val="18"/>
                <w:color w:val="auto"/>
              </w:rPr>
              <w:t>  Michael H. Thomas</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91,000 </w:t>
            </w:r>
          </w:p>
        </w:tc>
        <w:tc>
          <w:tcPr>
            <w:tcW w:w="3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52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100,000 </w:t>
            </w:r>
          </w:p>
        </w:tc>
        <w:tc>
          <w:tcPr>
            <w:tcW w:w="1780" w:type="dxa"/>
            <w:vAlign w:val="bottom"/>
            <w:tcBorders>
              <w:top w:val="single" w:sz="8" w:color="auto"/>
            </w:tcBorders>
          </w:tcPr>
          <w:p>
            <w:pPr>
              <w:jc w:val="right"/>
              <w:ind w:right="555"/>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191,000 </w:t>
            </w:r>
          </w:p>
        </w:tc>
        <w:tc>
          <w:tcPr>
            <w:tcW w:w="3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 </w:t>
            </w:r>
          </w:p>
        </w:tc>
      </w:tr>
      <w:tr>
        <w:trPr>
          <w:trHeight w:val="271"/>
        </w:trPr>
        <w:tc>
          <w:tcPr>
            <w:tcW w:w="4200" w:type="dxa"/>
            <w:vAlign w:val="bottom"/>
            <w:tcBorders>
              <w:top w:val="single" w:sz="8" w:color="auto"/>
              <w:bottom w:val="single" w:sz="8" w:color="D5DCE4"/>
            </w:tcBorders>
            <w:shd w:val="clear" w:color="auto" w:fill="D5DCE4"/>
          </w:tcPr>
          <w:p>
            <w:pPr>
              <w:spacing w:after="0"/>
              <w:rPr>
                <w:sz w:val="20"/>
                <w:szCs w:val="20"/>
                <w:color w:val="auto"/>
              </w:rPr>
            </w:pPr>
            <w:r>
              <w:rPr>
                <w:rFonts w:ascii="Arial" w:cs="Arial" w:eastAsia="Arial" w:hAnsi="Arial"/>
                <w:sz w:val="18"/>
                <w:szCs w:val="18"/>
                <w:color w:val="auto"/>
              </w:rPr>
              <w:t>  Vikas Verma(5)</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xml:space="preserve">- </w:t>
            </w:r>
          </w:p>
        </w:tc>
        <w:tc>
          <w:tcPr>
            <w:tcW w:w="3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520" w:type="dxa"/>
            <w:vAlign w:val="bottom"/>
            <w:tcBorders>
              <w:top w:val="single" w:sz="8" w:color="auto"/>
            </w:tcBorders>
          </w:tcPr>
          <w:p>
            <w:pPr>
              <w:spacing w:after="0"/>
              <w:rPr>
                <w:sz w:val="23"/>
                <w:szCs w:val="23"/>
                <w:color w:val="auto"/>
              </w:rPr>
            </w:pPr>
          </w:p>
        </w:tc>
        <w:tc>
          <w:tcPr>
            <w:tcW w:w="170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202,684 </w:t>
            </w:r>
          </w:p>
        </w:tc>
        <w:tc>
          <w:tcPr>
            <w:tcW w:w="1780" w:type="dxa"/>
            <w:vAlign w:val="bottom"/>
            <w:tcBorders>
              <w:top w:val="single" w:sz="8" w:color="auto"/>
            </w:tcBorders>
          </w:tcPr>
          <w:p>
            <w:pPr>
              <w:jc w:val="right"/>
              <w:ind w:right="555"/>
              <w:spacing w:after="0"/>
              <w:rPr>
                <w:sz w:val="20"/>
                <w:szCs w:val="20"/>
                <w:color w:val="auto"/>
              </w:rPr>
            </w:pPr>
            <w:r>
              <w:rPr>
                <w:rFonts w:ascii="Arial" w:cs="Arial" w:eastAsia="Arial" w:hAnsi="Arial"/>
                <w:sz w:val="18"/>
                <w:szCs w:val="18"/>
                <w:color w:val="auto"/>
              </w:rPr>
              <w:t>409,000</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611,684 </w:t>
            </w:r>
          </w:p>
        </w:tc>
        <w:tc>
          <w:tcPr>
            <w:tcW w:w="3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 </w:t>
            </w:r>
          </w:p>
        </w:tc>
      </w:tr>
      <w:tr>
        <w:trPr>
          <w:trHeight w:val="27"/>
        </w:trPr>
        <w:tc>
          <w:tcPr>
            <w:tcW w:w="4200" w:type="dxa"/>
            <w:vAlign w:val="bottom"/>
            <w:shd w:val="clear" w:color="auto" w:fill="0070C0"/>
          </w:tcPr>
          <w:p>
            <w:pPr>
              <w:spacing w:after="0"/>
              <w:rPr>
                <w:sz w:val="2"/>
                <w:szCs w:val="2"/>
                <w:color w:val="auto"/>
              </w:rPr>
            </w:pPr>
          </w:p>
        </w:tc>
        <w:tc>
          <w:tcPr>
            <w:tcW w:w="1260" w:type="dxa"/>
            <w:vAlign w:val="bottom"/>
            <w:shd w:val="clear" w:color="auto" w:fill="0070C0"/>
          </w:tcPr>
          <w:p>
            <w:pPr>
              <w:spacing w:after="0"/>
              <w:rPr>
                <w:sz w:val="2"/>
                <w:szCs w:val="2"/>
                <w:color w:val="auto"/>
              </w:rPr>
            </w:pPr>
          </w:p>
        </w:tc>
        <w:tc>
          <w:tcPr>
            <w:tcW w:w="320" w:type="dxa"/>
            <w:vAlign w:val="bottom"/>
            <w:shd w:val="clear" w:color="auto" w:fill="0070C0"/>
          </w:tcPr>
          <w:p>
            <w:pPr>
              <w:spacing w:after="0"/>
              <w:rPr>
                <w:sz w:val="2"/>
                <w:szCs w:val="2"/>
                <w:color w:val="auto"/>
              </w:rPr>
            </w:pPr>
          </w:p>
        </w:tc>
        <w:tc>
          <w:tcPr>
            <w:tcW w:w="520" w:type="dxa"/>
            <w:vAlign w:val="bottom"/>
            <w:shd w:val="clear" w:color="auto" w:fill="0070C0"/>
          </w:tcPr>
          <w:p>
            <w:pPr>
              <w:spacing w:after="0"/>
              <w:rPr>
                <w:sz w:val="2"/>
                <w:szCs w:val="2"/>
                <w:color w:val="auto"/>
              </w:rPr>
            </w:pPr>
          </w:p>
        </w:tc>
        <w:tc>
          <w:tcPr>
            <w:tcW w:w="1700" w:type="dxa"/>
            <w:vAlign w:val="bottom"/>
            <w:shd w:val="clear" w:color="auto" w:fill="0070C0"/>
          </w:tcPr>
          <w:p>
            <w:pPr>
              <w:spacing w:after="0"/>
              <w:rPr>
                <w:sz w:val="2"/>
                <w:szCs w:val="2"/>
                <w:color w:val="auto"/>
              </w:rPr>
            </w:pPr>
          </w:p>
        </w:tc>
        <w:tc>
          <w:tcPr>
            <w:tcW w:w="1780" w:type="dxa"/>
            <w:vAlign w:val="bottom"/>
            <w:shd w:val="clear" w:color="auto" w:fill="0070C0"/>
          </w:tcPr>
          <w:p>
            <w:pPr>
              <w:spacing w:after="0"/>
              <w:rPr>
                <w:sz w:val="2"/>
                <w:szCs w:val="2"/>
                <w:color w:val="auto"/>
              </w:rPr>
            </w:pPr>
          </w:p>
        </w:tc>
        <w:tc>
          <w:tcPr>
            <w:tcW w:w="940" w:type="dxa"/>
            <w:vAlign w:val="bottom"/>
            <w:shd w:val="clear" w:color="auto" w:fill="0070C0"/>
          </w:tcPr>
          <w:p>
            <w:pPr>
              <w:spacing w:after="0"/>
              <w:rPr>
                <w:sz w:val="2"/>
                <w:szCs w:val="2"/>
                <w:color w:val="auto"/>
              </w:rPr>
            </w:pPr>
          </w:p>
        </w:tc>
        <w:tc>
          <w:tcPr>
            <w:tcW w:w="300" w:type="dxa"/>
            <w:vAlign w:val="bottom"/>
            <w:shd w:val="clear" w:color="auto" w:fill="0070C0"/>
          </w:tcPr>
          <w:p>
            <w:pPr>
              <w:spacing w:after="0"/>
              <w:rPr>
                <w:sz w:val="2"/>
                <w:szCs w:val="2"/>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760" w:right="20" w:hanging="548"/>
        <w:spacing w:after="0" w:line="271"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amounts in this column represent all earned retainers. Ms. Carter and Messrs. Hilsheimer and Thomas agreed in advance to waive $10,000, $10,000 and $4,000, respectively, in order to assist the Company in funding awards under our Foundation.</w:t>
      </w:r>
    </w:p>
    <w:p>
      <w:pPr>
        <w:spacing w:after="0" w:line="59" w:lineRule="exact"/>
        <w:rPr>
          <w:rFonts w:ascii="Arial" w:cs="Arial" w:eastAsia="Arial" w:hAnsi="Arial"/>
          <w:sz w:val="18"/>
          <w:szCs w:val="18"/>
          <w:color w:val="auto"/>
        </w:rPr>
      </w:pPr>
    </w:p>
    <w:p>
      <w:pPr>
        <w:ind w:left="760" w:right="160" w:hanging="548"/>
        <w:spacing w:after="0" w:line="253" w:lineRule="auto"/>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Represents an annual grant of restricted stock having a fair value of $100,000 on the grant date (May 25, 2023), computed in accordance with Financial Accounting Standards Board Accounting Standards Codification Topic 718, Compensation-Stock Compensation (“FASB ASC Topic 718”), based on the closing price of our common stock ($107.05) on the grant date. The restricted stock awards vest on the earlier to occur of (i) the one year anniversary of the grant date, (ii) immediately prior to the annual meeting of the Company’s stockholders occurring after the grant date, or (iii) the director’s death, subject in the cases of</w:t>
      </w:r>
    </w:p>
    <w:p>
      <w:pPr>
        <w:ind w:left="760" w:right="180"/>
        <w:spacing w:after="0" w:line="250" w:lineRule="auto"/>
        <w:rPr>
          <w:rFonts w:ascii="Arial" w:cs="Arial" w:eastAsia="Arial" w:hAnsi="Arial"/>
          <w:sz w:val="17"/>
          <w:szCs w:val="17"/>
          <w:color w:val="auto"/>
        </w:rPr>
      </w:pPr>
      <w:r>
        <w:rPr>
          <w:rFonts w:ascii="Arial" w:cs="Arial" w:eastAsia="Arial" w:hAnsi="Arial"/>
          <w:sz w:val="18"/>
          <w:szCs w:val="18"/>
          <w:color w:val="auto"/>
        </w:rPr>
        <w:t>(i) and (ii) to the director’s continued service through the vesting date. See footnote (5) for a summary of Mr. Verma’s employee restricted stock award.</w:t>
      </w:r>
    </w:p>
    <w:p>
      <w:pPr>
        <w:spacing w:after="0" w:line="77" w:lineRule="exact"/>
        <w:rPr>
          <w:rFonts w:ascii="Arial" w:cs="Arial" w:eastAsia="Arial" w:hAnsi="Arial"/>
          <w:sz w:val="17"/>
          <w:szCs w:val="17"/>
          <w:color w:val="auto"/>
        </w:rPr>
      </w:pPr>
    </w:p>
    <w:p>
      <w:pPr>
        <w:ind w:left="760" w:hanging="54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director held stock options as of December 31, 2023.</w:t>
      </w:r>
    </w:p>
    <w:p>
      <w:pPr>
        <w:spacing w:after="0" w:line="117" w:lineRule="exact"/>
        <w:rPr>
          <w:rFonts w:ascii="Arial" w:cs="Arial" w:eastAsia="Arial" w:hAnsi="Arial"/>
          <w:sz w:val="18"/>
          <w:szCs w:val="18"/>
          <w:color w:val="auto"/>
        </w:rPr>
      </w:pPr>
    </w:p>
    <w:p>
      <w:pPr>
        <w:ind w:left="760" w:hanging="54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Ms. Moore was elected to the Board at the 2023 Annual Meeting of Stockholders.</w:t>
      </w:r>
    </w:p>
    <w:p>
      <w:pPr>
        <w:spacing w:after="0" w:line="117" w:lineRule="exact"/>
        <w:rPr>
          <w:rFonts w:ascii="Arial" w:cs="Arial" w:eastAsia="Arial" w:hAnsi="Arial"/>
          <w:sz w:val="18"/>
          <w:szCs w:val="18"/>
          <w:color w:val="auto"/>
        </w:rPr>
      </w:pPr>
    </w:p>
    <w:p>
      <w:pPr>
        <w:ind w:left="760" w:right="20" w:hanging="54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an employee of the Company, Mr. Verma was paid no compensation for his Board service. The amount under the “Stock Awards” column represents a time-based employee restricted stock award having a fair value of $202,684 on the grant date (April 13, 2023) computed in accordance with FASB ASC Topic 718 based on the closing price of our common stock ($111.61) on the grant date. The restricted stock vests in three equal installments (rounded to the nearest whole share) on each of April 20, 2024, April 20, 2025 and April 20, 2026 (the restricted stock vested on January 2, 2024 due to Mr. Verma’s retirement). The amount specified under the “All Other Compensation” column reflects the following compensation paid to Mr. Verma as an employee in 2023: (i) a salary of $400,000, a portion of which was deferred under our non-qualified deferred compensation plan and (ii) other compensation consisting of Company-paid club dues of $9,000.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Director Stock Ownership Policy</w:t>
      </w:r>
    </w:p>
    <w:p>
      <w:pPr>
        <w:spacing w:after="0" w:line="21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 xml:space="preserve">Pursuant to our Stock Ownership Policy for Directors established by the Board and the CHC Committee to align each director’s interests with the long-term interests of our stockholders, each non-employee director (and any employee director who is not otherwise subject to the Company’s stock ownership policy for executive officers) is required to beneficially own our common stock having a fair market value equal to the greater of $425,000 or five times the annual non-employee director cash retainer (excluding committee and Presiding Independent Director retainers). If a director chooses to meet this requirement by holding vested or unvested shares of common stock granted in connection with our director compensation program, the shares are valued at the greater of the closing price on the grant date or on the date on which ownership is measured. If a director fails to meet the ownership requirement on a measurement date, the director is prohibited from selling any Company stock and 50% of any annual cash retainer (or, for an employee director, an equivalent amount from any annual cash bonus) will be paid in the form of stock in lieu of cash. Our directors who are executive officers are subject to a different stock ownership policy. See </w:t>
      </w:r>
      <w:r>
        <w:rPr>
          <w:rFonts w:ascii="Arial" w:cs="Arial" w:eastAsia="Arial" w:hAnsi="Arial"/>
          <w:sz w:val="18"/>
          <w:szCs w:val="18"/>
          <w:i w:val="1"/>
          <w:iCs w:val="1"/>
          <w:color w:val="auto"/>
        </w:rPr>
        <w:t>Compensation Discussion and Analysis – “Section 5 – Other Compensation and Policies – Stock</w:t>
      </w:r>
      <w:r>
        <w:rPr>
          <w:rFonts w:ascii="Arial" w:cs="Arial" w:eastAsia="Arial" w:hAnsi="Arial"/>
          <w:sz w:val="18"/>
          <w:szCs w:val="18"/>
          <w:color w:val="auto"/>
        </w:rPr>
        <w:t xml:space="preserve"> </w:t>
      </w:r>
      <w:r>
        <w:rPr>
          <w:rFonts w:ascii="Arial" w:cs="Arial" w:eastAsia="Arial" w:hAnsi="Arial"/>
          <w:sz w:val="18"/>
          <w:szCs w:val="18"/>
          <w:i w:val="1"/>
          <w:iCs w:val="1"/>
          <w:color w:val="auto"/>
        </w:rPr>
        <w:t>Ownership Policy.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69951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Proposal 1 – Election of Directors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19</w:t>
      </w:r>
    </w:p>
    <w:p>
      <w:pPr>
        <w:sectPr>
          <w:pgSz w:w="11900" w:h="16838" w:orient="portrait"/>
          <w:cols w:equalWidth="0" w:num="1">
            <w:col w:w="11020"/>
          </w:cols>
          <w:pgMar w:left="440" w:top="306" w:right="439" w:bottom="1440" w:gutter="0" w:footer="0" w:header="0"/>
        </w:sectPr>
      </w:pPr>
    </w:p>
    <w:bookmarkStart w:id="27" w:name="page28"/>
    <w:bookmarkEnd w:id="27"/>
    <w:p>
      <w:pPr>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To meet this requirement, a director has five years from the date of his or her appointment or election, or if later, the date of an increase in the amount of stock required to be held. The amount of stock required to be held was most recently increased effective December 1, 2023. All of our non-employee directors with more than five years service meet the stock ownership requirement, and Ms. Moore and Mr. Schottenstein are on target to meet the stock ownership requirement.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Required Vote and Recommendation of the Board</w:t>
      </w:r>
    </w:p>
    <w:p>
      <w:pPr>
        <w:spacing w:after="0" w:line="212"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affirmative vote of a majority of the total votes cast at the Annual Meeting is required to approve the election of each nominee as a director, which means that the number of shares voted “FOR” a nominee must exceed the number of shares voted “AGAINST” the nominee. “ABSTAIN” votes and broker non-votes will not be counted as votes cast either “FOR” or “AGAINST.”</w:t>
      </w:r>
    </w:p>
    <w:p>
      <w:pPr>
        <w:spacing w:after="0" w:line="169" w:lineRule="exact"/>
        <w:rPr>
          <w:sz w:val="20"/>
          <w:szCs w:val="20"/>
          <w:color w:val="auto"/>
        </w:rPr>
      </w:pPr>
    </w:p>
    <w:p>
      <w:pPr>
        <w:jc w:val="both"/>
        <w:ind w:right="240"/>
        <w:spacing w:after="0" w:line="247" w:lineRule="auto"/>
        <w:rPr>
          <w:sz w:val="20"/>
          <w:szCs w:val="20"/>
          <w:color w:val="auto"/>
        </w:rPr>
      </w:pPr>
      <w:r>
        <w:rPr>
          <w:rFonts w:ascii="Arial" w:cs="Arial" w:eastAsia="Arial" w:hAnsi="Arial"/>
          <w:sz w:val="18"/>
          <w:szCs w:val="18"/>
          <w:color w:val="auto"/>
        </w:rPr>
        <w:t>Our Amended and Restated Bylaws provide that any incumbent director who fails to receive a majority of votes cast in an uncontested election is required to promptly tender his or her resignation to the Board, which will become effective only upon its acceptance by the Board. The NCG Committee will recommend to the Board whether to accept or reject the resignation, and the Board will act upon such resignation and publicly disclose its decision within 90 days from the date of the certification of the election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instructed, the persons named as proxies will vote “FOR” each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163195</wp:posOffset>
            </wp:positionV>
            <wp:extent cx="7012305" cy="15170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12305" cy="15170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60" w:right="480"/>
        <w:spacing w:after="0" w:line="251" w:lineRule="auto"/>
        <w:rPr>
          <w:sz w:val="20"/>
          <w:szCs w:val="20"/>
          <w:color w:val="auto"/>
        </w:rPr>
      </w:pPr>
      <w:r>
        <w:rPr>
          <w:rFonts w:ascii="Arial" w:cs="Arial" w:eastAsia="Arial" w:hAnsi="Arial"/>
          <w:sz w:val="22"/>
          <w:szCs w:val="22"/>
          <w:b w:val="1"/>
          <w:bCs w:val="1"/>
          <w:color w:val="002060"/>
        </w:rPr>
        <w:t>THE BOARD OF DIRECTORS UNANIMOUSLY RECOMMENDS THAT YOU VOTE “FOR” THE ELECTION OF MARGOT L. CARTER, DAVID R. MEUSE AND MICHAEL H. THOMAS AS DIRECTORS.</w:t>
      </w:r>
    </w:p>
    <w:p>
      <w:pPr>
        <w:spacing w:after="0" w:line="313" w:lineRule="exact"/>
        <w:rPr>
          <w:sz w:val="20"/>
          <w:szCs w:val="20"/>
          <w:color w:val="auto"/>
        </w:rPr>
      </w:pPr>
    </w:p>
    <w:p>
      <w:pPr>
        <w:ind w:left="1660" w:right="520"/>
        <w:spacing w:after="0" w:line="269" w:lineRule="auto"/>
        <w:rPr>
          <w:sz w:val="20"/>
          <w:szCs w:val="20"/>
          <w:color w:val="auto"/>
        </w:rPr>
      </w:pPr>
      <w:r>
        <w:rPr>
          <w:rFonts w:ascii="Arial" w:cs="Arial" w:eastAsia="Arial" w:hAnsi="Arial"/>
          <w:sz w:val="21"/>
          <w:szCs w:val="21"/>
          <w:b w:val="1"/>
          <w:bCs w:val="1"/>
          <w:color w:val="002060"/>
        </w:rPr>
        <w:t>THE BOARD BELIEVES THAT EACH NOMINEE POSSESSES QUALIFICATIONS AND ATTRIBUTES THAT ARE CRITICAL FOR THE EFFECTIVE RISK OVERSIGHT OF THE COMPANY AND ARE RELEVANT TO OUR BUSINESS, STRATEGY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273685</wp:posOffset>
            </wp:positionV>
            <wp:extent cx="69951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0070C0"/>
        </w:rPr>
        <w:t>Proposal 1 – Election of Directors</w:t>
      </w:r>
    </w:p>
    <w:p>
      <w:pPr>
        <w:spacing w:after="0" w:line="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0070C0"/>
        </w:rPr>
        <w:t>20</w:t>
      </w:r>
    </w:p>
    <w:p>
      <w:pPr>
        <w:sectPr>
          <w:pgSz w:w="11900" w:h="16838" w:orient="portrait"/>
          <w:cols w:equalWidth="0" w:num="1">
            <w:col w:w="10920"/>
          </w:cols>
          <w:pgMar w:left="440" w:top="296" w:right="5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40"/>
          <w:szCs w:val="40"/>
          <w:b w:val="1"/>
          <w:bCs w:val="1"/>
          <w:color w:val="0070C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6995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Board Structure and Responsibilities</w:t>
      </w:r>
    </w:p>
    <w:p>
      <w:pPr>
        <w:spacing w:after="0" w:line="212"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Our business strategy, operations and risk management are overseen by our Board of Directors. Management is responsible for the day-to-day management of the Company’s operations and risk exposure, with the Board providing oversight and independent business judgment on the issues most important to the Company. The Board’s responsibilities include oversight of:</w:t>
      </w:r>
    </w:p>
    <w:p>
      <w:pPr>
        <w:spacing w:after="0" w:line="126" w:lineRule="exact"/>
        <w:rPr>
          <w:sz w:val="20"/>
          <w:szCs w:val="20"/>
          <w:color w:val="auto"/>
        </w:rPr>
      </w:pPr>
    </w:p>
    <w:p>
      <w:pPr>
        <w:ind w:left="420" w:hanging="208"/>
        <w:spacing w:after="0"/>
        <w:tabs>
          <w:tab w:leader="none" w:pos="420" w:val="left"/>
        </w:tabs>
        <w:numPr>
          <w:ilvl w:val="0"/>
          <w:numId w:val="12"/>
        </w:numPr>
        <w:rPr>
          <w:rFonts w:ascii="MS PGothic" w:cs="MS PGothic" w:eastAsia="MS PGothic" w:hAnsi="MS PGothic"/>
          <w:sz w:val="29"/>
          <w:szCs w:val="29"/>
          <w:color w:val="002060"/>
          <w:vertAlign w:val="superscript"/>
        </w:rPr>
      </w:pPr>
      <w:r>
        <w:rPr>
          <w:rFonts w:ascii="Arial" w:cs="Arial" w:eastAsia="Arial" w:hAnsi="Arial"/>
          <w:sz w:val="18"/>
          <w:szCs w:val="18"/>
          <w:color w:val="auto"/>
        </w:rPr>
        <w:t>Company performance and business strategies;</w:t>
      </w:r>
    </w:p>
    <w:p>
      <w:pPr>
        <w:ind w:left="420" w:hanging="208"/>
        <w:spacing w:after="0" w:line="180" w:lineRule="auto"/>
        <w:tabs>
          <w:tab w:leader="none" w:pos="420" w:val="left"/>
        </w:tabs>
        <w:numPr>
          <w:ilvl w:val="0"/>
          <w:numId w:val="12"/>
        </w:numPr>
        <w:rPr>
          <w:rFonts w:ascii="MS PGothic" w:cs="MS PGothic" w:eastAsia="MS PGothic" w:hAnsi="MS PGothic"/>
          <w:sz w:val="27"/>
          <w:szCs w:val="27"/>
          <w:color w:val="002060"/>
          <w:vertAlign w:val="superscript"/>
        </w:rPr>
      </w:pPr>
      <w:r>
        <w:rPr>
          <w:rFonts w:ascii="Arial" w:cs="Arial" w:eastAsia="Arial" w:hAnsi="Arial"/>
          <w:sz w:val="17"/>
          <w:szCs w:val="17"/>
          <w:color w:val="auto"/>
        </w:rPr>
        <w:t>Compliance with legal and regulatory requirements;</w:t>
      </w:r>
    </w:p>
    <w:p>
      <w:pPr>
        <w:ind w:left="420" w:hanging="208"/>
        <w:spacing w:after="0" w:line="180" w:lineRule="auto"/>
        <w:tabs>
          <w:tab w:leader="none" w:pos="420" w:val="left"/>
        </w:tabs>
        <w:numPr>
          <w:ilvl w:val="0"/>
          <w:numId w:val="12"/>
        </w:numPr>
        <w:rPr>
          <w:rFonts w:ascii="MS PGothic" w:cs="MS PGothic" w:eastAsia="MS PGothic" w:hAnsi="MS PGothic"/>
          <w:sz w:val="27"/>
          <w:szCs w:val="27"/>
          <w:color w:val="002060"/>
          <w:vertAlign w:val="superscript"/>
        </w:rPr>
      </w:pPr>
      <w:r>
        <w:rPr>
          <w:rFonts w:ascii="Arial" w:cs="Arial" w:eastAsia="Arial" w:hAnsi="Arial"/>
          <w:sz w:val="17"/>
          <w:szCs w:val="17"/>
          <w:color w:val="auto"/>
        </w:rPr>
        <w:t>Integrity of the Company’s financial statements and internal controls;</w:t>
      </w:r>
    </w:p>
    <w:p>
      <w:pPr>
        <w:ind w:left="420" w:hanging="208"/>
        <w:spacing w:after="0" w:line="180" w:lineRule="auto"/>
        <w:tabs>
          <w:tab w:leader="none" w:pos="420" w:val="left"/>
        </w:tabs>
        <w:numPr>
          <w:ilvl w:val="0"/>
          <w:numId w:val="12"/>
        </w:numPr>
        <w:rPr>
          <w:rFonts w:ascii="MS PGothic" w:cs="MS PGothic" w:eastAsia="MS PGothic" w:hAnsi="MS PGothic"/>
          <w:sz w:val="27"/>
          <w:szCs w:val="27"/>
          <w:color w:val="002060"/>
          <w:vertAlign w:val="superscript"/>
        </w:rPr>
      </w:pPr>
      <w:r>
        <w:rPr>
          <w:rFonts w:ascii="Arial" w:cs="Arial" w:eastAsia="Arial" w:hAnsi="Arial"/>
          <w:sz w:val="17"/>
          <w:szCs w:val="17"/>
          <w:color w:val="auto"/>
        </w:rPr>
        <w:t>Practices for identifying, managing and mitigating key enterprise risks, including cybersecurity risk;</w:t>
      </w:r>
    </w:p>
    <w:p>
      <w:pPr>
        <w:ind w:left="420" w:hanging="208"/>
        <w:spacing w:after="0" w:line="180" w:lineRule="auto"/>
        <w:tabs>
          <w:tab w:leader="none" w:pos="420" w:val="left"/>
        </w:tabs>
        <w:numPr>
          <w:ilvl w:val="0"/>
          <w:numId w:val="12"/>
        </w:numPr>
        <w:rPr>
          <w:rFonts w:ascii="MS PGothic" w:cs="MS PGothic" w:eastAsia="MS PGothic" w:hAnsi="MS PGothic"/>
          <w:sz w:val="27"/>
          <w:szCs w:val="27"/>
          <w:color w:val="002060"/>
          <w:vertAlign w:val="superscript"/>
        </w:rPr>
      </w:pPr>
      <w:r>
        <w:rPr>
          <w:rFonts w:ascii="Arial" w:cs="Arial" w:eastAsia="Arial" w:hAnsi="Arial"/>
          <w:sz w:val="17"/>
          <w:szCs w:val="17"/>
          <w:color w:val="auto"/>
        </w:rPr>
        <w:t>Management’s performance and succession planning for key executives;</w:t>
      </w:r>
    </w:p>
    <w:p>
      <w:pPr>
        <w:ind w:left="420" w:hanging="208"/>
        <w:spacing w:after="0" w:line="180" w:lineRule="auto"/>
        <w:tabs>
          <w:tab w:leader="none" w:pos="420" w:val="left"/>
        </w:tabs>
        <w:numPr>
          <w:ilvl w:val="0"/>
          <w:numId w:val="12"/>
        </w:numPr>
        <w:rPr>
          <w:rFonts w:ascii="MS PGothic" w:cs="MS PGothic" w:eastAsia="MS PGothic" w:hAnsi="MS PGothic"/>
          <w:sz w:val="27"/>
          <w:szCs w:val="27"/>
          <w:color w:val="002060"/>
          <w:vertAlign w:val="superscript"/>
        </w:rPr>
      </w:pPr>
      <w:r>
        <w:rPr>
          <w:rFonts w:ascii="Arial" w:cs="Arial" w:eastAsia="Arial" w:hAnsi="Arial"/>
          <w:sz w:val="17"/>
          <w:szCs w:val="17"/>
          <w:color w:val="auto"/>
        </w:rPr>
        <w:t>Executive and non-employee director compensation;</w:t>
      </w:r>
    </w:p>
    <w:p>
      <w:pPr>
        <w:ind w:left="420" w:right="800" w:hanging="208"/>
        <w:spacing w:after="0" w:line="195" w:lineRule="auto"/>
        <w:tabs>
          <w:tab w:leader="none" w:pos="420" w:val="left"/>
        </w:tabs>
        <w:numPr>
          <w:ilvl w:val="0"/>
          <w:numId w:val="12"/>
        </w:numPr>
        <w:rPr>
          <w:rFonts w:ascii="MS PGothic" w:cs="MS PGothic" w:eastAsia="MS PGothic" w:hAnsi="MS PGothic"/>
          <w:sz w:val="29"/>
          <w:szCs w:val="29"/>
          <w:color w:val="002060"/>
          <w:vertAlign w:val="superscript"/>
        </w:rPr>
      </w:pPr>
      <w:r>
        <w:rPr>
          <w:rFonts w:ascii="Arial" w:cs="Arial" w:eastAsia="Arial" w:hAnsi="Arial"/>
          <w:sz w:val="18"/>
          <w:szCs w:val="18"/>
          <w:color w:val="auto"/>
        </w:rPr>
        <w:t>Human capital management, including employee retention, safety and welfare and diversity, equity, inclusion and belonging (“DEI&amp;B”); and</w:t>
      </w:r>
    </w:p>
    <w:p>
      <w:pPr>
        <w:spacing w:after="0" w:line="1" w:lineRule="exact"/>
        <w:rPr>
          <w:rFonts w:ascii="MS PGothic" w:cs="MS PGothic" w:eastAsia="MS PGothic" w:hAnsi="MS PGothic"/>
          <w:sz w:val="29"/>
          <w:szCs w:val="29"/>
          <w:color w:val="002060"/>
          <w:vertAlign w:val="superscript"/>
        </w:rPr>
      </w:pPr>
    </w:p>
    <w:p>
      <w:pPr>
        <w:ind w:left="420" w:right="600" w:hanging="208"/>
        <w:spacing w:after="0" w:line="204" w:lineRule="auto"/>
        <w:tabs>
          <w:tab w:leader="none" w:pos="420" w:val="left"/>
        </w:tabs>
        <w:numPr>
          <w:ilvl w:val="0"/>
          <w:numId w:val="12"/>
        </w:numPr>
        <w:rPr>
          <w:rFonts w:ascii="MS PGothic" w:cs="MS PGothic" w:eastAsia="MS PGothic" w:hAnsi="MS PGothic"/>
          <w:sz w:val="29"/>
          <w:szCs w:val="29"/>
          <w:color w:val="002060"/>
          <w:vertAlign w:val="superscript"/>
        </w:rPr>
      </w:pPr>
      <w:r>
        <w:rPr>
          <w:rFonts w:ascii="Arial" w:cs="Arial" w:eastAsia="Arial" w:hAnsi="Arial"/>
          <w:sz w:val="18"/>
          <w:szCs w:val="18"/>
          <w:color w:val="auto"/>
        </w:rPr>
        <w:t>Corporate governance and sustainability matters, including our Environmental, Social and Governance (“ESG”) programs and initiatives.</w:t>
      </w:r>
    </w:p>
    <w:p>
      <w:pPr>
        <w:spacing w:after="0" w:line="181"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The Board and management regularly confer on emerging industry and macroeconomic trends, the Company’s long-term strategic plans, key strategic initiatives and significant risks relating to our business. Elements of our strategy are discussed at every regular Board meeting, as well as Board committee meetings. The Board also annually discusses and approves our budget and capital allocation plans, which are linked to our strategic plans and priorities.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Corporate Governance Guidelines</w:t>
      </w:r>
    </w:p>
    <w:p>
      <w:pPr>
        <w:spacing w:after="0" w:line="21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Our Corporate Governance Guidelines govern the structure of our Board and the conduct of our directors. The Corporate Governance Guidelines cover topics such as the role and responsibility of the Board, Board composition and structure (including size, independence, qualifications, conflicts of interest and leadership structure), conduct of board meetings, board committees, expectation of directors, ethical conduct, board evaluations and limitations on outside directorships.</w:t>
      </w:r>
    </w:p>
    <w:p>
      <w:pPr>
        <w:spacing w:after="0" w:line="17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regularly review and update our Corporate Governance Guidelines in response to changing regulatory requirements and best practices. The experience of our directors on other public company boards provides valuable insight into emerging corporate governance practices. A summary of some of our governance practices include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540" w:type="dxa"/>
            <w:vAlign w:val="bottom"/>
            <w:tcBorders>
              <w:top w:val="single" w:sz="8" w:color="0070C0"/>
              <w:bottom w:val="single" w:sz="8" w:color="002060"/>
            </w:tcBorders>
            <w:shd w:val="clear" w:color="auto" w:fill="002060"/>
          </w:tcPr>
          <w:p>
            <w:pPr>
              <w:ind w:left="80"/>
              <w:spacing w:after="0"/>
              <w:rPr>
                <w:sz w:val="20"/>
                <w:szCs w:val="20"/>
                <w:color w:val="auto"/>
              </w:rPr>
            </w:pPr>
            <w:r>
              <w:rPr>
                <w:rFonts w:ascii="Arial" w:cs="Arial" w:eastAsia="Arial" w:hAnsi="Arial"/>
                <w:sz w:val="16"/>
                <w:szCs w:val="16"/>
                <w:color w:val="FFFFFF"/>
              </w:rPr>
              <w:t>Independent Board</w:t>
            </w:r>
          </w:p>
        </w:tc>
        <w:tc>
          <w:tcPr>
            <w:tcW w:w="8480" w:type="dxa"/>
            <w:vAlign w:val="bottom"/>
            <w:tcBorders>
              <w:top w:val="single" w:sz="8" w:color="0070C0"/>
              <w:bottom w:val="single" w:sz="8" w:color="auto"/>
            </w:tcBorders>
            <w:shd w:val="clear" w:color="auto" w:fill="D5DCE4"/>
          </w:tcPr>
          <w:p>
            <w:pPr>
              <w:ind w:left="220"/>
              <w:spacing w:after="0"/>
              <w:rPr>
                <w:sz w:val="20"/>
                <w:szCs w:val="20"/>
                <w:color w:val="auto"/>
              </w:rPr>
            </w:pPr>
            <w:r>
              <w:rPr>
                <w:rFonts w:ascii="Arial" w:cs="Arial" w:eastAsia="Arial" w:hAnsi="Arial"/>
                <w:sz w:val="16"/>
                <w:szCs w:val="16"/>
                <w:color w:val="auto"/>
              </w:rPr>
              <w:t>78% of our directors are independent.</w:t>
            </w:r>
          </w:p>
        </w:tc>
      </w:tr>
      <w:tr>
        <w:trPr>
          <w:trHeight w:val="209"/>
        </w:trPr>
        <w:tc>
          <w:tcPr>
            <w:tcW w:w="2540" w:type="dxa"/>
            <w:vAlign w:val="bottom"/>
            <w:shd w:val="clear" w:color="auto" w:fill="002060"/>
          </w:tcPr>
          <w:p>
            <w:pPr>
              <w:ind w:left="80"/>
              <w:spacing w:after="0"/>
              <w:rPr>
                <w:sz w:val="20"/>
                <w:szCs w:val="20"/>
                <w:color w:val="auto"/>
              </w:rPr>
            </w:pPr>
            <w:r>
              <w:rPr>
                <w:rFonts w:ascii="Arial" w:cs="Arial" w:eastAsia="Arial" w:hAnsi="Arial"/>
                <w:sz w:val="16"/>
                <w:szCs w:val="16"/>
                <w:color w:val="FFFFFF"/>
              </w:rPr>
              <w:t>Independent Board committees</w:t>
            </w:r>
          </w:p>
        </w:tc>
        <w:tc>
          <w:tcPr>
            <w:tcW w:w="8480" w:type="dxa"/>
            <w:vAlign w:val="bottom"/>
            <w:shd w:val="clear" w:color="auto" w:fill="D5DCE4"/>
          </w:tcPr>
          <w:p>
            <w:pPr>
              <w:ind w:left="220"/>
              <w:spacing w:after="0"/>
              <w:rPr>
                <w:sz w:val="20"/>
                <w:szCs w:val="20"/>
                <w:color w:val="auto"/>
              </w:rPr>
            </w:pPr>
            <w:r>
              <w:rPr>
                <w:rFonts w:ascii="Arial" w:cs="Arial" w:eastAsia="Arial" w:hAnsi="Arial"/>
                <w:sz w:val="16"/>
                <w:szCs w:val="16"/>
                <w:color w:val="auto"/>
              </w:rPr>
              <w:t>Board committees consist solely of independent directors, which operate under written charters approved by the</w:t>
            </w:r>
          </w:p>
        </w:tc>
      </w:tr>
      <w:tr>
        <w:trPr>
          <w:trHeight w:val="203"/>
        </w:trPr>
        <w:tc>
          <w:tcPr>
            <w:tcW w:w="2540" w:type="dxa"/>
            <w:vAlign w:val="bottom"/>
            <w:tcBorders>
              <w:bottom w:val="single" w:sz="8" w:color="002060"/>
            </w:tcBorders>
            <w:shd w:val="clear" w:color="auto" w:fill="002060"/>
          </w:tcPr>
          <w:p>
            <w:pPr>
              <w:spacing w:after="0"/>
              <w:rPr>
                <w:sz w:val="17"/>
                <w:szCs w:val="17"/>
                <w:color w:val="auto"/>
              </w:rPr>
            </w:pPr>
          </w:p>
        </w:tc>
        <w:tc>
          <w:tcPr>
            <w:tcW w:w="8480" w:type="dxa"/>
            <w:vAlign w:val="bottom"/>
            <w:tcBorders>
              <w:bottom w:val="single" w:sz="8" w:color="auto"/>
            </w:tcBorders>
            <w:shd w:val="clear" w:color="auto" w:fill="D5DCE4"/>
          </w:tcPr>
          <w:p>
            <w:pPr>
              <w:ind w:left="220"/>
              <w:spacing w:after="0"/>
              <w:rPr>
                <w:sz w:val="20"/>
                <w:szCs w:val="20"/>
                <w:color w:val="auto"/>
              </w:rPr>
            </w:pPr>
            <w:r>
              <w:rPr>
                <w:rFonts w:ascii="Arial" w:cs="Arial" w:eastAsia="Arial" w:hAnsi="Arial"/>
                <w:sz w:val="16"/>
                <w:szCs w:val="16"/>
                <w:color w:val="auto"/>
              </w:rPr>
              <w:t>Board.</w:t>
            </w:r>
          </w:p>
        </w:tc>
      </w:tr>
      <w:tr>
        <w:trPr>
          <w:trHeight w:val="209"/>
        </w:trPr>
        <w:tc>
          <w:tcPr>
            <w:tcW w:w="2540" w:type="dxa"/>
            <w:vAlign w:val="bottom"/>
            <w:shd w:val="clear" w:color="auto" w:fill="002060"/>
          </w:tcPr>
          <w:p>
            <w:pPr>
              <w:ind w:left="80"/>
              <w:spacing w:after="0"/>
              <w:rPr>
                <w:sz w:val="20"/>
                <w:szCs w:val="20"/>
                <w:color w:val="auto"/>
              </w:rPr>
            </w:pPr>
            <w:r>
              <w:rPr>
                <w:rFonts w:ascii="Arial" w:cs="Arial" w:eastAsia="Arial" w:hAnsi="Arial"/>
                <w:sz w:val="16"/>
                <w:szCs w:val="16"/>
                <w:color w:val="FFFFFF"/>
              </w:rPr>
              <w:t>Active Board oversight</w:t>
            </w:r>
          </w:p>
        </w:tc>
        <w:tc>
          <w:tcPr>
            <w:tcW w:w="8480" w:type="dxa"/>
            <w:vAlign w:val="bottom"/>
            <w:shd w:val="clear" w:color="auto" w:fill="D5DCE4"/>
          </w:tcPr>
          <w:p>
            <w:pPr>
              <w:ind w:left="220"/>
              <w:spacing w:after="0"/>
              <w:rPr>
                <w:sz w:val="20"/>
                <w:szCs w:val="20"/>
                <w:color w:val="auto"/>
              </w:rPr>
            </w:pPr>
            <w:r>
              <w:rPr>
                <w:rFonts w:ascii="Arial" w:cs="Arial" w:eastAsia="Arial" w:hAnsi="Arial"/>
                <w:sz w:val="16"/>
                <w:szCs w:val="16"/>
                <w:color w:val="auto"/>
              </w:rPr>
              <w:t>Board and committee oversight of our business strategy, operations, financial reporting, enterprise and</w:t>
            </w:r>
          </w:p>
        </w:tc>
      </w:tr>
      <w:tr>
        <w:trPr>
          <w:trHeight w:val="203"/>
        </w:trPr>
        <w:tc>
          <w:tcPr>
            <w:tcW w:w="2540" w:type="dxa"/>
            <w:vAlign w:val="bottom"/>
            <w:tcBorders>
              <w:bottom w:val="single" w:sz="8" w:color="002060"/>
            </w:tcBorders>
            <w:shd w:val="clear" w:color="auto" w:fill="002060"/>
          </w:tcPr>
          <w:p>
            <w:pPr>
              <w:spacing w:after="0"/>
              <w:rPr>
                <w:sz w:val="17"/>
                <w:szCs w:val="17"/>
                <w:color w:val="auto"/>
              </w:rPr>
            </w:pPr>
          </w:p>
        </w:tc>
        <w:tc>
          <w:tcPr>
            <w:tcW w:w="8480" w:type="dxa"/>
            <w:vAlign w:val="bottom"/>
            <w:tcBorders>
              <w:bottom w:val="single" w:sz="8" w:color="auto"/>
            </w:tcBorders>
            <w:shd w:val="clear" w:color="auto" w:fill="D5DCE4"/>
          </w:tcPr>
          <w:p>
            <w:pPr>
              <w:ind w:left="220"/>
              <w:spacing w:after="0"/>
              <w:rPr>
                <w:sz w:val="20"/>
                <w:szCs w:val="20"/>
                <w:color w:val="auto"/>
              </w:rPr>
            </w:pPr>
            <w:r>
              <w:rPr>
                <w:rFonts w:ascii="Arial" w:cs="Arial" w:eastAsia="Arial" w:hAnsi="Arial"/>
                <w:sz w:val="16"/>
                <w:szCs w:val="16"/>
                <w:color w:val="auto"/>
              </w:rPr>
              <w:t>cybersecurity risk management, and DEI&amp;B and ESG initiatives.</w:t>
            </w:r>
          </w:p>
        </w:tc>
      </w:tr>
      <w:tr>
        <w:trPr>
          <w:trHeight w:val="209"/>
        </w:trPr>
        <w:tc>
          <w:tcPr>
            <w:tcW w:w="2540" w:type="dxa"/>
            <w:vAlign w:val="bottom"/>
            <w:shd w:val="clear" w:color="auto" w:fill="002060"/>
          </w:tcPr>
          <w:p>
            <w:pPr>
              <w:ind w:left="80"/>
              <w:spacing w:after="0"/>
              <w:rPr>
                <w:sz w:val="20"/>
                <w:szCs w:val="20"/>
                <w:color w:val="auto"/>
              </w:rPr>
            </w:pPr>
            <w:r>
              <w:rPr>
                <w:rFonts w:ascii="Arial" w:cs="Arial" w:eastAsia="Arial" w:hAnsi="Arial"/>
                <w:sz w:val="16"/>
                <w:szCs w:val="16"/>
                <w:color w:val="FFFFFF"/>
              </w:rPr>
              <w:t>Presiding Independent Director</w:t>
            </w:r>
          </w:p>
        </w:tc>
        <w:tc>
          <w:tcPr>
            <w:tcW w:w="8480" w:type="dxa"/>
            <w:vAlign w:val="bottom"/>
            <w:shd w:val="clear" w:color="auto" w:fill="D5DCE4"/>
          </w:tcPr>
          <w:p>
            <w:pPr>
              <w:ind w:left="220"/>
              <w:spacing w:after="0"/>
              <w:rPr>
                <w:sz w:val="20"/>
                <w:szCs w:val="20"/>
                <w:color w:val="auto"/>
              </w:rPr>
            </w:pPr>
            <w:r>
              <w:rPr>
                <w:rFonts w:ascii="Arial" w:cs="Arial" w:eastAsia="Arial" w:hAnsi="Arial"/>
                <w:sz w:val="16"/>
                <w:szCs w:val="16"/>
                <w:color w:val="auto"/>
              </w:rPr>
              <w:t>Presiding Independent Director with duties including leading regular executive sessions of the Board after every</w:t>
            </w:r>
          </w:p>
        </w:tc>
      </w:tr>
      <w:tr>
        <w:trPr>
          <w:trHeight w:val="203"/>
        </w:trPr>
        <w:tc>
          <w:tcPr>
            <w:tcW w:w="2540" w:type="dxa"/>
            <w:vAlign w:val="bottom"/>
            <w:tcBorders>
              <w:bottom w:val="single" w:sz="8" w:color="002060"/>
            </w:tcBorders>
            <w:shd w:val="clear" w:color="auto" w:fill="002060"/>
          </w:tcPr>
          <w:p>
            <w:pPr>
              <w:spacing w:after="0"/>
              <w:rPr>
                <w:sz w:val="17"/>
                <w:szCs w:val="17"/>
                <w:color w:val="auto"/>
              </w:rPr>
            </w:pPr>
          </w:p>
        </w:tc>
        <w:tc>
          <w:tcPr>
            <w:tcW w:w="8480" w:type="dxa"/>
            <w:vAlign w:val="bottom"/>
            <w:tcBorders>
              <w:bottom w:val="single" w:sz="8" w:color="auto"/>
            </w:tcBorders>
            <w:shd w:val="clear" w:color="auto" w:fill="D5DCE4"/>
          </w:tcPr>
          <w:p>
            <w:pPr>
              <w:ind w:left="220"/>
              <w:spacing w:after="0"/>
              <w:rPr>
                <w:sz w:val="20"/>
                <w:szCs w:val="20"/>
                <w:color w:val="auto"/>
              </w:rPr>
            </w:pPr>
            <w:r>
              <w:rPr>
                <w:rFonts w:ascii="Arial" w:cs="Arial" w:eastAsia="Arial" w:hAnsi="Arial"/>
                <w:sz w:val="16"/>
                <w:szCs w:val="16"/>
                <w:color w:val="auto"/>
              </w:rPr>
              <w:t>regular Board meeting.</w:t>
            </w:r>
          </w:p>
        </w:tc>
      </w:tr>
      <w:tr>
        <w:trPr>
          <w:trHeight w:val="209"/>
        </w:trPr>
        <w:tc>
          <w:tcPr>
            <w:tcW w:w="2540" w:type="dxa"/>
            <w:vAlign w:val="bottom"/>
            <w:shd w:val="clear" w:color="auto" w:fill="002060"/>
          </w:tcPr>
          <w:p>
            <w:pPr>
              <w:ind w:left="80"/>
              <w:spacing w:after="0"/>
              <w:rPr>
                <w:sz w:val="20"/>
                <w:szCs w:val="20"/>
                <w:color w:val="auto"/>
              </w:rPr>
            </w:pPr>
            <w:r>
              <w:rPr>
                <w:rFonts w:ascii="Arial" w:cs="Arial" w:eastAsia="Arial" w:hAnsi="Arial"/>
                <w:sz w:val="16"/>
                <w:szCs w:val="16"/>
                <w:color w:val="FFFFFF"/>
              </w:rPr>
              <w:t>Annual Board and</w:t>
            </w:r>
          </w:p>
        </w:tc>
        <w:tc>
          <w:tcPr>
            <w:tcW w:w="8480" w:type="dxa"/>
            <w:vAlign w:val="bottom"/>
            <w:shd w:val="clear" w:color="auto" w:fill="D5DCE4"/>
          </w:tcPr>
          <w:p>
            <w:pPr>
              <w:ind w:left="220"/>
              <w:spacing w:after="0"/>
              <w:rPr>
                <w:sz w:val="20"/>
                <w:szCs w:val="20"/>
                <w:color w:val="auto"/>
              </w:rPr>
            </w:pPr>
            <w:r>
              <w:rPr>
                <w:rFonts w:ascii="Arial" w:cs="Arial" w:eastAsia="Arial" w:hAnsi="Arial"/>
                <w:sz w:val="16"/>
                <w:szCs w:val="16"/>
                <w:color w:val="auto"/>
              </w:rPr>
              <w:t>Annual self-assessment of both the Board and its committees to assess the functioning and effectiveness of the</w:t>
            </w:r>
          </w:p>
        </w:tc>
      </w:tr>
      <w:tr>
        <w:trPr>
          <w:trHeight w:val="203"/>
        </w:trPr>
        <w:tc>
          <w:tcPr>
            <w:tcW w:w="2540" w:type="dxa"/>
            <w:vAlign w:val="bottom"/>
            <w:tcBorders>
              <w:bottom w:val="single" w:sz="8" w:color="002060"/>
            </w:tcBorders>
            <w:shd w:val="clear" w:color="auto" w:fill="002060"/>
          </w:tcPr>
          <w:p>
            <w:pPr>
              <w:ind w:left="80"/>
              <w:spacing w:after="0"/>
              <w:rPr>
                <w:sz w:val="20"/>
                <w:szCs w:val="20"/>
                <w:color w:val="auto"/>
              </w:rPr>
            </w:pPr>
            <w:r>
              <w:rPr>
                <w:rFonts w:ascii="Arial" w:cs="Arial" w:eastAsia="Arial" w:hAnsi="Arial"/>
                <w:sz w:val="16"/>
                <w:szCs w:val="16"/>
                <w:color w:val="FFFFFF"/>
              </w:rPr>
              <w:t>committee self-assessment </w:t>
            </w:r>
          </w:p>
        </w:tc>
        <w:tc>
          <w:tcPr>
            <w:tcW w:w="8480" w:type="dxa"/>
            <w:vAlign w:val="bottom"/>
            <w:tcBorders>
              <w:bottom w:val="single" w:sz="8" w:color="auto"/>
            </w:tcBorders>
            <w:shd w:val="clear" w:color="auto" w:fill="D5DCE4"/>
          </w:tcPr>
          <w:p>
            <w:pPr>
              <w:ind w:left="220"/>
              <w:spacing w:after="0"/>
              <w:rPr>
                <w:sz w:val="20"/>
                <w:szCs w:val="20"/>
                <w:color w:val="auto"/>
              </w:rPr>
            </w:pPr>
            <w:r>
              <w:rPr>
                <w:rFonts w:ascii="Arial" w:cs="Arial" w:eastAsia="Arial" w:hAnsi="Arial"/>
                <w:sz w:val="16"/>
                <w:szCs w:val="16"/>
                <w:color w:val="auto"/>
              </w:rPr>
              <w:t>Board, the committees and the directors.</w:t>
            </w:r>
          </w:p>
        </w:tc>
      </w:tr>
      <w:tr>
        <w:trPr>
          <w:trHeight w:val="223"/>
        </w:trPr>
        <w:tc>
          <w:tcPr>
            <w:tcW w:w="2540" w:type="dxa"/>
            <w:vAlign w:val="bottom"/>
            <w:tcBorders>
              <w:bottom w:val="single" w:sz="8" w:color="002060"/>
            </w:tcBorders>
            <w:shd w:val="clear" w:color="auto" w:fill="002060"/>
          </w:tcPr>
          <w:p>
            <w:pPr>
              <w:ind w:left="80"/>
              <w:spacing w:after="0"/>
              <w:rPr>
                <w:sz w:val="20"/>
                <w:szCs w:val="20"/>
                <w:color w:val="auto"/>
              </w:rPr>
            </w:pPr>
            <w:r>
              <w:rPr>
                <w:rFonts w:ascii="Arial" w:cs="Arial" w:eastAsia="Arial" w:hAnsi="Arial"/>
                <w:sz w:val="16"/>
                <w:szCs w:val="16"/>
                <w:color w:val="FFFFFF"/>
              </w:rPr>
              <w:t>Stockholder engagement</w:t>
            </w:r>
          </w:p>
        </w:tc>
        <w:tc>
          <w:tcPr>
            <w:tcW w:w="8480" w:type="dxa"/>
            <w:vAlign w:val="bottom"/>
            <w:tcBorders>
              <w:bottom w:val="single" w:sz="8" w:color="auto"/>
            </w:tcBorders>
            <w:shd w:val="clear" w:color="auto" w:fill="D5DCE4"/>
          </w:tcPr>
          <w:p>
            <w:pPr>
              <w:ind w:left="220"/>
              <w:spacing w:after="0"/>
              <w:rPr>
                <w:sz w:val="20"/>
                <w:szCs w:val="20"/>
                <w:color w:val="auto"/>
              </w:rPr>
            </w:pPr>
            <w:r>
              <w:rPr>
                <w:rFonts w:ascii="Arial" w:cs="Arial" w:eastAsia="Arial" w:hAnsi="Arial"/>
                <w:sz w:val="16"/>
                <w:szCs w:val="16"/>
                <w:color w:val="auto"/>
              </w:rPr>
              <w:t>Regular engagement with our stockholders for feedback and to better understand their perspectives.</w:t>
            </w:r>
          </w:p>
        </w:tc>
      </w:tr>
      <w:tr>
        <w:trPr>
          <w:trHeight w:val="209"/>
        </w:trPr>
        <w:tc>
          <w:tcPr>
            <w:tcW w:w="2540" w:type="dxa"/>
            <w:vAlign w:val="bottom"/>
            <w:shd w:val="clear" w:color="auto" w:fill="002060"/>
          </w:tcPr>
          <w:p>
            <w:pPr>
              <w:ind w:left="80"/>
              <w:spacing w:after="0"/>
              <w:rPr>
                <w:sz w:val="20"/>
                <w:szCs w:val="20"/>
                <w:color w:val="auto"/>
              </w:rPr>
            </w:pPr>
            <w:r>
              <w:rPr>
                <w:rFonts w:ascii="Arial" w:cs="Arial" w:eastAsia="Arial" w:hAnsi="Arial"/>
                <w:sz w:val="16"/>
                <w:szCs w:val="16"/>
                <w:color w:val="FFFFFF"/>
              </w:rPr>
              <w:t>Code of Business Conduct and</w:t>
            </w:r>
          </w:p>
        </w:tc>
        <w:tc>
          <w:tcPr>
            <w:tcW w:w="8480" w:type="dxa"/>
            <w:vAlign w:val="bottom"/>
            <w:shd w:val="clear" w:color="auto" w:fill="D5DCE4"/>
          </w:tcPr>
          <w:p>
            <w:pPr>
              <w:ind w:left="220"/>
              <w:spacing w:after="0"/>
              <w:rPr>
                <w:sz w:val="20"/>
                <w:szCs w:val="20"/>
                <w:color w:val="auto"/>
              </w:rPr>
            </w:pPr>
            <w:r>
              <w:rPr>
                <w:rFonts w:ascii="Arial" w:cs="Arial" w:eastAsia="Arial" w:hAnsi="Arial"/>
                <w:sz w:val="16"/>
                <w:szCs w:val="16"/>
                <w:color w:val="auto"/>
              </w:rPr>
              <w:t>Our Code of Business Conduct and Ethics applies to all directors, officers and employees, and reinforces our</w:t>
            </w:r>
          </w:p>
        </w:tc>
      </w:tr>
      <w:tr>
        <w:trPr>
          <w:trHeight w:val="203"/>
        </w:trPr>
        <w:tc>
          <w:tcPr>
            <w:tcW w:w="2540" w:type="dxa"/>
            <w:vAlign w:val="bottom"/>
            <w:tcBorders>
              <w:bottom w:val="single" w:sz="8" w:color="002060"/>
            </w:tcBorders>
            <w:shd w:val="clear" w:color="auto" w:fill="002060"/>
          </w:tcPr>
          <w:p>
            <w:pPr>
              <w:ind w:left="80"/>
              <w:spacing w:after="0"/>
              <w:rPr>
                <w:sz w:val="20"/>
                <w:szCs w:val="20"/>
                <w:color w:val="auto"/>
              </w:rPr>
            </w:pPr>
            <w:r>
              <w:rPr>
                <w:rFonts w:ascii="Arial" w:cs="Arial" w:eastAsia="Arial" w:hAnsi="Arial"/>
                <w:sz w:val="16"/>
                <w:szCs w:val="16"/>
                <w:color w:val="FFFFFF"/>
              </w:rPr>
              <w:t>Ethics</w:t>
            </w:r>
          </w:p>
        </w:tc>
        <w:tc>
          <w:tcPr>
            <w:tcW w:w="8480" w:type="dxa"/>
            <w:vAlign w:val="bottom"/>
            <w:tcBorders>
              <w:bottom w:val="single" w:sz="8" w:color="auto"/>
            </w:tcBorders>
            <w:shd w:val="clear" w:color="auto" w:fill="D5DCE4"/>
          </w:tcPr>
          <w:p>
            <w:pPr>
              <w:ind w:left="220"/>
              <w:spacing w:after="0"/>
              <w:rPr>
                <w:sz w:val="20"/>
                <w:szCs w:val="20"/>
                <w:color w:val="auto"/>
              </w:rPr>
            </w:pPr>
            <w:r>
              <w:rPr>
                <w:rFonts w:ascii="Arial" w:cs="Arial" w:eastAsia="Arial" w:hAnsi="Arial"/>
                <w:sz w:val="16"/>
                <w:szCs w:val="16"/>
                <w:color w:val="auto"/>
              </w:rPr>
              <w:t>culture of ethical conduct and accountability.</w:t>
            </w:r>
          </w:p>
        </w:tc>
      </w:tr>
      <w:tr>
        <w:trPr>
          <w:trHeight w:val="209"/>
        </w:trPr>
        <w:tc>
          <w:tcPr>
            <w:tcW w:w="2540" w:type="dxa"/>
            <w:vAlign w:val="bottom"/>
            <w:shd w:val="clear" w:color="auto" w:fill="002060"/>
          </w:tcPr>
          <w:p>
            <w:pPr>
              <w:ind w:left="80"/>
              <w:spacing w:after="0"/>
              <w:rPr>
                <w:sz w:val="20"/>
                <w:szCs w:val="20"/>
                <w:color w:val="auto"/>
              </w:rPr>
            </w:pPr>
            <w:r>
              <w:rPr>
                <w:rFonts w:ascii="Arial" w:cs="Arial" w:eastAsia="Arial" w:hAnsi="Arial"/>
                <w:sz w:val="16"/>
                <w:szCs w:val="16"/>
                <w:color w:val="FFFFFF"/>
              </w:rPr>
              <w:t>Clawback policy</w:t>
            </w:r>
          </w:p>
        </w:tc>
        <w:tc>
          <w:tcPr>
            <w:tcW w:w="8480" w:type="dxa"/>
            <w:vAlign w:val="bottom"/>
            <w:shd w:val="clear" w:color="auto" w:fill="D5DCE4"/>
          </w:tcPr>
          <w:p>
            <w:pPr>
              <w:ind w:left="220"/>
              <w:spacing w:after="0"/>
              <w:rPr>
                <w:sz w:val="20"/>
                <w:szCs w:val="20"/>
                <w:color w:val="auto"/>
              </w:rPr>
            </w:pPr>
            <w:r>
              <w:rPr>
                <w:rFonts w:ascii="Arial" w:cs="Arial" w:eastAsia="Arial" w:hAnsi="Arial"/>
                <w:sz w:val="16"/>
                <w:szCs w:val="16"/>
                <w:color w:val="auto"/>
              </w:rPr>
              <w:t>Our clawback policy, applicable to our executive officers, provides for the recoupment of incentive compensation in</w:t>
            </w:r>
          </w:p>
        </w:tc>
      </w:tr>
      <w:tr>
        <w:trPr>
          <w:trHeight w:val="203"/>
        </w:trPr>
        <w:tc>
          <w:tcPr>
            <w:tcW w:w="2540" w:type="dxa"/>
            <w:vAlign w:val="bottom"/>
            <w:shd w:val="clear" w:color="auto" w:fill="002060"/>
          </w:tcPr>
          <w:p>
            <w:pPr>
              <w:spacing w:after="0"/>
              <w:rPr>
                <w:sz w:val="17"/>
                <w:szCs w:val="17"/>
                <w:color w:val="auto"/>
              </w:rPr>
            </w:pPr>
          </w:p>
        </w:tc>
        <w:tc>
          <w:tcPr>
            <w:tcW w:w="8480" w:type="dxa"/>
            <w:vAlign w:val="bottom"/>
            <w:tcBorders>
              <w:bottom w:val="single" w:sz="8" w:color="auto"/>
            </w:tcBorders>
            <w:shd w:val="clear" w:color="auto" w:fill="D5DCE4"/>
          </w:tcPr>
          <w:p>
            <w:pPr>
              <w:ind w:left="220"/>
              <w:spacing w:after="0"/>
              <w:rPr>
                <w:sz w:val="20"/>
                <w:szCs w:val="20"/>
                <w:color w:val="auto"/>
              </w:rPr>
            </w:pPr>
            <w:r>
              <w:rPr>
                <w:rFonts w:ascii="Arial" w:cs="Arial" w:eastAsia="Arial" w:hAnsi="Arial"/>
                <w:sz w:val="16"/>
                <w:szCs w:val="16"/>
                <w:color w:val="auto"/>
              </w:rPr>
              <w:t>the event of a financial restatement.</w:t>
            </w:r>
          </w:p>
        </w:tc>
      </w:tr>
      <w:tr>
        <w:trPr>
          <w:trHeight w:val="196"/>
        </w:trPr>
        <w:tc>
          <w:tcPr>
            <w:tcW w:w="2540" w:type="dxa"/>
            <w:vAlign w:val="bottom"/>
            <w:tcBorders>
              <w:bottom w:val="single" w:sz="8" w:color="0070C0"/>
            </w:tcBorders>
          </w:tcPr>
          <w:p>
            <w:pPr>
              <w:spacing w:after="0"/>
              <w:rPr>
                <w:sz w:val="17"/>
                <w:szCs w:val="17"/>
                <w:color w:val="auto"/>
              </w:rPr>
            </w:pPr>
          </w:p>
        </w:tc>
        <w:tc>
          <w:tcPr>
            <w:tcW w:w="8480" w:type="dxa"/>
            <w:vAlign w:val="bottom"/>
            <w:tcBorders>
              <w:bottom w:val="single" w:sz="8" w:color="0070C0"/>
            </w:tcBorders>
          </w:tcPr>
          <w:p>
            <w:pPr>
              <w:spacing w:after="0"/>
              <w:rPr>
                <w:sz w:val="17"/>
                <w:szCs w:val="17"/>
                <w:color w:val="auto"/>
              </w:rPr>
            </w:pPr>
          </w:p>
        </w:tc>
      </w:tr>
      <w:tr>
        <w:trPr>
          <w:trHeight w:val="258"/>
        </w:trPr>
        <w:tc>
          <w:tcPr>
            <w:tcW w:w="2540" w:type="dxa"/>
            <w:vAlign w:val="bottom"/>
          </w:tcPr>
          <w:p>
            <w:pPr>
              <w:spacing w:after="0"/>
              <w:rPr>
                <w:sz w:val="22"/>
                <w:szCs w:val="22"/>
                <w:color w:val="auto"/>
              </w:rPr>
            </w:pPr>
          </w:p>
        </w:tc>
        <w:tc>
          <w:tcPr>
            <w:tcW w:w="8480" w:type="dxa"/>
            <w:vAlign w:val="bottom"/>
          </w:tcPr>
          <w:p>
            <w:pPr>
              <w:jc w:val="center"/>
              <w:ind w:right="2457"/>
              <w:spacing w:after="0"/>
              <w:rPr>
                <w:sz w:val="20"/>
                <w:szCs w:val="20"/>
                <w:color w:val="auto"/>
              </w:rPr>
            </w:pPr>
            <w:r>
              <w:rPr>
                <w:rFonts w:ascii="Arial" w:cs="Arial" w:eastAsia="Arial" w:hAnsi="Arial"/>
                <w:sz w:val="18"/>
                <w:szCs w:val="18"/>
                <w:b w:val="1"/>
                <w:bCs w:val="1"/>
                <w:color w:val="0070C0"/>
                <w:w w:val="99"/>
              </w:rPr>
              <w:t>IBP 2024 Proxy Statement</w:t>
            </w:r>
          </w:p>
        </w:tc>
      </w:tr>
      <w:tr>
        <w:trPr>
          <w:trHeight w:val="239"/>
        </w:trPr>
        <w:tc>
          <w:tcPr>
            <w:tcW w:w="2540" w:type="dxa"/>
            <w:vAlign w:val="bottom"/>
          </w:tcPr>
          <w:p>
            <w:pPr>
              <w:spacing w:after="0"/>
              <w:rPr>
                <w:sz w:val="20"/>
                <w:szCs w:val="20"/>
                <w:color w:val="auto"/>
              </w:rPr>
            </w:pPr>
          </w:p>
        </w:tc>
        <w:tc>
          <w:tcPr>
            <w:tcW w:w="8480" w:type="dxa"/>
            <w:vAlign w:val="bottom"/>
          </w:tcPr>
          <w:p>
            <w:pPr>
              <w:jc w:val="center"/>
              <w:ind w:right="2477"/>
              <w:spacing w:after="0"/>
              <w:rPr>
                <w:sz w:val="20"/>
                <w:szCs w:val="20"/>
                <w:color w:val="auto"/>
              </w:rPr>
            </w:pPr>
            <w:r>
              <w:rPr>
                <w:rFonts w:ascii="Arial" w:cs="Arial" w:eastAsia="Arial" w:hAnsi="Arial"/>
                <w:sz w:val="18"/>
                <w:szCs w:val="18"/>
                <w:color w:val="0070C0"/>
              </w:rPr>
              <w:t>Corporate Governance</w:t>
            </w:r>
          </w:p>
        </w:tc>
      </w:tr>
      <w:tr>
        <w:trPr>
          <w:trHeight w:val="278"/>
        </w:trPr>
        <w:tc>
          <w:tcPr>
            <w:tcW w:w="2540" w:type="dxa"/>
            <w:vAlign w:val="bottom"/>
          </w:tcPr>
          <w:p>
            <w:pPr>
              <w:spacing w:after="0"/>
              <w:rPr>
                <w:sz w:val="24"/>
                <w:szCs w:val="24"/>
                <w:color w:val="auto"/>
              </w:rPr>
            </w:pPr>
          </w:p>
        </w:tc>
        <w:tc>
          <w:tcPr>
            <w:tcW w:w="8480" w:type="dxa"/>
            <w:vAlign w:val="bottom"/>
          </w:tcPr>
          <w:p>
            <w:pPr>
              <w:jc w:val="center"/>
              <w:ind w:right="2477"/>
              <w:spacing w:after="0"/>
              <w:rPr>
                <w:sz w:val="20"/>
                <w:szCs w:val="20"/>
                <w:color w:val="auto"/>
              </w:rPr>
            </w:pPr>
            <w:r>
              <w:rPr>
                <w:rFonts w:ascii="Arial" w:cs="Arial" w:eastAsia="Arial" w:hAnsi="Arial"/>
                <w:sz w:val="18"/>
                <w:szCs w:val="18"/>
                <w:b w:val="1"/>
                <w:bCs w:val="1"/>
                <w:color w:val="0070C0"/>
                <w:w w:val="99"/>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-915670</wp:posOffset>
            </wp:positionV>
            <wp:extent cx="16116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116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-1189990</wp:posOffset>
            </wp:positionV>
            <wp:extent cx="16116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116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-1344295</wp:posOffset>
            </wp:positionV>
            <wp:extent cx="16116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116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-1618615</wp:posOffset>
            </wp:positionV>
            <wp:extent cx="16116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116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-1892935</wp:posOffset>
            </wp:positionV>
            <wp:extent cx="16116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6116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-2167255</wp:posOffset>
            </wp:positionV>
            <wp:extent cx="16116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116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-2441575</wp:posOffset>
            </wp:positionV>
            <wp:extent cx="16116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ectPr>
          <w:pgSz w:w="11900" w:h="16838" w:orient="portrait"/>
          <w:cols w:equalWidth="0" w:num="1">
            <w:col w:w="11020"/>
          </w:cols>
          <w:pgMar w:left="440" w:top="261" w:right="4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9"/>
        </w:trPr>
        <w:tc>
          <w:tcPr>
            <w:tcW w:w="2540" w:type="dxa"/>
            <w:vAlign w:val="bottom"/>
            <w:tcBorders>
              <w:top w:val="single" w:sz="8" w:color="002060"/>
            </w:tcBorders>
            <w:shd w:val="clear" w:color="auto" w:fill="002060"/>
          </w:tcPr>
          <w:p>
            <w:pPr>
              <w:ind w:left="80"/>
              <w:spacing w:after="0"/>
              <w:rPr>
                <w:sz w:val="20"/>
                <w:szCs w:val="20"/>
                <w:color w:val="auto"/>
              </w:rPr>
            </w:pPr>
            <w:r>
              <w:rPr>
                <w:rFonts w:ascii="Arial" w:cs="Arial" w:eastAsia="Arial" w:hAnsi="Arial"/>
                <w:sz w:val="16"/>
                <w:szCs w:val="16"/>
                <w:color w:val="FFFFFF"/>
              </w:rPr>
              <w:t>Equity ownership requirements</w:t>
            </w:r>
          </w:p>
        </w:tc>
        <w:tc>
          <w:tcPr>
            <w:tcW w:w="8480" w:type="dxa"/>
            <w:vAlign w:val="bottom"/>
            <w:tcBorders>
              <w:top w:val="single" w:sz="8" w:color="auto"/>
            </w:tcBorders>
            <w:shd w:val="clear" w:color="auto" w:fill="D5DCE4"/>
          </w:tcPr>
          <w:p>
            <w:pPr>
              <w:ind w:left="220"/>
              <w:spacing w:after="0"/>
              <w:rPr>
                <w:sz w:val="20"/>
                <w:szCs w:val="20"/>
                <w:color w:val="auto"/>
              </w:rPr>
            </w:pPr>
            <w:r>
              <w:rPr>
                <w:rFonts w:ascii="Arial" w:cs="Arial" w:eastAsia="Arial" w:hAnsi="Arial"/>
                <w:sz w:val="16"/>
                <w:szCs w:val="16"/>
                <w:color w:val="auto"/>
              </w:rPr>
              <w:t>Each executive officer is required to hold Company stock with a value equal to a multiple of his salary, and each</w:t>
            </w:r>
          </w:p>
        </w:tc>
      </w:tr>
      <w:tr>
        <w:trPr>
          <w:trHeight w:val="189"/>
        </w:trPr>
        <w:tc>
          <w:tcPr>
            <w:tcW w:w="2540" w:type="dxa"/>
            <w:vAlign w:val="bottom"/>
            <w:shd w:val="clear" w:color="auto" w:fill="002060"/>
          </w:tcPr>
          <w:p>
            <w:pPr>
              <w:spacing w:after="0"/>
              <w:rPr>
                <w:sz w:val="16"/>
                <w:szCs w:val="16"/>
                <w:color w:val="auto"/>
              </w:rPr>
            </w:pPr>
          </w:p>
        </w:tc>
        <w:tc>
          <w:tcPr>
            <w:tcW w:w="8480" w:type="dxa"/>
            <w:vAlign w:val="bottom"/>
            <w:shd w:val="clear" w:color="auto" w:fill="D5DCE4"/>
          </w:tcPr>
          <w:p>
            <w:pPr>
              <w:ind w:left="220"/>
              <w:spacing w:after="0"/>
              <w:rPr>
                <w:sz w:val="20"/>
                <w:szCs w:val="20"/>
                <w:color w:val="auto"/>
              </w:rPr>
            </w:pPr>
            <w:r>
              <w:rPr>
                <w:rFonts w:ascii="Arial" w:cs="Arial" w:eastAsia="Arial" w:hAnsi="Arial"/>
                <w:sz w:val="16"/>
                <w:szCs w:val="16"/>
                <w:color w:val="auto"/>
              </w:rPr>
              <w:t>non-employee director is required to hold Company stock having a fair market value equal to the greater of</w:t>
            </w:r>
          </w:p>
        </w:tc>
      </w:tr>
      <w:tr>
        <w:trPr>
          <w:trHeight w:val="203"/>
        </w:trPr>
        <w:tc>
          <w:tcPr>
            <w:tcW w:w="2540" w:type="dxa"/>
            <w:vAlign w:val="bottom"/>
            <w:tcBorders>
              <w:bottom w:val="single" w:sz="8" w:color="002060"/>
            </w:tcBorders>
            <w:shd w:val="clear" w:color="auto" w:fill="002060"/>
          </w:tcPr>
          <w:p>
            <w:pPr>
              <w:spacing w:after="0"/>
              <w:rPr>
                <w:sz w:val="17"/>
                <w:szCs w:val="17"/>
                <w:color w:val="auto"/>
              </w:rPr>
            </w:pPr>
          </w:p>
        </w:tc>
        <w:tc>
          <w:tcPr>
            <w:tcW w:w="8480" w:type="dxa"/>
            <w:vAlign w:val="bottom"/>
            <w:tcBorders>
              <w:bottom w:val="single" w:sz="8" w:color="auto"/>
            </w:tcBorders>
            <w:shd w:val="clear" w:color="auto" w:fill="D5DCE4"/>
          </w:tcPr>
          <w:p>
            <w:pPr>
              <w:ind w:left="220"/>
              <w:spacing w:after="0"/>
              <w:rPr>
                <w:sz w:val="20"/>
                <w:szCs w:val="20"/>
                <w:color w:val="auto"/>
              </w:rPr>
            </w:pPr>
            <w:r>
              <w:rPr>
                <w:rFonts w:ascii="Arial" w:cs="Arial" w:eastAsia="Arial" w:hAnsi="Arial"/>
                <w:sz w:val="16"/>
                <w:szCs w:val="16"/>
                <w:color w:val="auto"/>
              </w:rPr>
              <w:t>$425,000 or five times annual cash retainer (excluding committee and Presiding Independent Director retainers).</w:t>
            </w:r>
          </w:p>
        </w:tc>
      </w:tr>
      <w:tr>
        <w:trPr>
          <w:trHeight w:val="209"/>
        </w:trPr>
        <w:tc>
          <w:tcPr>
            <w:tcW w:w="2540" w:type="dxa"/>
            <w:vAlign w:val="bottom"/>
            <w:shd w:val="clear" w:color="auto" w:fill="002060"/>
          </w:tcPr>
          <w:p>
            <w:pPr>
              <w:ind w:left="80"/>
              <w:spacing w:after="0"/>
              <w:rPr>
                <w:sz w:val="20"/>
                <w:szCs w:val="20"/>
                <w:color w:val="auto"/>
              </w:rPr>
            </w:pPr>
            <w:r>
              <w:rPr>
                <w:rFonts w:ascii="Arial" w:cs="Arial" w:eastAsia="Arial" w:hAnsi="Arial"/>
                <w:sz w:val="16"/>
                <w:szCs w:val="16"/>
                <w:color w:val="FFFFFF"/>
              </w:rPr>
              <w:t>Prohibition on hedging and</w:t>
            </w:r>
          </w:p>
        </w:tc>
        <w:tc>
          <w:tcPr>
            <w:tcW w:w="8480" w:type="dxa"/>
            <w:vAlign w:val="bottom"/>
            <w:shd w:val="clear" w:color="auto" w:fill="D5DCE4"/>
          </w:tcPr>
          <w:p>
            <w:pPr>
              <w:ind w:left="220"/>
              <w:spacing w:after="0"/>
              <w:rPr>
                <w:sz w:val="20"/>
                <w:szCs w:val="20"/>
                <w:color w:val="auto"/>
              </w:rPr>
            </w:pPr>
            <w:r>
              <w:rPr>
                <w:rFonts w:ascii="Arial" w:cs="Arial" w:eastAsia="Arial" w:hAnsi="Arial"/>
                <w:sz w:val="16"/>
                <w:szCs w:val="16"/>
                <w:color w:val="auto"/>
              </w:rPr>
              <w:t>Our officers, directors and designated significant employees are prohibited from entering into hedging and pledging</w:t>
            </w:r>
          </w:p>
        </w:tc>
      </w:tr>
      <w:tr>
        <w:trPr>
          <w:trHeight w:val="189"/>
        </w:trPr>
        <w:tc>
          <w:tcPr>
            <w:tcW w:w="2540" w:type="dxa"/>
            <w:vAlign w:val="bottom"/>
            <w:shd w:val="clear" w:color="auto" w:fill="002060"/>
          </w:tcPr>
          <w:p>
            <w:pPr>
              <w:ind w:left="80"/>
              <w:spacing w:after="0"/>
              <w:rPr>
                <w:sz w:val="20"/>
                <w:szCs w:val="20"/>
                <w:color w:val="auto"/>
              </w:rPr>
            </w:pPr>
            <w:r>
              <w:rPr>
                <w:rFonts w:ascii="Arial" w:cs="Arial" w:eastAsia="Arial" w:hAnsi="Arial"/>
                <w:sz w:val="16"/>
                <w:szCs w:val="16"/>
                <w:color w:val="FFFFFF"/>
              </w:rPr>
              <w:t>pledging</w:t>
            </w:r>
          </w:p>
        </w:tc>
        <w:tc>
          <w:tcPr>
            <w:tcW w:w="8480" w:type="dxa"/>
            <w:vAlign w:val="bottom"/>
            <w:shd w:val="clear" w:color="auto" w:fill="D5DCE4"/>
          </w:tcPr>
          <w:p>
            <w:pPr>
              <w:ind w:left="220"/>
              <w:spacing w:after="0"/>
              <w:rPr>
                <w:sz w:val="20"/>
                <w:szCs w:val="20"/>
                <w:color w:val="auto"/>
              </w:rPr>
            </w:pPr>
            <w:r>
              <w:rPr>
                <w:rFonts w:ascii="Arial" w:cs="Arial" w:eastAsia="Arial" w:hAnsi="Arial"/>
                <w:sz w:val="16"/>
                <w:szCs w:val="16"/>
                <w:color w:val="auto"/>
              </w:rPr>
              <w:t>transactions involving Company stock (the Board has made an exception to the policy for our CEO, see Footnote 2</w:t>
            </w:r>
          </w:p>
        </w:tc>
      </w:tr>
      <w:tr>
        <w:trPr>
          <w:trHeight w:val="210"/>
        </w:trPr>
        <w:tc>
          <w:tcPr>
            <w:tcW w:w="2540" w:type="dxa"/>
            <w:vAlign w:val="bottom"/>
            <w:tcBorders>
              <w:bottom w:val="single" w:sz="8" w:color="0070C0"/>
            </w:tcBorders>
            <w:shd w:val="clear" w:color="auto" w:fill="002060"/>
          </w:tcPr>
          <w:p>
            <w:pPr>
              <w:spacing w:after="0"/>
              <w:rPr>
                <w:sz w:val="18"/>
                <w:szCs w:val="18"/>
                <w:color w:val="auto"/>
              </w:rPr>
            </w:pPr>
          </w:p>
        </w:tc>
        <w:tc>
          <w:tcPr>
            <w:tcW w:w="8480" w:type="dxa"/>
            <w:vAlign w:val="bottom"/>
            <w:tcBorders>
              <w:bottom w:val="single" w:sz="8" w:color="0070C0"/>
            </w:tcBorders>
            <w:shd w:val="clear" w:color="auto" w:fill="D5DCE4"/>
          </w:tcPr>
          <w:p>
            <w:pPr>
              <w:ind w:left="220"/>
              <w:spacing w:after="0"/>
              <w:rPr>
                <w:sz w:val="20"/>
                <w:szCs w:val="20"/>
                <w:color w:val="auto"/>
              </w:rPr>
            </w:pPr>
            <w:r>
              <w:rPr>
                <w:rFonts w:ascii="Arial" w:cs="Arial" w:eastAsia="Arial" w:hAnsi="Arial"/>
                <w:sz w:val="16"/>
                <w:szCs w:val="16"/>
                <w:color w:val="auto"/>
              </w:rPr>
              <w:t xml:space="preserve">in the </w:t>
            </w:r>
            <w:r>
              <w:rPr>
                <w:rFonts w:ascii="Arial" w:cs="Arial" w:eastAsia="Arial" w:hAnsi="Arial"/>
                <w:sz w:val="16"/>
                <w:szCs w:val="16"/>
                <w:i w:val="1"/>
                <w:iCs w:val="1"/>
                <w:color w:val="auto"/>
              </w:rPr>
              <w:t>“Stock Ownership Table”</w:t>
            </w:r>
            <w:r>
              <w:rPr>
                <w:rFonts w:ascii="Arial" w:cs="Arial" w:eastAsia="Arial" w:hAnsi="Arial"/>
                <w:sz w:val="16"/>
                <w:szCs w:val="16"/>
                <w:color w:val="auto"/>
              </w:rPr>
              <w:t xml:space="preserve"> beginning on page 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-410845</wp:posOffset>
            </wp:positionV>
            <wp:extent cx="16116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Board Leadership Structure</w:t>
      </w:r>
    </w:p>
    <w:p>
      <w:pPr>
        <w:spacing w:after="0" w:line="212"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Mr. Edwards serves as our President, Chief Executive Officer (“CEO”) and Chairman. The Board regularly evaluates our governance structure and has concluded that the Company and its stockholders are best served by not having a formal policy regarding whether the same individual should serve as both Chairman and Chief Executive Officer. This approach allows the Board flexibility to exercise its business judgment in determining the optimal leadership structure depending on the Company’s particular needs and in light of the prevailing circumstances. We have historically combined the positions of Chairman and Chief Executive Officer.</w:t>
      </w:r>
    </w:p>
    <w:p>
      <w:pPr>
        <w:spacing w:after="0" w:line="17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NCG Committee annually assesses the Company’s corporate governance practices, which includes a review of our Board leadership structure and whether combining or separating the roles of Chairman and CEO is in the best interests of our stockholders. The NCG Committee currently is of the view that it is in our stockholders’ best interests for Mr. Edwards to serve in a combined role. The Board believes that having Mr. Edwards serve as CEO and Chairman fosters an important unity of leadership between the Board and management that is subject to effective oversight by the Presiding Independent Director and other independent Board members. The Board believes that it benefits from the significant knowledge, insight and perspective that Mr. Edwards has gained during his more than 30 years in the industry, and that Mr. Edwards’ in-depth knowledge of the Company and his extensive industry expertise makes him particularly qualified to lead Board discussions. The Board has also considered that Mr. Edwards has demonstrated exceptional leadership and vision necessary to lead the Board and the Company in challenging industry environments, has demonstrated a commitment to advancing a culture of corporate responsibility and employee well-being, and the Board believes is viewed by our customers, stockholders, suppliers and business partners as a leader in our industry.</w:t>
      </w:r>
    </w:p>
    <w:p>
      <w:pPr>
        <w:spacing w:after="0" w:line="186"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Based on the demonstrated success of our structure, both in terms of the functioning of the Board and the growth and performance of the Company, and the continued benefits of retaining Mr. Edwards’ strategic perspective in the position of Chairman, the Board believes that having a combined position is the appropriate leadership structure for the Company at this time, and allows the Board to conduct its business in the most effective manner.</w:t>
      </w:r>
    </w:p>
    <w:p>
      <w:pPr>
        <w:spacing w:after="0" w:line="17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To support our leadership structure, the Board has established a Presiding Independent Director position to ensure independent oversight of management and flow of information and interactions among the Board, management and other Company personnel. Our Presiding Independent Director is elected annually by the independent directors. Ms. Carter, a director since 2014, currently serves as our Presiding Independent Director. Ms. Carter works with management to determine information to be provided to the Board, provides input on agenda items for Board and committee meetings, chairs regular executive sessions of the independent directors and serves as a liaison between management and the Board, as well as among independent directors. She regularly attends the meetings of all Board committees. The Board further exercises independent oversight through executive meetings of the independent directors after every regular Board meeting without the presence of management.</w:t>
      </w:r>
    </w:p>
    <w:p>
      <w:pPr>
        <w:spacing w:after="0" w:line="180"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 Board believes that having a combined Chief Executive Officer and Chairman position, together with a Presiding Independent Director, a Board comprised of 78% independent directors and strong corporate governance practices provides the best leadership structure for our Company at the present time. The Board recognizes that no leadership model is appropriate for all companies at all times, and will continue to evaluate our leadership structure to choose the appropriate structure that it believes is in the best interest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69951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Corporate Governance</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22</w:t>
      </w:r>
    </w:p>
    <w:p>
      <w:pPr>
        <w:sectPr>
          <w:pgSz w:w="11900" w:h="16838" w:orient="portrait"/>
          <w:cols w:equalWidth="0" w:num="1">
            <w:col w:w="11020"/>
          </w:cols>
          <w:pgMar w:left="440" w:top="295" w:right="439" w:bottom="1440" w:gutter="0" w:footer="0" w:header="0"/>
        </w:sectPr>
      </w:pPr>
    </w:p>
    <w:bookmarkStart w:id="30" w:name="page31"/>
    <w:bookmarkEnd w:id="30"/>
    <w:p>
      <w:pPr>
        <w:spacing w:after="0"/>
        <w:rPr>
          <w:sz w:val="20"/>
          <w:szCs w:val="20"/>
          <w:color w:val="auto"/>
        </w:rPr>
      </w:pPr>
      <w:r>
        <w:rPr>
          <w:rFonts w:ascii="Arial" w:cs="Arial" w:eastAsia="Arial" w:hAnsi="Arial"/>
          <w:sz w:val="22"/>
          <w:szCs w:val="22"/>
          <w:b w:val="1"/>
          <w:bCs w:val="1"/>
          <w:color w:val="00206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Role of the Board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166370</wp:posOffset>
            </wp:positionV>
            <wp:extent cx="7012305" cy="14827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12305" cy="148272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419"/>
        <w:spacing w:after="0"/>
        <w:rPr>
          <w:sz w:val="20"/>
          <w:szCs w:val="20"/>
          <w:color w:val="auto"/>
        </w:rPr>
      </w:pPr>
      <w:r>
        <w:rPr>
          <w:rFonts w:ascii="Arial" w:cs="Arial" w:eastAsia="Arial" w:hAnsi="Arial"/>
          <w:sz w:val="22"/>
          <w:szCs w:val="22"/>
          <w:b w:val="1"/>
          <w:bCs w:val="1"/>
          <w:color w:val="FFFFFF"/>
        </w:rPr>
        <w:t>Board of Directors</w:t>
      </w:r>
    </w:p>
    <w:p>
      <w:pPr>
        <w:spacing w:after="0" w:line="3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Board is responsible for oversight of the Company’s identification, assessment, prioritization and monitoring of enterprise risks and the development of comprehensive policies and procedures to manage material risks. The Board fulfills its responsibility both directly and through its standing committees. </w:t>
      </w:r>
      <w:r>
        <w:rPr>
          <w:rFonts w:ascii="Arial" w:cs="Arial" w:eastAsia="Arial" w:hAnsi="Arial"/>
          <w:sz w:val="18"/>
          <w:szCs w:val="18"/>
          <w:i w:val="1"/>
          <w:iCs w:val="1"/>
          <w:color w:val="auto"/>
        </w:rPr>
        <w:t>See “Cybersecurity Oversight,” “ESG Oversight” and “Board Committee Oversight”</w:t>
      </w:r>
      <w:r>
        <w:rPr>
          <w:rFonts w:ascii="Arial" w:cs="Arial" w:eastAsia="Arial" w:hAnsi="Arial"/>
          <w:sz w:val="18"/>
          <w:szCs w:val="18"/>
          <w:color w:val="auto"/>
        </w:rPr>
        <w:t xml:space="preserve"> below. Risk assessment and oversight are an integral part of our corporate governance processes. Our Board of Directors encourages management to promote a culture that incorporates risk management into our business strategy and day-to-day business operations. The Board also has responsibility for oversight of leadership succession planning for our most senior executives, including the Chief Executive Officer, and reviews short-term and long-term succession plans on an annual basis.</w:t>
      </w:r>
    </w:p>
    <w:p>
      <w:pPr>
        <w:spacing w:after="0" w:line="200" w:lineRule="exact"/>
        <w:rPr>
          <w:sz w:val="20"/>
          <w:szCs w:val="20"/>
          <w:color w:val="auto"/>
        </w:rPr>
      </w:pPr>
    </w:p>
    <w:p>
      <w:pPr>
        <w:spacing w:after="0" w:line="294" w:lineRule="exact"/>
        <w:rPr>
          <w:sz w:val="20"/>
          <w:szCs w:val="20"/>
          <w:color w:val="auto"/>
        </w:rPr>
      </w:pPr>
    </w:p>
    <w:tbl>
      <w:tblPr>
        <w:tblLayout w:type="fixed"/>
        <w:tblInd w:w="730" w:type="dxa"/>
        <w:tblCellMar>
          <w:top w:w="0" w:type="dxa"/>
          <w:left w:w="0" w:type="dxa"/>
          <w:bottom w:w="0" w:type="dxa"/>
          <w:right w:w="0" w:type="dxa"/>
        </w:tblCellMar>
      </w:tblPr>
      <w:tr>
        <w:trPr>
          <w:trHeight w:val="539"/>
        </w:trPr>
        <w:tc>
          <w:tcPr>
            <w:tcW w:w="2980" w:type="dxa"/>
            <w:vAlign w:val="bottom"/>
            <w:tcBorders>
              <w:top w:val="single" w:sz="8" w:color="002060"/>
              <w:left w:val="single" w:sz="8" w:color="002060"/>
              <w:right w:val="single" w:sz="8" w:color="002060"/>
            </w:tcBorders>
            <w:shd w:val="clear" w:color="auto" w:fill="0070C0"/>
          </w:tcPr>
          <w:p>
            <w:pPr>
              <w:ind w:left="680"/>
              <w:spacing w:after="0"/>
              <w:rPr>
                <w:sz w:val="20"/>
                <w:szCs w:val="20"/>
                <w:color w:val="auto"/>
              </w:rPr>
            </w:pPr>
            <w:r>
              <w:rPr>
                <w:rFonts w:ascii="Arial" w:cs="Arial" w:eastAsia="Arial" w:hAnsi="Arial"/>
                <w:sz w:val="22"/>
                <w:szCs w:val="22"/>
                <w:b w:val="1"/>
                <w:bCs w:val="1"/>
                <w:color w:val="FFFFFF"/>
              </w:rPr>
              <w:t>Audit Committee</w:t>
            </w:r>
          </w:p>
        </w:tc>
        <w:tc>
          <w:tcPr>
            <w:tcW w:w="660" w:type="dxa"/>
            <w:vAlign w:val="bottom"/>
            <w:tcBorders>
              <w:right w:val="single" w:sz="8" w:color="002060"/>
            </w:tcBorders>
          </w:tcPr>
          <w:p>
            <w:pPr>
              <w:spacing w:after="0"/>
              <w:rPr>
                <w:sz w:val="24"/>
                <w:szCs w:val="24"/>
                <w:color w:val="auto"/>
              </w:rPr>
            </w:pPr>
          </w:p>
        </w:tc>
        <w:tc>
          <w:tcPr>
            <w:tcW w:w="2660" w:type="dxa"/>
            <w:vAlign w:val="bottom"/>
            <w:tcBorders>
              <w:top w:val="single" w:sz="8" w:color="002060"/>
              <w:right w:val="single" w:sz="8" w:color="002060"/>
            </w:tcBorders>
            <w:shd w:val="clear" w:color="auto" w:fill="0070C0"/>
          </w:tcPr>
          <w:p>
            <w:pPr>
              <w:ind w:left="560"/>
              <w:spacing w:after="0"/>
              <w:rPr>
                <w:sz w:val="20"/>
                <w:szCs w:val="20"/>
                <w:color w:val="auto"/>
              </w:rPr>
            </w:pPr>
            <w:r>
              <w:rPr>
                <w:rFonts w:ascii="Arial" w:cs="Arial" w:eastAsia="Arial" w:hAnsi="Arial"/>
                <w:sz w:val="22"/>
                <w:szCs w:val="22"/>
                <w:b w:val="1"/>
                <w:bCs w:val="1"/>
                <w:color w:val="FFFFFF"/>
              </w:rPr>
              <w:t>CHC Committee</w:t>
            </w:r>
          </w:p>
        </w:tc>
        <w:tc>
          <w:tcPr>
            <w:tcW w:w="680" w:type="dxa"/>
            <w:vAlign w:val="bottom"/>
            <w:tcBorders>
              <w:right w:val="single" w:sz="8" w:color="002060"/>
            </w:tcBorders>
          </w:tcPr>
          <w:p>
            <w:pPr>
              <w:spacing w:after="0"/>
              <w:rPr>
                <w:sz w:val="24"/>
                <w:szCs w:val="24"/>
                <w:color w:val="auto"/>
              </w:rPr>
            </w:pPr>
          </w:p>
        </w:tc>
        <w:tc>
          <w:tcPr>
            <w:tcW w:w="2660" w:type="dxa"/>
            <w:vAlign w:val="bottom"/>
            <w:tcBorders>
              <w:top w:val="single" w:sz="8" w:color="002060"/>
              <w:right w:val="single" w:sz="8" w:color="002060"/>
            </w:tcBorders>
            <w:shd w:val="clear" w:color="auto" w:fill="0070C0"/>
          </w:tcPr>
          <w:p>
            <w:pPr>
              <w:ind w:left="540"/>
              <w:spacing w:after="0"/>
              <w:rPr>
                <w:sz w:val="20"/>
                <w:szCs w:val="20"/>
                <w:color w:val="auto"/>
              </w:rPr>
            </w:pPr>
            <w:r>
              <w:rPr>
                <w:rFonts w:ascii="Arial" w:cs="Arial" w:eastAsia="Arial" w:hAnsi="Arial"/>
                <w:sz w:val="22"/>
                <w:szCs w:val="22"/>
                <w:b w:val="1"/>
                <w:bCs w:val="1"/>
                <w:color w:val="FFFFFF"/>
              </w:rPr>
              <w:t>NCG Committee</w:t>
            </w:r>
          </w:p>
        </w:tc>
      </w:tr>
      <w:tr>
        <w:trPr>
          <w:trHeight w:val="238"/>
        </w:trPr>
        <w:tc>
          <w:tcPr>
            <w:tcW w:w="2980" w:type="dxa"/>
            <w:vAlign w:val="bottom"/>
            <w:tcBorders>
              <w:left w:val="single" w:sz="8" w:color="002060"/>
              <w:bottom w:val="single" w:sz="8" w:color="002060"/>
              <w:right w:val="single" w:sz="8" w:color="002060"/>
            </w:tcBorders>
            <w:shd w:val="clear" w:color="auto" w:fill="0070C0"/>
          </w:tcPr>
          <w:p>
            <w:pPr>
              <w:spacing w:after="0"/>
              <w:rPr>
                <w:sz w:val="20"/>
                <w:szCs w:val="20"/>
                <w:color w:val="auto"/>
              </w:rPr>
            </w:pPr>
          </w:p>
        </w:tc>
        <w:tc>
          <w:tcPr>
            <w:tcW w:w="660" w:type="dxa"/>
            <w:vAlign w:val="bottom"/>
            <w:tcBorders>
              <w:right w:val="single" w:sz="8" w:color="002060"/>
            </w:tcBorders>
          </w:tcPr>
          <w:p>
            <w:pPr>
              <w:spacing w:after="0"/>
              <w:rPr>
                <w:sz w:val="20"/>
                <w:szCs w:val="20"/>
                <w:color w:val="auto"/>
              </w:rPr>
            </w:pPr>
          </w:p>
        </w:tc>
        <w:tc>
          <w:tcPr>
            <w:tcW w:w="2660" w:type="dxa"/>
            <w:vAlign w:val="bottom"/>
            <w:tcBorders>
              <w:bottom w:val="single" w:sz="8" w:color="002060"/>
              <w:right w:val="single" w:sz="8" w:color="002060"/>
            </w:tcBorders>
            <w:shd w:val="clear" w:color="auto" w:fill="0070C0"/>
          </w:tcPr>
          <w:p>
            <w:pPr>
              <w:spacing w:after="0"/>
              <w:rPr>
                <w:sz w:val="20"/>
                <w:szCs w:val="20"/>
                <w:color w:val="auto"/>
              </w:rPr>
            </w:pPr>
          </w:p>
        </w:tc>
        <w:tc>
          <w:tcPr>
            <w:tcW w:w="680" w:type="dxa"/>
            <w:vAlign w:val="bottom"/>
            <w:tcBorders>
              <w:right w:val="single" w:sz="8" w:color="002060"/>
            </w:tcBorders>
          </w:tcPr>
          <w:p>
            <w:pPr>
              <w:spacing w:after="0"/>
              <w:rPr>
                <w:sz w:val="20"/>
                <w:szCs w:val="20"/>
                <w:color w:val="auto"/>
              </w:rPr>
            </w:pPr>
          </w:p>
        </w:tc>
        <w:tc>
          <w:tcPr>
            <w:tcW w:w="2660" w:type="dxa"/>
            <w:vAlign w:val="bottom"/>
            <w:tcBorders>
              <w:bottom w:val="single" w:sz="8" w:color="002060"/>
              <w:right w:val="single" w:sz="8" w:color="002060"/>
            </w:tcBorders>
            <w:shd w:val="clear" w:color="auto" w:fill="0070C0"/>
          </w:tcPr>
          <w:p>
            <w:pPr>
              <w:spacing w:after="0"/>
              <w:rPr>
                <w:sz w:val="20"/>
                <w:szCs w:val="20"/>
                <w:color w:val="auto"/>
              </w:rPr>
            </w:pPr>
          </w:p>
        </w:tc>
      </w:tr>
      <w:tr>
        <w:trPr>
          <w:trHeight w:val="305"/>
        </w:trPr>
        <w:tc>
          <w:tcPr>
            <w:tcW w:w="2980" w:type="dxa"/>
            <w:vAlign w:val="bottom"/>
            <w:tcBorders>
              <w:left w:val="single" w:sz="8" w:color="002060"/>
              <w:right w:val="single" w:sz="8" w:color="002060"/>
            </w:tcBorders>
            <w:shd w:val="clear" w:color="auto" w:fill="D5DCE4"/>
          </w:tcPr>
          <w:p>
            <w:pPr>
              <w:ind w:left="300"/>
              <w:spacing w:after="0"/>
              <w:rPr>
                <w:sz w:val="20"/>
                <w:szCs w:val="20"/>
                <w:color w:val="auto"/>
              </w:rPr>
            </w:pPr>
            <w:r>
              <w:rPr>
                <w:rFonts w:ascii="Arial" w:cs="Arial" w:eastAsia="Arial" w:hAnsi="Arial"/>
                <w:sz w:val="18"/>
                <w:szCs w:val="18"/>
                <w:color w:val="auto"/>
              </w:rPr>
              <w:t>The Audit Committee provides</w:t>
            </w:r>
          </w:p>
        </w:tc>
        <w:tc>
          <w:tcPr>
            <w:tcW w:w="660" w:type="dxa"/>
            <w:vAlign w:val="bottom"/>
            <w:tcBorders>
              <w:right w:val="single" w:sz="8" w:color="002060"/>
            </w:tcBorders>
          </w:tcPr>
          <w:p>
            <w:pPr>
              <w:spacing w:after="0"/>
              <w:rPr>
                <w:sz w:val="24"/>
                <w:szCs w:val="24"/>
                <w:color w:val="auto"/>
              </w:rPr>
            </w:pPr>
          </w:p>
        </w:tc>
        <w:tc>
          <w:tcPr>
            <w:tcW w:w="2660" w:type="dxa"/>
            <w:vAlign w:val="bottom"/>
            <w:tcBorders>
              <w:right w:val="single" w:sz="8" w:color="002060"/>
            </w:tcBorders>
            <w:shd w:val="clear" w:color="auto" w:fill="D5DCE4"/>
          </w:tcPr>
          <w:p>
            <w:pPr>
              <w:ind w:left="320"/>
              <w:spacing w:after="0"/>
              <w:rPr>
                <w:sz w:val="20"/>
                <w:szCs w:val="20"/>
                <w:color w:val="auto"/>
              </w:rPr>
            </w:pPr>
            <w:r>
              <w:rPr>
                <w:rFonts w:ascii="Arial" w:cs="Arial" w:eastAsia="Arial" w:hAnsi="Arial"/>
                <w:sz w:val="18"/>
                <w:szCs w:val="18"/>
                <w:color w:val="auto"/>
              </w:rPr>
              <w:t>The CHC Committee</w:t>
            </w:r>
          </w:p>
        </w:tc>
        <w:tc>
          <w:tcPr>
            <w:tcW w:w="680" w:type="dxa"/>
            <w:vAlign w:val="bottom"/>
            <w:tcBorders>
              <w:right w:val="single" w:sz="8" w:color="002060"/>
            </w:tcBorders>
          </w:tcPr>
          <w:p>
            <w:pPr>
              <w:spacing w:after="0"/>
              <w:rPr>
                <w:sz w:val="24"/>
                <w:szCs w:val="24"/>
                <w:color w:val="auto"/>
              </w:rPr>
            </w:pPr>
          </w:p>
        </w:tc>
        <w:tc>
          <w:tcPr>
            <w:tcW w:w="2660" w:type="dxa"/>
            <w:vAlign w:val="bottom"/>
            <w:tcBorders>
              <w:right w:val="single" w:sz="8" w:color="002060"/>
            </w:tcBorders>
            <w:shd w:val="clear" w:color="auto" w:fill="D5DCE4"/>
          </w:tcPr>
          <w:p>
            <w:pPr>
              <w:ind w:left="300"/>
              <w:spacing w:after="0"/>
              <w:rPr>
                <w:sz w:val="20"/>
                <w:szCs w:val="20"/>
                <w:color w:val="auto"/>
              </w:rPr>
            </w:pPr>
            <w:r>
              <w:rPr>
                <w:rFonts w:ascii="Arial" w:cs="Arial" w:eastAsia="Arial" w:hAnsi="Arial"/>
                <w:sz w:val="18"/>
                <w:szCs w:val="18"/>
                <w:color w:val="auto"/>
              </w:rPr>
              <w:t>The NCG Committee</w:t>
            </w:r>
          </w:p>
        </w:tc>
      </w:tr>
      <w:tr>
        <w:trPr>
          <w:trHeight w:val="203"/>
        </w:trPr>
        <w:tc>
          <w:tcPr>
            <w:tcW w:w="2980" w:type="dxa"/>
            <w:vAlign w:val="bottom"/>
            <w:tcBorders>
              <w:left w:val="single" w:sz="8" w:color="002060"/>
              <w:right w:val="single" w:sz="8" w:color="002060"/>
            </w:tcBorders>
            <w:shd w:val="clear" w:color="auto" w:fill="D5DCE4"/>
          </w:tcPr>
          <w:p>
            <w:pPr>
              <w:ind w:left="300"/>
              <w:spacing w:after="0" w:line="202" w:lineRule="exact"/>
              <w:rPr>
                <w:sz w:val="20"/>
                <w:szCs w:val="20"/>
                <w:color w:val="auto"/>
              </w:rPr>
            </w:pPr>
            <w:r>
              <w:rPr>
                <w:rFonts w:ascii="Arial" w:cs="Arial" w:eastAsia="Arial" w:hAnsi="Arial"/>
                <w:sz w:val="18"/>
                <w:szCs w:val="18"/>
                <w:color w:val="auto"/>
              </w:rPr>
              <w:t>independent, objective</w:t>
            </w:r>
          </w:p>
        </w:tc>
        <w:tc>
          <w:tcPr>
            <w:tcW w:w="660" w:type="dxa"/>
            <w:vAlign w:val="bottom"/>
            <w:tcBorders>
              <w:right w:val="single" w:sz="8" w:color="002060"/>
            </w:tcBorders>
          </w:tcPr>
          <w:p>
            <w:pPr>
              <w:spacing w:after="0"/>
              <w:rPr>
                <w:sz w:val="17"/>
                <w:szCs w:val="17"/>
                <w:color w:val="auto"/>
              </w:rPr>
            </w:pPr>
          </w:p>
        </w:tc>
        <w:tc>
          <w:tcPr>
            <w:tcW w:w="2660" w:type="dxa"/>
            <w:vAlign w:val="bottom"/>
            <w:tcBorders>
              <w:right w:val="single" w:sz="8" w:color="002060"/>
            </w:tcBorders>
            <w:shd w:val="clear" w:color="auto" w:fill="D5DCE4"/>
          </w:tcPr>
          <w:p>
            <w:pPr>
              <w:ind w:left="320"/>
              <w:spacing w:after="0" w:line="202" w:lineRule="exact"/>
              <w:rPr>
                <w:sz w:val="20"/>
                <w:szCs w:val="20"/>
                <w:color w:val="auto"/>
              </w:rPr>
            </w:pPr>
            <w:r>
              <w:rPr>
                <w:rFonts w:ascii="Arial" w:cs="Arial" w:eastAsia="Arial" w:hAnsi="Arial"/>
                <w:sz w:val="18"/>
                <w:szCs w:val="18"/>
                <w:color w:val="auto"/>
              </w:rPr>
              <w:t>oversees our human</w:t>
            </w:r>
          </w:p>
        </w:tc>
        <w:tc>
          <w:tcPr>
            <w:tcW w:w="680" w:type="dxa"/>
            <w:vAlign w:val="bottom"/>
            <w:tcBorders>
              <w:right w:val="single" w:sz="8" w:color="002060"/>
            </w:tcBorders>
          </w:tcPr>
          <w:p>
            <w:pPr>
              <w:spacing w:after="0"/>
              <w:rPr>
                <w:sz w:val="17"/>
                <w:szCs w:val="17"/>
                <w:color w:val="auto"/>
              </w:rPr>
            </w:pPr>
          </w:p>
        </w:tc>
        <w:tc>
          <w:tcPr>
            <w:tcW w:w="2660" w:type="dxa"/>
            <w:vAlign w:val="bottom"/>
            <w:tcBorders>
              <w:right w:val="single" w:sz="8" w:color="002060"/>
            </w:tcBorders>
            <w:shd w:val="clear" w:color="auto" w:fill="D5DCE4"/>
          </w:tcPr>
          <w:p>
            <w:pPr>
              <w:ind w:left="300"/>
              <w:spacing w:after="0" w:line="202" w:lineRule="exact"/>
              <w:rPr>
                <w:sz w:val="20"/>
                <w:szCs w:val="20"/>
                <w:color w:val="auto"/>
              </w:rPr>
            </w:pPr>
            <w:r>
              <w:rPr>
                <w:rFonts w:ascii="Arial" w:cs="Arial" w:eastAsia="Arial" w:hAnsi="Arial"/>
                <w:sz w:val="18"/>
                <w:szCs w:val="18"/>
                <w:color w:val="auto"/>
              </w:rPr>
              <w:t>oversees our corporate</w:t>
            </w:r>
          </w:p>
        </w:tc>
      </w:tr>
      <w:tr>
        <w:trPr>
          <w:trHeight w:val="203"/>
        </w:trPr>
        <w:tc>
          <w:tcPr>
            <w:tcW w:w="2980" w:type="dxa"/>
            <w:vAlign w:val="bottom"/>
            <w:tcBorders>
              <w:left w:val="single" w:sz="8" w:color="002060"/>
              <w:right w:val="single" w:sz="8" w:color="002060"/>
            </w:tcBorders>
            <w:shd w:val="clear" w:color="auto" w:fill="D5DCE4"/>
          </w:tcPr>
          <w:p>
            <w:pPr>
              <w:ind w:left="300"/>
              <w:spacing w:after="0" w:line="202" w:lineRule="exact"/>
              <w:rPr>
                <w:sz w:val="20"/>
                <w:szCs w:val="20"/>
                <w:color w:val="auto"/>
              </w:rPr>
            </w:pPr>
            <w:r>
              <w:rPr>
                <w:rFonts w:ascii="Arial" w:cs="Arial" w:eastAsia="Arial" w:hAnsi="Arial"/>
                <w:sz w:val="18"/>
                <w:szCs w:val="18"/>
                <w:color w:val="auto"/>
              </w:rPr>
              <w:t>oversight of the quality and</w:t>
            </w:r>
          </w:p>
        </w:tc>
        <w:tc>
          <w:tcPr>
            <w:tcW w:w="660" w:type="dxa"/>
            <w:vAlign w:val="bottom"/>
            <w:tcBorders>
              <w:right w:val="single" w:sz="8" w:color="002060"/>
            </w:tcBorders>
          </w:tcPr>
          <w:p>
            <w:pPr>
              <w:spacing w:after="0"/>
              <w:rPr>
                <w:sz w:val="17"/>
                <w:szCs w:val="17"/>
                <w:color w:val="auto"/>
              </w:rPr>
            </w:pPr>
          </w:p>
        </w:tc>
        <w:tc>
          <w:tcPr>
            <w:tcW w:w="2660" w:type="dxa"/>
            <w:vAlign w:val="bottom"/>
            <w:tcBorders>
              <w:right w:val="single" w:sz="8" w:color="002060"/>
            </w:tcBorders>
            <w:shd w:val="clear" w:color="auto" w:fill="D5DCE4"/>
          </w:tcPr>
          <w:p>
            <w:pPr>
              <w:ind w:left="320"/>
              <w:spacing w:after="0" w:line="202" w:lineRule="exact"/>
              <w:rPr>
                <w:sz w:val="20"/>
                <w:szCs w:val="20"/>
                <w:color w:val="auto"/>
              </w:rPr>
            </w:pPr>
            <w:r>
              <w:rPr>
                <w:rFonts w:ascii="Arial" w:cs="Arial" w:eastAsia="Arial" w:hAnsi="Arial"/>
                <w:sz w:val="18"/>
                <w:szCs w:val="18"/>
                <w:color w:val="auto"/>
              </w:rPr>
              <w:t>capital management</w:t>
            </w:r>
          </w:p>
        </w:tc>
        <w:tc>
          <w:tcPr>
            <w:tcW w:w="680" w:type="dxa"/>
            <w:vAlign w:val="bottom"/>
            <w:tcBorders>
              <w:right w:val="single" w:sz="8" w:color="002060"/>
            </w:tcBorders>
          </w:tcPr>
          <w:p>
            <w:pPr>
              <w:spacing w:after="0"/>
              <w:rPr>
                <w:sz w:val="17"/>
                <w:szCs w:val="17"/>
                <w:color w:val="auto"/>
              </w:rPr>
            </w:pPr>
          </w:p>
        </w:tc>
        <w:tc>
          <w:tcPr>
            <w:tcW w:w="2660" w:type="dxa"/>
            <w:vAlign w:val="bottom"/>
            <w:tcBorders>
              <w:right w:val="single" w:sz="8" w:color="002060"/>
            </w:tcBorders>
            <w:shd w:val="clear" w:color="auto" w:fill="D5DCE4"/>
          </w:tcPr>
          <w:p>
            <w:pPr>
              <w:ind w:left="300"/>
              <w:spacing w:after="0" w:line="202" w:lineRule="exact"/>
              <w:rPr>
                <w:sz w:val="20"/>
                <w:szCs w:val="20"/>
                <w:color w:val="auto"/>
              </w:rPr>
            </w:pPr>
            <w:r>
              <w:rPr>
                <w:rFonts w:ascii="Arial" w:cs="Arial" w:eastAsia="Arial" w:hAnsi="Arial"/>
                <w:sz w:val="18"/>
                <w:szCs w:val="18"/>
                <w:color w:val="auto"/>
              </w:rPr>
              <w:t>governance practices and</w:t>
            </w:r>
          </w:p>
        </w:tc>
      </w:tr>
      <w:tr>
        <w:trPr>
          <w:trHeight w:val="203"/>
        </w:trPr>
        <w:tc>
          <w:tcPr>
            <w:tcW w:w="2980" w:type="dxa"/>
            <w:vAlign w:val="bottom"/>
            <w:tcBorders>
              <w:left w:val="single" w:sz="8" w:color="002060"/>
              <w:right w:val="single" w:sz="8" w:color="002060"/>
            </w:tcBorders>
            <w:shd w:val="clear" w:color="auto" w:fill="D5DCE4"/>
          </w:tcPr>
          <w:p>
            <w:pPr>
              <w:ind w:left="300"/>
              <w:spacing w:after="0" w:line="202" w:lineRule="exact"/>
              <w:rPr>
                <w:sz w:val="20"/>
                <w:szCs w:val="20"/>
                <w:color w:val="auto"/>
              </w:rPr>
            </w:pPr>
            <w:r>
              <w:rPr>
                <w:rFonts w:ascii="Arial" w:cs="Arial" w:eastAsia="Arial" w:hAnsi="Arial"/>
                <w:sz w:val="18"/>
                <w:szCs w:val="18"/>
                <w:color w:val="auto"/>
              </w:rPr>
              <w:t>integrity of our financial</w:t>
            </w:r>
          </w:p>
        </w:tc>
        <w:tc>
          <w:tcPr>
            <w:tcW w:w="660" w:type="dxa"/>
            <w:vAlign w:val="bottom"/>
            <w:tcBorders>
              <w:right w:val="single" w:sz="8" w:color="002060"/>
            </w:tcBorders>
          </w:tcPr>
          <w:p>
            <w:pPr>
              <w:spacing w:after="0"/>
              <w:rPr>
                <w:sz w:val="17"/>
                <w:szCs w:val="17"/>
                <w:color w:val="auto"/>
              </w:rPr>
            </w:pPr>
          </w:p>
        </w:tc>
        <w:tc>
          <w:tcPr>
            <w:tcW w:w="2660" w:type="dxa"/>
            <w:vAlign w:val="bottom"/>
            <w:tcBorders>
              <w:right w:val="single" w:sz="8" w:color="002060"/>
            </w:tcBorders>
            <w:shd w:val="clear" w:color="auto" w:fill="D5DCE4"/>
          </w:tcPr>
          <w:p>
            <w:pPr>
              <w:ind w:left="320"/>
              <w:spacing w:after="0" w:line="202" w:lineRule="exact"/>
              <w:rPr>
                <w:sz w:val="20"/>
                <w:szCs w:val="20"/>
                <w:color w:val="auto"/>
              </w:rPr>
            </w:pPr>
            <w:r>
              <w:rPr>
                <w:rFonts w:ascii="Arial" w:cs="Arial" w:eastAsia="Arial" w:hAnsi="Arial"/>
                <w:sz w:val="18"/>
                <w:szCs w:val="18"/>
                <w:color w:val="auto"/>
              </w:rPr>
              <w:t>practices, the design and</w:t>
            </w:r>
          </w:p>
        </w:tc>
        <w:tc>
          <w:tcPr>
            <w:tcW w:w="680" w:type="dxa"/>
            <w:vAlign w:val="bottom"/>
            <w:tcBorders>
              <w:right w:val="single" w:sz="8" w:color="002060"/>
            </w:tcBorders>
          </w:tcPr>
          <w:p>
            <w:pPr>
              <w:spacing w:after="0"/>
              <w:rPr>
                <w:sz w:val="17"/>
                <w:szCs w:val="17"/>
                <w:color w:val="auto"/>
              </w:rPr>
            </w:pPr>
          </w:p>
        </w:tc>
        <w:tc>
          <w:tcPr>
            <w:tcW w:w="2660" w:type="dxa"/>
            <w:vAlign w:val="bottom"/>
            <w:tcBorders>
              <w:right w:val="single" w:sz="8" w:color="002060"/>
            </w:tcBorders>
            <w:shd w:val="clear" w:color="auto" w:fill="D5DCE4"/>
          </w:tcPr>
          <w:p>
            <w:pPr>
              <w:ind w:left="300"/>
              <w:spacing w:after="0" w:line="202" w:lineRule="exact"/>
              <w:rPr>
                <w:sz w:val="20"/>
                <w:szCs w:val="20"/>
                <w:color w:val="auto"/>
              </w:rPr>
            </w:pPr>
            <w:r>
              <w:rPr>
                <w:rFonts w:ascii="Arial" w:cs="Arial" w:eastAsia="Arial" w:hAnsi="Arial"/>
                <w:sz w:val="18"/>
                <w:szCs w:val="18"/>
                <w:color w:val="auto"/>
              </w:rPr>
              <w:t>processes, including any</w:t>
            </w:r>
          </w:p>
        </w:tc>
      </w:tr>
      <w:tr>
        <w:trPr>
          <w:trHeight w:val="203"/>
        </w:trPr>
        <w:tc>
          <w:tcPr>
            <w:tcW w:w="2980" w:type="dxa"/>
            <w:vAlign w:val="bottom"/>
            <w:tcBorders>
              <w:left w:val="single" w:sz="8" w:color="002060"/>
              <w:right w:val="single" w:sz="8" w:color="002060"/>
            </w:tcBorders>
            <w:shd w:val="clear" w:color="auto" w:fill="D5DCE4"/>
          </w:tcPr>
          <w:p>
            <w:pPr>
              <w:ind w:left="300"/>
              <w:spacing w:after="0" w:line="202" w:lineRule="exact"/>
              <w:rPr>
                <w:sz w:val="20"/>
                <w:szCs w:val="20"/>
                <w:color w:val="auto"/>
              </w:rPr>
            </w:pPr>
            <w:r>
              <w:rPr>
                <w:rFonts w:ascii="Arial" w:cs="Arial" w:eastAsia="Arial" w:hAnsi="Arial"/>
                <w:sz w:val="18"/>
                <w:szCs w:val="18"/>
                <w:color w:val="auto"/>
              </w:rPr>
              <w:t>statements and our</w:t>
            </w:r>
          </w:p>
        </w:tc>
        <w:tc>
          <w:tcPr>
            <w:tcW w:w="660" w:type="dxa"/>
            <w:vAlign w:val="bottom"/>
            <w:tcBorders>
              <w:right w:val="single" w:sz="8" w:color="002060"/>
            </w:tcBorders>
          </w:tcPr>
          <w:p>
            <w:pPr>
              <w:spacing w:after="0"/>
              <w:rPr>
                <w:sz w:val="17"/>
                <w:szCs w:val="17"/>
                <w:color w:val="auto"/>
              </w:rPr>
            </w:pPr>
          </w:p>
        </w:tc>
        <w:tc>
          <w:tcPr>
            <w:tcW w:w="2660" w:type="dxa"/>
            <w:vAlign w:val="bottom"/>
            <w:tcBorders>
              <w:right w:val="single" w:sz="8" w:color="002060"/>
            </w:tcBorders>
            <w:shd w:val="clear" w:color="auto" w:fill="D5DCE4"/>
          </w:tcPr>
          <w:p>
            <w:pPr>
              <w:ind w:left="320"/>
              <w:spacing w:after="0" w:line="202" w:lineRule="exact"/>
              <w:rPr>
                <w:sz w:val="20"/>
                <w:szCs w:val="20"/>
                <w:color w:val="auto"/>
              </w:rPr>
            </w:pPr>
            <w:r>
              <w:rPr>
                <w:rFonts w:ascii="Arial" w:cs="Arial" w:eastAsia="Arial" w:hAnsi="Arial"/>
                <w:sz w:val="18"/>
                <w:szCs w:val="18"/>
                <w:color w:val="auto"/>
              </w:rPr>
              <w:t>administration of our</w:t>
            </w:r>
          </w:p>
        </w:tc>
        <w:tc>
          <w:tcPr>
            <w:tcW w:w="680" w:type="dxa"/>
            <w:vAlign w:val="bottom"/>
            <w:tcBorders>
              <w:right w:val="single" w:sz="8" w:color="002060"/>
            </w:tcBorders>
          </w:tcPr>
          <w:p>
            <w:pPr>
              <w:spacing w:after="0"/>
              <w:rPr>
                <w:sz w:val="17"/>
                <w:szCs w:val="17"/>
                <w:color w:val="auto"/>
              </w:rPr>
            </w:pPr>
          </w:p>
        </w:tc>
        <w:tc>
          <w:tcPr>
            <w:tcW w:w="2660" w:type="dxa"/>
            <w:vAlign w:val="bottom"/>
            <w:tcBorders>
              <w:right w:val="single" w:sz="8" w:color="002060"/>
            </w:tcBorders>
            <w:shd w:val="clear" w:color="auto" w:fill="D5DCE4"/>
          </w:tcPr>
          <w:p>
            <w:pPr>
              <w:ind w:left="300"/>
              <w:spacing w:after="0" w:line="202" w:lineRule="exact"/>
              <w:rPr>
                <w:sz w:val="20"/>
                <w:szCs w:val="20"/>
                <w:color w:val="auto"/>
              </w:rPr>
            </w:pPr>
            <w:r>
              <w:rPr>
                <w:rFonts w:ascii="Arial" w:cs="Arial" w:eastAsia="Arial" w:hAnsi="Arial"/>
                <w:sz w:val="18"/>
                <w:szCs w:val="18"/>
                <w:color w:val="auto"/>
              </w:rPr>
              <w:t>risks that may arise in</w:t>
            </w:r>
          </w:p>
        </w:tc>
      </w:tr>
      <w:tr>
        <w:trPr>
          <w:trHeight w:val="203"/>
        </w:trPr>
        <w:tc>
          <w:tcPr>
            <w:tcW w:w="2980" w:type="dxa"/>
            <w:vAlign w:val="bottom"/>
            <w:tcBorders>
              <w:left w:val="single" w:sz="8" w:color="002060"/>
              <w:right w:val="single" w:sz="8" w:color="002060"/>
            </w:tcBorders>
            <w:shd w:val="clear" w:color="auto" w:fill="D5DCE4"/>
          </w:tcPr>
          <w:p>
            <w:pPr>
              <w:ind w:left="300"/>
              <w:spacing w:after="0" w:line="202" w:lineRule="exact"/>
              <w:rPr>
                <w:sz w:val="20"/>
                <w:szCs w:val="20"/>
                <w:color w:val="auto"/>
              </w:rPr>
            </w:pPr>
            <w:r>
              <w:rPr>
                <w:rFonts w:ascii="Arial" w:cs="Arial" w:eastAsia="Arial" w:hAnsi="Arial"/>
                <w:sz w:val="18"/>
                <w:szCs w:val="18"/>
                <w:color w:val="auto"/>
              </w:rPr>
              <w:t>accounting, financial reporting</w:t>
            </w:r>
          </w:p>
        </w:tc>
        <w:tc>
          <w:tcPr>
            <w:tcW w:w="660" w:type="dxa"/>
            <w:vAlign w:val="bottom"/>
            <w:tcBorders>
              <w:right w:val="single" w:sz="8" w:color="002060"/>
            </w:tcBorders>
          </w:tcPr>
          <w:p>
            <w:pPr>
              <w:spacing w:after="0"/>
              <w:rPr>
                <w:sz w:val="17"/>
                <w:szCs w:val="17"/>
                <w:color w:val="auto"/>
              </w:rPr>
            </w:pPr>
          </w:p>
        </w:tc>
        <w:tc>
          <w:tcPr>
            <w:tcW w:w="2660" w:type="dxa"/>
            <w:vAlign w:val="bottom"/>
            <w:tcBorders>
              <w:right w:val="single" w:sz="8" w:color="002060"/>
            </w:tcBorders>
            <w:shd w:val="clear" w:color="auto" w:fill="D5DCE4"/>
          </w:tcPr>
          <w:p>
            <w:pPr>
              <w:ind w:left="320"/>
              <w:spacing w:after="0" w:line="202" w:lineRule="exact"/>
              <w:rPr>
                <w:sz w:val="20"/>
                <w:szCs w:val="20"/>
                <w:color w:val="auto"/>
              </w:rPr>
            </w:pPr>
            <w:r>
              <w:rPr>
                <w:rFonts w:ascii="Arial" w:cs="Arial" w:eastAsia="Arial" w:hAnsi="Arial"/>
                <w:sz w:val="18"/>
                <w:szCs w:val="18"/>
                <w:color w:val="auto"/>
              </w:rPr>
              <w:t>compensation plans,</w:t>
            </w:r>
          </w:p>
        </w:tc>
        <w:tc>
          <w:tcPr>
            <w:tcW w:w="680" w:type="dxa"/>
            <w:vAlign w:val="bottom"/>
            <w:tcBorders>
              <w:right w:val="single" w:sz="8" w:color="002060"/>
            </w:tcBorders>
          </w:tcPr>
          <w:p>
            <w:pPr>
              <w:spacing w:after="0"/>
              <w:rPr>
                <w:sz w:val="17"/>
                <w:szCs w:val="17"/>
                <w:color w:val="auto"/>
              </w:rPr>
            </w:pPr>
          </w:p>
        </w:tc>
        <w:tc>
          <w:tcPr>
            <w:tcW w:w="2660" w:type="dxa"/>
            <w:vAlign w:val="bottom"/>
            <w:tcBorders>
              <w:right w:val="single" w:sz="8" w:color="002060"/>
            </w:tcBorders>
            <w:shd w:val="clear" w:color="auto" w:fill="D5DCE4"/>
          </w:tcPr>
          <w:p>
            <w:pPr>
              <w:ind w:left="300"/>
              <w:spacing w:after="0" w:line="202" w:lineRule="exact"/>
              <w:rPr>
                <w:sz w:val="20"/>
                <w:szCs w:val="20"/>
                <w:color w:val="auto"/>
              </w:rPr>
            </w:pPr>
            <w:r>
              <w:rPr>
                <w:rFonts w:ascii="Arial" w:cs="Arial" w:eastAsia="Arial" w:hAnsi="Arial"/>
                <w:sz w:val="18"/>
                <w:szCs w:val="18"/>
                <w:color w:val="auto"/>
              </w:rPr>
              <w:t>connection with our</w:t>
            </w:r>
          </w:p>
        </w:tc>
      </w:tr>
      <w:tr>
        <w:trPr>
          <w:trHeight w:val="203"/>
        </w:trPr>
        <w:tc>
          <w:tcPr>
            <w:tcW w:w="2980" w:type="dxa"/>
            <w:vAlign w:val="bottom"/>
            <w:tcBorders>
              <w:left w:val="single" w:sz="8" w:color="002060"/>
              <w:right w:val="single" w:sz="8" w:color="002060"/>
            </w:tcBorders>
            <w:shd w:val="clear" w:color="auto" w:fill="D5DCE4"/>
          </w:tcPr>
          <w:p>
            <w:pPr>
              <w:ind w:left="300"/>
              <w:spacing w:after="0" w:line="202" w:lineRule="exact"/>
              <w:rPr>
                <w:sz w:val="20"/>
                <w:szCs w:val="20"/>
                <w:color w:val="auto"/>
              </w:rPr>
            </w:pPr>
            <w:r>
              <w:rPr>
                <w:rFonts w:ascii="Arial" w:cs="Arial" w:eastAsia="Arial" w:hAnsi="Arial"/>
                <w:sz w:val="18"/>
                <w:szCs w:val="18"/>
                <w:color w:val="auto"/>
              </w:rPr>
              <w:t>and internal controls</w:t>
            </w:r>
          </w:p>
        </w:tc>
        <w:tc>
          <w:tcPr>
            <w:tcW w:w="660" w:type="dxa"/>
            <w:vAlign w:val="bottom"/>
            <w:tcBorders>
              <w:right w:val="single" w:sz="8" w:color="002060"/>
            </w:tcBorders>
          </w:tcPr>
          <w:p>
            <w:pPr>
              <w:spacing w:after="0"/>
              <w:rPr>
                <w:sz w:val="17"/>
                <w:szCs w:val="17"/>
                <w:color w:val="auto"/>
              </w:rPr>
            </w:pPr>
          </w:p>
        </w:tc>
        <w:tc>
          <w:tcPr>
            <w:tcW w:w="2660" w:type="dxa"/>
            <w:vAlign w:val="bottom"/>
            <w:tcBorders>
              <w:right w:val="single" w:sz="8" w:color="002060"/>
            </w:tcBorders>
            <w:shd w:val="clear" w:color="auto" w:fill="D5DCE4"/>
          </w:tcPr>
          <w:p>
            <w:pPr>
              <w:ind w:left="320"/>
              <w:spacing w:after="0" w:line="202" w:lineRule="exact"/>
              <w:rPr>
                <w:sz w:val="20"/>
                <w:szCs w:val="20"/>
                <w:color w:val="auto"/>
              </w:rPr>
            </w:pPr>
            <w:r>
              <w:rPr>
                <w:rFonts w:ascii="Arial" w:cs="Arial" w:eastAsia="Arial" w:hAnsi="Arial"/>
                <w:sz w:val="18"/>
                <w:szCs w:val="18"/>
                <w:color w:val="auto"/>
              </w:rPr>
              <w:t>policies and programs,</w:t>
            </w:r>
          </w:p>
        </w:tc>
        <w:tc>
          <w:tcPr>
            <w:tcW w:w="680" w:type="dxa"/>
            <w:vAlign w:val="bottom"/>
            <w:tcBorders>
              <w:right w:val="single" w:sz="8" w:color="002060"/>
            </w:tcBorders>
          </w:tcPr>
          <w:p>
            <w:pPr>
              <w:spacing w:after="0"/>
              <w:rPr>
                <w:sz w:val="17"/>
                <w:szCs w:val="17"/>
                <w:color w:val="auto"/>
              </w:rPr>
            </w:pPr>
          </w:p>
        </w:tc>
        <w:tc>
          <w:tcPr>
            <w:tcW w:w="2660" w:type="dxa"/>
            <w:vAlign w:val="bottom"/>
            <w:tcBorders>
              <w:right w:val="single" w:sz="8" w:color="002060"/>
            </w:tcBorders>
            <w:shd w:val="clear" w:color="auto" w:fill="D5DCE4"/>
          </w:tcPr>
          <w:p>
            <w:pPr>
              <w:ind w:left="300"/>
              <w:spacing w:after="0" w:line="202" w:lineRule="exact"/>
              <w:rPr>
                <w:sz w:val="20"/>
                <w:szCs w:val="20"/>
                <w:color w:val="auto"/>
              </w:rPr>
            </w:pPr>
            <w:r>
              <w:rPr>
                <w:rFonts w:ascii="Arial" w:cs="Arial" w:eastAsia="Arial" w:hAnsi="Arial"/>
                <w:sz w:val="18"/>
                <w:szCs w:val="18"/>
                <w:color w:val="auto"/>
              </w:rPr>
              <w:t>governance practices, and</w:t>
            </w:r>
          </w:p>
        </w:tc>
      </w:tr>
      <w:tr>
        <w:trPr>
          <w:trHeight w:val="203"/>
        </w:trPr>
        <w:tc>
          <w:tcPr>
            <w:tcW w:w="2980" w:type="dxa"/>
            <w:vAlign w:val="bottom"/>
            <w:tcBorders>
              <w:left w:val="single" w:sz="8" w:color="002060"/>
              <w:right w:val="single" w:sz="8" w:color="002060"/>
            </w:tcBorders>
            <w:shd w:val="clear" w:color="auto" w:fill="D5DCE4"/>
          </w:tcPr>
          <w:p>
            <w:pPr>
              <w:ind w:left="300"/>
              <w:spacing w:after="0" w:line="202" w:lineRule="exact"/>
              <w:rPr>
                <w:sz w:val="20"/>
                <w:szCs w:val="20"/>
                <w:color w:val="auto"/>
              </w:rPr>
            </w:pPr>
            <w:r>
              <w:rPr>
                <w:rFonts w:ascii="Arial" w:cs="Arial" w:eastAsia="Arial" w:hAnsi="Arial"/>
                <w:sz w:val="18"/>
                <w:szCs w:val="18"/>
                <w:color w:val="auto"/>
              </w:rPr>
              <w:t>processes and oversees the</w:t>
            </w:r>
          </w:p>
        </w:tc>
        <w:tc>
          <w:tcPr>
            <w:tcW w:w="660" w:type="dxa"/>
            <w:vAlign w:val="bottom"/>
            <w:tcBorders>
              <w:right w:val="single" w:sz="8" w:color="002060"/>
            </w:tcBorders>
          </w:tcPr>
          <w:p>
            <w:pPr>
              <w:spacing w:after="0"/>
              <w:rPr>
                <w:sz w:val="17"/>
                <w:szCs w:val="17"/>
                <w:color w:val="auto"/>
              </w:rPr>
            </w:pPr>
          </w:p>
        </w:tc>
        <w:tc>
          <w:tcPr>
            <w:tcW w:w="2660" w:type="dxa"/>
            <w:vAlign w:val="bottom"/>
            <w:tcBorders>
              <w:right w:val="single" w:sz="8" w:color="002060"/>
            </w:tcBorders>
            <w:shd w:val="clear" w:color="auto" w:fill="D5DCE4"/>
          </w:tcPr>
          <w:p>
            <w:pPr>
              <w:ind w:left="320"/>
              <w:spacing w:after="0" w:line="202" w:lineRule="exact"/>
              <w:rPr>
                <w:sz w:val="20"/>
                <w:szCs w:val="20"/>
                <w:color w:val="auto"/>
              </w:rPr>
            </w:pPr>
            <w:r>
              <w:rPr>
                <w:rFonts w:ascii="Arial" w:cs="Arial" w:eastAsia="Arial" w:hAnsi="Arial"/>
                <w:sz w:val="18"/>
                <w:szCs w:val="18"/>
                <w:color w:val="auto"/>
              </w:rPr>
              <w:t>including potential risks</w:t>
            </w:r>
          </w:p>
        </w:tc>
        <w:tc>
          <w:tcPr>
            <w:tcW w:w="680" w:type="dxa"/>
            <w:vAlign w:val="bottom"/>
            <w:tcBorders>
              <w:right w:val="single" w:sz="8" w:color="002060"/>
            </w:tcBorders>
          </w:tcPr>
          <w:p>
            <w:pPr>
              <w:spacing w:after="0"/>
              <w:rPr>
                <w:sz w:val="17"/>
                <w:szCs w:val="17"/>
                <w:color w:val="auto"/>
              </w:rPr>
            </w:pPr>
          </w:p>
        </w:tc>
        <w:tc>
          <w:tcPr>
            <w:tcW w:w="2660" w:type="dxa"/>
            <w:vAlign w:val="bottom"/>
            <w:tcBorders>
              <w:right w:val="single" w:sz="8" w:color="002060"/>
            </w:tcBorders>
            <w:shd w:val="clear" w:color="auto" w:fill="D5DCE4"/>
          </w:tcPr>
          <w:p>
            <w:pPr>
              <w:ind w:left="300"/>
              <w:spacing w:after="0" w:line="202" w:lineRule="exact"/>
              <w:rPr>
                <w:sz w:val="20"/>
                <w:szCs w:val="20"/>
                <w:color w:val="auto"/>
              </w:rPr>
            </w:pPr>
            <w:r>
              <w:rPr>
                <w:rFonts w:ascii="Arial" w:cs="Arial" w:eastAsia="Arial" w:hAnsi="Arial"/>
                <w:sz w:val="18"/>
                <w:szCs w:val="18"/>
                <w:color w:val="auto"/>
              </w:rPr>
              <w:t>oversees environmental</w:t>
            </w:r>
          </w:p>
        </w:tc>
      </w:tr>
      <w:tr>
        <w:trPr>
          <w:trHeight w:val="203"/>
        </w:trPr>
        <w:tc>
          <w:tcPr>
            <w:tcW w:w="2980" w:type="dxa"/>
            <w:vAlign w:val="bottom"/>
            <w:tcBorders>
              <w:left w:val="single" w:sz="8" w:color="002060"/>
              <w:right w:val="single" w:sz="8" w:color="002060"/>
            </w:tcBorders>
            <w:shd w:val="clear" w:color="auto" w:fill="D5DCE4"/>
          </w:tcPr>
          <w:p>
            <w:pPr>
              <w:ind w:left="300"/>
              <w:spacing w:after="0" w:line="202" w:lineRule="exact"/>
              <w:rPr>
                <w:sz w:val="20"/>
                <w:szCs w:val="20"/>
                <w:color w:val="auto"/>
              </w:rPr>
            </w:pPr>
            <w:r>
              <w:rPr>
                <w:rFonts w:ascii="Arial" w:cs="Arial" w:eastAsia="Arial" w:hAnsi="Arial"/>
                <w:sz w:val="18"/>
                <w:szCs w:val="18"/>
                <w:color w:val="auto"/>
              </w:rPr>
              <w:t>Company’s financial and</w:t>
            </w:r>
          </w:p>
        </w:tc>
        <w:tc>
          <w:tcPr>
            <w:tcW w:w="660" w:type="dxa"/>
            <w:vAlign w:val="bottom"/>
            <w:tcBorders>
              <w:right w:val="single" w:sz="8" w:color="002060"/>
            </w:tcBorders>
          </w:tcPr>
          <w:p>
            <w:pPr>
              <w:spacing w:after="0"/>
              <w:rPr>
                <w:sz w:val="17"/>
                <w:szCs w:val="17"/>
                <w:color w:val="auto"/>
              </w:rPr>
            </w:pPr>
          </w:p>
        </w:tc>
        <w:tc>
          <w:tcPr>
            <w:tcW w:w="2660" w:type="dxa"/>
            <w:vAlign w:val="bottom"/>
            <w:tcBorders>
              <w:right w:val="single" w:sz="8" w:color="002060"/>
            </w:tcBorders>
            <w:shd w:val="clear" w:color="auto" w:fill="D5DCE4"/>
          </w:tcPr>
          <w:p>
            <w:pPr>
              <w:ind w:left="320"/>
              <w:spacing w:after="0" w:line="202" w:lineRule="exact"/>
              <w:rPr>
                <w:sz w:val="20"/>
                <w:szCs w:val="20"/>
                <w:color w:val="auto"/>
              </w:rPr>
            </w:pPr>
            <w:r>
              <w:rPr>
                <w:rFonts w:ascii="Arial" w:cs="Arial" w:eastAsia="Arial" w:hAnsi="Arial"/>
                <w:sz w:val="18"/>
                <w:szCs w:val="18"/>
                <w:color w:val="auto"/>
              </w:rPr>
              <w:t>associated with our</w:t>
            </w:r>
          </w:p>
        </w:tc>
        <w:tc>
          <w:tcPr>
            <w:tcW w:w="680" w:type="dxa"/>
            <w:vAlign w:val="bottom"/>
            <w:tcBorders>
              <w:right w:val="single" w:sz="8" w:color="002060"/>
            </w:tcBorders>
          </w:tcPr>
          <w:p>
            <w:pPr>
              <w:spacing w:after="0"/>
              <w:rPr>
                <w:sz w:val="17"/>
                <w:szCs w:val="17"/>
                <w:color w:val="auto"/>
              </w:rPr>
            </w:pPr>
          </w:p>
        </w:tc>
        <w:tc>
          <w:tcPr>
            <w:tcW w:w="2660" w:type="dxa"/>
            <w:vAlign w:val="bottom"/>
            <w:tcBorders>
              <w:right w:val="single" w:sz="8" w:color="002060"/>
            </w:tcBorders>
            <w:shd w:val="clear" w:color="auto" w:fill="D5DCE4"/>
          </w:tcPr>
          <w:p>
            <w:pPr>
              <w:ind w:left="300"/>
              <w:spacing w:after="0" w:line="202" w:lineRule="exact"/>
              <w:rPr>
                <w:sz w:val="20"/>
                <w:szCs w:val="20"/>
                <w:color w:val="auto"/>
              </w:rPr>
            </w:pPr>
            <w:r>
              <w:rPr>
                <w:rFonts w:ascii="Arial" w:cs="Arial" w:eastAsia="Arial" w:hAnsi="Arial"/>
                <w:sz w:val="18"/>
                <w:szCs w:val="18"/>
                <w:color w:val="auto"/>
              </w:rPr>
              <w:t>and sustainability</w:t>
            </w:r>
          </w:p>
        </w:tc>
      </w:tr>
      <w:tr>
        <w:trPr>
          <w:trHeight w:val="239"/>
        </w:trPr>
        <w:tc>
          <w:tcPr>
            <w:tcW w:w="2980" w:type="dxa"/>
            <w:vAlign w:val="bottom"/>
            <w:tcBorders>
              <w:left w:val="single" w:sz="8" w:color="002060"/>
              <w:right w:val="single" w:sz="8" w:color="002060"/>
            </w:tcBorders>
            <w:shd w:val="clear" w:color="auto" w:fill="D5DCE4"/>
          </w:tcPr>
          <w:p>
            <w:pPr>
              <w:ind w:left="300"/>
              <w:spacing w:after="0"/>
              <w:rPr>
                <w:sz w:val="20"/>
                <w:szCs w:val="20"/>
                <w:color w:val="auto"/>
              </w:rPr>
            </w:pPr>
            <w:r>
              <w:rPr>
                <w:rFonts w:ascii="Arial" w:cs="Arial" w:eastAsia="Arial" w:hAnsi="Arial"/>
                <w:sz w:val="18"/>
                <w:szCs w:val="18"/>
                <w:color w:val="auto"/>
              </w:rPr>
              <w:t>cybersecurity risk exposures.</w:t>
            </w:r>
          </w:p>
        </w:tc>
        <w:tc>
          <w:tcPr>
            <w:tcW w:w="660" w:type="dxa"/>
            <w:vAlign w:val="bottom"/>
            <w:tcBorders>
              <w:right w:val="single" w:sz="8" w:color="002060"/>
            </w:tcBorders>
          </w:tcPr>
          <w:p>
            <w:pPr>
              <w:spacing w:after="0"/>
              <w:rPr>
                <w:sz w:val="20"/>
                <w:szCs w:val="20"/>
                <w:color w:val="auto"/>
              </w:rPr>
            </w:pPr>
          </w:p>
        </w:tc>
        <w:tc>
          <w:tcPr>
            <w:tcW w:w="2660" w:type="dxa"/>
            <w:vAlign w:val="bottom"/>
            <w:tcBorders>
              <w:right w:val="single" w:sz="8" w:color="002060"/>
            </w:tcBorders>
            <w:shd w:val="clear" w:color="auto" w:fill="D5DCE4"/>
          </w:tcPr>
          <w:p>
            <w:pPr>
              <w:ind w:left="320"/>
              <w:spacing w:after="0"/>
              <w:rPr>
                <w:sz w:val="20"/>
                <w:szCs w:val="20"/>
                <w:color w:val="auto"/>
              </w:rPr>
            </w:pPr>
            <w:r>
              <w:rPr>
                <w:rFonts w:ascii="Arial" w:cs="Arial" w:eastAsia="Arial" w:hAnsi="Arial"/>
                <w:sz w:val="18"/>
                <w:szCs w:val="18"/>
                <w:color w:val="auto"/>
              </w:rPr>
              <w:t>compensation programs.</w:t>
            </w:r>
          </w:p>
        </w:tc>
        <w:tc>
          <w:tcPr>
            <w:tcW w:w="680" w:type="dxa"/>
            <w:vAlign w:val="bottom"/>
            <w:tcBorders>
              <w:right w:val="single" w:sz="8" w:color="002060"/>
            </w:tcBorders>
          </w:tcPr>
          <w:p>
            <w:pPr>
              <w:spacing w:after="0"/>
              <w:rPr>
                <w:sz w:val="20"/>
                <w:szCs w:val="20"/>
                <w:color w:val="auto"/>
              </w:rPr>
            </w:pPr>
          </w:p>
        </w:tc>
        <w:tc>
          <w:tcPr>
            <w:tcW w:w="2660" w:type="dxa"/>
            <w:vAlign w:val="bottom"/>
            <w:tcBorders>
              <w:right w:val="single" w:sz="8" w:color="002060"/>
            </w:tcBorders>
            <w:shd w:val="clear" w:color="auto" w:fill="D5DCE4"/>
          </w:tcPr>
          <w:p>
            <w:pPr>
              <w:ind w:left="300"/>
              <w:spacing w:after="0"/>
              <w:rPr>
                <w:sz w:val="20"/>
                <w:szCs w:val="20"/>
                <w:color w:val="auto"/>
              </w:rPr>
            </w:pPr>
            <w:r>
              <w:rPr>
                <w:rFonts w:ascii="Arial" w:cs="Arial" w:eastAsia="Arial" w:hAnsi="Arial"/>
                <w:sz w:val="18"/>
                <w:szCs w:val="18"/>
                <w:color w:val="auto"/>
              </w:rPr>
              <w:t>initiatives.</w:t>
            </w:r>
          </w:p>
        </w:tc>
      </w:tr>
      <w:tr>
        <w:trPr>
          <w:trHeight w:val="124"/>
        </w:trPr>
        <w:tc>
          <w:tcPr>
            <w:tcW w:w="2980" w:type="dxa"/>
            <w:vAlign w:val="bottom"/>
            <w:tcBorders>
              <w:left w:val="single" w:sz="8" w:color="002060"/>
              <w:bottom w:val="single" w:sz="8" w:color="002060"/>
              <w:right w:val="single" w:sz="8" w:color="002060"/>
            </w:tcBorders>
            <w:shd w:val="clear" w:color="auto" w:fill="D5DCE4"/>
          </w:tcPr>
          <w:p>
            <w:pPr>
              <w:spacing w:after="0"/>
              <w:rPr>
                <w:sz w:val="10"/>
                <w:szCs w:val="10"/>
                <w:color w:val="auto"/>
              </w:rPr>
            </w:pPr>
          </w:p>
        </w:tc>
        <w:tc>
          <w:tcPr>
            <w:tcW w:w="660" w:type="dxa"/>
            <w:vAlign w:val="bottom"/>
            <w:tcBorders>
              <w:right w:val="single" w:sz="8" w:color="002060"/>
            </w:tcBorders>
          </w:tcPr>
          <w:p>
            <w:pPr>
              <w:spacing w:after="0"/>
              <w:rPr>
                <w:sz w:val="10"/>
                <w:szCs w:val="10"/>
                <w:color w:val="auto"/>
              </w:rPr>
            </w:pPr>
          </w:p>
        </w:tc>
        <w:tc>
          <w:tcPr>
            <w:tcW w:w="2660" w:type="dxa"/>
            <w:vAlign w:val="bottom"/>
            <w:tcBorders>
              <w:bottom w:val="single" w:sz="8" w:color="002060"/>
              <w:right w:val="single" w:sz="8" w:color="002060"/>
            </w:tcBorders>
            <w:shd w:val="clear" w:color="auto" w:fill="D5DCE4"/>
          </w:tcPr>
          <w:p>
            <w:pPr>
              <w:spacing w:after="0"/>
              <w:rPr>
                <w:sz w:val="10"/>
                <w:szCs w:val="10"/>
                <w:color w:val="auto"/>
              </w:rPr>
            </w:pPr>
          </w:p>
        </w:tc>
        <w:tc>
          <w:tcPr>
            <w:tcW w:w="680" w:type="dxa"/>
            <w:vAlign w:val="bottom"/>
            <w:tcBorders>
              <w:right w:val="single" w:sz="8" w:color="002060"/>
            </w:tcBorders>
          </w:tcPr>
          <w:p>
            <w:pPr>
              <w:spacing w:after="0"/>
              <w:rPr>
                <w:sz w:val="10"/>
                <w:szCs w:val="10"/>
                <w:color w:val="auto"/>
              </w:rPr>
            </w:pPr>
          </w:p>
        </w:tc>
        <w:tc>
          <w:tcPr>
            <w:tcW w:w="2660" w:type="dxa"/>
            <w:vAlign w:val="bottom"/>
            <w:tcBorders>
              <w:bottom w:val="single" w:sz="8" w:color="002060"/>
              <w:right w:val="single" w:sz="8" w:color="002060"/>
            </w:tcBorders>
            <w:shd w:val="clear" w:color="auto" w:fill="D5DCE4"/>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231775</wp:posOffset>
            </wp:positionV>
            <wp:extent cx="5186045" cy="24085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86045" cy="24085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FFFFFF"/>
        </w:rPr>
        <w:t>Management</w:t>
      </w:r>
    </w:p>
    <w:p>
      <w:pPr>
        <w:spacing w:after="0" w:line="324" w:lineRule="exact"/>
        <w:rPr>
          <w:sz w:val="20"/>
          <w:szCs w:val="20"/>
          <w:color w:val="auto"/>
        </w:rPr>
      </w:pPr>
    </w:p>
    <w:p>
      <w:pPr>
        <w:ind w:left="1780" w:right="1400"/>
        <w:spacing w:after="0" w:line="261" w:lineRule="auto"/>
        <w:rPr>
          <w:sz w:val="20"/>
          <w:szCs w:val="20"/>
          <w:color w:val="auto"/>
        </w:rPr>
      </w:pPr>
      <w:r>
        <w:rPr>
          <w:rFonts w:ascii="Arial" w:cs="Arial" w:eastAsia="Arial" w:hAnsi="Arial"/>
          <w:sz w:val="17"/>
          <w:szCs w:val="17"/>
          <w:color w:val="auto"/>
        </w:rPr>
        <w:t>It is management’s responsibility to identify material risks facing the Company, to evaluate and prioritize these risks, and to develop plans to monitor, manage and mitigate the risks. These risks may include market and industry risks relating to general economic conditions and housing and commercial construction activity, external risks such as weather and cybersecurity risks, strategic and business risks, financial risk, operational risk, and legal and regulatory risk.</w:t>
      </w:r>
    </w:p>
    <w:p>
      <w:pPr>
        <w:spacing w:after="0" w:line="193" w:lineRule="exact"/>
        <w:rPr>
          <w:sz w:val="20"/>
          <w:szCs w:val="20"/>
          <w:color w:val="auto"/>
        </w:rPr>
      </w:pPr>
    </w:p>
    <w:p>
      <w:pPr>
        <w:ind w:left="1780" w:right="1360"/>
        <w:spacing w:after="0"/>
        <w:rPr>
          <w:sz w:val="20"/>
          <w:szCs w:val="20"/>
          <w:color w:val="auto"/>
        </w:rPr>
      </w:pPr>
      <w:r>
        <w:rPr>
          <w:rFonts w:ascii="Arial" w:cs="Arial" w:eastAsia="Arial" w:hAnsi="Arial"/>
          <w:sz w:val="18"/>
          <w:szCs w:val="18"/>
          <w:color w:val="auto"/>
        </w:rPr>
        <w:t>Management regularly discusses strategic and operational risks, including through regular meetings of the Sarbanes Oxley steering committee, information security committee and enterprise risk safety committee. Our risk assessment practices, including auditing procedures, internal controls over financial reporting, whistleblower program and other compliance policies and programs, are designed to help inform management about our material risks. Management reviews these risks with the Board and its committees quarterly and advises the Board concerning major risk exposure and the steps taken to monitor, mitigate or eliminate material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220345</wp:posOffset>
            </wp:positionV>
            <wp:extent cx="6995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0070C0"/>
        </w:rPr>
        <w:t>Corporate Governance</w:t>
      </w:r>
    </w:p>
    <w:p>
      <w:pPr>
        <w:spacing w:after="0" w:line="5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0070C0"/>
        </w:rPr>
        <w:t>23</w:t>
      </w:r>
    </w:p>
    <w:p>
      <w:pPr>
        <w:sectPr>
          <w:pgSz w:w="11900" w:h="16838" w:orient="portrait"/>
          <w:cols w:equalWidth="0" w:num="1">
            <w:col w:w="10700"/>
          </w:cols>
          <w:pgMar w:left="440" w:top="287" w:right="759" w:bottom="1440" w:gutter="0" w:footer="0" w:header="0"/>
        </w:sectPr>
      </w:pPr>
    </w:p>
    <w:bookmarkStart w:id="31" w:name="page32"/>
    <w:bookmarkEnd w:id="31"/>
    <w:p>
      <w:pPr>
        <w:spacing w:after="0"/>
        <w:rPr>
          <w:sz w:val="20"/>
          <w:szCs w:val="20"/>
          <w:color w:val="auto"/>
        </w:rPr>
      </w:pPr>
      <w:r>
        <w:rPr>
          <w:rFonts w:ascii="Arial" w:cs="Arial" w:eastAsia="Arial" w:hAnsi="Arial"/>
          <w:sz w:val="22"/>
          <w:szCs w:val="22"/>
          <w:b w:val="1"/>
          <w:bCs w:val="1"/>
          <w:color w:val="00206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Cybersecurity Oversight</w:t>
      </w:r>
    </w:p>
    <w:p>
      <w:pPr>
        <w:spacing w:after="0" w:line="21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recognize the need to continually assess cybersecurity risks in the face of a constantly evolving threat landscape. The Audit Committee is responsible for direct oversight of the Company’s cybersecurity risk management program. Our Director of Internal Audit and our Chief Information Officer, both members of our senior leadership, report to the Audit Committee at each quarterly meeting, and more frequently if necessary. Quarterly presentations include reports of cybersecurity incidents and the effectiveness of our cybersecurity program, which includes processes and systems used to identify, protect, detect, respond and recover from cybersecurity incidents. If a cybersecurity incident is deemed to have the potential for a material impact on the Company, our Incident Response, Reporting and Management Policy dictates procedures for promptly briefing the Audit Committee. Mr. Hilsheimer, the chair of our Audit Committee, has earned a CERT Certificate in Cybersecurity Oversight from the National Association of Corporate Directors, which aids the Audit Committee’s understanding of the cybersecurity threat landscape and assists the Audit Committee in overseeing an effective cybersecurity risk management program.</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ESG Oversight</w:t>
      </w:r>
    </w:p>
    <w:p>
      <w:pPr>
        <w:spacing w:after="0" w:line="216"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Oversight of Company ESG programs and initiatives is performed both broadly by the Board and on a more granular level by the Board committees. Pursuant to its charter, the NCG Committee is responsible for the oversight of our ESG programs, except to the extent reserved to the full Board or another Board committee. The NCG Committee directly oversees the Company’s corporate governance, environmental and sustainability practices. The CHC Committee oversees our Foundation activities and human capital management practices, including DEI&amp;B, talent development initiatives, employee retention and employee compensation practices. As described in more detail in “</w:t>
      </w:r>
      <w:r>
        <w:rPr>
          <w:rFonts w:ascii="Arial" w:cs="Arial" w:eastAsia="Arial" w:hAnsi="Arial"/>
          <w:sz w:val="18"/>
          <w:szCs w:val="18"/>
          <w:i w:val="1"/>
          <w:iCs w:val="1"/>
          <w:color w:val="auto"/>
        </w:rPr>
        <w:t>Board Committee Oversight</w:t>
      </w:r>
      <w:r>
        <w:rPr>
          <w:rFonts w:ascii="Arial" w:cs="Arial" w:eastAsia="Arial" w:hAnsi="Arial"/>
          <w:sz w:val="18"/>
          <w:szCs w:val="18"/>
          <w:color w:val="auto"/>
        </w:rPr>
        <w:t>,” each Committee receives quarterly reports on the areas within its oversight function and reports on each of these areas to the Board at each quarterly Board meeting. The Board also directly receives periodic sustainability, cybersecurity, DEI&amp;B and Foundation reports from Company team leaders at its regular meetings. See also “</w:t>
      </w:r>
      <w:r>
        <w:rPr>
          <w:rFonts w:ascii="Arial" w:cs="Arial" w:eastAsia="Arial" w:hAnsi="Arial"/>
          <w:sz w:val="18"/>
          <w:szCs w:val="18"/>
          <w:i w:val="1"/>
          <w:iCs w:val="1"/>
          <w:color w:val="auto"/>
        </w:rPr>
        <w:t>Corporate Responsibility</w:t>
      </w:r>
      <w:r>
        <w:rPr>
          <w:rFonts w:ascii="Arial" w:cs="Arial" w:eastAsia="Arial" w:hAnsi="Arial"/>
          <w:sz w:val="18"/>
          <w:szCs w:val="18"/>
          <w:color w:val="auto"/>
        </w:rPr>
        <w:t>” below.</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Board Committee Oversight</w:t>
      </w:r>
    </w:p>
    <w:p>
      <w:pPr>
        <w:spacing w:after="0" w:line="216"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The Board currently has three standing committees: Audit, Compensation and Human Capital, and Nominating and Corporate Governance. Each committee is chaired by an independent director, who determines the agenda, frequency and length of meetings and who has unlimited access to management and Company employees. Each committee operates under a written charter approved by the Board that sets forth its responsibilities, and each committee periodically assesses the adequacy of its charter and recommends changes to the Board if necessary.</w:t>
      </w:r>
    </w:p>
    <w:p>
      <w:pPr>
        <w:spacing w:after="0" w:line="176"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The Board has delegated certain risk management oversight to its committees in their areas of responsibility. The Board is kept informed of each committee’s risk oversight activities through reports to the Board presented at every regular Board meeting. The risk oversight functions described below do not represent a complete list of all enterprise risks and Company practices that are considered and addressed from time to time by the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69951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Corporate Governance</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24</w:t>
      </w:r>
    </w:p>
    <w:p>
      <w:pPr>
        <w:sectPr>
          <w:pgSz w:w="11900" w:h="16838" w:orient="portrait"/>
          <w:cols w:equalWidth="0" w:num="1">
            <w:col w:w="11000"/>
          </w:cols>
          <w:pgMar w:left="440" w:top="287"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FFFFFF"/>
        </w:rPr>
        <w:t>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163195</wp:posOffset>
            </wp:positionV>
            <wp:extent cx="968375" cy="13887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68375"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320"/>
        <w:spacing w:after="0"/>
        <w:rPr>
          <w:sz w:val="20"/>
          <w:szCs w:val="20"/>
          <w:color w:val="auto"/>
        </w:rPr>
      </w:pPr>
      <w:r>
        <w:rPr>
          <w:rFonts w:ascii="Arial" w:cs="Arial" w:eastAsia="Arial" w:hAnsi="Arial"/>
          <w:sz w:val="16"/>
          <w:szCs w:val="16"/>
          <w:b w:val="1"/>
          <w:bCs w:val="1"/>
          <w:i w:val="1"/>
          <w:iCs w:val="1"/>
          <w:color w:val="0070C0"/>
        </w:rPr>
        <w:t>Lawrence A. Hilsheimer</w:t>
      </w:r>
    </w:p>
    <w:p>
      <w:pPr>
        <w:spacing w:after="0" w:line="16" w:lineRule="exact"/>
        <w:rPr>
          <w:sz w:val="20"/>
          <w:szCs w:val="20"/>
          <w:color w:val="auto"/>
        </w:rPr>
      </w:pPr>
    </w:p>
    <w:p>
      <w:pPr>
        <w:ind w:left="940"/>
        <w:spacing w:after="0"/>
        <w:rPr>
          <w:sz w:val="20"/>
          <w:szCs w:val="20"/>
          <w:color w:val="auto"/>
        </w:rPr>
      </w:pPr>
      <w:r>
        <w:rPr>
          <w:rFonts w:ascii="Arial" w:cs="Arial" w:eastAsia="Arial" w:hAnsi="Arial"/>
          <w:sz w:val="18"/>
          <w:szCs w:val="18"/>
          <w:b w:val="1"/>
          <w:bCs w:val="1"/>
          <w:i w:val="1"/>
          <w:iCs w:val="1"/>
          <w:color w:val="0070C0"/>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314960</wp:posOffset>
            </wp:positionV>
            <wp:extent cx="968375" cy="13887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68375"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0070C0"/>
        </w:rPr>
        <w:t>Margot L.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325120</wp:posOffset>
            </wp:positionV>
            <wp:extent cx="968375" cy="13887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68375"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0070C0"/>
        </w:rPr>
        <w:t>Michael H. Thomas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 xml:space="preserve">Meetings in 2023: </w:t>
      </w:r>
      <w:r>
        <w:rPr>
          <w:rFonts w:ascii="Arial" w:cs="Arial" w:eastAsia="Arial" w:hAnsi="Arial"/>
          <w:sz w:val="18"/>
          <w:szCs w:val="18"/>
          <w:color w:val="00000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-513080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-1703705</wp:posOffset>
            </wp:positionH>
            <wp:positionV relativeFrom="paragraph">
              <wp:posOffset>-401955</wp:posOffset>
            </wp:positionV>
            <wp:extent cx="6995160" cy="2057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205740"/>
                    </a:xfrm>
                    <a:prstGeom prst="rect">
                      <a:avLst/>
                    </a:prstGeom>
                    <a:noFill/>
                  </pic:spPr>
                </pic:pic>
              </a:graphicData>
            </a:graphic>
          </wp:anchor>
        </w:drawing>
      </w:r>
    </w:p>
    <w:p>
      <w:pPr>
        <w:spacing w:after="0" w:line="97" w:lineRule="exact"/>
        <w:rPr>
          <w:sz w:val="20"/>
          <w:szCs w:val="20"/>
          <w:color w:val="auto"/>
        </w:rPr>
      </w:pPr>
    </w:p>
    <w:p>
      <w:pPr>
        <w:ind w:left="280" w:hanging="269"/>
        <w:spacing w:after="0" w:line="271" w:lineRule="auto"/>
        <w:rPr>
          <w:sz w:val="20"/>
          <w:szCs w:val="20"/>
          <w:color w:val="auto"/>
        </w:rPr>
      </w:pPr>
      <w:r>
        <w:rPr>
          <w:rFonts w:ascii="Wingdings" w:cs="Wingdings" w:eastAsia="Wingdings" w:hAnsi="Wingdings"/>
          <w:sz w:val="18"/>
          <w:szCs w:val="18"/>
          <w:b w:val="1"/>
          <w:bCs w:val="1"/>
          <w:color w:val="auto"/>
          <w:shd w:val="clear" w:color="auto" w:fill="0070C0"/>
        </w:rPr>
        <w:t>ü</w:t>
      </w:r>
      <w:r>
        <w:rPr>
          <w:rFonts w:ascii="Arial" w:cs="Arial" w:eastAsia="Arial" w:hAnsi="Arial"/>
          <w:sz w:val="18"/>
          <w:szCs w:val="18"/>
          <w:color w:val="auto"/>
        </w:rPr>
        <w:t xml:space="preserve">   All members are independent under the Securities and Exchange Commission (“SEC”) and New York</w:t>
      </w:r>
      <w:r>
        <w:rPr>
          <w:rFonts w:ascii="Wingdings" w:cs="Wingdings" w:eastAsia="Wingdings" w:hAnsi="Wingdings"/>
          <w:sz w:val="18"/>
          <w:szCs w:val="18"/>
          <w:b w:val="1"/>
          <w:bCs w:val="1"/>
          <w:color w:val="auto"/>
          <w:shd w:val="clear" w:color="auto" w:fill="0070C0"/>
        </w:rPr>
        <w:t xml:space="preserve"> </w:t>
      </w:r>
      <w:r>
        <w:rPr>
          <w:rFonts w:ascii="Arial" w:cs="Arial" w:eastAsia="Arial" w:hAnsi="Arial"/>
          <w:sz w:val="18"/>
          <w:szCs w:val="18"/>
          <w:color w:val="auto"/>
        </w:rPr>
        <w:t>Stock Exchange (“NYSE”) rules and are “financially literate” under NYSE rules</w:t>
      </w:r>
    </w:p>
    <w:p>
      <w:pPr>
        <w:spacing w:after="0" w:line="59" w:lineRule="exact"/>
        <w:rPr>
          <w:sz w:val="20"/>
          <w:szCs w:val="20"/>
          <w:color w:val="auto"/>
        </w:rPr>
      </w:pPr>
    </w:p>
    <w:p>
      <w:pPr>
        <w:spacing w:after="0"/>
        <w:rPr>
          <w:sz w:val="20"/>
          <w:szCs w:val="20"/>
          <w:color w:val="auto"/>
        </w:rPr>
      </w:pPr>
      <w:r>
        <w:rPr>
          <w:rFonts w:ascii="Wingdings" w:cs="Wingdings" w:eastAsia="Wingdings" w:hAnsi="Wingdings"/>
          <w:sz w:val="18"/>
          <w:szCs w:val="18"/>
          <w:b w:val="1"/>
          <w:bCs w:val="1"/>
          <w:color w:val="auto"/>
          <w:shd w:val="clear" w:color="auto" w:fill="0070C0"/>
        </w:rPr>
        <w:t>ü</w:t>
      </w:r>
      <w:r>
        <w:rPr>
          <w:rFonts w:ascii="Arial" w:cs="Arial" w:eastAsia="Arial" w:hAnsi="Arial"/>
          <w:sz w:val="18"/>
          <w:szCs w:val="18"/>
          <w:color w:val="auto"/>
        </w:rPr>
        <w:t xml:space="preserve">   Mr. Hilsheimer is an “audit committee financial expert” under SEC rules</w:t>
      </w:r>
    </w:p>
    <w:p>
      <w:pPr>
        <w:spacing w:after="0" w:line="117" w:lineRule="exact"/>
        <w:rPr>
          <w:sz w:val="20"/>
          <w:szCs w:val="20"/>
          <w:color w:val="auto"/>
        </w:rPr>
      </w:pPr>
    </w:p>
    <w:p>
      <w:pPr>
        <w:ind w:left="280" w:right="820" w:hanging="269"/>
        <w:spacing w:after="0" w:line="271" w:lineRule="auto"/>
        <w:rPr>
          <w:sz w:val="20"/>
          <w:szCs w:val="20"/>
          <w:color w:val="auto"/>
        </w:rPr>
      </w:pPr>
      <w:r>
        <w:rPr>
          <w:rFonts w:ascii="Wingdings" w:cs="Wingdings" w:eastAsia="Wingdings" w:hAnsi="Wingdings"/>
          <w:sz w:val="18"/>
          <w:szCs w:val="18"/>
          <w:b w:val="1"/>
          <w:bCs w:val="1"/>
          <w:color w:val="auto"/>
          <w:shd w:val="clear" w:color="auto" w:fill="0070C0"/>
        </w:rPr>
        <w:t>ü</w:t>
      </w:r>
      <w:r>
        <w:rPr>
          <w:rFonts w:ascii="Arial" w:cs="Arial" w:eastAsia="Arial" w:hAnsi="Arial"/>
          <w:sz w:val="18"/>
          <w:szCs w:val="18"/>
          <w:color w:val="auto"/>
        </w:rPr>
        <w:t xml:space="preserve">   Mr. Hilsheimer has earned a CERT Certificate in Cybersecurity Oversight from the National</w:t>
      </w:r>
      <w:r>
        <w:rPr>
          <w:rFonts w:ascii="Wingdings" w:cs="Wingdings" w:eastAsia="Wingdings" w:hAnsi="Wingdings"/>
          <w:sz w:val="18"/>
          <w:szCs w:val="18"/>
          <w:b w:val="1"/>
          <w:bCs w:val="1"/>
          <w:color w:val="auto"/>
          <w:shd w:val="clear" w:color="auto" w:fill="0070C0"/>
        </w:rPr>
        <w:t xml:space="preserve"> </w:t>
      </w:r>
      <w:r>
        <w:rPr>
          <w:rFonts w:ascii="Arial" w:cs="Arial" w:eastAsia="Arial" w:hAnsi="Arial"/>
          <w:sz w:val="18"/>
          <w:szCs w:val="18"/>
          <w:color w:val="auto"/>
        </w:rPr>
        <w:t>Association of Corporate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57785</wp:posOffset>
            </wp:positionV>
            <wp:extent cx="5426075" cy="7118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426075" cy="711835"/>
                    </a:xfrm>
                    <a:prstGeom prst="rect">
                      <a:avLst/>
                    </a:prstGeom>
                    <a:noFill/>
                  </pic:spPr>
                </pic:pic>
              </a:graphicData>
            </a:graphic>
          </wp:anchor>
        </w:drawing>
      </w:r>
    </w:p>
    <w:p>
      <w:pPr>
        <w:spacing w:after="0" w:line="201"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b w:val="1"/>
          <w:bCs w:val="1"/>
          <w:color w:val="0070C0"/>
        </w:rPr>
        <w:t xml:space="preserve">Purpose: </w:t>
      </w:r>
      <w:r>
        <w:rPr>
          <w:rFonts w:ascii="Arial" w:cs="Arial" w:eastAsia="Arial" w:hAnsi="Arial"/>
          <w:sz w:val="18"/>
          <w:szCs w:val="18"/>
          <w:color w:val="000000"/>
        </w:rPr>
        <w:t>The Audit Committee provides independent, objective oversight of the quality and integrity of</w:t>
      </w:r>
      <w:r>
        <w:rPr>
          <w:rFonts w:ascii="Arial" w:cs="Arial" w:eastAsia="Arial" w:hAnsi="Arial"/>
          <w:sz w:val="18"/>
          <w:szCs w:val="18"/>
          <w:b w:val="1"/>
          <w:bCs w:val="1"/>
          <w:color w:val="0070C0"/>
        </w:rPr>
        <w:t xml:space="preserve"> </w:t>
      </w:r>
      <w:r>
        <w:rPr>
          <w:rFonts w:ascii="Arial" w:cs="Arial" w:eastAsia="Arial" w:hAnsi="Arial"/>
          <w:sz w:val="18"/>
          <w:szCs w:val="18"/>
          <w:color w:val="000000"/>
        </w:rPr>
        <w:t>our financial statements and financial reporting processes and procedures, the performance of our accounting and financial controls, our internal audit function, the annual independent audit of our financial statements and our policies for financial and cybersecurity risk assessment and management.</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Responsibilities:</w:t>
      </w:r>
    </w:p>
    <w:p>
      <w:pPr>
        <w:spacing w:after="0" w:line="239" w:lineRule="exact"/>
        <w:rPr>
          <w:sz w:val="20"/>
          <w:szCs w:val="20"/>
          <w:color w:val="auto"/>
        </w:rPr>
      </w:pPr>
    </w:p>
    <w:p>
      <w:pPr>
        <w:ind w:left="280" w:right="240" w:hanging="269"/>
        <w:spacing w:after="0" w:line="214"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Selecting and engaging our independent registered public accounting firm, approving the auditor’s audit and non-audit services and fees, evaluating the auditor’s qualifications, independence and performance and directly overseeing the work of the auditors.</w:t>
      </w:r>
    </w:p>
    <w:p>
      <w:pPr>
        <w:spacing w:after="0" w:line="33" w:lineRule="exact"/>
        <w:rPr>
          <w:sz w:val="20"/>
          <w:szCs w:val="20"/>
          <w:color w:val="auto"/>
        </w:rPr>
      </w:pPr>
    </w:p>
    <w:p>
      <w:pPr>
        <w:ind w:left="280" w:right="160" w:hanging="269"/>
        <w:spacing w:after="0" w:line="220"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Discussing with the auditors the scope of the annual audit and the audited financial statements and reviewing with the auditor any audit problems and management’s response.</w:t>
      </w:r>
    </w:p>
    <w:p>
      <w:pPr>
        <w:spacing w:after="0" w:line="33" w:lineRule="exact"/>
        <w:rPr>
          <w:sz w:val="20"/>
          <w:szCs w:val="20"/>
          <w:color w:val="auto"/>
        </w:rPr>
      </w:pPr>
    </w:p>
    <w:p>
      <w:pPr>
        <w:ind w:left="280" w:right="200" w:hanging="269"/>
        <w:spacing w:after="0" w:line="220"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Reviewing the responsibilities, budget and staffing of the Company’s internal audit function and the selection, evaluation, compensation and removal of the director of internal audit.</w:t>
      </w:r>
    </w:p>
    <w:p>
      <w:pPr>
        <w:spacing w:after="0" w:line="33" w:lineRule="exact"/>
        <w:rPr>
          <w:sz w:val="20"/>
          <w:szCs w:val="20"/>
          <w:color w:val="auto"/>
        </w:rPr>
      </w:pPr>
    </w:p>
    <w:p>
      <w:pPr>
        <w:ind w:left="280" w:right="680" w:hanging="269"/>
        <w:spacing w:after="0" w:line="220"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Reviewing with the internal audit department the status, results and remedial actions of audit projects.</w:t>
      </w:r>
    </w:p>
    <w:p>
      <w:pPr>
        <w:spacing w:after="0" w:line="33" w:lineRule="exact"/>
        <w:rPr>
          <w:sz w:val="20"/>
          <w:szCs w:val="20"/>
          <w:color w:val="auto"/>
        </w:rPr>
      </w:pPr>
    </w:p>
    <w:p>
      <w:pPr>
        <w:ind w:left="280" w:hanging="269"/>
        <w:spacing w:after="0" w:line="212"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Overseeing the Company’s internal controls, including disclosure controls and internal controls over financial reporting (including any material weaknesses, significant deficiencies, significant changes to internal controls and fraud), which includes reporting by internal and external auditors at every regular meeting.</w:t>
      </w:r>
    </w:p>
    <w:p>
      <w:pPr>
        <w:spacing w:after="0" w:line="32" w:lineRule="exact"/>
        <w:rPr>
          <w:sz w:val="20"/>
          <w:szCs w:val="20"/>
          <w:color w:val="auto"/>
        </w:rPr>
      </w:pPr>
    </w:p>
    <w:p>
      <w:pPr>
        <w:ind w:left="280" w:right="180" w:hanging="269"/>
        <w:spacing w:after="0" w:line="220"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Overseeing compliance with applicable laws and regulations and the Company’s Code of Business Conduct and Ethics (“Ethics Code”).</w:t>
      </w:r>
    </w:p>
    <w:p>
      <w:pPr>
        <w:spacing w:after="0" w:line="33" w:lineRule="exact"/>
        <w:rPr>
          <w:sz w:val="20"/>
          <w:szCs w:val="20"/>
          <w:color w:val="auto"/>
        </w:rPr>
      </w:pPr>
    </w:p>
    <w:p>
      <w:pPr>
        <w:ind w:left="280" w:right="440" w:hanging="269"/>
        <w:spacing w:after="0" w:line="214"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Overseeing guidelines and policies governing the process by which management assesses and manages the Company’s exposure to risk and overseeing the Company’s major financial risk exposures and the steps management has taken to monitor and control such exposures.</w:t>
      </w:r>
    </w:p>
    <w:p>
      <w:pPr>
        <w:spacing w:after="0" w:line="33" w:lineRule="exact"/>
        <w:rPr>
          <w:sz w:val="20"/>
          <w:szCs w:val="20"/>
          <w:color w:val="auto"/>
        </w:rPr>
      </w:pPr>
    </w:p>
    <w:p>
      <w:pPr>
        <w:ind w:left="280" w:right="140" w:hanging="269"/>
        <w:spacing w:after="0" w:line="212"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Discussing with general counsel any significant legal, compliance or regulatory matters that may have a material effect on the financial statements, including material notices to or inquiries received from governmental agencies and evidence of breaches of fiduciary duty or other violations of the Company’s Code of Business Conduct and Ethics.</w:t>
      </w:r>
    </w:p>
    <w:p>
      <w:pPr>
        <w:spacing w:after="0" w:line="32" w:lineRule="exact"/>
        <w:rPr>
          <w:sz w:val="20"/>
          <w:szCs w:val="20"/>
          <w:color w:val="auto"/>
        </w:rPr>
      </w:pPr>
    </w:p>
    <w:p>
      <w:pPr>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Overseeing complaints regarding accounting, internal accounting controls and auditing matters.</w:t>
      </w:r>
    </w:p>
    <w:p>
      <w:pPr>
        <w:spacing w:after="0" w:line="63" w:lineRule="exact"/>
        <w:rPr>
          <w:sz w:val="20"/>
          <w:szCs w:val="20"/>
          <w:color w:val="auto"/>
        </w:rPr>
      </w:pPr>
    </w:p>
    <w:p>
      <w:pPr>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Overseeing the Company’s ethics, investment, derivatives and related party transaction policies.</w:t>
      </w:r>
    </w:p>
    <w:p>
      <w:pPr>
        <w:spacing w:after="0" w:line="63" w:lineRule="exact"/>
        <w:rPr>
          <w:sz w:val="20"/>
          <w:szCs w:val="20"/>
          <w:color w:val="auto"/>
        </w:rPr>
      </w:pPr>
    </w:p>
    <w:p>
      <w:pPr>
        <w:ind w:left="280" w:right="540" w:hanging="269"/>
        <w:spacing w:after="0" w:line="214"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Overseeing cybersecurity and information technology risks, controls and procedures, including privacy and network security and risks affecting adequacy of internal controls, which includes reporting on cybersecurity at every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-1703705</wp:posOffset>
            </wp:positionH>
            <wp:positionV relativeFrom="paragraph">
              <wp:posOffset>127635</wp:posOffset>
            </wp:positionV>
            <wp:extent cx="69951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540"/>
            <w:col w:w="8300"/>
          </w:cols>
          <w:pgMar w:left="440" w:top="337" w:right="479" w:bottom="1440" w:gutter="0" w:footer="0" w:header="0"/>
        </w:sectPr>
      </w:pP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0070C0"/>
        </w:rPr>
        <w:t>IBP 2024 Proxy Statement</w:t>
      </w:r>
    </w:p>
    <w:p>
      <w:pPr>
        <w:spacing w:after="0" w:line="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0070C0"/>
        </w:rPr>
        <w:t>Corporate Governance</w:t>
      </w:r>
    </w:p>
    <w:p>
      <w:pPr>
        <w:spacing w:after="0" w:line="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70C0"/>
        </w:rPr>
        <w:t>25</w:t>
      </w:r>
    </w:p>
    <w:p>
      <w:pPr>
        <w:sectPr>
          <w:pgSz w:w="11900" w:h="16838" w:orient="portrait"/>
          <w:cols w:equalWidth="0" w:num="1">
            <w:col w:w="10980"/>
          </w:cols>
          <w:pgMar w:left="440" w:top="337" w:right="47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200025</wp:posOffset>
            </wp:positionV>
            <wp:extent cx="6995160" cy="2057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205740"/>
                    </a:xfrm>
                    <a:prstGeom prst="rect">
                      <a:avLst/>
                    </a:prstGeom>
                    <a:noFill/>
                  </pic:spPr>
                </pic:pic>
              </a:graphicData>
            </a:graphic>
          </wp:anchor>
        </w:drawing>
        <w:t>  Compensation and Human Capital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144780</wp:posOffset>
            </wp:positionV>
            <wp:extent cx="968375" cy="13798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68375" cy="1379855"/>
                    </a:xfrm>
                    <a:prstGeom prst="rect">
                      <a:avLst/>
                    </a:prstGeom>
                    <a:noFill/>
                  </pic:spPr>
                </pic:pic>
              </a:graphicData>
            </a:graphic>
          </wp:anchor>
        </w:drawing>
      </w:r>
    </w:p>
    <w:p>
      <w:pPr>
        <w:sectPr>
          <w:pgSz w:w="11900" w:h="16838" w:orient="portrait"/>
          <w:cols w:equalWidth="0" w:num="1">
            <w:col w:w="11000"/>
          </w:cols>
          <w:pgMar w:left="440" w:top="337"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i w:val="1"/>
          <w:iCs w:val="1"/>
          <w:color w:val="0070C0"/>
        </w:rPr>
        <w:t>Janet J. Jackson</w:t>
      </w:r>
    </w:p>
    <w:p>
      <w:pPr>
        <w:spacing w:after="0" w:line="12"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i w:val="1"/>
          <w:iCs w:val="1"/>
          <w:color w:val="0070C0"/>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314960</wp:posOffset>
            </wp:positionV>
            <wp:extent cx="968375" cy="13798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68375" cy="137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0070C0"/>
        </w:rPr>
        <w:t>David R. Meuse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325120</wp:posOffset>
            </wp:positionV>
            <wp:extent cx="968375" cy="13716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68375"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0070C0"/>
        </w:rPr>
        <w:t>Marchelle E. Moore</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 xml:space="preserve">Meetings in 2023: </w:t>
      </w:r>
      <w:r>
        <w:rPr>
          <w:rFonts w:ascii="Arial" w:cs="Arial" w:eastAsia="Arial" w:hAnsi="Arial"/>
          <w:sz w:val="18"/>
          <w:szCs w:val="18"/>
          <w:color w:val="000000"/>
        </w:rPr>
        <w:t>5</w:t>
      </w:r>
    </w:p>
    <w:p>
      <w:pPr>
        <w:spacing w:after="0" w:line="117" w:lineRule="exact"/>
        <w:rPr>
          <w:sz w:val="20"/>
          <w:szCs w:val="20"/>
          <w:color w:val="auto"/>
        </w:rPr>
      </w:pPr>
    </w:p>
    <w:p>
      <w:pPr>
        <w:spacing w:after="0"/>
        <w:rPr>
          <w:sz w:val="20"/>
          <w:szCs w:val="20"/>
          <w:color w:val="auto"/>
        </w:rPr>
      </w:pPr>
      <w:r>
        <w:rPr>
          <w:rFonts w:ascii="Wingdings" w:cs="Wingdings" w:eastAsia="Wingdings" w:hAnsi="Wingdings"/>
          <w:sz w:val="18"/>
          <w:szCs w:val="18"/>
          <w:b w:val="1"/>
          <w:bCs w:val="1"/>
          <w:color w:val="auto"/>
          <w:shd w:val="clear" w:color="auto" w:fill="0070C0"/>
        </w:rPr>
        <w:t>ü</w:t>
      </w:r>
      <w:r>
        <w:rPr>
          <w:rFonts w:ascii="Arial" w:cs="Arial" w:eastAsia="Arial" w:hAnsi="Arial"/>
          <w:sz w:val="18"/>
          <w:szCs w:val="18"/>
          <w:color w:val="auto"/>
        </w:rPr>
        <w:t xml:space="preserve">   All members are independent under NYSE rules and “non-employee directors” under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94615</wp:posOffset>
            </wp:positionV>
            <wp:extent cx="5452110" cy="5829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452110" cy="582930"/>
                    </a:xfrm>
                    <a:prstGeom prst="rect">
                      <a:avLst/>
                    </a:prstGeom>
                    <a:noFill/>
                  </pic:spPr>
                </pic:pic>
              </a:graphicData>
            </a:graphic>
          </wp:anchor>
        </w:drawing>
      </w:r>
    </w:p>
    <w:p>
      <w:pPr>
        <w:spacing w:after="0" w:line="25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b w:val="1"/>
          <w:bCs w:val="1"/>
          <w:color w:val="0070C0"/>
        </w:rPr>
        <w:t xml:space="preserve">Purpose: </w:t>
      </w:r>
      <w:r>
        <w:rPr>
          <w:rFonts w:ascii="Arial" w:cs="Arial" w:eastAsia="Arial" w:hAnsi="Arial"/>
          <w:sz w:val="18"/>
          <w:szCs w:val="18"/>
          <w:color w:val="000000"/>
        </w:rPr>
        <w:t>The CHC Committee oversees our human capital management practices; the design,</w:t>
      </w:r>
      <w:r>
        <w:rPr>
          <w:rFonts w:ascii="Arial" w:cs="Arial" w:eastAsia="Arial" w:hAnsi="Arial"/>
          <w:sz w:val="18"/>
          <w:szCs w:val="18"/>
          <w:b w:val="1"/>
          <w:bCs w:val="1"/>
          <w:color w:val="0070C0"/>
        </w:rPr>
        <w:t xml:space="preserve"> </w:t>
      </w:r>
      <w:r>
        <w:rPr>
          <w:rFonts w:ascii="Arial" w:cs="Arial" w:eastAsia="Arial" w:hAnsi="Arial"/>
          <w:sz w:val="18"/>
          <w:szCs w:val="18"/>
          <w:color w:val="000000"/>
        </w:rPr>
        <w:t>administration and risk management of our compensation and benefit plans, policies and programs; and determines compensation of our executive officers.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Responsibilities:</w:t>
      </w:r>
    </w:p>
    <w:p>
      <w:pPr>
        <w:spacing w:after="0" w:line="239" w:lineRule="exact"/>
        <w:rPr>
          <w:sz w:val="20"/>
          <w:szCs w:val="20"/>
          <w:color w:val="auto"/>
        </w:rPr>
      </w:pPr>
    </w:p>
    <w:p>
      <w:pPr>
        <w:ind w:left="360" w:right="20" w:hanging="359"/>
        <w:spacing w:after="0" w:line="214"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Determining annually the compensation and benefits of our executive officers, including salary, bonus, incentive compensation, perquisites, equity compensation, severance and other forms of executive compensation.</w:t>
      </w:r>
    </w:p>
    <w:p>
      <w:pPr>
        <w:spacing w:after="0" w:line="33" w:lineRule="exact"/>
        <w:rPr>
          <w:sz w:val="20"/>
          <w:szCs w:val="20"/>
          <w:color w:val="auto"/>
        </w:rPr>
      </w:pPr>
    </w:p>
    <w:p>
      <w:pPr>
        <w:ind w:left="360" w:right="100" w:hanging="359"/>
        <w:spacing w:after="0" w:line="214"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Approving annual incentive metrics and compensation goals and targets of our executive officers and evaluating achievement of the targets and the performance of our executive officers in light of the established objectives and targets.</w:t>
      </w:r>
    </w:p>
    <w:p>
      <w:pPr>
        <w:spacing w:after="0" w:line="33" w:lineRule="exact"/>
        <w:rPr>
          <w:sz w:val="20"/>
          <w:szCs w:val="20"/>
          <w:color w:val="auto"/>
        </w:rPr>
      </w:pPr>
    </w:p>
    <w:p>
      <w:pPr>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Reviewing, approving and overseeing the administration of our 2023 Omnibus Incentive Plan.</w:t>
      </w:r>
    </w:p>
    <w:p>
      <w:pPr>
        <w:spacing w:after="0" w:line="63" w:lineRule="exact"/>
        <w:rPr>
          <w:sz w:val="20"/>
          <w:szCs w:val="20"/>
          <w:color w:val="auto"/>
        </w:rPr>
      </w:pPr>
    </w:p>
    <w:p>
      <w:pPr>
        <w:ind w:left="360" w:right="40" w:hanging="359"/>
        <w:spacing w:after="0" w:line="220"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Reviewing our executive compensation programs to determine whether they are effective in achieving their intended purposes.</w:t>
      </w:r>
    </w:p>
    <w:p>
      <w:pPr>
        <w:spacing w:after="0" w:line="33" w:lineRule="exact"/>
        <w:rPr>
          <w:sz w:val="20"/>
          <w:szCs w:val="20"/>
          <w:color w:val="auto"/>
        </w:rPr>
      </w:pPr>
    </w:p>
    <w:p>
      <w:pPr>
        <w:ind w:left="360" w:right="240" w:hanging="359"/>
        <w:spacing w:after="0" w:line="214"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Developing and monitoring policies regarding equity holding requirements, clawback of executive compensation, equity granting, hedging and pledging policies, say-on-pay and other matters as the Committee deems appropriate.</w:t>
      </w:r>
    </w:p>
    <w:p>
      <w:pPr>
        <w:spacing w:after="0" w:line="33" w:lineRule="exact"/>
        <w:rPr>
          <w:sz w:val="20"/>
          <w:szCs w:val="20"/>
          <w:color w:val="auto"/>
        </w:rPr>
      </w:pPr>
    </w:p>
    <w:p>
      <w:pPr>
        <w:ind w:left="360" w:right="160" w:hanging="359"/>
        <w:spacing w:after="0" w:line="220"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Annual review of compliance by executive officers and non-employee directors with stock ownership policies established by the Board.</w:t>
      </w:r>
    </w:p>
    <w:p>
      <w:pPr>
        <w:spacing w:after="0" w:line="33" w:lineRule="exact"/>
        <w:rPr>
          <w:sz w:val="20"/>
          <w:szCs w:val="20"/>
          <w:color w:val="auto"/>
        </w:rPr>
      </w:pPr>
    </w:p>
    <w:p>
      <w:pPr>
        <w:ind w:left="360" w:right="20" w:hanging="359"/>
        <w:spacing w:after="0" w:line="212"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Overseeing potential risks related to the design and administration of our compensation plans in order to promote appropriate incentives that do not encourage executive officers to take unnecessary or excessive risk, and ensuring that our compensation practices for executives and other employees are not likely to have a material adverse effect on the Company.</w:t>
      </w:r>
    </w:p>
    <w:p>
      <w:pPr>
        <w:spacing w:after="0" w:line="32" w:lineRule="exact"/>
        <w:rPr>
          <w:sz w:val="20"/>
          <w:szCs w:val="20"/>
          <w:color w:val="auto"/>
        </w:rPr>
      </w:pPr>
    </w:p>
    <w:p>
      <w:pPr>
        <w:ind w:left="360" w:right="160" w:hanging="359"/>
        <w:spacing w:after="0" w:line="220"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Reviewing and approving any employment agreements, severance arrangements, change in control agreements and supplemental compensation and benefits of executive officers.</w:t>
      </w:r>
    </w:p>
    <w:p>
      <w:pPr>
        <w:spacing w:after="0" w:line="33" w:lineRule="exact"/>
        <w:rPr>
          <w:sz w:val="20"/>
          <w:szCs w:val="20"/>
          <w:color w:val="auto"/>
        </w:rPr>
      </w:pPr>
    </w:p>
    <w:p>
      <w:pPr>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Evaluating and recommending non-employee director compensation.</w:t>
      </w:r>
    </w:p>
    <w:p>
      <w:pPr>
        <w:spacing w:after="0" w:line="63" w:lineRule="exact"/>
        <w:rPr>
          <w:sz w:val="20"/>
          <w:szCs w:val="20"/>
          <w:color w:val="auto"/>
        </w:rPr>
      </w:pPr>
    </w:p>
    <w:p>
      <w:pPr>
        <w:ind w:left="360" w:right="680" w:hanging="359"/>
        <w:spacing w:after="0" w:line="220"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Overseeing human capital management, including DEI&amp;B, demographics, talent development initiatives, employee retention and employee compensation practices.</w:t>
      </w:r>
    </w:p>
    <w:p>
      <w:pPr>
        <w:spacing w:after="0" w:line="33" w:lineRule="exact"/>
        <w:rPr>
          <w:sz w:val="20"/>
          <w:szCs w:val="20"/>
          <w:color w:val="auto"/>
        </w:rPr>
      </w:pPr>
    </w:p>
    <w:p>
      <w:pPr>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Overseeing the activities of the Company’s Foundation and other corporate giving programs.</w:t>
      </w:r>
    </w:p>
    <w:p>
      <w:pPr>
        <w:spacing w:after="0" w:line="649" w:lineRule="exact"/>
        <w:rPr>
          <w:sz w:val="20"/>
          <w:szCs w:val="20"/>
          <w:color w:val="auto"/>
        </w:rPr>
      </w:pPr>
    </w:p>
    <w:p>
      <w:pPr>
        <w:sectPr>
          <w:pgSz w:w="11900" w:h="16838" w:orient="portrait"/>
          <w:cols w:equalWidth="0" w:num="2">
            <w:col w:w="2040" w:space="500"/>
            <w:col w:w="8460"/>
          </w:cols>
          <w:pgMar w:left="440" w:top="337" w:right="45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70C0"/>
        </w:rPr>
        <w:t>CHC Committee Interlocks and Insider Participation</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2023 no officer, former officer or employee of the Company served as a member of our CHC Committee, and none of our executive officers served as a member of the board of directors or the compensation committee of any entity whose executive officers served on our Board or CHC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69951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Corporate Governance</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26</w:t>
      </w:r>
    </w:p>
    <w:p>
      <w:pPr>
        <w:sectPr>
          <w:pgSz w:w="11900" w:h="16838" w:orient="portrait"/>
          <w:cols w:equalWidth="0" w:num="1">
            <w:col w:w="11000"/>
          </w:cols>
          <w:pgMar w:left="440" w:top="337" w:right="45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200025</wp:posOffset>
            </wp:positionV>
            <wp:extent cx="6995160" cy="2057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205740"/>
                    </a:xfrm>
                    <a:prstGeom prst="rect">
                      <a:avLst/>
                    </a:prstGeom>
                    <a:noFill/>
                  </pic:spPr>
                </pic:pic>
              </a:graphicData>
            </a:graphic>
          </wp:anchor>
        </w:drawing>
        <w:t>  Nominating and Corporate Governance Committee</w:t>
      </w:r>
    </w:p>
    <w:p>
      <w:pPr>
        <w:sectPr>
          <w:pgSz w:w="11900" w:h="16838" w:orient="portrait"/>
          <w:cols w:equalWidth="0" w:num="1">
            <w:col w:w="11000"/>
          </w:cols>
          <w:pgMar w:left="440" w:top="337"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left="200"/>
        <w:spacing w:after="0"/>
        <w:rPr>
          <w:sz w:val="20"/>
          <w:szCs w:val="20"/>
          <w:color w:val="auto"/>
        </w:rPr>
      </w:pPr>
      <w:r>
        <w:rPr>
          <w:rFonts w:ascii="Arial" w:cs="Arial" w:eastAsia="Arial" w:hAnsi="Arial"/>
          <w:sz w:val="18"/>
          <w:szCs w:val="18"/>
          <w:b w:val="1"/>
          <w:bCs w:val="1"/>
          <w:i w:val="1"/>
          <w:iCs w:val="1"/>
          <w:color w:val="0070C0"/>
        </w:rPr>
        <w:t>Margot L.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-1508760</wp:posOffset>
            </wp:positionV>
            <wp:extent cx="968375" cy="13887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68375" cy="1388745"/>
                    </a:xfrm>
                    <a:prstGeom prst="rect">
                      <a:avLst/>
                    </a:prstGeom>
                    <a:noFill/>
                  </pic:spPr>
                </pic:pic>
              </a:graphicData>
            </a:graphic>
          </wp:anchor>
        </w:drawing>
      </w:r>
    </w:p>
    <w:p>
      <w:pPr>
        <w:jc w:val="center"/>
        <w:ind w:left="200"/>
        <w:spacing w:after="0"/>
        <w:rPr>
          <w:sz w:val="20"/>
          <w:szCs w:val="20"/>
          <w:color w:val="auto"/>
        </w:rPr>
      </w:pPr>
      <w:r>
        <w:rPr>
          <w:rFonts w:ascii="Arial" w:cs="Arial" w:eastAsia="Arial" w:hAnsi="Arial"/>
          <w:sz w:val="18"/>
          <w:szCs w:val="18"/>
          <w:b w:val="1"/>
          <w:bCs w:val="1"/>
          <w:i w:val="1"/>
          <w:iCs w:val="1"/>
          <w:color w:val="0070C0"/>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151765</wp:posOffset>
            </wp:positionV>
            <wp:extent cx="968375" cy="13887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68375"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0070C0"/>
        </w:rPr>
        <w:t>Lawrence A. Hilsheimer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169545</wp:posOffset>
            </wp:positionV>
            <wp:extent cx="968375" cy="13798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68375" cy="137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0070C0"/>
        </w:rPr>
        <w:t>Janet E.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161925</wp:posOffset>
            </wp:positionV>
            <wp:extent cx="968375" cy="13716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68375" cy="137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 xml:space="preserve">Meetings in 2023: </w:t>
      </w:r>
      <w:r>
        <w:rPr>
          <w:rFonts w:ascii="Arial" w:cs="Arial" w:eastAsia="Arial" w:hAnsi="Arial"/>
          <w:sz w:val="18"/>
          <w:szCs w:val="18"/>
          <w:color w:val="000000"/>
        </w:rPr>
        <w:t>4</w:t>
      </w:r>
    </w:p>
    <w:p>
      <w:pPr>
        <w:spacing w:after="0" w:line="117" w:lineRule="exact"/>
        <w:rPr>
          <w:sz w:val="20"/>
          <w:szCs w:val="20"/>
          <w:color w:val="auto"/>
        </w:rPr>
      </w:pPr>
    </w:p>
    <w:p>
      <w:pPr>
        <w:spacing w:after="0"/>
        <w:rPr>
          <w:sz w:val="20"/>
          <w:szCs w:val="20"/>
          <w:color w:val="auto"/>
        </w:rPr>
      </w:pPr>
      <w:r>
        <w:rPr>
          <w:rFonts w:ascii="Wingdings" w:cs="Wingdings" w:eastAsia="Wingdings" w:hAnsi="Wingdings"/>
          <w:sz w:val="18"/>
          <w:szCs w:val="18"/>
          <w:b w:val="1"/>
          <w:bCs w:val="1"/>
          <w:color w:val="auto"/>
          <w:shd w:val="clear" w:color="auto" w:fill="0070C0"/>
        </w:rPr>
        <w:t>ü</w:t>
      </w:r>
      <w:r>
        <w:rPr>
          <w:rFonts w:ascii="Arial" w:cs="Arial" w:eastAsia="Arial" w:hAnsi="Arial"/>
          <w:sz w:val="18"/>
          <w:szCs w:val="18"/>
          <w:color w:val="auto"/>
        </w:rPr>
        <w:t xml:space="preserve">   All members are independent under NYSE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420370</wp:posOffset>
            </wp:positionV>
            <wp:extent cx="5452110" cy="5911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45211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b w:val="1"/>
          <w:bCs w:val="1"/>
          <w:color w:val="0070C0"/>
        </w:rPr>
        <w:t xml:space="preserve">Purpose: </w:t>
      </w:r>
      <w:r>
        <w:rPr>
          <w:rFonts w:ascii="Arial" w:cs="Arial" w:eastAsia="Arial" w:hAnsi="Arial"/>
          <w:sz w:val="18"/>
          <w:szCs w:val="18"/>
          <w:color w:val="000000"/>
        </w:rPr>
        <w:t>The NCG Committee oversees our corporate governance practices and processes, including</w:t>
      </w:r>
      <w:r>
        <w:rPr>
          <w:rFonts w:ascii="Arial" w:cs="Arial" w:eastAsia="Arial" w:hAnsi="Arial"/>
          <w:sz w:val="18"/>
          <w:szCs w:val="18"/>
          <w:b w:val="1"/>
          <w:bCs w:val="1"/>
          <w:color w:val="0070C0"/>
        </w:rPr>
        <w:t xml:space="preserve"> </w:t>
      </w:r>
      <w:r>
        <w:rPr>
          <w:rFonts w:ascii="Arial" w:cs="Arial" w:eastAsia="Arial" w:hAnsi="Arial"/>
          <w:sz w:val="18"/>
          <w:szCs w:val="18"/>
          <w:color w:val="000000"/>
        </w:rPr>
        <w:t>any risks that may arise in connection with our governance practices, and provides oversight of our environmental and sustainability initiatives.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Responsibilities:</w:t>
      </w:r>
    </w:p>
    <w:p>
      <w:pPr>
        <w:spacing w:after="0" w:line="239" w:lineRule="exact"/>
        <w:rPr>
          <w:sz w:val="20"/>
          <w:szCs w:val="20"/>
          <w:color w:val="auto"/>
        </w:rPr>
      </w:pPr>
    </w:p>
    <w:p>
      <w:pPr>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Establishing criteria for the selection of directors to serve on the Board.</w:t>
      </w:r>
    </w:p>
    <w:p>
      <w:pPr>
        <w:spacing w:after="0" w:line="14" w:lineRule="exact"/>
        <w:rPr>
          <w:sz w:val="20"/>
          <w:szCs w:val="20"/>
          <w:color w:val="auto"/>
        </w:rPr>
      </w:pPr>
    </w:p>
    <w:p>
      <w:pPr>
        <w:ind w:left="260" w:hanging="269"/>
        <w:spacing w:after="0" w:line="202"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Identifying and recommending to the Board qualified director candidates, including whether directors should stand for re-election, evaluating candidates recommended by stockholders on a substantially similar basis as it considers other nominees, and conducting appropriate inquiries into the backgrounds and qualifications of director candidates.</w:t>
      </w:r>
    </w:p>
    <w:p>
      <w:pPr>
        <w:spacing w:after="0" w:line="3" w:lineRule="exact"/>
        <w:rPr>
          <w:sz w:val="20"/>
          <w:szCs w:val="20"/>
          <w:color w:val="auto"/>
        </w:rPr>
      </w:pPr>
    </w:p>
    <w:p>
      <w:pPr>
        <w:ind w:left="260" w:right="100" w:hanging="269"/>
        <w:spacing w:after="0" w:line="202"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Considering independence and possible conflicts of interest of directors, and whether a director or director candidate has special relationships, interests or a specific agenda that would impair his or her ability to effectively represent the interests of all stockholders.</w:t>
      </w:r>
    </w:p>
    <w:p>
      <w:pPr>
        <w:spacing w:after="0" w:line="2" w:lineRule="exact"/>
        <w:rPr>
          <w:sz w:val="20"/>
          <w:szCs w:val="20"/>
          <w:color w:val="auto"/>
        </w:rPr>
      </w:pPr>
    </w:p>
    <w:p>
      <w:pPr>
        <w:ind w:left="260" w:right="40" w:hanging="269"/>
        <w:spacing w:after="0" w:line="202"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Reviewing and recommending to the Board the composition and size of the Board in order to ensure the Board has the requisite expertise and consists of persons with sufficiently diverse and independent backgrounds.</w:t>
      </w:r>
    </w:p>
    <w:p>
      <w:pPr>
        <w:spacing w:after="0" w:line="205"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Overseeing an annual evaluation of the Board and its committees.</w:t>
      </w:r>
    </w:p>
    <w:p>
      <w:pPr>
        <w:ind w:left="260" w:right="1020" w:hanging="269"/>
        <w:spacing w:after="0" w:line="202"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Recommending directors to serve on the committees of the Board, and where appropriate, recommending the removal of any member of any committee.</w:t>
      </w:r>
    </w:p>
    <w:p>
      <w:pPr>
        <w:spacing w:after="0" w:line="204"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Monitoring the structure and operations of Board committees.</w:t>
      </w:r>
    </w:p>
    <w:p>
      <w:pPr>
        <w:ind w:left="260" w:right="200" w:hanging="269"/>
        <w:spacing w:after="0" w:line="202"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Reviewing the adequacy of the Company’s certificate of incorporation, bylaws, corporate governance guidelines, Ethics Code and committee charters and recommending amendments to the Board.</w:t>
      </w:r>
    </w:p>
    <w:p>
      <w:pPr>
        <w:spacing w:after="0" w:line="1" w:lineRule="exact"/>
        <w:rPr>
          <w:sz w:val="20"/>
          <w:szCs w:val="20"/>
          <w:color w:val="auto"/>
        </w:rPr>
      </w:pPr>
    </w:p>
    <w:p>
      <w:pPr>
        <w:ind w:left="260" w:right="40" w:hanging="269"/>
        <w:spacing w:after="0" w:line="202"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Reviewing the Board’s leadership structure to assess whether it is appropriate given the circumstances of the Company.</w:t>
      </w:r>
    </w:p>
    <w:p>
      <w:pPr>
        <w:spacing w:after="0" w:line="204"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Overseeing annual review by the Board of succession planning for senior executives.</w:t>
      </w:r>
    </w:p>
    <w:p>
      <w:pPr>
        <w:ind w:left="260" w:right="40" w:hanging="269"/>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In coordination with other Board committees, reviewing and overseeing the Company’s ESG initiatives, opportunities and reporting, including advising the Board on current and emerging ESG trends that may affect the business, operations, performance, and external relations of the Company, as well as overseeing the Company’s environmental practices and initiatives related to sustainability and climate change impacts.</w:t>
      </w:r>
    </w:p>
    <w:p>
      <w:pPr>
        <w:spacing w:after="0" w:line="200" w:lineRule="exact"/>
        <w:rPr>
          <w:sz w:val="20"/>
          <w:szCs w:val="20"/>
          <w:color w:val="auto"/>
        </w:rPr>
      </w:pPr>
    </w:p>
    <w:p>
      <w:pPr>
        <w:sectPr>
          <w:pgSz w:w="11900" w:h="16838" w:orient="portrait"/>
          <w:cols w:equalWidth="0" w:num="2">
            <w:col w:w="2220" w:space="320"/>
            <w:col w:w="8460"/>
          </w:cols>
          <w:pgMar w:left="440" w:top="337"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0070C0"/>
        </w:rPr>
        <w:t>Marchelle E.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6995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070C0"/>
        </w:rPr>
        <w:t>IBP 2024 Proxy Statement</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70C0"/>
        </w:rPr>
        <w:t>Corporate Governance</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70C0"/>
        </w:rPr>
        <w:t>27</w:t>
      </w:r>
    </w:p>
    <w:p>
      <w:pPr>
        <w:sectPr>
          <w:pgSz w:w="11900" w:h="16838" w:orient="portrait"/>
          <w:cols w:equalWidth="0" w:num="1">
            <w:col w:w="11000"/>
          </w:cols>
          <w:pgMar w:left="440" w:top="337" w:right="45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22"/>
          <w:szCs w:val="22"/>
          <w:b w:val="1"/>
          <w:bCs w:val="1"/>
          <w:color w:val="00206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Director Independence</w:t>
      </w:r>
    </w:p>
    <w:p>
      <w:pPr>
        <w:spacing w:after="0" w:line="216"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Based upon information provided by each director concerning his or her background, education, employment, experience and affiliations, our NCG Committee and Board of Directors have determined that Mmes. Carter, Jackson and Moore and Messrs. Hilsheimer, Meuse, Schottenstein and Thomas have no material relationship with the Company or its subsidiaries, either directly or indirectly, that would interfere with the exercise of their independent judgment, and that each qualifies as an “independent director” as defined by SEC and NYSE rules.</w:t>
      </w:r>
    </w:p>
    <w:p>
      <w:pPr>
        <w:spacing w:after="0" w:line="17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When determining whether a director qualifies as independent, the Board broadly considers all relevant facts and circumstances to determine whether the director has any material relationship with the Company, either directly or indirectly, that would interfere with the exercise of independent judgment. In the course of determining the independence of Mr. Meuse, the Board considered that Mr. Meuse’s son is an employee of Blackrock, Inc., which holds more than 10% of our common stock. Based on the fact that Mr. Meuse’s son is not an executive officer, director or control person of Blackrock, Inc., the Board does not believe that this relationship impairs the independence of Mr. Meuse. In the course of determining the independence of Mr. Schottenstein, the Board considered that Mr. Schottenstein is the Chief Executive Officer of M/I Homes, Inc., a single-family homebuilding company with which we conduct transactions in the ordinary course of our business. Based on the aggregate annual value of these transactions (less than 1% of the annual revenues of each of the Company and M/I Homes, Inc. in 2023) and the nature of the transactions (which is the sale and installation of building products in new residential homes in the ordinary course of business of both companies), the Board does not believe that this relationship impairs the independence of Mr. Schottenstein or that Mr. Schottenstein has any material interest in any transaction between the Company and M/I Homes, Inc. Upon careful consideration, the Board of Directors has determined that seven of our nine directors are independent, and that each Board committee is comprised entirely of independent directors. There are no family relationships among our executive officers and our directors.</w:t>
      </w:r>
    </w:p>
    <w:p>
      <w:pPr>
        <w:spacing w:after="0" w:line="170"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In making its independence recommendations, the NCG Committee evaluates the commercial, charitable and employment relationships that exist between the Company and the directors and entities with which they or members of their immediate families are affiliated (including charitable institutions to which we have given donations if the director is affiliated with such institutions). The NCG Committee also considers other relevant facts and circumstances regarding the nature of these transactions and relationships to determine whether other factors, regardless of the independence standards, might compromise a director’s independence.</w:t>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Annual Board and Committee Self-Assessments</w:t>
      </w:r>
    </w:p>
    <w:p>
      <w:pPr>
        <w:spacing w:after="0" w:line="216"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Pursuant to NYSE requirements, our Corporate Governance Guidelines and the charters of each of our Board committees, the Board and each of its committees conduct an annual self-assessment. The self-assessment is intended to determine whether the Board and the committees are functioning effectively and to provide them with an opportunity to improve. The self-assessment enables directors to provide confidential feedback on topics including the effectiveness of Board oversight of management, business strategy and enterprise risk; Board and committee composition, structure, diversity, skills and function; Board and management culture; Board resources and processes; and the effectiveness of individual directors. A summary of the results is presented to the NCG Committee, which is responsible for oversight of the process. The NCG Committee reports the results of the self-assessments to the Board, which considers ways in which Board and committee effectiveness may be improved. This process helps identify opportunities to consider implementing new practices and procedures as appropriate. While the formal self-evaluation is conducted on an annual basis, the directors share perspectives, feedback and suggestions throughout the year.</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Meetings of the Board and Director Attendance</w:t>
      </w:r>
    </w:p>
    <w:p>
      <w:pPr>
        <w:spacing w:after="0" w:line="21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Board of Directors held six meetings during 2023. Each director attended, in person or by telephone, at least 75% of the total number of meetings of both the Board and the committees on which he or she served during the year. Board members frequently attend meetings of committees on which they are not members. Board agendas are set in advance by management with the assistance of the Presiding Independent Director and the committee chairs to ensure that appropriate subjects are covered. Any member of the Board may request that an item be included on the agenda. Directors are provided with materials in advance of meetings and are expected to review these materials before each meeting to ensure that time in Board and committee meetings is focused on active discussions versus lengthy presentations. Although we do not have a formal policy requiring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69951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Corporate Governance</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28</w:t>
      </w:r>
    </w:p>
    <w:p>
      <w:pPr>
        <w:sectPr>
          <w:pgSz w:w="11900" w:h="16838" w:orient="portrait"/>
          <w:cols w:equalWidth="0" w:num="1">
            <w:col w:w="11000"/>
          </w:cols>
          <w:pgMar w:left="440" w:top="287" w:right="459" w:bottom="1440" w:gutter="0" w:footer="0" w:header="0"/>
        </w:sectPr>
      </w:pPr>
    </w:p>
    <w:bookmarkStart w:id="36" w:name="page37"/>
    <w:bookmarkEnd w:id="36"/>
    <w:p>
      <w:pPr>
        <w:ind w:right="18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to attend annual meetings of our stockholders, our directors are expected to make every effort to attend. All of our directors attended the Annual Meeting of Stockholders in 2023 except for Mr. Schottenstein.</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Executive Sessions of the Board</w:t>
      </w:r>
    </w:p>
    <w:p>
      <w:pPr>
        <w:spacing w:after="0" w:line="21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Board holds regularly scheduled executive sessions in which the independent directors meet without the presence of management. These meetings allow the independent directors to discuss the business and affairs of the Company, the Company’s operating and financial performance and stockholder return, as well as matters concerning the performance of senior management, without any member of management present. Ms. Carter, as the Presiding Independent Director, chairs the meetings and acts as liaison among the independent directors and the other Board members and management. As part of the executive sessions, the independent directors may meet with our Chief Executive Officer, our management team members and representatives of our independent registered public accounting firm as they deem necessary or appropriate. The independent directors held four meetings in executive session during 2023.</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Code of Business Conduct and Ethics</w:t>
      </w:r>
    </w:p>
    <w:p>
      <w:pPr>
        <w:spacing w:after="0" w:line="216"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The Board has adopted an Ethics Code to promote honest and ethical conduct by our directors, officers and employees. Each director, officer and employee must observe the highest ethical standards of business conduct in dealings with our customers, suppliers, partners, service providers, competitors and employees. Directors, officers and employees may not give or receive any gift unless it meets certain requirements, including that the gift is not cash or a cash equivalent, comports with customary local business practices and is not excessive in value.</w:t>
      </w:r>
    </w:p>
    <w:p>
      <w:pPr>
        <w:spacing w:after="0" w:line="176"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The Ethics Code governs conflicts of interest, including financial involvement with, or ownership of, an entity that has business relationships with the Company. A director may serve as a board member of a customer or supplier of the Company only if such service would not affect his or her status as an independent director. The Ethics Code prohibits loans by the Company to, or guarantees by the Company of obligations of, any director or officer or their family members. Directors and executive officers must seek prior review and approval of potential conflicts of interest from the Audit Committee.</w:t>
      </w:r>
    </w:p>
    <w:p>
      <w:pPr>
        <w:spacing w:after="0" w:line="176"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All directors, officers and employees are prohibited under the Ethics Code from using Company assets, information or position for personal gain. Unauthorized use or distribution of the Company’s proprietary information such as trade secrets, patents, trademarks and copyrights, as well as business and marketing plans, business processes, designs, databases, proprietary software, customer information, records and any non-public financial data or reports is prohibited.</w:t>
      </w:r>
    </w:p>
    <w:p>
      <w:pPr>
        <w:spacing w:after="0" w:line="17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Suspected violations of the Ethics Code involving directors or executive officers must be reported to the Audit Committee, or the General Counsel for other employees. Upon investigation and a determination that there has been a violation of the Ethics Code, the Board or General Counsel will take such preventative or disciplinary action deemed appropriate, including reassignment, demotion, dismissal and, in the event of criminal conduct or other serious violations of law, notice to appropriate governmental authorities. We do not tolerate acts of retaliation against any anyone who makes a good faith report of known or suspected acts of misconduct or other violations of the Ethics Code.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Insider Trading Policy and Hedging and Pledging Prohibition</w:t>
      </w:r>
    </w:p>
    <w:p>
      <w:pPr>
        <w:spacing w:after="0" w:line="21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insider trading policy prohibits all directors, officers, employees and their family members from directly or indirectly purchasing or selling any security, whether the issuer of that security is our Company or another company, while aware of material non-public information relating to the issuer. The policy also prohibits providing any such material non-public information to any other person who may trade in the securities while aware of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6995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Corporate Governance</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29</w:t>
      </w:r>
    </w:p>
    <w:p>
      <w:pPr>
        <w:sectPr>
          <w:pgSz w:w="11900" w:h="16838" w:orient="portrait"/>
          <w:cols w:equalWidth="0" w:num="1">
            <w:col w:w="11000"/>
          </w:cols>
          <w:pgMar w:left="440" w:top="296" w:right="459" w:bottom="1440" w:gutter="0" w:footer="0" w:header="0"/>
        </w:sectPr>
      </w:pPr>
    </w:p>
    <w:bookmarkStart w:id="37" w:name="page38"/>
    <w:bookmarkEnd w:id="3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Our insider trading policy prohibits all directors, officers and employees from engaging in the following transactions in Company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131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311910"/>
                    </a:xfrm>
                    <a:prstGeom prst="rect">
                      <a:avLst/>
                    </a:prstGeom>
                    <a:noFill/>
                  </pic:spPr>
                </pic:pic>
              </a:graphicData>
            </a:graphic>
          </wp:anchor>
        </w:drawing>
      </w:r>
    </w:p>
    <w:p>
      <w:pPr>
        <w:spacing w:after="0" w:line="286" w:lineRule="exact"/>
        <w:rPr>
          <w:sz w:val="20"/>
          <w:szCs w:val="20"/>
          <w:color w:val="auto"/>
        </w:rPr>
      </w:pPr>
    </w:p>
    <w:p>
      <w:pPr>
        <w:ind w:left="1544" w:right="540" w:hanging="1544"/>
        <w:spacing w:after="0" w:line="266" w:lineRule="auto"/>
        <w:tabs>
          <w:tab w:leader="none" w:pos="8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Speculating</w:t>
      </w:r>
      <w:r>
        <w:rPr>
          <w:rFonts w:ascii="Arial" w:cs="Arial" w:eastAsia="Arial" w:hAnsi="Arial"/>
          <w:sz w:val="18"/>
          <w:szCs w:val="18"/>
          <w:color w:val="auto"/>
        </w:rPr>
        <w:t>Speculating in securities of the Company, including buying with the intention of quickly reselling the securities, or selling Company securities with the intention of quickly buying the securities.</w:t>
      </w:r>
    </w:p>
    <w:p>
      <w:pPr>
        <w:ind w:left="1544" w:right="400" w:hanging="1544"/>
        <w:spacing w:after="0" w:line="266" w:lineRule="auto"/>
        <w:tabs>
          <w:tab w:leader="none" w:pos="8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Short Sales</w:t>
      </w:r>
      <w:r>
        <w:rPr>
          <w:rFonts w:ascii="Arial" w:cs="Arial" w:eastAsia="Arial" w:hAnsi="Arial"/>
          <w:sz w:val="18"/>
          <w:szCs w:val="18"/>
          <w:color w:val="auto"/>
        </w:rPr>
        <w:t>Directly or indirectly selling any equity security of the Company if the person does not own the security, including a “sale against the box” (a sale with delayed delivery).</w:t>
      </w:r>
    </w:p>
    <w:tbl>
      <w:tblPr>
        <w:tblLayout w:type="fixed"/>
        <w:tblInd w:w="4" w:type="dxa"/>
        <w:tblCellMar>
          <w:top w:w="0" w:type="dxa"/>
          <w:left w:w="0" w:type="dxa"/>
          <w:bottom w:w="0" w:type="dxa"/>
          <w:right w:w="0" w:type="dxa"/>
        </w:tblCellMar>
      </w:tblPr>
      <w:tr>
        <w:trPr>
          <w:trHeight w:val="203"/>
        </w:trPr>
        <w:tc>
          <w:tcPr>
            <w:tcW w:w="1180" w:type="dxa"/>
            <w:vAlign w:val="bottom"/>
          </w:tcPr>
          <w:p>
            <w:pPr>
              <w:spacing w:after="0" w:line="203" w:lineRule="exact"/>
              <w:rPr>
                <w:sz w:val="20"/>
                <w:szCs w:val="20"/>
                <w:color w:val="auto"/>
              </w:rPr>
            </w:pPr>
            <w:r>
              <w:rPr>
                <w:rFonts w:ascii="Arial" w:cs="Arial" w:eastAsia="Arial" w:hAnsi="Arial"/>
                <w:sz w:val="18"/>
                <w:szCs w:val="18"/>
                <w:b w:val="1"/>
                <w:bCs w:val="1"/>
                <w:color w:val="auto"/>
              </w:rPr>
              <w:t>  Hedging</w:t>
            </w:r>
          </w:p>
        </w:tc>
        <w:tc>
          <w:tcPr>
            <w:tcW w:w="9840" w:type="dxa"/>
            <w:vAlign w:val="bottom"/>
          </w:tcPr>
          <w:p>
            <w:pPr>
              <w:ind w:left="360"/>
              <w:spacing w:after="0" w:line="203" w:lineRule="exact"/>
              <w:rPr>
                <w:sz w:val="20"/>
                <w:szCs w:val="20"/>
                <w:color w:val="auto"/>
              </w:rPr>
            </w:pPr>
            <w:r>
              <w:rPr>
                <w:rFonts w:ascii="Arial" w:cs="Arial" w:eastAsia="Arial" w:hAnsi="Arial"/>
                <w:sz w:val="18"/>
                <w:szCs w:val="18"/>
                <w:color w:val="auto"/>
              </w:rPr>
              <w:t>Engaging in, directly or through family members or other persons or entities, any hedging or monetization transactions</w:t>
            </w:r>
          </w:p>
        </w:tc>
      </w:tr>
      <w:tr>
        <w:trPr>
          <w:trHeight w:val="203"/>
        </w:trPr>
        <w:tc>
          <w:tcPr>
            <w:tcW w:w="1180" w:type="dxa"/>
            <w:vAlign w:val="bottom"/>
          </w:tcPr>
          <w:p>
            <w:pPr>
              <w:spacing w:after="0"/>
              <w:rPr>
                <w:sz w:val="17"/>
                <w:szCs w:val="17"/>
                <w:color w:val="auto"/>
              </w:rPr>
            </w:pPr>
          </w:p>
        </w:tc>
        <w:tc>
          <w:tcPr>
            <w:tcW w:w="9840" w:type="dxa"/>
            <w:vAlign w:val="bottom"/>
          </w:tcPr>
          <w:p>
            <w:pPr>
              <w:ind w:left="360"/>
              <w:spacing w:after="0" w:line="202" w:lineRule="exact"/>
              <w:rPr>
                <w:sz w:val="20"/>
                <w:szCs w:val="20"/>
                <w:color w:val="auto"/>
              </w:rPr>
            </w:pPr>
            <w:r>
              <w:rPr>
                <w:rFonts w:ascii="Arial" w:cs="Arial" w:eastAsia="Arial" w:hAnsi="Arial"/>
                <w:sz w:val="18"/>
                <w:szCs w:val="18"/>
                <w:color w:val="auto"/>
              </w:rPr>
              <w:t>involving Company securities, including through the use of financial instruments such as puts, calls, publicly-traded</w:t>
            </w:r>
          </w:p>
        </w:tc>
      </w:tr>
      <w:tr>
        <w:trPr>
          <w:trHeight w:val="203"/>
        </w:trPr>
        <w:tc>
          <w:tcPr>
            <w:tcW w:w="1180" w:type="dxa"/>
            <w:vAlign w:val="bottom"/>
          </w:tcPr>
          <w:p>
            <w:pPr>
              <w:spacing w:after="0"/>
              <w:rPr>
                <w:sz w:val="17"/>
                <w:szCs w:val="17"/>
                <w:color w:val="auto"/>
              </w:rPr>
            </w:pPr>
          </w:p>
        </w:tc>
        <w:tc>
          <w:tcPr>
            <w:tcW w:w="9840" w:type="dxa"/>
            <w:vAlign w:val="bottom"/>
          </w:tcPr>
          <w:p>
            <w:pPr>
              <w:ind w:left="360"/>
              <w:spacing w:after="0" w:line="202" w:lineRule="exact"/>
              <w:rPr>
                <w:sz w:val="20"/>
                <w:szCs w:val="20"/>
                <w:color w:val="auto"/>
              </w:rPr>
            </w:pPr>
            <w:r>
              <w:rPr>
                <w:rFonts w:ascii="Arial" w:cs="Arial" w:eastAsia="Arial" w:hAnsi="Arial"/>
                <w:sz w:val="18"/>
                <w:szCs w:val="18"/>
                <w:color w:val="auto"/>
              </w:rPr>
              <w:t>options, swaps, forwards, warrants and any other derivative or similar instruments. The Board has made an exception</w:t>
            </w:r>
          </w:p>
        </w:tc>
      </w:tr>
      <w:tr>
        <w:trPr>
          <w:trHeight w:val="203"/>
        </w:trPr>
        <w:tc>
          <w:tcPr>
            <w:tcW w:w="1180" w:type="dxa"/>
            <w:vAlign w:val="bottom"/>
          </w:tcPr>
          <w:p>
            <w:pPr>
              <w:spacing w:after="0"/>
              <w:rPr>
                <w:sz w:val="17"/>
                <w:szCs w:val="17"/>
                <w:color w:val="auto"/>
              </w:rPr>
            </w:pPr>
          </w:p>
        </w:tc>
        <w:tc>
          <w:tcPr>
            <w:tcW w:w="9840" w:type="dxa"/>
            <w:vAlign w:val="bottom"/>
          </w:tcPr>
          <w:p>
            <w:pPr>
              <w:ind w:left="360"/>
              <w:spacing w:after="0" w:line="202" w:lineRule="exact"/>
              <w:rPr>
                <w:sz w:val="20"/>
                <w:szCs w:val="20"/>
                <w:color w:val="auto"/>
              </w:rPr>
            </w:pPr>
            <w:r>
              <w:rPr>
                <w:rFonts w:ascii="Arial" w:cs="Arial" w:eastAsia="Arial" w:hAnsi="Arial"/>
                <w:sz w:val="18"/>
                <w:szCs w:val="18"/>
                <w:color w:val="auto"/>
              </w:rPr>
              <w:t>to this policy for our Chief Executive Officer in connection with certain financing arrangements made by a family-owned</w:t>
            </w:r>
          </w:p>
        </w:tc>
      </w:tr>
      <w:tr>
        <w:trPr>
          <w:trHeight w:val="239"/>
        </w:trPr>
        <w:tc>
          <w:tcPr>
            <w:tcW w:w="1180" w:type="dxa"/>
            <w:vAlign w:val="bottom"/>
          </w:tcPr>
          <w:p>
            <w:pPr>
              <w:spacing w:after="0"/>
              <w:rPr>
                <w:sz w:val="20"/>
                <w:szCs w:val="20"/>
                <w:color w:val="auto"/>
              </w:rPr>
            </w:pPr>
          </w:p>
        </w:tc>
        <w:tc>
          <w:tcPr>
            <w:tcW w:w="9840" w:type="dxa"/>
            <w:vAlign w:val="bottom"/>
          </w:tcPr>
          <w:p>
            <w:pPr>
              <w:ind w:left="360"/>
              <w:spacing w:after="0"/>
              <w:rPr>
                <w:sz w:val="20"/>
                <w:szCs w:val="20"/>
                <w:color w:val="auto"/>
              </w:rPr>
            </w:pPr>
            <w:r>
              <w:rPr>
                <w:rFonts w:ascii="Arial" w:cs="Arial" w:eastAsia="Arial" w:hAnsi="Arial"/>
                <w:sz w:val="18"/>
                <w:szCs w:val="18"/>
                <w:color w:val="auto"/>
              </w:rPr>
              <w:t>investment vehicle. For additional details, see Footnote 2 in the “</w:t>
            </w:r>
            <w:r>
              <w:rPr>
                <w:rFonts w:ascii="Arial" w:cs="Arial" w:eastAsia="Arial" w:hAnsi="Arial"/>
                <w:sz w:val="18"/>
                <w:szCs w:val="18"/>
                <w:i w:val="1"/>
                <w:iCs w:val="1"/>
                <w:color w:val="auto"/>
              </w:rPr>
              <w:t>Stock Ownership Table” b</w:t>
            </w:r>
            <w:r>
              <w:rPr>
                <w:rFonts w:ascii="Arial" w:cs="Arial" w:eastAsia="Arial" w:hAnsi="Arial"/>
                <w:sz w:val="18"/>
                <w:szCs w:val="18"/>
                <w:color w:val="auto"/>
              </w:rPr>
              <w:t>eginning on page 73.</w:t>
            </w:r>
          </w:p>
        </w:tc>
      </w:tr>
      <w:tr>
        <w:trPr>
          <w:trHeight w:val="43"/>
        </w:trPr>
        <w:tc>
          <w:tcPr>
            <w:tcW w:w="1180" w:type="dxa"/>
            <w:vAlign w:val="bottom"/>
            <w:tcBorders>
              <w:bottom w:val="single" w:sz="8" w:color="0070C0"/>
            </w:tcBorders>
          </w:tcPr>
          <w:p>
            <w:pPr>
              <w:spacing w:after="0"/>
              <w:rPr>
                <w:sz w:val="3"/>
                <w:szCs w:val="3"/>
                <w:color w:val="auto"/>
              </w:rPr>
            </w:pPr>
          </w:p>
        </w:tc>
        <w:tc>
          <w:tcPr>
            <w:tcW w:w="9840" w:type="dxa"/>
            <w:vAlign w:val="bottom"/>
            <w:tcBorders>
              <w:bottom w:val="single" w:sz="8" w:color="0070C0"/>
            </w:tcBorders>
          </w:tcPr>
          <w:p>
            <w:pPr>
              <w:spacing w:after="0"/>
              <w:rPr>
                <w:sz w:val="3"/>
                <w:szCs w:val="3"/>
                <w:color w:val="auto"/>
              </w:rPr>
            </w:pPr>
          </w:p>
        </w:tc>
      </w:tr>
    </w:tbl>
    <w:p>
      <w:pPr>
        <w:spacing w:after="0" w:line="19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policy also prohibits our directors, officers and certain other designated employees from engaging in the following transactions in</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8"/>
          <w:szCs w:val="18"/>
          <w:color w:val="auto"/>
        </w:rPr>
        <w:t>Company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6995160" cy="8572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857250"/>
                    </a:xfrm>
                    <a:prstGeom prst="rect">
                      <a:avLst/>
                    </a:prstGeom>
                    <a:noFill/>
                  </pic:spPr>
                </pic:pic>
              </a:graphicData>
            </a:graphic>
          </wp:anchor>
        </w:drawing>
      </w:r>
    </w:p>
    <w:p>
      <w:pPr>
        <w:spacing w:after="0" w:line="268" w:lineRule="exact"/>
        <w:rPr>
          <w:sz w:val="20"/>
          <w:szCs w:val="20"/>
          <w:color w:val="auto"/>
        </w:rPr>
      </w:pPr>
    </w:p>
    <w:p>
      <w:pPr>
        <w:ind w:left="84" w:hanging="84"/>
        <w:spacing w:after="0"/>
        <w:tabs>
          <w:tab w:leader="none" w:pos="84"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Pledges and</w:t>
      </w:r>
      <w:r>
        <w:rPr>
          <w:rFonts w:ascii="Arial" w:cs="Arial" w:eastAsia="Arial" w:hAnsi="Arial"/>
          <w:sz w:val="18"/>
          <w:szCs w:val="18"/>
          <w:color w:val="auto"/>
        </w:rPr>
        <w:t>Pledging Company securities as collateral for a loan or holding Company securities as collateral in a margin account.</w:t>
      </w:r>
    </w:p>
    <w:tbl>
      <w:tblPr>
        <w:tblLayout w:type="fixed"/>
        <w:tblInd w:w="4" w:type="dxa"/>
        <w:tblCellMar>
          <w:top w:w="0" w:type="dxa"/>
          <w:left w:w="0" w:type="dxa"/>
          <w:bottom w:w="0" w:type="dxa"/>
          <w:right w:w="0" w:type="dxa"/>
        </w:tblCellMar>
      </w:tblPr>
      <w:tr>
        <w:trPr>
          <w:trHeight w:val="198"/>
        </w:trPr>
        <w:tc>
          <w:tcPr>
            <w:tcW w:w="1220" w:type="dxa"/>
            <w:vAlign w:val="bottom"/>
          </w:tcPr>
          <w:p>
            <w:pPr>
              <w:spacing w:after="0" w:line="198" w:lineRule="exact"/>
              <w:rPr>
                <w:sz w:val="20"/>
                <w:szCs w:val="20"/>
                <w:color w:val="auto"/>
              </w:rPr>
            </w:pPr>
            <w:r>
              <w:rPr>
                <w:rFonts w:ascii="Arial" w:cs="Arial" w:eastAsia="Arial" w:hAnsi="Arial"/>
                <w:sz w:val="18"/>
                <w:szCs w:val="18"/>
                <w:b w:val="1"/>
                <w:bCs w:val="1"/>
                <w:color w:val="auto"/>
              </w:rPr>
              <w:t>  Margin</w:t>
            </w:r>
          </w:p>
        </w:tc>
        <w:tc>
          <w:tcPr>
            <w:tcW w:w="9800" w:type="dxa"/>
            <w:vAlign w:val="bottom"/>
          </w:tcPr>
          <w:p>
            <w:pPr>
              <w:ind w:left="320"/>
              <w:spacing w:after="0" w:line="198" w:lineRule="exact"/>
              <w:rPr>
                <w:sz w:val="20"/>
                <w:szCs w:val="20"/>
                <w:color w:val="auto"/>
              </w:rPr>
            </w:pPr>
            <w:r>
              <w:rPr>
                <w:rFonts w:ascii="Arial" w:cs="Arial" w:eastAsia="Arial" w:hAnsi="Arial"/>
                <w:sz w:val="18"/>
                <w:szCs w:val="18"/>
                <w:color w:val="auto"/>
              </w:rPr>
              <w:t>Any person who engages in a hedging transaction involving Company securities, pledges Company securities as</w:t>
            </w:r>
          </w:p>
        </w:tc>
      </w:tr>
      <w:tr>
        <w:trPr>
          <w:trHeight w:val="203"/>
        </w:trPr>
        <w:tc>
          <w:tcPr>
            <w:tcW w:w="1220" w:type="dxa"/>
            <w:vAlign w:val="bottom"/>
          </w:tcPr>
          <w:p>
            <w:pPr>
              <w:spacing w:after="0" w:line="202" w:lineRule="exact"/>
              <w:rPr>
                <w:sz w:val="20"/>
                <w:szCs w:val="20"/>
                <w:color w:val="auto"/>
              </w:rPr>
            </w:pPr>
            <w:r>
              <w:rPr>
                <w:rFonts w:ascii="Arial" w:cs="Arial" w:eastAsia="Arial" w:hAnsi="Arial"/>
                <w:sz w:val="18"/>
                <w:szCs w:val="18"/>
                <w:b w:val="1"/>
                <w:bCs w:val="1"/>
                <w:color w:val="auto"/>
              </w:rPr>
              <w:t>  Accounts</w:t>
            </w:r>
          </w:p>
        </w:tc>
        <w:tc>
          <w:tcPr>
            <w:tcW w:w="9800" w:type="dxa"/>
            <w:vAlign w:val="bottom"/>
          </w:tcPr>
          <w:p>
            <w:pPr>
              <w:ind w:left="320"/>
              <w:spacing w:after="0" w:line="202" w:lineRule="exact"/>
              <w:rPr>
                <w:sz w:val="20"/>
                <w:szCs w:val="20"/>
                <w:color w:val="auto"/>
              </w:rPr>
            </w:pPr>
            <w:r>
              <w:rPr>
                <w:rFonts w:ascii="Arial" w:cs="Arial" w:eastAsia="Arial" w:hAnsi="Arial"/>
                <w:sz w:val="18"/>
                <w:szCs w:val="18"/>
                <w:color w:val="auto"/>
              </w:rPr>
              <w:t>collateral for a loan or holds Company securities as collateral in a margin account is not eligible for election or</w:t>
            </w:r>
          </w:p>
        </w:tc>
      </w:tr>
      <w:tr>
        <w:trPr>
          <w:trHeight w:val="203"/>
        </w:trPr>
        <w:tc>
          <w:tcPr>
            <w:tcW w:w="1220" w:type="dxa"/>
            <w:vAlign w:val="bottom"/>
          </w:tcPr>
          <w:p>
            <w:pPr>
              <w:spacing w:after="0"/>
              <w:rPr>
                <w:sz w:val="17"/>
                <w:szCs w:val="17"/>
                <w:color w:val="auto"/>
              </w:rPr>
            </w:pPr>
          </w:p>
        </w:tc>
        <w:tc>
          <w:tcPr>
            <w:tcW w:w="9800" w:type="dxa"/>
            <w:vAlign w:val="bottom"/>
          </w:tcPr>
          <w:p>
            <w:pPr>
              <w:ind w:left="320"/>
              <w:spacing w:after="0" w:line="202" w:lineRule="exact"/>
              <w:rPr>
                <w:sz w:val="20"/>
                <w:szCs w:val="20"/>
                <w:color w:val="auto"/>
              </w:rPr>
            </w:pPr>
            <w:r>
              <w:rPr>
                <w:rFonts w:ascii="Arial" w:cs="Arial" w:eastAsia="Arial" w:hAnsi="Arial"/>
                <w:sz w:val="18"/>
                <w:szCs w:val="18"/>
                <w:color w:val="auto"/>
              </w:rPr>
              <w:t>re-election as a director. The Board has made an exception to this policy for our Chief Executive Officer in connection</w:t>
            </w:r>
          </w:p>
        </w:tc>
      </w:tr>
      <w:tr>
        <w:trPr>
          <w:trHeight w:val="203"/>
        </w:trPr>
        <w:tc>
          <w:tcPr>
            <w:tcW w:w="1220" w:type="dxa"/>
            <w:vAlign w:val="bottom"/>
          </w:tcPr>
          <w:p>
            <w:pPr>
              <w:spacing w:after="0"/>
              <w:rPr>
                <w:sz w:val="17"/>
                <w:szCs w:val="17"/>
                <w:color w:val="auto"/>
              </w:rPr>
            </w:pPr>
          </w:p>
        </w:tc>
        <w:tc>
          <w:tcPr>
            <w:tcW w:w="9800" w:type="dxa"/>
            <w:vAlign w:val="bottom"/>
          </w:tcPr>
          <w:p>
            <w:pPr>
              <w:ind w:left="320"/>
              <w:spacing w:after="0" w:line="202" w:lineRule="exact"/>
              <w:rPr>
                <w:sz w:val="20"/>
                <w:szCs w:val="20"/>
                <w:color w:val="auto"/>
              </w:rPr>
            </w:pPr>
            <w:r>
              <w:rPr>
                <w:rFonts w:ascii="Arial" w:cs="Arial" w:eastAsia="Arial" w:hAnsi="Arial"/>
                <w:sz w:val="18"/>
                <w:szCs w:val="18"/>
                <w:color w:val="auto"/>
              </w:rPr>
              <w:t>with certain financing arrangements made by a family-owned investment vehicle. For additional details, see Footnote 2</w:t>
            </w:r>
          </w:p>
        </w:tc>
      </w:tr>
      <w:tr>
        <w:trPr>
          <w:trHeight w:val="239"/>
        </w:trPr>
        <w:tc>
          <w:tcPr>
            <w:tcW w:w="1220" w:type="dxa"/>
            <w:vAlign w:val="bottom"/>
          </w:tcPr>
          <w:p>
            <w:pPr>
              <w:spacing w:after="0"/>
              <w:rPr>
                <w:sz w:val="20"/>
                <w:szCs w:val="20"/>
                <w:color w:val="auto"/>
              </w:rPr>
            </w:pPr>
          </w:p>
        </w:tc>
        <w:tc>
          <w:tcPr>
            <w:tcW w:w="9800" w:type="dxa"/>
            <w:vAlign w:val="bottom"/>
          </w:tcPr>
          <w:p>
            <w:pPr>
              <w:ind w:left="320"/>
              <w:spacing w:after="0"/>
              <w:rPr>
                <w:sz w:val="20"/>
                <w:szCs w:val="20"/>
                <w:color w:val="auto"/>
              </w:rPr>
            </w:pPr>
            <w:r>
              <w:rPr>
                <w:rFonts w:ascii="Arial" w:cs="Arial" w:eastAsia="Arial" w:hAnsi="Arial"/>
                <w:sz w:val="18"/>
                <w:szCs w:val="18"/>
                <w:color w:val="auto"/>
              </w:rPr>
              <w:t>in the “</w:t>
            </w:r>
            <w:r>
              <w:rPr>
                <w:rFonts w:ascii="Arial" w:cs="Arial" w:eastAsia="Arial" w:hAnsi="Arial"/>
                <w:sz w:val="18"/>
                <w:szCs w:val="18"/>
                <w:i w:val="1"/>
                <w:iCs w:val="1"/>
                <w:color w:val="auto"/>
              </w:rPr>
              <w:t>Stock Ownership Table” b</w:t>
            </w:r>
            <w:r>
              <w:rPr>
                <w:rFonts w:ascii="Arial" w:cs="Arial" w:eastAsia="Arial" w:hAnsi="Arial"/>
                <w:sz w:val="18"/>
                <w:szCs w:val="18"/>
                <w:color w:val="auto"/>
              </w:rPr>
              <w:t>eginning on page 73.</w:t>
            </w:r>
          </w:p>
        </w:tc>
      </w:tr>
      <w:tr>
        <w:trPr>
          <w:trHeight w:val="43"/>
        </w:trPr>
        <w:tc>
          <w:tcPr>
            <w:tcW w:w="1220" w:type="dxa"/>
            <w:vAlign w:val="bottom"/>
            <w:tcBorders>
              <w:bottom w:val="single" w:sz="8" w:color="0070C0"/>
            </w:tcBorders>
          </w:tcPr>
          <w:p>
            <w:pPr>
              <w:spacing w:after="0"/>
              <w:rPr>
                <w:sz w:val="3"/>
                <w:szCs w:val="3"/>
                <w:color w:val="auto"/>
              </w:rPr>
            </w:pPr>
          </w:p>
        </w:tc>
        <w:tc>
          <w:tcPr>
            <w:tcW w:w="9800" w:type="dxa"/>
            <w:vAlign w:val="bottom"/>
            <w:tcBorders>
              <w:bottom w:val="single" w:sz="8" w:color="0070C0"/>
            </w:tcBorders>
          </w:tcPr>
          <w:p>
            <w:pPr>
              <w:spacing w:after="0"/>
              <w:rPr>
                <w:sz w:val="3"/>
                <w:szCs w:val="3"/>
                <w:color w:val="auto"/>
              </w:rPr>
            </w:pPr>
          </w:p>
        </w:tc>
      </w:tr>
    </w:tbl>
    <w:p>
      <w:pPr>
        <w:spacing w:after="0" w:line="197" w:lineRule="exact"/>
        <w:rPr>
          <w:sz w:val="20"/>
          <w:szCs w:val="20"/>
          <w:color w:val="auto"/>
        </w:rPr>
      </w:pPr>
    </w:p>
    <w:p>
      <w:pPr>
        <w:ind w:left="4" w:right="500"/>
        <w:spacing w:after="0" w:line="253" w:lineRule="auto"/>
        <w:rPr>
          <w:sz w:val="20"/>
          <w:szCs w:val="20"/>
          <w:color w:val="auto"/>
        </w:rPr>
      </w:pPr>
      <w:r>
        <w:rPr>
          <w:rFonts w:ascii="Arial" w:cs="Arial" w:eastAsia="Arial" w:hAnsi="Arial"/>
          <w:sz w:val="18"/>
          <w:szCs w:val="18"/>
          <w:color w:val="auto"/>
        </w:rPr>
        <w:t>Our Insider Trading Policy has procedures that require transactions in our stock by executive officers, directors and other designated employees, and each of their family members and members of their households, only be made during open trading windows after satisfying mandatory pre-clearance requirements.</w:t>
      </w:r>
    </w:p>
    <w:p>
      <w:pPr>
        <w:spacing w:after="0" w:line="159"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002060"/>
        </w:rPr>
        <w:t>Stockholder Engagement</w:t>
      </w:r>
    </w:p>
    <w:p>
      <w:pPr>
        <w:spacing w:after="0" w:line="216" w:lineRule="exact"/>
        <w:rPr>
          <w:sz w:val="20"/>
          <w:szCs w:val="20"/>
          <w:color w:val="auto"/>
        </w:rPr>
      </w:pPr>
    </w:p>
    <w:p>
      <w:pPr>
        <w:ind w:left="4" w:right="140"/>
        <w:spacing w:after="0"/>
        <w:rPr>
          <w:sz w:val="20"/>
          <w:szCs w:val="20"/>
          <w:color w:val="auto"/>
        </w:rPr>
      </w:pPr>
      <w:r>
        <w:rPr>
          <w:rFonts w:ascii="Arial" w:cs="Arial" w:eastAsia="Arial" w:hAnsi="Arial"/>
          <w:sz w:val="18"/>
          <w:szCs w:val="18"/>
          <w:color w:val="auto"/>
        </w:rPr>
        <w:t>Developing and fostering long term relationships with our stockholders is a key priority. We actively engage with our stockholders regarding our business strategy, operations, industry trends and conditions, growth opportunities, financial performance, climate and environment issues, workplace culture and other issues. Throughout the year, members of our Investor Relations team and management seek input and feedback through telephone and video calls and in-person meetings with our stockholders to stay informed on their perspectives and to increase their understanding of our business and industry. Feedback received from our stockholder engagement activities informs our decision-making on our business strategy, capital allocation, corporate responsibility, executive compensation, and ESG initiatives.</w:t>
      </w:r>
    </w:p>
    <w:p>
      <w:pPr>
        <w:spacing w:after="0" w:line="185" w:lineRule="exact"/>
        <w:rPr>
          <w:sz w:val="20"/>
          <w:szCs w:val="20"/>
          <w:color w:val="auto"/>
        </w:rPr>
      </w:pPr>
    </w:p>
    <w:p>
      <w:pPr>
        <w:ind w:left="4" w:right="600"/>
        <w:spacing w:after="0" w:line="253" w:lineRule="auto"/>
        <w:rPr>
          <w:sz w:val="20"/>
          <w:szCs w:val="20"/>
          <w:color w:val="auto"/>
        </w:rPr>
      </w:pPr>
      <w:r>
        <w:rPr>
          <w:rFonts w:ascii="Arial" w:cs="Arial" w:eastAsia="Arial" w:hAnsi="Arial"/>
          <w:sz w:val="18"/>
          <w:szCs w:val="18"/>
          <w:color w:val="auto"/>
        </w:rPr>
        <w:t>During 2023, we engaged in a number of conversations with both existing and potential investors. We engaged with stockholders representing approximately 25% of our shares held by institutions, including 75% of our institutional stockholders who held a top 25 position based on percentage of ownership of our common stock.</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8"/>
          <w:szCs w:val="18"/>
          <w:color w:val="0070C0"/>
        </w:rPr>
        <w:t>Stockholder Engagement Topics</w:t>
      </w:r>
    </w:p>
    <w:p>
      <w:pPr>
        <w:spacing w:after="0" w:line="169" w:lineRule="exact"/>
        <w:rPr>
          <w:sz w:val="20"/>
          <w:szCs w:val="20"/>
          <w:color w:val="auto"/>
        </w:rPr>
      </w:pPr>
    </w:p>
    <w:p>
      <w:pPr>
        <w:ind w:left="964" w:hanging="532"/>
        <w:spacing w:after="0"/>
        <w:tabs>
          <w:tab w:leader="none" w:pos="964" w:val="left"/>
        </w:tabs>
        <w:numPr>
          <w:ilvl w:val="0"/>
          <w:numId w:val="15"/>
        </w:numPr>
        <w:rPr>
          <w:rFonts w:ascii="MS PGothic" w:cs="MS PGothic" w:eastAsia="MS PGothic" w:hAnsi="MS PGothic"/>
          <w:sz w:val="29"/>
          <w:szCs w:val="29"/>
          <w:color w:val="002060"/>
          <w:vertAlign w:val="superscript"/>
        </w:rPr>
      </w:pPr>
      <w:r>
        <w:rPr>
          <w:rFonts w:ascii="Arial" w:cs="Arial" w:eastAsia="Arial" w:hAnsi="Arial"/>
          <w:sz w:val="18"/>
          <w:szCs w:val="18"/>
          <w:color w:val="auto"/>
        </w:rPr>
        <w:t>Macro housing trends</w:t>
      </w:r>
    </w:p>
    <w:p>
      <w:pPr>
        <w:ind w:left="964" w:hanging="532"/>
        <w:spacing w:after="0" w:line="180" w:lineRule="auto"/>
        <w:tabs>
          <w:tab w:leader="none" w:pos="964" w:val="left"/>
        </w:tabs>
        <w:numPr>
          <w:ilvl w:val="0"/>
          <w:numId w:val="15"/>
        </w:numPr>
        <w:rPr>
          <w:rFonts w:ascii="MS PGothic" w:cs="MS PGothic" w:eastAsia="MS PGothic" w:hAnsi="MS PGothic"/>
          <w:sz w:val="27"/>
          <w:szCs w:val="27"/>
          <w:color w:val="002060"/>
          <w:vertAlign w:val="superscript"/>
        </w:rPr>
      </w:pPr>
      <w:r>
        <w:rPr>
          <w:rFonts w:ascii="Arial" w:cs="Arial" w:eastAsia="Arial" w:hAnsi="Arial"/>
          <w:sz w:val="17"/>
          <w:szCs w:val="17"/>
          <w:color w:val="auto"/>
        </w:rPr>
        <w:t>Core business operations, including material availability, cost and pricing trends</w:t>
      </w:r>
    </w:p>
    <w:p>
      <w:pPr>
        <w:ind w:left="964" w:hanging="532"/>
        <w:spacing w:after="0" w:line="180" w:lineRule="auto"/>
        <w:tabs>
          <w:tab w:leader="none" w:pos="964" w:val="left"/>
        </w:tabs>
        <w:numPr>
          <w:ilvl w:val="0"/>
          <w:numId w:val="15"/>
        </w:numPr>
        <w:rPr>
          <w:rFonts w:ascii="MS PGothic" w:cs="MS PGothic" w:eastAsia="MS PGothic" w:hAnsi="MS PGothic"/>
          <w:sz w:val="27"/>
          <w:szCs w:val="27"/>
          <w:color w:val="002060"/>
          <w:vertAlign w:val="superscript"/>
        </w:rPr>
      </w:pPr>
      <w:r>
        <w:rPr>
          <w:rFonts w:ascii="Arial" w:cs="Arial" w:eastAsia="Arial" w:hAnsi="Arial"/>
          <w:sz w:val="17"/>
          <w:szCs w:val="17"/>
          <w:color w:val="auto"/>
        </w:rPr>
        <w:t>Acquisition opportunities and revenue diversification</w:t>
      </w:r>
    </w:p>
    <w:p>
      <w:pPr>
        <w:ind w:left="964" w:hanging="532"/>
        <w:spacing w:after="0" w:line="180" w:lineRule="auto"/>
        <w:tabs>
          <w:tab w:leader="none" w:pos="964" w:val="left"/>
        </w:tabs>
        <w:numPr>
          <w:ilvl w:val="0"/>
          <w:numId w:val="15"/>
        </w:numPr>
        <w:rPr>
          <w:rFonts w:ascii="MS PGothic" w:cs="MS PGothic" w:eastAsia="MS PGothic" w:hAnsi="MS PGothic"/>
          <w:sz w:val="27"/>
          <w:szCs w:val="27"/>
          <w:color w:val="002060"/>
          <w:vertAlign w:val="superscript"/>
        </w:rPr>
      </w:pPr>
      <w:r>
        <w:rPr>
          <w:rFonts w:ascii="Arial" w:cs="Arial" w:eastAsia="Arial" w:hAnsi="Arial"/>
          <w:sz w:val="17"/>
          <w:szCs w:val="17"/>
          <w:color w:val="auto"/>
        </w:rPr>
        <w:t>ESG initiatives</w:t>
      </w:r>
    </w:p>
    <w:p>
      <w:pPr>
        <w:ind w:left="964" w:hanging="532"/>
        <w:spacing w:after="0" w:line="180" w:lineRule="auto"/>
        <w:tabs>
          <w:tab w:leader="none" w:pos="964" w:val="left"/>
        </w:tabs>
        <w:numPr>
          <w:ilvl w:val="0"/>
          <w:numId w:val="15"/>
        </w:numPr>
        <w:rPr>
          <w:rFonts w:ascii="MS PGothic" w:cs="MS PGothic" w:eastAsia="MS PGothic" w:hAnsi="MS PGothic"/>
          <w:sz w:val="27"/>
          <w:szCs w:val="27"/>
          <w:color w:val="002060"/>
          <w:vertAlign w:val="superscript"/>
        </w:rPr>
      </w:pPr>
      <w:r>
        <w:rPr>
          <w:rFonts w:ascii="Arial" w:cs="Arial" w:eastAsia="Arial" w:hAnsi="Arial"/>
          <w:sz w:val="17"/>
          <w:szCs w:val="17"/>
          <w:color w:val="auto"/>
        </w:rPr>
        <w:t>Importance of insulation in residential and commercial buildings in reducing greenhouse gas emissions</w:t>
      </w:r>
    </w:p>
    <w:p>
      <w:pPr>
        <w:ind w:left="964" w:hanging="532"/>
        <w:spacing w:after="0" w:line="182" w:lineRule="auto"/>
        <w:tabs>
          <w:tab w:leader="none" w:pos="964" w:val="left"/>
        </w:tabs>
        <w:numPr>
          <w:ilvl w:val="0"/>
          <w:numId w:val="15"/>
        </w:numPr>
        <w:rPr>
          <w:rFonts w:ascii="MS PGothic" w:cs="MS PGothic" w:eastAsia="MS PGothic" w:hAnsi="MS PGothic"/>
          <w:sz w:val="29"/>
          <w:szCs w:val="29"/>
          <w:color w:val="002060"/>
          <w:vertAlign w:val="superscript"/>
        </w:rPr>
      </w:pPr>
      <w:r>
        <w:rPr>
          <w:rFonts w:ascii="Arial" w:cs="Arial" w:eastAsia="Arial" w:hAnsi="Arial"/>
          <w:sz w:val="18"/>
          <w:szCs w:val="18"/>
          <w:color w:val="auto"/>
        </w:rPr>
        <w:t>Supporting our employees and our communities through our Foundation and charitable giving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69951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0070C0"/>
        </w:rPr>
        <w:t>Corporate Governance</w:t>
      </w:r>
    </w:p>
    <w:p>
      <w:pPr>
        <w:spacing w:after="0" w:line="5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0070C0"/>
        </w:rPr>
        <w:t>30</w:t>
      </w:r>
    </w:p>
    <w:p>
      <w:pPr>
        <w:sectPr>
          <w:pgSz w:w="11900" w:h="16838" w:orient="portrait"/>
          <w:cols w:equalWidth="0" w:num="1">
            <w:col w:w="11024"/>
          </w:cols>
          <w:pgMar w:left="436" w:top="296" w:right="439" w:bottom="1440" w:gutter="0" w:footer="0" w:header="0"/>
        </w:sectPr>
      </w:pPr>
    </w:p>
    <w:bookmarkStart w:id="38" w:name="page39"/>
    <w:bookmarkEnd w:id="38"/>
    <w:p>
      <w:pPr>
        <w:spacing w:after="0"/>
        <w:rPr>
          <w:sz w:val="20"/>
          <w:szCs w:val="20"/>
          <w:color w:val="auto"/>
        </w:rPr>
      </w:pPr>
      <w:r>
        <w:rPr>
          <w:rFonts w:ascii="Arial" w:cs="Arial" w:eastAsia="Arial" w:hAnsi="Arial"/>
          <w:sz w:val="22"/>
          <w:szCs w:val="22"/>
          <w:b w:val="1"/>
          <w:bCs w:val="1"/>
          <w:color w:val="00206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Communication with Directors</w:t>
      </w:r>
    </w:p>
    <w:p>
      <w:pPr>
        <w:spacing w:after="0" w:line="216"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Stockholders and other interested parties wishing to communicate with the Board of Directors or to any particular director, including the Presiding Independent Director, may do so by writing to the following address: c/o Corporate Secretary, Installed Building Products, Inc., 495 South High Street, Suite 50, Columbus, Ohio 43215. The Board has directed the Corporate Secretary’s office to forward to the appropriate director(s) all correspondence, except for items unrelated to the functions of the Board, business solicitations and advertisements.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Stockholder Nominations of Director Candidates</w:t>
      </w:r>
    </w:p>
    <w:p>
      <w:pPr>
        <w:spacing w:after="0" w:line="21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identifying potential candidates for Board membership, the NCG Committee may rely on recommendations from directors, stockholders, management and others. The NCG Committee reviews all candidates in the same manner, regardless of the source of the recommendation. Stockholders who wish to recommend or nominate a director candidate must comply with certain procedures. If you desire to nominate a director candidate for the 2025 Annual Meeting of Stockholders, you must comply with the procedures for nomination set forth in “</w:t>
      </w:r>
      <w:r>
        <w:rPr>
          <w:rFonts w:ascii="Arial" w:cs="Arial" w:eastAsia="Arial" w:hAnsi="Arial"/>
          <w:sz w:val="18"/>
          <w:szCs w:val="18"/>
          <w:i w:val="1"/>
          <w:iCs w:val="1"/>
          <w:color w:val="auto"/>
        </w:rPr>
        <w:t>Stockholder Proposals for the 2025 Annual Meeting</w:t>
      </w:r>
      <w:r>
        <w:rPr>
          <w:rFonts w:ascii="Arial" w:cs="Arial" w:eastAsia="Arial" w:hAnsi="Arial"/>
          <w:sz w:val="18"/>
          <w:szCs w:val="18"/>
          <w:color w:val="auto"/>
        </w:rPr>
        <w:t>.” Stockholders may recommend a director candidate for consideration at any time by giving written notice to our Corporate Secretary at Installed Building Products, Inc., 495 South High Street, Suite 50, Columbus, Ohio 43215. The recommendation must include the candidate’s name, age, business address, residence address and principal occupation or employment, as well as a description of the candidate’s qualifications, attributes and other skills. The NCG Committee may require additional information before considering the candidate. These procedural requirements are intended to ensure that the NCG Committee has sufficient time and a basis upon which to assess potential director candidates and are not intended to discourage or interfere with stockholder nominations.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Corporate Governance Materials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corporate governance materials are published on our website at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70C0"/>
        </w:rPr>
        <w:t>http://investors.installedbuildingproducts.com/corporate-governance</w:t>
      </w:r>
      <w:r>
        <w:rPr>
          <w:rFonts w:ascii="Arial" w:cs="Arial" w:eastAsia="Arial" w:hAnsi="Arial"/>
          <w:sz w:val="18"/>
          <w:szCs w:val="18"/>
          <w:i w:val="1"/>
          <w:iCs w:val="1"/>
          <w:color w:val="0070C0"/>
        </w:rPr>
        <w:t>:</w:t>
      </w:r>
    </w:p>
    <w:p>
      <w:pPr>
        <w:spacing w:after="0" w:line="151" w:lineRule="exact"/>
        <w:rPr>
          <w:sz w:val="20"/>
          <w:szCs w:val="20"/>
          <w:color w:val="auto"/>
        </w:rPr>
      </w:pPr>
    </w:p>
    <w:p>
      <w:pPr>
        <w:ind w:left="960" w:hanging="424"/>
        <w:spacing w:after="0"/>
        <w:tabs>
          <w:tab w:leader="none" w:pos="960" w:val="left"/>
        </w:tabs>
        <w:numPr>
          <w:ilvl w:val="0"/>
          <w:numId w:val="16"/>
        </w:numPr>
        <w:rPr>
          <w:rFonts w:ascii="MS PGothic" w:cs="MS PGothic" w:eastAsia="MS PGothic" w:hAnsi="MS PGothic"/>
          <w:sz w:val="29"/>
          <w:szCs w:val="29"/>
          <w:color w:val="002060"/>
          <w:vertAlign w:val="superscript"/>
        </w:rPr>
      </w:pPr>
      <w:r>
        <w:rPr>
          <w:rFonts w:ascii="Arial" w:cs="Arial" w:eastAsia="Arial" w:hAnsi="Arial"/>
          <w:sz w:val="18"/>
          <w:szCs w:val="18"/>
          <w:color w:val="auto"/>
        </w:rPr>
        <w:t>Audit Committee Charter</w:t>
      </w:r>
    </w:p>
    <w:p>
      <w:pPr>
        <w:ind w:left="960" w:hanging="424"/>
        <w:spacing w:after="0" w:line="180" w:lineRule="auto"/>
        <w:tabs>
          <w:tab w:leader="none" w:pos="960" w:val="left"/>
        </w:tabs>
        <w:numPr>
          <w:ilvl w:val="0"/>
          <w:numId w:val="16"/>
        </w:numPr>
        <w:rPr>
          <w:rFonts w:ascii="MS PGothic" w:cs="MS PGothic" w:eastAsia="MS PGothic" w:hAnsi="MS PGothic"/>
          <w:sz w:val="27"/>
          <w:szCs w:val="27"/>
          <w:color w:val="002060"/>
          <w:vertAlign w:val="superscript"/>
        </w:rPr>
      </w:pPr>
      <w:r>
        <w:rPr>
          <w:rFonts w:ascii="Arial" w:cs="Arial" w:eastAsia="Arial" w:hAnsi="Arial"/>
          <w:sz w:val="17"/>
          <w:szCs w:val="17"/>
          <w:color w:val="auto"/>
        </w:rPr>
        <w:t>Amended and Restated Bylaws</w:t>
      </w:r>
    </w:p>
    <w:p>
      <w:pPr>
        <w:ind w:left="960" w:hanging="424"/>
        <w:spacing w:after="0" w:line="180" w:lineRule="auto"/>
        <w:tabs>
          <w:tab w:leader="none" w:pos="960" w:val="left"/>
        </w:tabs>
        <w:numPr>
          <w:ilvl w:val="0"/>
          <w:numId w:val="16"/>
        </w:numPr>
        <w:rPr>
          <w:rFonts w:ascii="MS PGothic" w:cs="MS PGothic" w:eastAsia="MS PGothic" w:hAnsi="MS PGothic"/>
          <w:sz w:val="27"/>
          <w:szCs w:val="27"/>
          <w:color w:val="002060"/>
          <w:vertAlign w:val="superscript"/>
        </w:rPr>
      </w:pPr>
      <w:r>
        <w:rPr>
          <w:rFonts w:ascii="Arial" w:cs="Arial" w:eastAsia="Arial" w:hAnsi="Arial"/>
          <w:sz w:val="17"/>
          <w:szCs w:val="17"/>
          <w:color w:val="auto"/>
        </w:rPr>
        <w:t>Amended and Restated Certificate of Incorporation</w:t>
      </w:r>
    </w:p>
    <w:p>
      <w:pPr>
        <w:ind w:left="960" w:hanging="424"/>
        <w:spacing w:after="0" w:line="180" w:lineRule="auto"/>
        <w:tabs>
          <w:tab w:leader="none" w:pos="960" w:val="left"/>
        </w:tabs>
        <w:numPr>
          <w:ilvl w:val="0"/>
          <w:numId w:val="16"/>
        </w:numPr>
        <w:rPr>
          <w:rFonts w:ascii="MS PGothic" w:cs="MS PGothic" w:eastAsia="MS PGothic" w:hAnsi="MS PGothic"/>
          <w:sz w:val="27"/>
          <w:szCs w:val="27"/>
          <w:color w:val="002060"/>
          <w:vertAlign w:val="superscript"/>
        </w:rPr>
      </w:pPr>
      <w:r>
        <w:rPr>
          <w:rFonts w:ascii="Arial" w:cs="Arial" w:eastAsia="Arial" w:hAnsi="Arial"/>
          <w:sz w:val="17"/>
          <w:szCs w:val="17"/>
          <w:color w:val="auto"/>
        </w:rPr>
        <w:t>Code of Business Conduct and Ethics</w:t>
      </w:r>
    </w:p>
    <w:p>
      <w:pPr>
        <w:ind w:left="960" w:hanging="424"/>
        <w:spacing w:after="0" w:line="186" w:lineRule="auto"/>
        <w:tabs>
          <w:tab w:leader="none" w:pos="960" w:val="left"/>
        </w:tabs>
        <w:numPr>
          <w:ilvl w:val="0"/>
          <w:numId w:val="16"/>
        </w:numPr>
        <w:rPr>
          <w:rFonts w:ascii="MS PGothic" w:cs="MS PGothic" w:eastAsia="MS PGothic" w:hAnsi="MS PGothic"/>
          <w:sz w:val="26"/>
          <w:szCs w:val="26"/>
          <w:color w:val="002060"/>
          <w:vertAlign w:val="superscript"/>
        </w:rPr>
      </w:pPr>
      <w:r>
        <w:rPr>
          <w:rFonts w:ascii="Arial" w:cs="Arial" w:eastAsia="Arial" w:hAnsi="Arial"/>
          <w:sz w:val="16"/>
          <w:szCs w:val="16"/>
          <w:color w:val="auto"/>
        </w:rPr>
        <w:t>CHC Committee Charter</w:t>
      </w:r>
    </w:p>
    <w:p>
      <w:pPr>
        <w:ind w:left="960" w:hanging="424"/>
        <w:spacing w:after="0" w:line="180" w:lineRule="auto"/>
        <w:tabs>
          <w:tab w:leader="none" w:pos="960" w:val="left"/>
        </w:tabs>
        <w:numPr>
          <w:ilvl w:val="0"/>
          <w:numId w:val="16"/>
        </w:numPr>
        <w:rPr>
          <w:rFonts w:ascii="MS PGothic" w:cs="MS PGothic" w:eastAsia="MS PGothic" w:hAnsi="MS PGothic"/>
          <w:sz w:val="27"/>
          <w:szCs w:val="27"/>
          <w:color w:val="002060"/>
          <w:vertAlign w:val="superscript"/>
        </w:rPr>
      </w:pPr>
      <w:r>
        <w:rPr>
          <w:rFonts w:ascii="Arial" w:cs="Arial" w:eastAsia="Arial" w:hAnsi="Arial"/>
          <w:sz w:val="17"/>
          <w:szCs w:val="17"/>
          <w:color w:val="auto"/>
        </w:rPr>
        <w:t>Corporate Governance Guidelines</w:t>
      </w:r>
    </w:p>
    <w:p>
      <w:pPr>
        <w:ind w:left="960" w:hanging="424"/>
        <w:spacing w:after="0" w:line="180" w:lineRule="auto"/>
        <w:tabs>
          <w:tab w:leader="none" w:pos="960" w:val="left"/>
        </w:tabs>
        <w:numPr>
          <w:ilvl w:val="0"/>
          <w:numId w:val="16"/>
        </w:numPr>
        <w:rPr>
          <w:rFonts w:ascii="MS PGothic" w:cs="MS PGothic" w:eastAsia="MS PGothic" w:hAnsi="MS PGothic"/>
          <w:sz w:val="27"/>
          <w:szCs w:val="27"/>
          <w:color w:val="002060"/>
          <w:vertAlign w:val="superscript"/>
        </w:rPr>
      </w:pPr>
      <w:r>
        <w:rPr>
          <w:rFonts w:ascii="Arial" w:cs="Arial" w:eastAsia="Arial" w:hAnsi="Arial"/>
          <w:sz w:val="17"/>
          <w:szCs w:val="17"/>
          <w:color w:val="auto"/>
        </w:rPr>
        <w:t>Disclosure Committee Charter</w:t>
      </w:r>
    </w:p>
    <w:p>
      <w:pPr>
        <w:ind w:left="960" w:hanging="424"/>
        <w:spacing w:after="0" w:line="180" w:lineRule="auto"/>
        <w:tabs>
          <w:tab w:leader="none" w:pos="960" w:val="left"/>
        </w:tabs>
        <w:numPr>
          <w:ilvl w:val="0"/>
          <w:numId w:val="16"/>
        </w:numPr>
        <w:rPr>
          <w:rFonts w:ascii="MS PGothic" w:cs="MS PGothic" w:eastAsia="MS PGothic" w:hAnsi="MS PGothic"/>
          <w:sz w:val="27"/>
          <w:szCs w:val="27"/>
          <w:color w:val="002060"/>
          <w:vertAlign w:val="superscript"/>
        </w:rPr>
      </w:pPr>
      <w:r>
        <w:rPr>
          <w:rFonts w:ascii="Arial" w:cs="Arial" w:eastAsia="Arial" w:hAnsi="Arial"/>
          <w:sz w:val="17"/>
          <w:szCs w:val="17"/>
          <w:color w:val="auto"/>
        </w:rPr>
        <w:t>Insider Trading Policy – All Employees</w:t>
      </w:r>
    </w:p>
    <w:p>
      <w:pPr>
        <w:ind w:left="960" w:hanging="424"/>
        <w:spacing w:after="0" w:line="180" w:lineRule="auto"/>
        <w:tabs>
          <w:tab w:leader="none" w:pos="960" w:val="left"/>
        </w:tabs>
        <w:numPr>
          <w:ilvl w:val="0"/>
          <w:numId w:val="16"/>
        </w:numPr>
        <w:rPr>
          <w:rFonts w:ascii="MS PGothic" w:cs="MS PGothic" w:eastAsia="MS PGothic" w:hAnsi="MS PGothic"/>
          <w:sz w:val="27"/>
          <w:szCs w:val="27"/>
          <w:color w:val="002060"/>
          <w:vertAlign w:val="superscript"/>
        </w:rPr>
      </w:pPr>
      <w:r>
        <w:rPr>
          <w:rFonts w:ascii="Arial" w:cs="Arial" w:eastAsia="Arial" w:hAnsi="Arial"/>
          <w:sz w:val="17"/>
          <w:szCs w:val="17"/>
          <w:color w:val="auto"/>
        </w:rPr>
        <w:t>Insider Trading Policy – Covered Persons</w:t>
      </w:r>
    </w:p>
    <w:p>
      <w:pPr>
        <w:ind w:left="960" w:hanging="424"/>
        <w:spacing w:after="0" w:line="180" w:lineRule="auto"/>
        <w:tabs>
          <w:tab w:leader="none" w:pos="960" w:val="left"/>
        </w:tabs>
        <w:numPr>
          <w:ilvl w:val="0"/>
          <w:numId w:val="16"/>
        </w:numPr>
        <w:rPr>
          <w:rFonts w:ascii="MS PGothic" w:cs="MS PGothic" w:eastAsia="MS PGothic" w:hAnsi="MS PGothic"/>
          <w:sz w:val="27"/>
          <w:szCs w:val="27"/>
          <w:color w:val="002060"/>
          <w:vertAlign w:val="superscript"/>
        </w:rPr>
      </w:pPr>
      <w:r>
        <w:rPr>
          <w:rFonts w:ascii="Arial" w:cs="Arial" w:eastAsia="Arial" w:hAnsi="Arial"/>
          <w:sz w:val="17"/>
          <w:szCs w:val="17"/>
          <w:color w:val="auto"/>
        </w:rPr>
        <w:t>Mandatory Recoupment Policy</w:t>
      </w:r>
    </w:p>
    <w:p>
      <w:pPr>
        <w:ind w:left="960" w:hanging="424"/>
        <w:spacing w:after="0" w:line="180" w:lineRule="auto"/>
        <w:tabs>
          <w:tab w:leader="none" w:pos="960" w:val="left"/>
        </w:tabs>
        <w:numPr>
          <w:ilvl w:val="0"/>
          <w:numId w:val="16"/>
        </w:numPr>
        <w:rPr>
          <w:rFonts w:ascii="MS PGothic" w:cs="MS PGothic" w:eastAsia="MS PGothic" w:hAnsi="MS PGothic"/>
          <w:sz w:val="27"/>
          <w:szCs w:val="27"/>
          <w:color w:val="002060"/>
          <w:vertAlign w:val="superscript"/>
        </w:rPr>
      </w:pPr>
      <w:r>
        <w:rPr>
          <w:rFonts w:ascii="Arial" w:cs="Arial" w:eastAsia="Arial" w:hAnsi="Arial"/>
          <w:sz w:val="17"/>
          <w:szCs w:val="17"/>
          <w:color w:val="auto"/>
        </w:rPr>
        <w:t>NCG Committee Charter</w:t>
      </w:r>
    </w:p>
    <w:p>
      <w:pPr>
        <w:ind w:left="960" w:hanging="424"/>
        <w:spacing w:after="0" w:line="180" w:lineRule="auto"/>
        <w:tabs>
          <w:tab w:leader="none" w:pos="960" w:val="left"/>
        </w:tabs>
        <w:numPr>
          <w:ilvl w:val="0"/>
          <w:numId w:val="16"/>
        </w:numPr>
        <w:rPr>
          <w:rFonts w:ascii="MS PGothic" w:cs="MS PGothic" w:eastAsia="MS PGothic" w:hAnsi="MS PGothic"/>
          <w:sz w:val="27"/>
          <w:szCs w:val="27"/>
          <w:color w:val="002060"/>
          <w:vertAlign w:val="superscript"/>
        </w:rPr>
      </w:pPr>
      <w:r>
        <w:rPr>
          <w:rFonts w:ascii="Arial" w:cs="Arial" w:eastAsia="Arial" w:hAnsi="Arial"/>
          <w:sz w:val="17"/>
          <w:szCs w:val="17"/>
          <w:color w:val="auto"/>
        </w:rPr>
        <w:t>Reg FD Policy</w:t>
      </w:r>
    </w:p>
    <w:p>
      <w:pPr>
        <w:ind w:left="960" w:hanging="424"/>
        <w:spacing w:after="0" w:line="180" w:lineRule="auto"/>
        <w:tabs>
          <w:tab w:leader="none" w:pos="960" w:val="left"/>
        </w:tabs>
        <w:numPr>
          <w:ilvl w:val="0"/>
          <w:numId w:val="16"/>
        </w:numPr>
        <w:rPr>
          <w:rFonts w:ascii="MS PGothic" w:cs="MS PGothic" w:eastAsia="MS PGothic" w:hAnsi="MS PGothic"/>
          <w:sz w:val="27"/>
          <w:szCs w:val="27"/>
          <w:color w:val="002060"/>
          <w:vertAlign w:val="superscript"/>
        </w:rPr>
      </w:pPr>
      <w:r>
        <w:rPr>
          <w:rFonts w:ascii="Arial" w:cs="Arial" w:eastAsia="Arial" w:hAnsi="Arial"/>
          <w:sz w:val="17"/>
          <w:szCs w:val="17"/>
          <w:color w:val="auto"/>
        </w:rPr>
        <w:t>Related Party Transactions Policy</w:t>
      </w:r>
    </w:p>
    <w:p>
      <w:pPr>
        <w:ind w:left="960" w:hanging="424"/>
        <w:spacing w:after="0" w:line="182" w:lineRule="auto"/>
        <w:tabs>
          <w:tab w:leader="none" w:pos="960" w:val="left"/>
        </w:tabs>
        <w:numPr>
          <w:ilvl w:val="0"/>
          <w:numId w:val="16"/>
        </w:numPr>
        <w:rPr>
          <w:rFonts w:ascii="MS PGothic" w:cs="MS PGothic" w:eastAsia="MS PGothic" w:hAnsi="MS PGothic"/>
          <w:sz w:val="29"/>
          <w:szCs w:val="29"/>
          <w:color w:val="002060"/>
          <w:vertAlign w:val="superscript"/>
        </w:rPr>
      </w:pPr>
      <w:r>
        <w:rPr>
          <w:rFonts w:ascii="Arial" w:cs="Arial" w:eastAsia="Arial" w:hAnsi="Arial"/>
          <w:sz w:val="18"/>
          <w:szCs w:val="18"/>
          <w:color w:val="auto"/>
        </w:rPr>
        <w:t>Whistleblower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6995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70C0"/>
        </w:rPr>
        <w:t>Corporate Governance</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70C0"/>
        </w:rPr>
        <w:t>31</w:t>
      </w:r>
    </w:p>
    <w:p>
      <w:pPr>
        <w:sectPr>
          <w:pgSz w:w="11900" w:h="16838" w:orient="portrait"/>
          <w:cols w:equalWidth="0" w:num="1">
            <w:col w:w="11000"/>
          </w:cols>
          <w:pgMar w:left="440" w:top="287" w:right="45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40"/>
          <w:szCs w:val="40"/>
          <w:b w:val="1"/>
          <w:bCs w:val="1"/>
          <w:color w:val="0070C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69951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65"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We recognize the importance of environmental and social issues and their impact on our stockholders, our customers, our employees and our communities. Good corporate citizenship is important to us and we are committed to promoting a culture of doing what is right and investing in the communities where we live and work. We integrate corporate responsibility every day through making buildings energy efficient, providing for the health, safety and welfare of our employees, advocating volunteerism and empowering philanthropy.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2022, we named Jason R. Niswonger, one of our executive officers, as our Chief Administrative and Sustainability Officer.</w:t>
      </w:r>
    </w:p>
    <w:p>
      <w:pPr>
        <w:spacing w:after="0" w:line="14"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 xml:space="preserve">Mr. Niswonger is responsible for leading and coordinating our ESG initiatives. In 2023, we released our third annual Sustainability Report, which can be found on our website at </w:t>
      </w:r>
      <w:r>
        <w:rPr>
          <w:rFonts w:ascii="Arial" w:cs="Arial" w:eastAsia="Arial" w:hAnsi="Arial"/>
          <w:sz w:val="18"/>
          <w:szCs w:val="18"/>
          <w:i w:val="1"/>
          <w:iCs w:val="1"/>
          <w:u w:val="single" w:color="auto"/>
          <w:color w:val="0070C0"/>
        </w:rPr>
        <w:t>https://installedbuildingproducts.com/sustainability/</w:t>
      </w:r>
      <w:r>
        <w:rPr>
          <w:rFonts w:ascii="Arial" w:cs="Arial" w:eastAsia="Arial" w:hAnsi="Arial"/>
          <w:sz w:val="18"/>
          <w:szCs w:val="18"/>
          <w:color w:val="auto"/>
        </w:rPr>
        <w:t>.</w:t>
      </w:r>
    </w:p>
    <w:p>
      <w:pPr>
        <w:spacing w:after="0" w:line="172"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The NCG Committee is responsible for the oversight of our ESG programs, except to the extent reserved to the full Board or another Board committee, and directly oversees our environmental and sustainability programs. The CHC Committee oversees our human capital management policies and practices, including DEI&amp;B, talent development initiatives, employee retention and employee compensation practices, and oversees our Foundation and corporate giving activities. Updates on our ESG programs and initiatives are provided to the Board committees each quarter. The Board also directly receives periodic reports on sustainability, cybersecurity, DEI&amp;B and Foundation initiatives from Company team leaders at its regular meetings.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We strive to make a positive impact on our environment, our people and our communities. Our efforts are focused on three pillars: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435"/>
        </w:trPr>
        <w:tc>
          <w:tcPr>
            <w:tcW w:w="1540" w:type="dxa"/>
            <w:vAlign w:val="bottom"/>
            <w:shd w:val="clear" w:color="auto" w:fill="D5DCE4"/>
          </w:tcPr>
          <w:p>
            <w:pPr>
              <w:spacing w:after="0"/>
              <w:rPr>
                <w:sz w:val="24"/>
                <w:szCs w:val="24"/>
                <w:color w:val="auto"/>
              </w:rPr>
            </w:pPr>
          </w:p>
        </w:tc>
        <w:tc>
          <w:tcPr>
            <w:tcW w:w="2300" w:type="dxa"/>
            <w:vAlign w:val="bottom"/>
          </w:tcPr>
          <w:p>
            <w:pPr>
              <w:ind w:left="260"/>
              <w:spacing w:after="0"/>
              <w:rPr>
                <w:sz w:val="20"/>
                <w:szCs w:val="20"/>
                <w:color w:val="auto"/>
              </w:rPr>
            </w:pPr>
            <w:r>
              <w:rPr>
                <w:rFonts w:ascii="Arial" w:cs="Arial" w:eastAsia="Arial" w:hAnsi="Arial"/>
                <w:sz w:val="20"/>
                <w:szCs w:val="20"/>
                <w:b w:val="1"/>
                <w:bCs w:val="1"/>
                <w:color w:val="0070C0"/>
              </w:rPr>
              <w:t>  Going Beyond the</w:t>
            </w:r>
          </w:p>
        </w:tc>
        <w:tc>
          <w:tcPr>
            <w:tcW w:w="1660" w:type="dxa"/>
            <w:vAlign w:val="bottom"/>
            <w:shd w:val="clear" w:color="auto" w:fill="D5DCE4"/>
          </w:tcPr>
          <w:p>
            <w:pPr>
              <w:spacing w:after="0"/>
              <w:rPr>
                <w:sz w:val="24"/>
                <w:szCs w:val="24"/>
                <w:color w:val="auto"/>
              </w:rPr>
            </w:pPr>
          </w:p>
        </w:tc>
        <w:tc>
          <w:tcPr>
            <w:tcW w:w="2080" w:type="dxa"/>
            <w:vAlign w:val="bottom"/>
          </w:tcPr>
          <w:p>
            <w:pPr>
              <w:jc w:val="center"/>
              <w:ind w:left="1"/>
              <w:spacing w:after="0"/>
              <w:rPr>
                <w:sz w:val="20"/>
                <w:szCs w:val="20"/>
                <w:color w:val="auto"/>
              </w:rPr>
            </w:pPr>
            <w:r>
              <w:rPr>
                <w:rFonts w:ascii="Arial" w:cs="Arial" w:eastAsia="Arial" w:hAnsi="Arial"/>
                <w:sz w:val="20"/>
                <w:szCs w:val="20"/>
                <w:b w:val="1"/>
                <w:bCs w:val="1"/>
                <w:color w:val="0070C0"/>
                <w:w w:val="98"/>
              </w:rPr>
              <w:t>Committing to</w:t>
            </w:r>
          </w:p>
        </w:tc>
        <w:tc>
          <w:tcPr>
            <w:tcW w:w="1640" w:type="dxa"/>
            <w:vAlign w:val="bottom"/>
            <w:shd w:val="clear" w:color="auto" w:fill="D5DCE4"/>
          </w:tcPr>
          <w:p>
            <w:pPr>
              <w:spacing w:after="0"/>
              <w:rPr>
                <w:sz w:val="24"/>
                <w:szCs w:val="24"/>
                <w:color w:val="auto"/>
              </w:rPr>
            </w:pPr>
          </w:p>
        </w:tc>
        <w:tc>
          <w:tcPr>
            <w:tcW w:w="1800" w:type="dxa"/>
            <w:vAlign w:val="bottom"/>
          </w:tcPr>
          <w:p>
            <w:pPr>
              <w:jc w:val="center"/>
              <w:ind w:left="41"/>
              <w:spacing w:after="0"/>
              <w:rPr>
                <w:sz w:val="20"/>
                <w:szCs w:val="20"/>
                <w:color w:val="auto"/>
              </w:rPr>
            </w:pPr>
            <w:r>
              <w:rPr>
                <w:rFonts w:ascii="Arial" w:cs="Arial" w:eastAsia="Arial" w:hAnsi="Arial"/>
                <w:sz w:val="20"/>
                <w:szCs w:val="20"/>
                <w:b w:val="1"/>
                <w:bCs w:val="1"/>
                <w:color w:val="0070C0"/>
                <w:w w:val="99"/>
              </w:rPr>
              <w:t>Elevating our</w:t>
            </w:r>
          </w:p>
        </w:tc>
      </w:tr>
      <w:tr>
        <w:trPr>
          <w:trHeight w:val="314"/>
        </w:trPr>
        <w:tc>
          <w:tcPr>
            <w:tcW w:w="1540" w:type="dxa"/>
            <w:vAlign w:val="bottom"/>
            <w:tcBorders>
              <w:bottom w:val="single" w:sz="8" w:color="D5DCE4"/>
            </w:tcBorders>
            <w:shd w:val="clear" w:color="auto" w:fill="D5DCE4"/>
          </w:tcPr>
          <w:p>
            <w:pPr>
              <w:ind w:left="80"/>
              <w:spacing w:after="0"/>
              <w:rPr>
                <w:sz w:val="20"/>
                <w:szCs w:val="20"/>
                <w:color w:val="auto"/>
              </w:rPr>
            </w:pPr>
            <w:r>
              <w:rPr>
                <w:rFonts w:ascii="Arial" w:cs="Arial" w:eastAsia="Arial" w:hAnsi="Arial"/>
                <w:sz w:val="20"/>
                <w:szCs w:val="20"/>
                <w:b w:val="1"/>
                <w:bCs w:val="1"/>
                <w:color w:val="auto"/>
              </w:rPr>
              <w:t xml:space="preserve">                   </w:t>
            </w:r>
          </w:p>
        </w:tc>
        <w:tc>
          <w:tcPr>
            <w:tcW w:w="2300" w:type="dxa"/>
            <w:vAlign w:val="bottom"/>
            <w:tcBorders>
              <w:bottom w:val="single" w:sz="8" w:color="0070C0"/>
            </w:tcBorders>
          </w:tcPr>
          <w:p>
            <w:pPr>
              <w:ind w:left="760"/>
              <w:spacing w:after="0"/>
              <w:rPr>
                <w:sz w:val="20"/>
                <w:szCs w:val="20"/>
                <w:color w:val="auto"/>
              </w:rPr>
            </w:pPr>
            <w:r>
              <w:rPr>
                <w:rFonts w:ascii="Arial" w:cs="Arial" w:eastAsia="Arial" w:hAnsi="Arial"/>
                <w:sz w:val="20"/>
                <w:szCs w:val="20"/>
                <w:b w:val="1"/>
                <w:bCs w:val="1"/>
                <w:color w:val="0070C0"/>
              </w:rPr>
              <w:t>Buildings</w:t>
            </w:r>
          </w:p>
        </w:tc>
        <w:tc>
          <w:tcPr>
            <w:tcW w:w="1660" w:type="dxa"/>
            <w:vAlign w:val="bottom"/>
            <w:tcBorders>
              <w:bottom w:val="single" w:sz="8" w:color="D5DCE4"/>
            </w:tcBorders>
            <w:shd w:val="clear" w:color="auto" w:fill="D5DCE4"/>
          </w:tcPr>
          <w:p>
            <w:pPr>
              <w:ind w:left="180"/>
              <w:spacing w:after="0"/>
              <w:rPr>
                <w:sz w:val="20"/>
                <w:szCs w:val="20"/>
                <w:color w:val="auto"/>
              </w:rPr>
            </w:pPr>
            <w:r>
              <w:rPr>
                <w:rFonts w:ascii="Arial" w:cs="Arial" w:eastAsia="Arial" w:hAnsi="Arial"/>
                <w:sz w:val="20"/>
                <w:szCs w:val="20"/>
                <w:b w:val="1"/>
                <w:bCs w:val="1"/>
                <w:color w:val="auto"/>
              </w:rPr>
              <w:t xml:space="preserve">                   </w:t>
            </w:r>
          </w:p>
        </w:tc>
        <w:tc>
          <w:tcPr>
            <w:tcW w:w="2080" w:type="dxa"/>
            <w:vAlign w:val="bottom"/>
            <w:tcBorders>
              <w:bottom w:val="single" w:sz="8" w:color="0070C0"/>
            </w:tcBorders>
          </w:tcPr>
          <w:p>
            <w:pPr>
              <w:jc w:val="center"/>
              <w:ind w:left="1"/>
              <w:spacing w:after="0"/>
              <w:rPr>
                <w:sz w:val="20"/>
                <w:szCs w:val="20"/>
                <w:color w:val="auto"/>
              </w:rPr>
            </w:pPr>
            <w:r>
              <w:rPr>
                <w:rFonts w:ascii="Arial" w:cs="Arial" w:eastAsia="Arial" w:hAnsi="Arial"/>
                <w:sz w:val="20"/>
                <w:szCs w:val="20"/>
                <w:b w:val="1"/>
                <w:bCs w:val="1"/>
                <w:color w:val="0070C0"/>
                <w:w w:val="99"/>
              </w:rPr>
              <w:t>Our People</w:t>
            </w:r>
          </w:p>
        </w:tc>
        <w:tc>
          <w:tcPr>
            <w:tcW w:w="1640" w:type="dxa"/>
            <w:vAlign w:val="bottom"/>
            <w:tcBorders>
              <w:bottom w:val="single" w:sz="8" w:color="D5DCE4"/>
            </w:tcBorders>
            <w:shd w:val="clear" w:color="auto" w:fill="D5DCE4"/>
          </w:tcPr>
          <w:p>
            <w:pPr>
              <w:ind w:left="180"/>
              <w:spacing w:after="0"/>
              <w:rPr>
                <w:sz w:val="20"/>
                <w:szCs w:val="20"/>
                <w:color w:val="auto"/>
              </w:rPr>
            </w:pPr>
            <w:r>
              <w:rPr>
                <w:rFonts w:ascii="Arial" w:cs="Arial" w:eastAsia="Arial" w:hAnsi="Arial"/>
                <w:sz w:val="20"/>
                <w:szCs w:val="20"/>
                <w:b w:val="1"/>
                <w:bCs w:val="1"/>
                <w:color w:val="auto"/>
              </w:rPr>
              <w:t xml:space="preserve">                   </w:t>
            </w:r>
          </w:p>
        </w:tc>
        <w:tc>
          <w:tcPr>
            <w:tcW w:w="1800" w:type="dxa"/>
            <w:vAlign w:val="bottom"/>
            <w:tcBorders>
              <w:bottom w:val="single" w:sz="8" w:color="0070C0"/>
            </w:tcBorders>
          </w:tcPr>
          <w:p>
            <w:pPr>
              <w:jc w:val="center"/>
              <w:ind w:left="41"/>
              <w:spacing w:after="0"/>
              <w:rPr>
                <w:sz w:val="20"/>
                <w:szCs w:val="20"/>
                <w:color w:val="auto"/>
              </w:rPr>
            </w:pPr>
            <w:r>
              <w:rPr>
                <w:rFonts w:ascii="Arial" w:cs="Arial" w:eastAsia="Arial" w:hAnsi="Arial"/>
                <w:sz w:val="20"/>
                <w:szCs w:val="20"/>
                <w:b w:val="1"/>
                <w:bCs w:val="1"/>
                <w:color w:val="0070C0"/>
                <w:w w:val="98"/>
              </w:rPr>
              <w:t>Neighborhoods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-8255</wp:posOffset>
            </wp:positionV>
            <wp:extent cx="274320" cy="10801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74320" cy="1080135"/>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-8255</wp:posOffset>
            </wp:positionV>
            <wp:extent cx="274320" cy="10801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74320" cy="1080135"/>
                    </a:xfrm>
                    <a:prstGeom prst="rect">
                      <a:avLst/>
                    </a:prstGeom>
                    <a:noFill/>
                  </pic:spPr>
                </pic:pic>
              </a:graphicData>
            </a:graphic>
          </wp:anchor>
        </w:drawing>
        <w:drawing>
          <wp:anchor simplePos="0" relativeHeight="251657728" behindDoc="1" locked="0" layoutInCell="0" allowOverlap="1">
            <wp:simplePos x="0" y="0"/>
            <wp:positionH relativeFrom="column">
              <wp:posOffset>5234940</wp:posOffset>
            </wp:positionH>
            <wp:positionV relativeFrom="paragraph">
              <wp:posOffset>-8255</wp:posOffset>
            </wp:positionV>
            <wp:extent cx="274320" cy="10801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4320" cy="1080135"/>
                    </a:xfrm>
                    <a:prstGeom prst="rect">
                      <a:avLst/>
                    </a:prstGeom>
                    <a:noFill/>
                  </pic:spPr>
                </pic:pic>
              </a:graphicData>
            </a:graphic>
          </wp:anchor>
        </w:drawing>
      </w:r>
    </w:p>
    <w:p>
      <w:pPr>
        <w:sectPr>
          <w:pgSz w:w="11900" w:h="16838" w:orient="portrait"/>
          <w:cols w:equalWidth="0" w:num="1">
            <w:col w:w="11020"/>
          </w:cols>
          <w:pgMar w:left="440" w:top="261" w:right="439" w:bottom="1440" w:gutter="0" w:footer="0" w:header="0"/>
        </w:sectPr>
      </w:pPr>
    </w:p>
    <w:p>
      <w:pPr>
        <w:spacing w:after="0" w:line="224" w:lineRule="exact"/>
        <w:rPr>
          <w:sz w:val="20"/>
          <w:szCs w:val="20"/>
          <w:color w:val="auto"/>
        </w:rPr>
      </w:pPr>
    </w:p>
    <w:p>
      <w:pPr>
        <w:ind w:left="1640" w:right="1080"/>
        <w:spacing w:after="0" w:line="242" w:lineRule="auto"/>
        <w:rPr>
          <w:sz w:val="20"/>
          <w:szCs w:val="20"/>
          <w:color w:val="auto"/>
        </w:rPr>
      </w:pPr>
      <w:r>
        <w:rPr>
          <w:rFonts w:ascii="Arial" w:cs="Arial" w:eastAsia="Arial" w:hAnsi="Arial"/>
          <w:sz w:val="18"/>
          <w:szCs w:val="18"/>
          <w:color w:val="auto"/>
        </w:rPr>
        <w:t>Recognizing the importance of environmental preservation and the direct connection between our business and the health of our planet.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3720" w:val="left"/>
        </w:tabs>
        <w:rPr>
          <w:sz w:val="20"/>
          <w:szCs w:val="20"/>
          <w:color w:val="auto"/>
        </w:rPr>
      </w:pPr>
      <w:r>
        <w:rPr>
          <w:rFonts w:ascii="Arial" w:cs="Arial" w:eastAsia="Arial" w:hAnsi="Arial"/>
          <w:sz w:val="18"/>
          <w:szCs w:val="18"/>
          <w:color w:val="auto"/>
        </w:rPr>
        <w:t>Striving to empower and</w:t>
      </w:r>
      <w:r>
        <w:rPr>
          <w:sz w:val="20"/>
          <w:szCs w:val="20"/>
          <w:color w:val="auto"/>
        </w:rPr>
        <w:tab/>
      </w:r>
      <w:r>
        <w:rPr>
          <w:rFonts w:ascii="Arial" w:cs="Arial" w:eastAsia="Arial" w:hAnsi="Arial"/>
          <w:sz w:val="17"/>
          <w:szCs w:val="17"/>
          <w:color w:val="auto"/>
        </w:rPr>
        <w:t>Giving back to the</w:t>
      </w:r>
    </w:p>
    <w:p>
      <w:pPr>
        <w:spacing w:after="0" w:line="9" w:lineRule="exact"/>
        <w:rPr>
          <w:sz w:val="20"/>
          <w:szCs w:val="20"/>
          <w:color w:val="auto"/>
        </w:rPr>
      </w:pPr>
    </w:p>
    <w:p>
      <w:pPr>
        <w:spacing w:after="0"/>
        <w:tabs>
          <w:tab w:leader="none" w:pos="3720" w:val="left"/>
        </w:tabs>
        <w:rPr>
          <w:sz w:val="20"/>
          <w:szCs w:val="20"/>
          <w:color w:val="auto"/>
        </w:rPr>
      </w:pPr>
      <w:r>
        <w:rPr>
          <w:rFonts w:ascii="Arial" w:cs="Arial" w:eastAsia="Arial" w:hAnsi="Arial"/>
          <w:sz w:val="18"/>
          <w:szCs w:val="18"/>
          <w:color w:val="auto"/>
        </w:rPr>
        <w:t>enrich the lives of our</w:t>
      </w:r>
      <w:r>
        <w:rPr>
          <w:sz w:val="20"/>
          <w:szCs w:val="20"/>
          <w:color w:val="auto"/>
        </w:rPr>
        <w:tab/>
      </w:r>
      <w:r>
        <w:rPr>
          <w:rFonts w:ascii="Arial" w:cs="Arial" w:eastAsia="Arial" w:hAnsi="Arial"/>
          <w:sz w:val="18"/>
          <w:szCs w:val="18"/>
          <w:color w:val="auto"/>
        </w:rPr>
        <w:t>people and</w:t>
      </w:r>
    </w:p>
    <w:p>
      <w:pPr>
        <w:spacing w:after="0" w:line="234" w:lineRule="auto"/>
        <w:tabs>
          <w:tab w:leader="none" w:pos="3720" w:val="left"/>
        </w:tabs>
        <w:rPr>
          <w:sz w:val="20"/>
          <w:szCs w:val="20"/>
          <w:color w:val="auto"/>
        </w:rPr>
      </w:pPr>
      <w:r>
        <w:rPr>
          <w:rFonts w:ascii="Arial" w:cs="Arial" w:eastAsia="Arial" w:hAnsi="Arial"/>
          <w:sz w:val="18"/>
          <w:szCs w:val="18"/>
          <w:color w:val="auto"/>
        </w:rPr>
        <w:t>employees.</w:t>
      </w:r>
      <w:r>
        <w:rPr>
          <w:sz w:val="20"/>
          <w:szCs w:val="20"/>
          <w:color w:val="auto"/>
        </w:rPr>
        <w:tab/>
      </w:r>
      <w:r>
        <w:rPr>
          <w:rFonts w:ascii="Arial" w:cs="Arial" w:eastAsia="Arial" w:hAnsi="Arial"/>
          <w:sz w:val="18"/>
          <w:szCs w:val="18"/>
          <w:color w:val="auto"/>
        </w:rPr>
        <w:t>communities that</w:t>
      </w:r>
    </w:p>
    <w:p>
      <w:pPr>
        <w:spacing w:after="0" w:line="1" w:lineRule="exact"/>
        <w:rPr>
          <w:sz w:val="20"/>
          <w:szCs w:val="20"/>
          <w:color w:val="auto"/>
        </w:rPr>
      </w:pPr>
    </w:p>
    <w:p>
      <w:pPr>
        <w:ind w:left="3740" w:right="60"/>
        <w:spacing w:after="0" w:line="250" w:lineRule="auto"/>
        <w:rPr>
          <w:sz w:val="20"/>
          <w:szCs w:val="20"/>
          <w:color w:val="auto"/>
        </w:rPr>
      </w:pPr>
      <w:r>
        <w:rPr>
          <w:rFonts w:ascii="Arial" w:cs="Arial" w:eastAsia="Arial" w:hAnsi="Arial"/>
          <w:sz w:val="18"/>
          <w:szCs w:val="18"/>
          <w:color w:val="auto"/>
        </w:rPr>
        <w:t>are the backbone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438150</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95" w:lineRule="exact"/>
        <w:rPr>
          <w:sz w:val="20"/>
          <w:szCs w:val="20"/>
          <w:color w:val="auto"/>
        </w:rPr>
      </w:pPr>
    </w:p>
    <w:p>
      <w:pPr>
        <w:sectPr>
          <w:pgSz w:w="11900" w:h="16838" w:orient="portrait"/>
          <w:cols w:equalWidth="0" w:num="2">
            <w:col w:w="4900" w:space="720"/>
            <w:col w:w="5400"/>
          </w:cols>
          <w:pgMar w:left="440" w:top="261" w:right="439"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Going Beyond the Buildings</w:t>
      </w:r>
    </w:p>
    <w:p>
      <w:pPr>
        <w:spacing w:after="0" w:line="216"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We play a direct role in creating a sustainable future through our day-to-day business operations by installing products that promote energy efficiency. According to the Department of Energy, over one half of the energy used in the average American home is for heating and cooling. Insulation and air sealing play a critical role in reducing energy consumption. Insulated homes and commercial buildings reduce both energy consumption and greenhouse gas emissions. In addition to the wide range of insulation materials we offer, we also install a variety of advanced caulk and sealant products that control air infiltration to enhance energy efficiency, improve comfort and meet increasingly stringent energy codes.</w:t>
      </w:r>
    </w:p>
    <w:p>
      <w:pPr>
        <w:spacing w:after="0" w:line="179"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 addition to the contribution that our insulation and air barrier installations make to energy conservation throughout the United States, we are searching for ways to reduce our own carbon footprint. We have transitioned a substantial portion of our electricity needs to a carbon free source and have entered into a national waste management program to increase recycling at our branches nationwide. More information about insulation and energy efficiency and our environmental goals may be found in our Sustainability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6995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70C0"/>
        </w:rPr>
        <w:t>IBP Proxy Statement</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0070C0"/>
        </w:rPr>
        <w:t>Corporate Responsibility</w:t>
      </w:r>
    </w:p>
    <w:p>
      <w:pPr>
        <w:spacing w:after="0" w:line="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0070C0"/>
        </w:rPr>
        <w:t>32</w:t>
      </w:r>
    </w:p>
    <w:p>
      <w:pPr>
        <w:sectPr>
          <w:pgSz w:w="11900" w:h="16838" w:orient="portrait"/>
          <w:cols w:equalWidth="0" w:num="1">
            <w:col w:w="11020"/>
          </w:cols>
          <w:pgMar w:left="440" w:top="261" w:right="439" w:bottom="1440" w:gutter="0" w:footer="0" w:header="0"/>
          <w:type w:val="continuous"/>
        </w:sectPr>
      </w:pPr>
    </w:p>
    <w:bookmarkStart w:id="40" w:name="page41"/>
    <w:bookmarkEnd w:id="40"/>
    <w:p>
      <w:pPr>
        <w:ind w:right="4179"/>
        <w:spacing w:after="0" w:line="239" w:lineRule="auto"/>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Fiberglass Insulation Installation Services</w:t>
      </w:r>
      <w:r>
        <w:rPr>
          <w:rFonts w:ascii="Arial" w:cs="Arial" w:eastAsia="Arial" w:hAnsi="Arial"/>
          <w:sz w:val="18"/>
          <w:szCs w:val="18"/>
          <w:color w:val="auto"/>
        </w:rPr>
        <w:t>. The most common type of</w:t>
      </w:r>
      <w:r>
        <w:rPr>
          <w:rFonts w:ascii="Arial" w:cs="Arial" w:eastAsia="Arial" w:hAnsi="Arial"/>
          <w:sz w:val="18"/>
          <w:szCs w:val="18"/>
          <w:i w:val="1"/>
          <w:iCs w:val="1"/>
          <w:color w:val="auto"/>
        </w:rPr>
        <w:t xml:space="preserve"> </w:t>
      </w:r>
      <w:r>
        <w:rPr>
          <w:rFonts w:ascii="Arial" w:cs="Arial" w:eastAsia="Arial" w:hAnsi="Arial"/>
          <w:sz w:val="18"/>
          <w:szCs w:val="18"/>
          <w:color w:val="auto"/>
        </w:rPr>
        <w:t>insulation we install is fiberglass, which is comprised of up to 80% recycled material. Our insulation and air barrier installation services provide the critical link between manufacturer inventory and builders and homeowners who desire to promote energy efficiency or meet increasingly stringent building codes. Our installation professionals receive extensive training, including thermal performance, moisture prevention, air infiltration and ventilation, so that we can employ the latest techniques and technologies to improve energy efficiencies.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-1165225</wp:posOffset>
            </wp:positionV>
            <wp:extent cx="2289175" cy="1405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289175" cy="14058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right="4239"/>
        <w:spacing w:after="0"/>
        <w:rPr>
          <w:sz w:val="20"/>
          <w:szCs w:val="20"/>
          <w:color w:val="auto"/>
        </w:rPr>
      </w:pPr>
      <w:r>
        <w:rPr>
          <w:rFonts w:ascii="Arial" w:cs="Arial" w:eastAsia="Arial" w:hAnsi="Arial"/>
          <w:sz w:val="18"/>
          <w:szCs w:val="18"/>
          <w:i w:val="1"/>
          <w:iCs w:val="1"/>
          <w:u w:val="single" w:color="auto"/>
          <w:color w:val="auto"/>
        </w:rPr>
        <w:t>Loosefill Insulation Installation Services</w:t>
      </w:r>
      <w:r>
        <w:rPr>
          <w:rFonts w:ascii="Arial" w:cs="Arial" w:eastAsia="Arial" w:hAnsi="Arial"/>
          <w:sz w:val="18"/>
          <w:szCs w:val="18"/>
          <w:color w:val="auto"/>
        </w:rPr>
        <w:t>. Another type of fiberglass</w:t>
      </w:r>
      <w:r>
        <w:rPr>
          <w:rFonts w:ascii="Arial" w:cs="Arial" w:eastAsia="Arial" w:hAnsi="Arial"/>
          <w:sz w:val="18"/>
          <w:szCs w:val="18"/>
          <w:i w:val="1"/>
          <w:iCs w:val="1"/>
          <w:color w:val="auto"/>
        </w:rPr>
        <w:t xml:space="preserve"> </w:t>
      </w:r>
      <w:r>
        <w:rPr>
          <w:rFonts w:ascii="Arial" w:cs="Arial" w:eastAsia="Arial" w:hAnsi="Arial"/>
          <w:sz w:val="18"/>
          <w:szCs w:val="18"/>
          <w:color w:val="auto"/>
        </w:rPr>
        <w:t>insulation we install is loosefill, or blown-in, insulation. We have a production facility in Shelbyville, Indiana that retrieves manufacturers’ waste fiberglass material that would otherwise be sent to a landfill and produces loosefill insulation suitable for blowing into attics. In 2023, we reclaimed 3.1 million pounds of scrap material that would otherwise have been placed in a landfill and insulated over 5.4 million square feet of space (to an R value of R30) using this recycled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-1038860</wp:posOffset>
            </wp:positionV>
            <wp:extent cx="2289175" cy="13373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289175"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219"/>
        <w:spacing w:after="0" w:line="238" w:lineRule="auto"/>
        <w:rPr>
          <w:sz w:val="20"/>
          <w:szCs w:val="20"/>
          <w:color w:val="auto"/>
        </w:rPr>
      </w:pPr>
      <w:r>
        <w:rPr>
          <w:rFonts w:ascii="Arial" w:cs="Arial" w:eastAsia="Arial" w:hAnsi="Arial"/>
          <w:sz w:val="18"/>
          <w:szCs w:val="18"/>
          <w:i w:val="1"/>
          <w:iCs w:val="1"/>
          <w:u w:val="single" w:color="auto"/>
          <w:color w:val="auto"/>
        </w:rPr>
        <w:t>Cellulose Insulation Manufacturing</w:t>
      </w:r>
      <w:r>
        <w:rPr>
          <w:rFonts w:ascii="Arial" w:cs="Arial" w:eastAsia="Arial" w:hAnsi="Arial"/>
          <w:sz w:val="18"/>
          <w:szCs w:val="18"/>
          <w:i w:val="1"/>
          <w:iCs w:val="1"/>
          <w:color w:val="auto"/>
        </w:rPr>
        <w:t xml:space="preserve">. </w:t>
      </w:r>
      <w:r>
        <w:rPr>
          <w:rFonts w:ascii="Arial" w:cs="Arial" w:eastAsia="Arial" w:hAnsi="Arial"/>
          <w:sz w:val="18"/>
          <w:szCs w:val="18"/>
          <w:color w:val="auto"/>
        </w:rPr>
        <w:t>Another product we install is</w:t>
      </w:r>
      <w:r>
        <w:rPr>
          <w:rFonts w:ascii="Arial" w:cs="Arial" w:eastAsia="Arial" w:hAnsi="Arial"/>
          <w:sz w:val="18"/>
          <w:szCs w:val="18"/>
          <w:i w:val="1"/>
          <w:iCs w:val="1"/>
          <w:color w:val="auto"/>
        </w:rPr>
        <w:t xml:space="preserve"> </w:t>
      </w:r>
      <w:r>
        <w:rPr>
          <w:rFonts w:ascii="Arial" w:cs="Arial" w:eastAsia="Arial" w:hAnsi="Arial"/>
          <w:sz w:val="18"/>
          <w:szCs w:val="18"/>
          <w:color w:val="auto"/>
        </w:rPr>
        <w:t>cellulose insulation, which is installed in the walls, ceilings and attics of new homes. In 2023, we produced 54,477 tons of cellulose products consisting of at least 85% post-consumer recycled waste paper and cardboard from our manufacturing plant located in Bucyrus, Ohio. In our manufacturing operations, we processed approximately 52,272 tons of recycled wastepaper to make our finished cellulose products which might have otherwise decomposed in a landfill, releasing methane and carbon dioxide gases. The manufacturing process does not directly emit atmospheric gases or use water. In 2021, the Bucyrus plant transitioned its electricity supply, which comprised approximately 30% of our total electricity consumption, to a carbon-free source.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-1465580</wp:posOffset>
            </wp:positionV>
            <wp:extent cx="2289175" cy="13633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289175" cy="1363345"/>
                    </a:xfrm>
                    <a:prstGeom prst="rect">
                      <a:avLst/>
                    </a:prstGeom>
                    <a:noFill/>
                  </pic:spPr>
                </pic:pic>
              </a:graphicData>
            </a:graphic>
          </wp:anchor>
        </w:drawing>
      </w:r>
    </w:p>
    <w:p>
      <w:pPr>
        <w:spacing w:after="0" w:line="163" w:lineRule="exact"/>
        <w:rPr>
          <w:sz w:val="20"/>
          <w:szCs w:val="20"/>
          <w:color w:val="auto"/>
        </w:rPr>
      </w:pPr>
    </w:p>
    <w:p>
      <w:pPr>
        <w:ind w:right="4179"/>
        <w:spacing w:after="0" w:line="238" w:lineRule="auto"/>
        <w:rPr>
          <w:sz w:val="20"/>
          <w:szCs w:val="20"/>
          <w:color w:val="auto"/>
        </w:rPr>
      </w:pPr>
      <w:r>
        <w:rPr>
          <w:rFonts w:ascii="Arial" w:cs="Arial" w:eastAsia="Arial" w:hAnsi="Arial"/>
          <w:sz w:val="18"/>
          <w:szCs w:val="18"/>
          <w:i w:val="1"/>
          <w:iCs w:val="1"/>
          <w:u w:val="single" w:color="auto"/>
          <w:color w:val="auto"/>
        </w:rPr>
        <w:t>HERS Raters</w:t>
      </w:r>
      <w:r>
        <w:rPr>
          <w:rFonts w:ascii="Arial" w:cs="Arial" w:eastAsia="Arial" w:hAnsi="Arial"/>
          <w:sz w:val="18"/>
          <w:szCs w:val="18"/>
          <w:color w:val="auto"/>
        </w:rPr>
        <w:t>. The Home Energy Raters System (“HERS”) is the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 for measuring a home’s energy efficiency. We employ several accredited HERS raters and have affiliations with others. Our professional home energy raters complete rigorous training and education programs and are accredited by Residential Energy Services Network (RESNET), an association of builders, lenders, utilities and government agencies. HERS raters are the primary means by which homes are qualified for the U.S. Environmental Protection Agency’s Energy Star for Homes Program, as well as for federal energy tax credits. HERS raters review insulation levels, window efficiency, HVAC system efficiency and water heating systems. They also do performance testing such as blower door tests to examine air and duct leakage.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-1551305</wp:posOffset>
            </wp:positionV>
            <wp:extent cx="6995160" cy="21259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0070C0"/>
        </w:rPr>
        <w:t>IBP Proxy Statement</w:t>
      </w:r>
    </w:p>
    <w:p>
      <w:pPr>
        <w:spacing w:after="0" w:line="40"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0070C0"/>
        </w:rPr>
        <w:t>Corporate Responsibility</w:t>
      </w:r>
    </w:p>
    <w:p>
      <w:pPr>
        <w:spacing w:after="0" w:line="71" w:lineRule="exact"/>
        <w:rPr>
          <w:sz w:val="20"/>
          <w:szCs w:val="20"/>
          <w:color w:val="auto"/>
        </w:rPr>
      </w:pPr>
    </w:p>
    <w:p>
      <w:pPr>
        <w:ind w:left="5400"/>
        <w:spacing w:after="0"/>
        <w:rPr>
          <w:sz w:val="20"/>
          <w:szCs w:val="20"/>
          <w:color w:val="auto"/>
        </w:rPr>
      </w:pPr>
      <w:r>
        <w:rPr>
          <w:rFonts w:ascii="Arial" w:cs="Arial" w:eastAsia="Arial" w:hAnsi="Arial"/>
          <w:sz w:val="18"/>
          <w:szCs w:val="18"/>
          <w:color w:val="0070C0"/>
        </w:rPr>
        <w:t>33</w:t>
      </w:r>
    </w:p>
    <w:p>
      <w:pPr>
        <w:sectPr>
          <w:pgSz w:w="11900" w:h="16838" w:orient="portrait"/>
          <w:cols w:equalWidth="0" w:num="1">
            <w:col w:w="10019"/>
          </w:cols>
          <w:pgMar w:left="440" w:top="296" w:right="1440" w:bottom="1440" w:gutter="0" w:footer="0" w:header="0"/>
        </w:sectPr>
      </w:pPr>
    </w:p>
    <w:bookmarkStart w:id="41" w:name="page42"/>
    <w:bookmarkEnd w:id="41"/>
    <w:p>
      <w:pPr>
        <w:spacing w:after="0"/>
        <w:rPr>
          <w:sz w:val="20"/>
          <w:szCs w:val="20"/>
          <w:color w:val="auto"/>
        </w:rPr>
      </w:pPr>
      <w:r>
        <w:rPr>
          <w:rFonts w:ascii="Arial" w:cs="Arial" w:eastAsia="Arial" w:hAnsi="Arial"/>
          <w:sz w:val="22"/>
          <w:szCs w:val="22"/>
          <w:b w:val="1"/>
          <w:bCs w:val="1"/>
          <w:color w:val="00206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Committing to Our People</w:t>
      </w:r>
    </w:p>
    <w:p>
      <w:pPr>
        <w:spacing w:after="0" w:line="243" w:lineRule="exact"/>
        <w:rPr>
          <w:sz w:val="20"/>
          <w:szCs w:val="20"/>
          <w:color w:val="auto"/>
        </w:rPr>
      </w:pPr>
    </w:p>
    <w:p>
      <w:pPr>
        <w:ind w:right="5220"/>
        <w:spacing w:after="0" w:line="237" w:lineRule="auto"/>
        <w:rPr>
          <w:sz w:val="20"/>
          <w:szCs w:val="20"/>
          <w:color w:val="auto"/>
        </w:rPr>
      </w:pPr>
      <w:r>
        <w:rPr>
          <w:rFonts w:ascii="Arial" w:cs="Arial" w:eastAsia="Arial" w:hAnsi="Arial"/>
          <w:sz w:val="18"/>
          <w:szCs w:val="18"/>
          <w:color w:val="auto"/>
        </w:rPr>
        <w:t>We believe that our success and our future are directly attributable to the recruitment, development and retention of exceptional employees. Our people are our most valuable assets, making workforce safety, mental health and financial wellness paramount. We believe that employees who are engaged and committed for the long term are critical to our long-term strategy. The CHC Committee oversees our human capital management practices and receives quarterly updates on our culture, diversity and inclusion initiatives and employee engagement. The experience of the CHC Committee members in support of social initiatives and in human capital management strengthens the Board’s oversight and assures that our business strategy and long-term value creation are achieved within a responsible business model. Our culture of family unifies our diverse workforce of approximately 10,600 employees in approximately 250 locations across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-1804670</wp:posOffset>
            </wp:positionV>
            <wp:extent cx="2682875" cy="30346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82875"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Below is key demographic data of our workforce as of December 31, 2023.</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40" w:type="dxa"/>
            <w:vAlign w:val="bottom"/>
          </w:tcPr>
          <w:p>
            <w:pPr>
              <w:spacing w:after="0"/>
              <w:rPr>
                <w:sz w:val="10"/>
                <w:szCs w:val="10"/>
                <w:color w:val="auto"/>
              </w:rPr>
            </w:pPr>
          </w:p>
        </w:tc>
        <w:tc>
          <w:tcPr>
            <w:tcW w:w="1500" w:type="dxa"/>
            <w:vAlign w:val="bottom"/>
            <w:shd w:val="clear" w:color="auto" w:fill="E5E5E5"/>
          </w:tcPr>
          <w:p>
            <w:pPr>
              <w:jc w:val="right"/>
              <w:ind w:right="635"/>
              <w:spacing w:after="0"/>
              <w:rPr>
                <w:sz w:val="20"/>
                <w:szCs w:val="20"/>
                <w:color w:val="auto"/>
              </w:rPr>
            </w:pPr>
            <w:r>
              <w:rPr>
                <w:rFonts w:ascii="Arial" w:cs="Arial" w:eastAsia="Arial" w:hAnsi="Arial"/>
                <w:sz w:val="11"/>
                <w:szCs w:val="11"/>
                <w:b w:val="1"/>
                <w:bCs w:val="1"/>
                <w:color w:val="002060"/>
              </w:rPr>
              <w:t> </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shd w:val="clear" w:color="auto" w:fill="E5E5E5"/>
          </w:tcPr>
          <w:p>
            <w:pPr>
              <w:jc w:val="center"/>
              <w:spacing w:after="0"/>
              <w:rPr>
                <w:sz w:val="20"/>
                <w:szCs w:val="20"/>
                <w:color w:val="auto"/>
              </w:rPr>
            </w:pPr>
            <w:r>
              <w:rPr>
                <w:rFonts w:ascii="Arial" w:cs="Arial" w:eastAsia="Arial" w:hAnsi="Arial"/>
                <w:sz w:val="5"/>
                <w:szCs w:val="5"/>
                <w:b w:val="1"/>
                <w:bCs w:val="1"/>
                <w:color w:val="002060"/>
                <w:w w:val="79"/>
              </w:rPr>
              <w:t> </w:t>
            </w: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500" w:type="dxa"/>
            <w:vAlign w:val="bottom"/>
            <w:shd w:val="clear" w:color="auto" w:fill="E5E5E5"/>
          </w:tcPr>
          <w:p>
            <w:pPr>
              <w:jc w:val="right"/>
              <w:ind w:right="641"/>
              <w:spacing w:after="0"/>
              <w:rPr>
                <w:sz w:val="20"/>
                <w:szCs w:val="20"/>
                <w:color w:val="auto"/>
              </w:rPr>
            </w:pPr>
            <w:r>
              <w:rPr>
                <w:rFonts w:ascii="Arial" w:cs="Arial" w:eastAsia="Arial" w:hAnsi="Arial"/>
                <w:sz w:val="11"/>
                <w:szCs w:val="11"/>
                <w:b w:val="1"/>
                <w:bCs w:val="1"/>
                <w:color w:val="002060"/>
              </w:rPr>
              <w:t> </w:t>
            </w:r>
          </w:p>
        </w:tc>
      </w:tr>
      <w:tr>
        <w:trPr>
          <w:trHeight w:val="189"/>
        </w:trPr>
        <w:tc>
          <w:tcPr>
            <w:tcW w:w="4040" w:type="dxa"/>
            <w:vAlign w:val="bottom"/>
          </w:tcPr>
          <w:p>
            <w:pPr>
              <w:spacing w:after="0"/>
              <w:rPr>
                <w:sz w:val="16"/>
                <w:szCs w:val="16"/>
                <w:color w:val="auto"/>
              </w:rPr>
            </w:pPr>
          </w:p>
        </w:tc>
        <w:tc>
          <w:tcPr>
            <w:tcW w:w="1500" w:type="dxa"/>
            <w:vAlign w:val="bottom"/>
            <w:shd w:val="clear" w:color="auto" w:fill="E5E5E5"/>
          </w:tcPr>
          <w:p>
            <w:pPr>
              <w:jc w:val="right"/>
              <w:ind w:right="295"/>
              <w:spacing w:after="0"/>
              <w:rPr>
                <w:sz w:val="20"/>
                <w:szCs w:val="20"/>
                <w:color w:val="auto"/>
              </w:rPr>
            </w:pPr>
            <w:r>
              <w:rPr>
                <w:rFonts w:ascii="Arial" w:cs="Arial" w:eastAsia="Arial" w:hAnsi="Arial"/>
                <w:sz w:val="16"/>
                <w:szCs w:val="16"/>
                <w:b w:val="1"/>
                <w:bCs w:val="1"/>
                <w:color w:val="002060"/>
              </w:rPr>
              <w:t>Workforce</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002060"/>
              </w:rPr>
              <w:t>Workforce</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00" w:type="dxa"/>
            <w:vAlign w:val="bottom"/>
            <w:shd w:val="clear" w:color="auto" w:fill="E5E5E5"/>
          </w:tcPr>
          <w:p>
            <w:pPr>
              <w:jc w:val="right"/>
              <w:ind w:right="301"/>
              <w:spacing w:after="0"/>
              <w:rPr>
                <w:sz w:val="20"/>
                <w:szCs w:val="20"/>
                <w:color w:val="auto"/>
              </w:rPr>
            </w:pPr>
            <w:r>
              <w:rPr>
                <w:rFonts w:ascii="Arial" w:cs="Arial" w:eastAsia="Arial" w:hAnsi="Arial"/>
                <w:sz w:val="16"/>
                <w:szCs w:val="16"/>
                <w:b w:val="1"/>
                <w:bCs w:val="1"/>
                <w:color w:val="002060"/>
              </w:rPr>
              <w:t>Workforce</w:t>
            </w:r>
          </w:p>
        </w:tc>
      </w:tr>
      <w:tr>
        <w:trPr>
          <w:trHeight w:val="278"/>
        </w:trPr>
        <w:tc>
          <w:tcPr>
            <w:tcW w:w="4040" w:type="dxa"/>
            <w:vAlign w:val="bottom"/>
          </w:tcPr>
          <w:p>
            <w:pPr>
              <w:ind w:left="1680"/>
              <w:spacing w:after="0"/>
              <w:rPr>
                <w:sz w:val="20"/>
                <w:szCs w:val="20"/>
                <w:color w:val="auto"/>
              </w:rPr>
            </w:pPr>
            <w:r>
              <w:rPr>
                <w:rFonts w:ascii="Arial" w:cs="Arial" w:eastAsia="Arial" w:hAnsi="Arial"/>
                <w:sz w:val="16"/>
                <w:szCs w:val="16"/>
                <w:b w:val="1"/>
                <w:bCs w:val="1"/>
                <w:color w:val="002060"/>
              </w:rPr>
              <w:t>Ethnicity</w:t>
            </w:r>
          </w:p>
        </w:tc>
        <w:tc>
          <w:tcPr>
            <w:tcW w:w="1500" w:type="dxa"/>
            <w:vAlign w:val="bottom"/>
            <w:tcBorders>
              <w:bottom w:val="single" w:sz="8" w:color="E5E5E5"/>
            </w:tcBorders>
            <w:shd w:val="clear" w:color="auto" w:fill="E5E5E5"/>
          </w:tcPr>
          <w:p>
            <w:pPr>
              <w:jc w:val="right"/>
              <w:ind w:right="515"/>
              <w:spacing w:after="0"/>
              <w:rPr>
                <w:sz w:val="20"/>
                <w:szCs w:val="20"/>
                <w:color w:val="auto"/>
              </w:rPr>
            </w:pPr>
            <w:r>
              <w:rPr>
                <w:rFonts w:ascii="Arial" w:cs="Arial" w:eastAsia="Arial" w:hAnsi="Arial"/>
                <w:sz w:val="16"/>
                <w:szCs w:val="16"/>
                <w:b w:val="1"/>
                <w:bCs w:val="1"/>
                <w:color w:val="002060"/>
              </w:rPr>
              <w:t xml:space="preserve">(%) </w:t>
            </w:r>
          </w:p>
        </w:tc>
        <w:tc>
          <w:tcPr>
            <w:tcW w:w="2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16"/>
                <w:szCs w:val="16"/>
                <w:b w:val="1"/>
                <w:bCs w:val="1"/>
                <w:color w:val="002060"/>
              </w:rPr>
              <w:t xml:space="preserve">Age    </w:t>
            </w:r>
          </w:p>
        </w:tc>
        <w:tc>
          <w:tcPr>
            <w:tcW w:w="180" w:type="dxa"/>
            <w:vAlign w:val="bottom"/>
          </w:tcPr>
          <w:p>
            <w:pPr>
              <w:spacing w:after="0"/>
              <w:rPr>
                <w:sz w:val="24"/>
                <w:szCs w:val="24"/>
                <w:color w:val="auto"/>
              </w:rPr>
            </w:pPr>
          </w:p>
        </w:tc>
        <w:tc>
          <w:tcPr>
            <w:tcW w:w="1480" w:type="dxa"/>
            <w:vAlign w:val="bottom"/>
            <w:tcBorders>
              <w:bottom w:val="single" w:sz="8" w:color="E5E5E5"/>
            </w:tcBorders>
            <w:shd w:val="clear" w:color="auto" w:fill="E5E5E5"/>
          </w:tcPr>
          <w:p>
            <w:pPr>
              <w:jc w:val="right"/>
              <w:ind w:right="509"/>
              <w:spacing w:after="0"/>
              <w:rPr>
                <w:sz w:val="20"/>
                <w:szCs w:val="20"/>
                <w:color w:val="auto"/>
              </w:rPr>
            </w:pPr>
            <w:r>
              <w:rPr>
                <w:rFonts w:ascii="Arial" w:cs="Arial" w:eastAsia="Arial" w:hAnsi="Arial"/>
                <w:sz w:val="16"/>
                <w:szCs w:val="16"/>
                <w:b w:val="1"/>
                <w:bCs w:val="1"/>
                <w:color w:val="002060"/>
              </w:rPr>
              <w:t xml:space="preserve">(%) </w:t>
            </w:r>
          </w:p>
        </w:tc>
        <w:tc>
          <w:tcPr>
            <w:tcW w:w="220" w:type="dxa"/>
            <w:vAlign w:val="bottom"/>
          </w:tcPr>
          <w:p>
            <w:pPr>
              <w:spacing w:after="0"/>
              <w:rPr>
                <w:sz w:val="24"/>
                <w:szCs w:val="24"/>
                <w:color w:val="auto"/>
              </w:rPr>
            </w:pPr>
          </w:p>
        </w:tc>
        <w:tc>
          <w:tcPr>
            <w:tcW w:w="1100" w:type="dxa"/>
            <w:vAlign w:val="bottom"/>
          </w:tcPr>
          <w:p>
            <w:pPr>
              <w:ind w:left="340"/>
              <w:spacing w:after="0"/>
              <w:rPr>
                <w:sz w:val="20"/>
                <w:szCs w:val="20"/>
                <w:color w:val="auto"/>
              </w:rPr>
            </w:pPr>
            <w:r>
              <w:rPr>
                <w:rFonts w:ascii="Arial" w:cs="Arial" w:eastAsia="Arial" w:hAnsi="Arial"/>
                <w:sz w:val="16"/>
                <w:szCs w:val="16"/>
                <w:b w:val="1"/>
                <w:bCs w:val="1"/>
                <w:color w:val="002060"/>
              </w:rPr>
              <w:t>Gender</w:t>
            </w:r>
          </w:p>
        </w:tc>
        <w:tc>
          <w:tcPr>
            <w:tcW w:w="1500" w:type="dxa"/>
            <w:vAlign w:val="bottom"/>
            <w:tcBorders>
              <w:bottom w:val="single" w:sz="8" w:color="E5E5E5"/>
            </w:tcBorders>
            <w:shd w:val="clear" w:color="auto" w:fill="E5E5E5"/>
          </w:tcPr>
          <w:p>
            <w:pPr>
              <w:jc w:val="right"/>
              <w:ind w:right="561"/>
              <w:spacing w:after="0"/>
              <w:rPr>
                <w:sz w:val="20"/>
                <w:szCs w:val="20"/>
                <w:color w:val="auto"/>
              </w:rPr>
            </w:pPr>
            <w:r>
              <w:rPr>
                <w:rFonts w:ascii="Arial" w:cs="Arial" w:eastAsia="Arial" w:hAnsi="Arial"/>
                <w:sz w:val="16"/>
                <w:szCs w:val="16"/>
                <w:b w:val="1"/>
                <w:bCs w:val="1"/>
                <w:color w:val="002060"/>
              </w:rPr>
              <w:t>(%)</w:t>
            </w:r>
          </w:p>
        </w:tc>
      </w:tr>
      <w:tr>
        <w:trPr>
          <w:trHeight w:val="239"/>
        </w:trPr>
        <w:tc>
          <w:tcPr>
            <w:tcW w:w="4040" w:type="dxa"/>
            <w:vAlign w:val="bottom"/>
            <w:tcBorders>
              <w:top w:val="single" w:sz="8" w:color="002060"/>
            </w:tcBorders>
            <w:shd w:val="clear" w:color="auto" w:fill="D1DCE4"/>
          </w:tcPr>
          <w:p>
            <w:pPr>
              <w:spacing w:after="0"/>
              <w:rPr>
                <w:sz w:val="20"/>
                <w:szCs w:val="20"/>
                <w:color w:val="auto"/>
              </w:rPr>
            </w:pPr>
            <w:r>
              <w:rPr>
                <w:rFonts w:ascii="Arial" w:cs="Arial" w:eastAsia="Arial" w:hAnsi="Arial"/>
                <w:sz w:val="18"/>
                <w:szCs w:val="18"/>
                <w:color w:val="auto"/>
              </w:rPr>
              <w:t>  Hispanic / Latinx</w:t>
            </w:r>
          </w:p>
        </w:tc>
        <w:tc>
          <w:tcPr>
            <w:tcW w:w="1500" w:type="dxa"/>
            <w:vAlign w:val="bottom"/>
            <w:tcBorders>
              <w:top w:val="single" w:sz="8" w:color="002060"/>
            </w:tcBorders>
            <w:shd w:val="clear" w:color="auto" w:fill="E5E5E5"/>
          </w:tcPr>
          <w:p>
            <w:pPr>
              <w:jc w:val="right"/>
              <w:ind w:right="515"/>
              <w:spacing w:after="0"/>
              <w:rPr>
                <w:sz w:val="20"/>
                <w:szCs w:val="20"/>
                <w:color w:val="auto"/>
              </w:rPr>
            </w:pPr>
            <w:r>
              <w:rPr>
                <w:rFonts w:ascii="Arial" w:cs="Arial" w:eastAsia="Arial" w:hAnsi="Arial"/>
                <w:sz w:val="18"/>
                <w:szCs w:val="18"/>
                <w:color w:val="002060"/>
              </w:rPr>
              <w:t>50 </w:t>
            </w:r>
          </w:p>
        </w:tc>
        <w:tc>
          <w:tcPr>
            <w:tcW w:w="200" w:type="dxa"/>
            <w:vAlign w:val="bottom"/>
            <w:tcBorders>
              <w:top w:val="single" w:sz="8" w:color="002060"/>
            </w:tcBorders>
          </w:tcPr>
          <w:p>
            <w:pPr>
              <w:spacing w:after="0"/>
              <w:rPr>
                <w:sz w:val="20"/>
                <w:szCs w:val="20"/>
                <w:color w:val="auto"/>
              </w:rPr>
            </w:pPr>
          </w:p>
        </w:tc>
        <w:tc>
          <w:tcPr>
            <w:tcW w:w="800" w:type="dxa"/>
            <w:vAlign w:val="bottom"/>
            <w:tcBorders>
              <w:top w:val="single" w:sz="8" w:color="002060"/>
            </w:tcBorders>
            <w:shd w:val="clear" w:color="auto" w:fill="D1DCE4"/>
          </w:tcPr>
          <w:p>
            <w:pPr>
              <w:jc w:val="center"/>
              <w:ind w:left="111"/>
              <w:spacing w:after="0"/>
              <w:rPr>
                <w:sz w:val="20"/>
                <w:szCs w:val="20"/>
                <w:color w:val="auto"/>
              </w:rPr>
            </w:pPr>
            <w:r>
              <w:rPr>
                <w:rFonts w:ascii="Arial" w:cs="Arial" w:eastAsia="Arial" w:hAnsi="Arial"/>
                <w:sz w:val="18"/>
                <w:szCs w:val="18"/>
                <w:color w:val="auto"/>
                <w:w w:val="81"/>
              </w:rPr>
              <w:t>16-20 </w:t>
            </w:r>
          </w:p>
        </w:tc>
        <w:tc>
          <w:tcPr>
            <w:tcW w:w="180" w:type="dxa"/>
            <w:vAlign w:val="bottom"/>
            <w:tcBorders>
              <w:top w:val="single" w:sz="8" w:color="002060"/>
            </w:tcBorders>
            <w:shd w:val="clear" w:color="auto" w:fill="D1DCE4"/>
          </w:tcPr>
          <w:p>
            <w:pPr>
              <w:ind w:left="80"/>
              <w:spacing w:after="0"/>
              <w:rPr>
                <w:sz w:val="20"/>
                <w:szCs w:val="20"/>
                <w:color w:val="auto"/>
              </w:rPr>
            </w:pPr>
            <w:r>
              <w:rPr>
                <w:rFonts w:ascii="Arial" w:cs="Arial" w:eastAsia="Arial" w:hAnsi="Arial"/>
                <w:sz w:val="18"/>
                <w:szCs w:val="18"/>
                <w:color w:val="auto"/>
                <w:w w:val="88"/>
              </w:rPr>
              <w:t> </w:t>
            </w:r>
          </w:p>
        </w:tc>
        <w:tc>
          <w:tcPr>
            <w:tcW w:w="1480" w:type="dxa"/>
            <w:vAlign w:val="bottom"/>
            <w:tcBorders>
              <w:top w:val="single" w:sz="8" w:color="002060"/>
            </w:tcBorders>
            <w:shd w:val="clear" w:color="auto" w:fill="E5E5E5"/>
          </w:tcPr>
          <w:p>
            <w:pPr>
              <w:jc w:val="center"/>
              <w:spacing w:after="0"/>
              <w:rPr>
                <w:sz w:val="20"/>
                <w:szCs w:val="20"/>
                <w:color w:val="auto"/>
              </w:rPr>
            </w:pPr>
            <w:r>
              <w:rPr>
                <w:rFonts w:ascii="Arial" w:cs="Arial" w:eastAsia="Arial" w:hAnsi="Arial"/>
                <w:sz w:val="13"/>
                <w:szCs w:val="13"/>
                <w:color w:val="002060"/>
                <w:w w:val="78"/>
              </w:rPr>
              <w:t>3 </w:t>
            </w:r>
          </w:p>
        </w:tc>
        <w:tc>
          <w:tcPr>
            <w:tcW w:w="220" w:type="dxa"/>
            <w:vAlign w:val="bottom"/>
            <w:tcBorders>
              <w:top w:val="single" w:sz="8" w:color="002060"/>
            </w:tcBorders>
          </w:tcPr>
          <w:p>
            <w:pPr>
              <w:spacing w:after="0"/>
              <w:rPr>
                <w:sz w:val="20"/>
                <w:szCs w:val="20"/>
                <w:color w:val="auto"/>
              </w:rPr>
            </w:pPr>
          </w:p>
        </w:tc>
        <w:tc>
          <w:tcPr>
            <w:tcW w:w="1100" w:type="dxa"/>
            <w:vAlign w:val="bottom"/>
            <w:tcBorders>
              <w:top w:val="single" w:sz="8" w:color="002060"/>
            </w:tcBorders>
            <w:shd w:val="clear" w:color="auto" w:fill="D1DCE4"/>
          </w:tcPr>
          <w:p>
            <w:pPr>
              <w:ind w:left="220"/>
              <w:spacing w:after="0"/>
              <w:rPr>
                <w:sz w:val="20"/>
                <w:szCs w:val="20"/>
                <w:color w:val="auto"/>
              </w:rPr>
            </w:pPr>
            <w:r>
              <w:rPr>
                <w:rFonts w:ascii="Arial" w:cs="Arial" w:eastAsia="Arial" w:hAnsi="Arial"/>
                <w:sz w:val="18"/>
                <w:szCs w:val="18"/>
                <w:color w:val="auto"/>
              </w:rPr>
              <w:t>Male</w:t>
            </w:r>
          </w:p>
        </w:tc>
        <w:tc>
          <w:tcPr>
            <w:tcW w:w="1500" w:type="dxa"/>
            <w:vAlign w:val="bottom"/>
            <w:tcBorders>
              <w:top w:val="single" w:sz="8" w:color="002060"/>
            </w:tcBorders>
            <w:shd w:val="clear" w:color="auto" w:fill="E5E5E5"/>
          </w:tcPr>
          <w:p>
            <w:pPr>
              <w:jc w:val="right"/>
              <w:ind w:right="561"/>
              <w:spacing w:after="0"/>
              <w:rPr>
                <w:sz w:val="20"/>
                <w:szCs w:val="20"/>
                <w:color w:val="auto"/>
              </w:rPr>
            </w:pPr>
            <w:r>
              <w:rPr>
                <w:rFonts w:ascii="Arial" w:cs="Arial" w:eastAsia="Arial" w:hAnsi="Arial"/>
                <w:sz w:val="18"/>
                <w:szCs w:val="18"/>
                <w:color w:val="002060"/>
              </w:rPr>
              <w:t>89</w:t>
            </w:r>
          </w:p>
        </w:tc>
      </w:tr>
      <w:tr>
        <w:trPr>
          <w:trHeight w:val="295"/>
        </w:trPr>
        <w:tc>
          <w:tcPr>
            <w:tcW w:w="4040" w:type="dxa"/>
            <w:vAlign w:val="bottom"/>
            <w:tcBorders>
              <w:bottom w:val="single" w:sz="8" w:color="D1DCE4"/>
            </w:tcBorders>
            <w:shd w:val="clear" w:color="auto" w:fill="D1DCE4"/>
          </w:tcPr>
          <w:p>
            <w:pPr>
              <w:spacing w:after="0"/>
              <w:rPr>
                <w:sz w:val="20"/>
                <w:szCs w:val="20"/>
                <w:color w:val="auto"/>
              </w:rPr>
            </w:pPr>
            <w:r>
              <w:rPr>
                <w:rFonts w:ascii="Arial" w:cs="Arial" w:eastAsia="Arial" w:hAnsi="Arial"/>
                <w:sz w:val="18"/>
                <w:szCs w:val="18"/>
                <w:color w:val="auto"/>
              </w:rPr>
              <w:t>  White</w:t>
            </w:r>
          </w:p>
        </w:tc>
        <w:tc>
          <w:tcPr>
            <w:tcW w:w="1500" w:type="dxa"/>
            <w:vAlign w:val="bottom"/>
            <w:tcBorders>
              <w:bottom w:val="single" w:sz="8" w:color="E5E5E5"/>
            </w:tcBorders>
            <w:shd w:val="clear" w:color="auto" w:fill="E5E5E5"/>
          </w:tcPr>
          <w:p>
            <w:pPr>
              <w:jc w:val="right"/>
              <w:ind w:right="515"/>
              <w:spacing w:after="0"/>
              <w:rPr>
                <w:sz w:val="20"/>
                <w:szCs w:val="20"/>
                <w:color w:val="auto"/>
              </w:rPr>
            </w:pPr>
            <w:r>
              <w:rPr>
                <w:rFonts w:ascii="Arial" w:cs="Arial" w:eastAsia="Arial" w:hAnsi="Arial"/>
                <w:sz w:val="18"/>
                <w:szCs w:val="18"/>
                <w:color w:val="002060"/>
              </w:rPr>
              <w:t>42 </w:t>
            </w:r>
          </w:p>
        </w:tc>
        <w:tc>
          <w:tcPr>
            <w:tcW w:w="200" w:type="dxa"/>
            <w:vAlign w:val="bottom"/>
          </w:tcPr>
          <w:p>
            <w:pPr>
              <w:spacing w:after="0"/>
              <w:rPr>
                <w:sz w:val="24"/>
                <w:szCs w:val="24"/>
                <w:color w:val="auto"/>
              </w:rPr>
            </w:pPr>
          </w:p>
        </w:tc>
        <w:tc>
          <w:tcPr>
            <w:tcW w:w="800" w:type="dxa"/>
            <w:vAlign w:val="bottom"/>
            <w:tcBorders>
              <w:bottom w:val="single" w:sz="8" w:color="D1DCE4"/>
            </w:tcBorders>
            <w:shd w:val="clear" w:color="auto" w:fill="D1DCE4"/>
          </w:tcPr>
          <w:p>
            <w:pPr>
              <w:jc w:val="center"/>
              <w:ind w:left="111"/>
              <w:spacing w:after="0"/>
              <w:rPr>
                <w:sz w:val="20"/>
                <w:szCs w:val="20"/>
                <w:color w:val="auto"/>
              </w:rPr>
            </w:pPr>
            <w:r>
              <w:rPr>
                <w:rFonts w:ascii="Arial" w:cs="Arial" w:eastAsia="Arial" w:hAnsi="Arial"/>
                <w:sz w:val="18"/>
                <w:szCs w:val="18"/>
                <w:color w:val="auto"/>
                <w:w w:val="81"/>
              </w:rPr>
              <w:t>21-30 </w:t>
            </w:r>
          </w:p>
        </w:tc>
        <w:tc>
          <w:tcPr>
            <w:tcW w:w="180" w:type="dxa"/>
            <w:vAlign w:val="bottom"/>
            <w:tcBorders>
              <w:bottom w:val="single" w:sz="8" w:color="D1DCE4"/>
            </w:tcBorders>
            <w:shd w:val="clear" w:color="auto" w:fill="D1DCE4"/>
          </w:tcPr>
          <w:p>
            <w:pPr>
              <w:ind w:left="80"/>
              <w:spacing w:after="0"/>
              <w:rPr>
                <w:sz w:val="20"/>
                <w:szCs w:val="20"/>
                <w:color w:val="auto"/>
              </w:rPr>
            </w:pPr>
            <w:r>
              <w:rPr>
                <w:rFonts w:ascii="Arial" w:cs="Arial" w:eastAsia="Arial" w:hAnsi="Arial"/>
                <w:sz w:val="18"/>
                <w:szCs w:val="18"/>
                <w:color w:val="auto"/>
                <w:w w:val="88"/>
              </w:rPr>
              <w:t> </w:t>
            </w:r>
          </w:p>
        </w:tc>
        <w:tc>
          <w:tcPr>
            <w:tcW w:w="148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color w:val="002060"/>
                <w:w w:val="70"/>
              </w:rPr>
              <w:t>25 </w:t>
            </w:r>
          </w:p>
        </w:tc>
        <w:tc>
          <w:tcPr>
            <w:tcW w:w="220" w:type="dxa"/>
            <w:vAlign w:val="bottom"/>
          </w:tcPr>
          <w:p>
            <w:pPr>
              <w:spacing w:after="0"/>
              <w:rPr>
                <w:sz w:val="24"/>
                <w:szCs w:val="24"/>
                <w:color w:val="auto"/>
              </w:rPr>
            </w:pPr>
          </w:p>
        </w:tc>
        <w:tc>
          <w:tcPr>
            <w:tcW w:w="1100" w:type="dxa"/>
            <w:vAlign w:val="bottom"/>
            <w:tcBorders>
              <w:bottom w:val="single" w:sz="8" w:color="D1DCE4"/>
            </w:tcBorders>
            <w:shd w:val="clear" w:color="auto" w:fill="D1DCE4"/>
          </w:tcPr>
          <w:p>
            <w:pPr>
              <w:ind w:left="220"/>
              <w:spacing w:after="0"/>
              <w:rPr>
                <w:sz w:val="20"/>
                <w:szCs w:val="20"/>
                <w:color w:val="auto"/>
              </w:rPr>
            </w:pPr>
            <w:r>
              <w:rPr>
                <w:rFonts w:ascii="Arial" w:cs="Arial" w:eastAsia="Arial" w:hAnsi="Arial"/>
                <w:sz w:val="18"/>
                <w:szCs w:val="18"/>
                <w:color w:val="auto"/>
              </w:rPr>
              <w:t xml:space="preserve">Female    </w:t>
            </w:r>
          </w:p>
        </w:tc>
        <w:tc>
          <w:tcPr>
            <w:tcW w:w="1500" w:type="dxa"/>
            <w:vAlign w:val="bottom"/>
            <w:tcBorders>
              <w:bottom w:val="single" w:sz="8" w:color="E5E5E5"/>
            </w:tcBorders>
            <w:shd w:val="clear" w:color="auto" w:fill="E5E5E5"/>
          </w:tcPr>
          <w:p>
            <w:pPr>
              <w:jc w:val="right"/>
              <w:ind w:right="561"/>
              <w:spacing w:after="0"/>
              <w:rPr>
                <w:sz w:val="20"/>
                <w:szCs w:val="20"/>
                <w:color w:val="auto"/>
              </w:rPr>
            </w:pPr>
            <w:r>
              <w:rPr>
                <w:rFonts w:ascii="Arial" w:cs="Arial" w:eastAsia="Arial" w:hAnsi="Arial"/>
                <w:sz w:val="18"/>
                <w:szCs w:val="18"/>
                <w:color w:val="002060"/>
              </w:rPr>
              <w:t>11</w:t>
            </w:r>
          </w:p>
        </w:tc>
      </w:tr>
      <w:tr>
        <w:trPr>
          <w:trHeight w:val="247"/>
        </w:trPr>
        <w:tc>
          <w:tcPr>
            <w:tcW w:w="4040" w:type="dxa"/>
            <w:vAlign w:val="bottom"/>
            <w:shd w:val="clear" w:color="auto" w:fill="D1DCE4"/>
          </w:tcPr>
          <w:p>
            <w:pPr>
              <w:spacing w:after="0"/>
              <w:rPr>
                <w:sz w:val="20"/>
                <w:szCs w:val="20"/>
                <w:color w:val="auto"/>
              </w:rPr>
            </w:pPr>
            <w:r>
              <w:rPr>
                <w:rFonts w:ascii="Arial" w:cs="Arial" w:eastAsia="Arial" w:hAnsi="Arial"/>
                <w:sz w:val="18"/>
                <w:szCs w:val="18"/>
                <w:color w:val="auto"/>
              </w:rPr>
              <w:t>  Black / African American</w:t>
            </w:r>
          </w:p>
        </w:tc>
        <w:tc>
          <w:tcPr>
            <w:tcW w:w="1500" w:type="dxa"/>
            <w:vAlign w:val="bottom"/>
            <w:shd w:val="clear" w:color="auto" w:fill="E5E5E5"/>
          </w:tcPr>
          <w:p>
            <w:pPr>
              <w:jc w:val="right"/>
              <w:ind w:right="515"/>
              <w:spacing w:after="0"/>
              <w:rPr>
                <w:sz w:val="20"/>
                <w:szCs w:val="20"/>
                <w:color w:val="auto"/>
              </w:rPr>
            </w:pPr>
            <w:r>
              <w:rPr>
                <w:rFonts w:ascii="Arial" w:cs="Arial" w:eastAsia="Arial" w:hAnsi="Arial"/>
                <w:sz w:val="18"/>
                <w:szCs w:val="18"/>
                <w:color w:val="002060"/>
              </w:rPr>
              <w:t>6 </w:t>
            </w:r>
          </w:p>
        </w:tc>
        <w:tc>
          <w:tcPr>
            <w:tcW w:w="200" w:type="dxa"/>
            <w:vAlign w:val="bottom"/>
          </w:tcPr>
          <w:p>
            <w:pPr>
              <w:spacing w:after="0"/>
              <w:rPr>
                <w:sz w:val="21"/>
                <w:szCs w:val="21"/>
                <w:color w:val="auto"/>
              </w:rPr>
            </w:pPr>
          </w:p>
        </w:tc>
        <w:tc>
          <w:tcPr>
            <w:tcW w:w="800" w:type="dxa"/>
            <w:vAlign w:val="bottom"/>
            <w:shd w:val="clear" w:color="auto" w:fill="D1DCE4"/>
          </w:tcPr>
          <w:p>
            <w:pPr>
              <w:jc w:val="center"/>
              <w:ind w:left="111"/>
              <w:spacing w:after="0"/>
              <w:rPr>
                <w:sz w:val="20"/>
                <w:szCs w:val="20"/>
                <w:color w:val="auto"/>
              </w:rPr>
            </w:pPr>
            <w:r>
              <w:rPr>
                <w:rFonts w:ascii="Arial" w:cs="Arial" w:eastAsia="Arial" w:hAnsi="Arial"/>
                <w:sz w:val="18"/>
                <w:szCs w:val="18"/>
                <w:color w:val="auto"/>
                <w:w w:val="81"/>
              </w:rPr>
              <w:t>31-40 </w:t>
            </w:r>
          </w:p>
        </w:tc>
        <w:tc>
          <w:tcPr>
            <w:tcW w:w="180" w:type="dxa"/>
            <w:vAlign w:val="bottom"/>
            <w:shd w:val="clear" w:color="auto" w:fill="D1DCE4"/>
          </w:tcPr>
          <w:p>
            <w:pPr>
              <w:ind w:left="80"/>
              <w:spacing w:after="0"/>
              <w:rPr>
                <w:sz w:val="20"/>
                <w:szCs w:val="20"/>
                <w:color w:val="auto"/>
              </w:rPr>
            </w:pPr>
            <w:r>
              <w:rPr>
                <w:rFonts w:ascii="Arial" w:cs="Arial" w:eastAsia="Arial" w:hAnsi="Arial"/>
                <w:sz w:val="18"/>
                <w:szCs w:val="18"/>
                <w:color w:val="auto"/>
                <w:w w:val="88"/>
              </w:rPr>
              <w:t> </w:t>
            </w:r>
          </w:p>
        </w:tc>
        <w:tc>
          <w:tcPr>
            <w:tcW w:w="1480" w:type="dxa"/>
            <w:vAlign w:val="bottom"/>
            <w:shd w:val="clear" w:color="auto" w:fill="E5E5E5"/>
          </w:tcPr>
          <w:p>
            <w:pPr>
              <w:jc w:val="center"/>
              <w:spacing w:after="0"/>
              <w:rPr>
                <w:sz w:val="20"/>
                <w:szCs w:val="20"/>
                <w:color w:val="auto"/>
              </w:rPr>
            </w:pPr>
            <w:r>
              <w:rPr>
                <w:rFonts w:ascii="Arial" w:cs="Arial" w:eastAsia="Arial" w:hAnsi="Arial"/>
                <w:sz w:val="16"/>
                <w:szCs w:val="16"/>
                <w:color w:val="002060"/>
                <w:w w:val="70"/>
              </w:rPr>
              <w:t>28 </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83"/>
        </w:trPr>
        <w:tc>
          <w:tcPr>
            <w:tcW w:w="4040" w:type="dxa"/>
            <w:vAlign w:val="bottom"/>
            <w:shd w:val="clear" w:color="auto" w:fill="D1DCE4"/>
          </w:tcPr>
          <w:p>
            <w:pPr>
              <w:spacing w:after="0"/>
              <w:rPr>
                <w:sz w:val="20"/>
                <w:szCs w:val="20"/>
                <w:color w:val="auto"/>
              </w:rPr>
            </w:pPr>
            <w:r>
              <w:rPr>
                <w:rFonts w:ascii="Arial" w:cs="Arial" w:eastAsia="Arial" w:hAnsi="Arial"/>
                <w:sz w:val="18"/>
                <w:szCs w:val="18"/>
                <w:color w:val="auto"/>
              </w:rPr>
              <w:t>  Asian</w:t>
            </w:r>
          </w:p>
        </w:tc>
        <w:tc>
          <w:tcPr>
            <w:tcW w:w="1500" w:type="dxa"/>
            <w:vAlign w:val="bottom"/>
            <w:shd w:val="clear" w:color="auto" w:fill="E5E5E5"/>
          </w:tcPr>
          <w:p>
            <w:pPr>
              <w:jc w:val="right"/>
              <w:ind w:right="515"/>
              <w:spacing w:after="0"/>
              <w:rPr>
                <w:sz w:val="20"/>
                <w:szCs w:val="20"/>
                <w:color w:val="auto"/>
              </w:rPr>
            </w:pPr>
            <w:r>
              <w:rPr>
                <w:rFonts w:ascii="Arial" w:cs="Arial" w:eastAsia="Arial" w:hAnsi="Arial"/>
                <w:sz w:val="18"/>
                <w:szCs w:val="18"/>
                <w:color w:val="002060"/>
              </w:rPr>
              <w:t xml:space="preserve">* </w:t>
            </w:r>
          </w:p>
        </w:tc>
        <w:tc>
          <w:tcPr>
            <w:tcW w:w="200" w:type="dxa"/>
            <w:vAlign w:val="bottom"/>
          </w:tcPr>
          <w:p>
            <w:pPr>
              <w:spacing w:after="0"/>
              <w:rPr>
                <w:sz w:val="24"/>
                <w:szCs w:val="24"/>
                <w:color w:val="auto"/>
              </w:rPr>
            </w:pPr>
          </w:p>
        </w:tc>
        <w:tc>
          <w:tcPr>
            <w:tcW w:w="800" w:type="dxa"/>
            <w:vAlign w:val="bottom"/>
            <w:shd w:val="clear" w:color="auto" w:fill="D1DCE4"/>
          </w:tcPr>
          <w:p>
            <w:pPr>
              <w:jc w:val="center"/>
              <w:ind w:left="111"/>
              <w:spacing w:after="0"/>
              <w:rPr>
                <w:sz w:val="20"/>
                <w:szCs w:val="20"/>
                <w:color w:val="auto"/>
              </w:rPr>
            </w:pPr>
            <w:r>
              <w:rPr>
                <w:rFonts w:ascii="Arial" w:cs="Arial" w:eastAsia="Arial" w:hAnsi="Arial"/>
                <w:sz w:val="18"/>
                <w:szCs w:val="18"/>
                <w:color w:val="auto"/>
                <w:w w:val="81"/>
              </w:rPr>
              <w:t>41-50 </w:t>
            </w:r>
          </w:p>
        </w:tc>
        <w:tc>
          <w:tcPr>
            <w:tcW w:w="180" w:type="dxa"/>
            <w:vAlign w:val="bottom"/>
            <w:shd w:val="clear" w:color="auto" w:fill="D1DCE4"/>
          </w:tcPr>
          <w:p>
            <w:pPr>
              <w:ind w:left="80"/>
              <w:spacing w:after="0"/>
              <w:rPr>
                <w:sz w:val="20"/>
                <w:szCs w:val="20"/>
                <w:color w:val="auto"/>
              </w:rPr>
            </w:pPr>
            <w:r>
              <w:rPr>
                <w:rFonts w:ascii="Arial" w:cs="Arial" w:eastAsia="Arial" w:hAnsi="Arial"/>
                <w:sz w:val="18"/>
                <w:szCs w:val="18"/>
                <w:color w:val="auto"/>
                <w:w w:val="88"/>
              </w:rPr>
              <w:t> </w:t>
            </w:r>
          </w:p>
        </w:tc>
        <w:tc>
          <w:tcPr>
            <w:tcW w:w="1480" w:type="dxa"/>
            <w:vAlign w:val="bottom"/>
            <w:shd w:val="clear" w:color="auto" w:fill="E5E5E5"/>
          </w:tcPr>
          <w:p>
            <w:pPr>
              <w:jc w:val="center"/>
              <w:spacing w:after="0"/>
              <w:rPr>
                <w:sz w:val="20"/>
                <w:szCs w:val="20"/>
                <w:color w:val="auto"/>
              </w:rPr>
            </w:pPr>
            <w:r>
              <w:rPr>
                <w:rFonts w:ascii="Arial" w:cs="Arial" w:eastAsia="Arial" w:hAnsi="Arial"/>
                <w:sz w:val="16"/>
                <w:szCs w:val="16"/>
                <w:color w:val="002060"/>
                <w:w w:val="70"/>
              </w:rPr>
              <w:t>24 </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4"/>
        </w:trPr>
        <w:tc>
          <w:tcPr>
            <w:tcW w:w="4040" w:type="dxa"/>
            <w:vAlign w:val="bottom"/>
            <w:shd w:val="clear" w:color="auto" w:fill="D1DCE4"/>
          </w:tcPr>
          <w:p>
            <w:pPr>
              <w:spacing w:after="0"/>
              <w:rPr>
                <w:sz w:val="20"/>
                <w:szCs w:val="20"/>
                <w:color w:val="auto"/>
              </w:rPr>
            </w:pPr>
            <w:r>
              <w:rPr>
                <w:rFonts w:ascii="Arial" w:cs="Arial" w:eastAsia="Arial" w:hAnsi="Arial"/>
                <w:sz w:val="18"/>
                <w:szCs w:val="18"/>
                <w:color w:val="auto"/>
              </w:rPr>
              <w:t>  Native American / Alaska Native</w:t>
            </w:r>
          </w:p>
        </w:tc>
        <w:tc>
          <w:tcPr>
            <w:tcW w:w="1500" w:type="dxa"/>
            <w:vAlign w:val="bottom"/>
            <w:shd w:val="clear" w:color="auto" w:fill="E5E5E5"/>
          </w:tcPr>
          <w:p>
            <w:pPr>
              <w:jc w:val="right"/>
              <w:ind w:right="515"/>
              <w:spacing w:after="0"/>
              <w:rPr>
                <w:sz w:val="20"/>
                <w:szCs w:val="20"/>
                <w:color w:val="auto"/>
              </w:rPr>
            </w:pPr>
            <w:r>
              <w:rPr>
                <w:rFonts w:ascii="Arial" w:cs="Arial" w:eastAsia="Arial" w:hAnsi="Arial"/>
                <w:sz w:val="18"/>
                <w:szCs w:val="18"/>
                <w:color w:val="auto"/>
              </w:rPr>
              <w:t xml:space="preserve">* </w:t>
            </w:r>
          </w:p>
        </w:tc>
        <w:tc>
          <w:tcPr>
            <w:tcW w:w="200" w:type="dxa"/>
            <w:vAlign w:val="bottom"/>
          </w:tcPr>
          <w:p>
            <w:pPr>
              <w:spacing w:after="0"/>
              <w:rPr>
                <w:sz w:val="24"/>
                <w:szCs w:val="24"/>
                <w:color w:val="auto"/>
              </w:rPr>
            </w:pPr>
          </w:p>
        </w:tc>
        <w:tc>
          <w:tcPr>
            <w:tcW w:w="800" w:type="dxa"/>
            <w:vAlign w:val="bottom"/>
            <w:shd w:val="clear" w:color="auto" w:fill="D1DCE4"/>
          </w:tcPr>
          <w:p>
            <w:pPr>
              <w:jc w:val="center"/>
              <w:ind w:left="111"/>
              <w:spacing w:after="0"/>
              <w:rPr>
                <w:sz w:val="20"/>
                <w:szCs w:val="20"/>
                <w:color w:val="auto"/>
              </w:rPr>
            </w:pPr>
            <w:r>
              <w:rPr>
                <w:rFonts w:ascii="Arial" w:cs="Arial" w:eastAsia="Arial" w:hAnsi="Arial"/>
                <w:sz w:val="18"/>
                <w:szCs w:val="18"/>
                <w:color w:val="auto"/>
                <w:w w:val="81"/>
              </w:rPr>
              <w:t>51-60 </w:t>
            </w:r>
          </w:p>
        </w:tc>
        <w:tc>
          <w:tcPr>
            <w:tcW w:w="180" w:type="dxa"/>
            <w:vAlign w:val="bottom"/>
            <w:shd w:val="clear" w:color="auto" w:fill="D1DCE4"/>
          </w:tcPr>
          <w:p>
            <w:pPr>
              <w:ind w:left="80"/>
              <w:spacing w:after="0"/>
              <w:rPr>
                <w:sz w:val="20"/>
                <w:szCs w:val="20"/>
                <w:color w:val="auto"/>
              </w:rPr>
            </w:pPr>
            <w:r>
              <w:rPr>
                <w:rFonts w:ascii="Arial" w:cs="Arial" w:eastAsia="Arial" w:hAnsi="Arial"/>
                <w:sz w:val="18"/>
                <w:szCs w:val="18"/>
                <w:color w:val="auto"/>
                <w:w w:val="88"/>
              </w:rPr>
              <w:t> </w:t>
            </w:r>
          </w:p>
        </w:tc>
        <w:tc>
          <w:tcPr>
            <w:tcW w:w="1480" w:type="dxa"/>
            <w:vAlign w:val="bottom"/>
            <w:shd w:val="clear" w:color="auto" w:fill="E5E5E5"/>
          </w:tcPr>
          <w:p>
            <w:pPr>
              <w:jc w:val="center"/>
              <w:spacing w:after="0"/>
              <w:rPr>
                <w:sz w:val="20"/>
                <w:szCs w:val="20"/>
                <w:color w:val="auto"/>
              </w:rPr>
            </w:pPr>
            <w:r>
              <w:rPr>
                <w:rFonts w:ascii="Arial" w:cs="Arial" w:eastAsia="Arial" w:hAnsi="Arial"/>
                <w:sz w:val="16"/>
                <w:szCs w:val="16"/>
                <w:color w:val="002060"/>
                <w:w w:val="70"/>
              </w:rPr>
              <w:t>14 </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00"/>
        </w:trPr>
        <w:tc>
          <w:tcPr>
            <w:tcW w:w="4040" w:type="dxa"/>
            <w:vAlign w:val="bottom"/>
            <w:tcBorders>
              <w:bottom w:val="single" w:sz="8" w:color="D1DCE4"/>
            </w:tcBorders>
            <w:shd w:val="clear" w:color="auto" w:fill="D1DCE4"/>
          </w:tcPr>
          <w:p>
            <w:pPr>
              <w:spacing w:after="0"/>
              <w:rPr>
                <w:sz w:val="20"/>
                <w:szCs w:val="20"/>
                <w:color w:val="auto"/>
              </w:rPr>
            </w:pPr>
            <w:r>
              <w:rPr>
                <w:rFonts w:ascii="Arial" w:cs="Arial" w:eastAsia="Arial" w:hAnsi="Arial"/>
                <w:sz w:val="18"/>
                <w:szCs w:val="18"/>
                <w:color w:val="auto"/>
              </w:rPr>
              <w:t>  Native Hawaiian / Pacific Islander</w:t>
            </w:r>
          </w:p>
        </w:tc>
        <w:tc>
          <w:tcPr>
            <w:tcW w:w="1500" w:type="dxa"/>
            <w:vAlign w:val="bottom"/>
            <w:tcBorders>
              <w:bottom w:val="single" w:sz="8" w:color="E5E5E5"/>
            </w:tcBorders>
            <w:shd w:val="clear" w:color="auto" w:fill="E5E5E5"/>
          </w:tcPr>
          <w:p>
            <w:pPr>
              <w:jc w:val="right"/>
              <w:ind w:right="515"/>
              <w:spacing w:after="0"/>
              <w:rPr>
                <w:sz w:val="20"/>
                <w:szCs w:val="20"/>
                <w:color w:val="auto"/>
              </w:rPr>
            </w:pPr>
            <w:r>
              <w:rPr>
                <w:rFonts w:ascii="Arial" w:cs="Arial" w:eastAsia="Arial" w:hAnsi="Arial"/>
                <w:sz w:val="18"/>
                <w:szCs w:val="18"/>
                <w:color w:val="auto"/>
              </w:rPr>
              <w:t xml:space="preserve">* </w:t>
            </w:r>
          </w:p>
        </w:tc>
        <w:tc>
          <w:tcPr>
            <w:tcW w:w="200" w:type="dxa"/>
            <w:vAlign w:val="bottom"/>
          </w:tcPr>
          <w:p>
            <w:pPr>
              <w:spacing w:after="0"/>
              <w:rPr>
                <w:sz w:val="24"/>
                <w:szCs w:val="24"/>
                <w:color w:val="auto"/>
              </w:rPr>
            </w:pPr>
          </w:p>
        </w:tc>
        <w:tc>
          <w:tcPr>
            <w:tcW w:w="800" w:type="dxa"/>
            <w:vAlign w:val="bottom"/>
            <w:tcBorders>
              <w:bottom w:val="single" w:sz="8" w:color="D1DCE4"/>
            </w:tcBorders>
            <w:shd w:val="clear" w:color="auto" w:fill="D1DCE4"/>
          </w:tcPr>
          <w:p>
            <w:pPr>
              <w:jc w:val="center"/>
              <w:ind w:left="111"/>
              <w:spacing w:after="0"/>
              <w:rPr>
                <w:sz w:val="20"/>
                <w:szCs w:val="20"/>
                <w:color w:val="auto"/>
              </w:rPr>
            </w:pPr>
            <w:r>
              <w:rPr>
                <w:rFonts w:ascii="Arial" w:cs="Arial" w:eastAsia="Arial" w:hAnsi="Arial"/>
                <w:sz w:val="18"/>
                <w:szCs w:val="18"/>
                <w:color w:val="auto"/>
                <w:w w:val="74"/>
              </w:rPr>
              <w:t>60+ </w:t>
            </w:r>
          </w:p>
        </w:tc>
        <w:tc>
          <w:tcPr>
            <w:tcW w:w="180" w:type="dxa"/>
            <w:vAlign w:val="bottom"/>
            <w:tcBorders>
              <w:bottom w:val="single" w:sz="8" w:color="D1DCE4"/>
            </w:tcBorders>
            <w:shd w:val="clear" w:color="auto" w:fill="D1DCE4"/>
          </w:tcPr>
          <w:p>
            <w:pPr>
              <w:spacing w:after="0"/>
              <w:rPr>
                <w:sz w:val="20"/>
                <w:szCs w:val="20"/>
                <w:color w:val="auto"/>
              </w:rPr>
            </w:pPr>
            <w:r>
              <w:rPr>
                <w:rFonts w:ascii="Arial" w:cs="Arial" w:eastAsia="Arial" w:hAnsi="Arial"/>
                <w:sz w:val="18"/>
                <w:szCs w:val="18"/>
                <w:color w:val="auto"/>
              </w:rPr>
              <w:t> </w:t>
            </w:r>
          </w:p>
        </w:tc>
        <w:tc>
          <w:tcPr>
            <w:tcW w:w="148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3"/>
                <w:szCs w:val="13"/>
                <w:color w:val="002060"/>
                <w:w w:val="78"/>
              </w:rPr>
              <w:t>6 </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47"/>
        </w:trPr>
        <w:tc>
          <w:tcPr>
            <w:tcW w:w="4040" w:type="dxa"/>
            <w:vAlign w:val="bottom"/>
            <w:shd w:val="clear" w:color="auto" w:fill="D1DCE4"/>
          </w:tcPr>
          <w:p>
            <w:pPr>
              <w:spacing w:after="0"/>
              <w:rPr>
                <w:sz w:val="20"/>
                <w:szCs w:val="20"/>
                <w:color w:val="auto"/>
              </w:rPr>
            </w:pPr>
            <w:r>
              <w:rPr>
                <w:rFonts w:ascii="Arial" w:cs="Arial" w:eastAsia="Arial" w:hAnsi="Arial"/>
                <w:sz w:val="18"/>
                <w:szCs w:val="18"/>
                <w:color w:val="auto"/>
              </w:rPr>
              <w:t>  Two or more</w:t>
            </w:r>
          </w:p>
        </w:tc>
        <w:tc>
          <w:tcPr>
            <w:tcW w:w="1500" w:type="dxa"/>
            <w:vAlign w:val="bottom"/>
            <w:shd w:val="clear" w:color="auto" w:fill="E5E5E5"/>
          </w:tcPr>
          <w:p>
            <w:pPr>
              <w:jc w:val="right"/>
              <w:ind w:right="515"/>
              <w:spacing w:after="0"/>
              <w:rPr>
                <w:sz w:val="20"/>
                <w:szCs w:val="20"/>
                <w:color w:val="auto"/>
              </w:rPr>
            </w:pPr>
            <w:r>
              <w:rPr>
                <w:rFonts w:ascii="Arial" w:cs="Arial" w:eastAsia="Arial" w:hAnsi="Arial"/>
                <w:sz w:val="18"/>
                <w:szCs w:val="18"/>
                <w:color w:val="002060"/>
              </w:rPr>
              <w:t xml:space="preserve">* </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37"/>
        </w:trPr>
        <w:tc>
          <w:tcPr>
            <w:tcW w:w="4040" w:type="dxa"/>
            <w:vAlign w:val="bottom"/>
            <w:shd w:val="clear" w:color="auto" w:fill="D1DCE4"/>
          </w:tcPr>
          <w:p>
            <w:pPr>
              <w:spacing w:after="0"/>
              <w:rPr>
                <w:sz w:val="3"/>
                <w:szCs w:val="3"/>
                <w:color w:val="auto"/>
              </w:rPr>
            </w:pPr>
          </w:p>
        </w:tc>
        <w:tc>
          <w:tcPr>
            <w:tcW w:w="1500" w:type="dxa"/>
            <w:vAlign w:val="bottom"/>
            <w:shd w:val="clear" w:color="auto" w:fill="E5E5E5"/>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50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-179070</wp:posOffset>
            </wp:positionV>
            <wp:extent cx="35147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514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-359410</wp:posOffset>
            </wp:positionV>
            <wp:extent cx="52120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-539115</wp:posOffset>
            </wp:positionV>
            <wp:extent cx="52120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-719455</wp:posOffset>
            </wp:positionV>
            <wp:extent cx="52120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-899795</wp:posOffset>
            </wp:positionV>
            <wp:extent cx="52120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-1079500</wp:posOffset>
            </wp:positionV>
            <wp:extent cx="6995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 Less than 1%</w:t>
      </w:r>
    </w:p>
    <w:p>
      <w:pPr>
        <w:spacing w:after="0" w:line="212"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We have developed a number of initiatives to help attract, develop and retain a diverse workforce, which reduces turnover and training costs, increases productivity, builds a family culture, enhances employee engagement, promotes a safer work environment, encourages customer loyalty and promotes community engagement. We believe that these retention efforts have reduced turnover levels across our installer base to approximately 26% below the industry average, based on statistics reported by the Bureau of Labor Statistics.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0070C0"/>
        </w:rPr>
        <w:t>DEI&amp;B</w:t>
      </w:r>
    </w:p>
    <w:p>
      <w:pPr>
        <w:spacing w:after="0" w:line="205"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Our vision is to build an empathetic organization and to foster a culture that values diversity, inclusion and employee engagement. Our DEI&amp;B initiatives are overseen by the CHC Committee, who reviews and discusses the development of our DEI&amp;B programs at each regular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6995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IBP Proxy Statement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Corporate Responsibility</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34</w:t>
      </w:r>
    </w:p>
    <w:p>
      <w:pPr>
        <w:sectPr>
          <w:pgSz w:w="11900" w:h="16838" w:orient="portrait"/>
          <w:cols w:equalWidth="0" w:num="1">
            <w:col w:w="11020"/>
          </w:cols>
          <w:pgMar w:left="440" w:top="287" w:right="4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Our DEI&amp;B program has four pillars:</w:t>
      </w:r>
    </w:p>
    <w:p>
      <w:pPr>
        <w:spacing w:after="0" w:line="169" w:lineRule="exact"/>
        <w:rPr>
          <w:sz w:val="20"/>
          <w:szCs w:val="20"/>
          <w:color w:val="auto"/>
        </w:rPr>
      </w:pPr>
    </w:p>
    <w:p>
      <w:pPr>
        <w:ind w:left="860" w:hanging="432"/>
        <w:spacing w:after="0"/>
        <w:tabs>
          <w:tab w:leader="none" w:pos="860" w:val="left"/>
        </w:tabs>
        <w:numPr>
          <w:ilvl w:val="0"/>
          <w:numId w:val="17"/>
        </w:numPr>
        <w:rPr>
          <w:rFonts w:ascii="MS PGothic" w:cs="MS PGothic" w:eastAsia="MS PGothic" w:hAnsi="MS PGothic"/>
          <w:sz w:val="29"/>
          <w:szCs w:val="29"/>
          <w:color w:val="002060"/>
          <w:vertAlign w:val="superscript"/>
        </w:rPr>
      </w:pPr>
      <w:r>
        <w:rPr>
          <w:rFonts w:ascii="Arial" w:cs="Arial" w:eastAsia="Arial" w:hAnsi="Arial"/>
          <w:sz w:val="18"/>
          <w:szCs w:val="18"/>
          <w:i w:val="1"/>
          <w:iCs w:val="1"/>
          <w:color w:val="auto"/>
        </w:rPr>
        <w:t>Training and development</w:t>
      </w:r>
      <w:r>
        <w:rPr>
          <w:rFonts w:ascii="Arial" w:cs="Arial" w:eastAsia="Arial" w:hAnsi="Arial"/>
          <w:sz w:val="18"/>
          <w:szCs w:val="18"/>
          <w:color w:val="auto"/>
        </w:rPr>
        <w:t>, including a management development program and language training;</w:t>
      </w:r>
    </w:p>
    <w:p>
      <w:pPr>
        <w:ind w:left="860" w:hanging="432"/>
        <w:spacing w:after="0" w:line="180" w:lineRule="auto"/>
        <w:tabs>
          <w:tab w:leader="none" w:pos="860" w:val="left"/>
        </w:tabs>
        <w:numPr>
          <w:ilvl w:val="0"/>
          <w:numId w:val="17"/>
        </w:numPr>
        <w:rPr>
          <w:rFonts w:ascii="MS PGothic" w:cs="MS PGothic" w:eastAsia="MS PGothic" w:hAnsi="MS PGothic"/>
          <w:sz w:val="27"/>
          <w:szCs w:val="27"/>
          <w:color w:val="002060"/>
          <w:vertAlign w:val="superscript"/>
        </w:rPr>
      </w:pPr>
      <w:r>
        <w:rPr>
          <w:rFonts w:ascii="Arial" w:cs="Arial" w:eastAsia="Arial" w:hAnsi="Arial"/>
          <w:sz w:val="17"/>
          <w:szCs w:val="17"/>
          <w:i w:val="1"/>
          <w:iCs w:val="1"/>
          <w:color w:val="auto"/>
        </w:rPr>
        <w:t>Employee well-being</w:t>
      </w:r>
      <w:r>
        <w:rPr>
          <w:rFonts w:ascii="Arial" w:cs="Arial" w:eastAsia="Arial" w:hAnsi="Arial"/>
          <w:sz w:val="17"/>
          <w:szCs w:val="17"/>
          <w:color w:val="auto"/>
        </w:rPr>
        <w:t>, including our Positive Production Program and partnering with Care.com;</w:t>
      </w:r>
    </w:p>
    <w:p>
      <w:pPr>
        <w:ind w:left="860" w:right="620" w:hanging="432"/>
        <w:spacing w:after="0" w:line="195" w:lineRule="auto"/>
        <w:tabs>
          <w:tab w:leader="none" w:pos="860" w:val="left"/>
        </w:tabs>
        <w:numPr>
          <w:ilvl w:val="0"/>
          <w:numId w:val="17"/>
        </w:numPr>
        <w:rPr>
          <w:rFonts w:ascii="MS PGothic" w:cs="MS PGothic" w:eastAsia="MS PGothic" w:hAnsi="MS PGothic"/>
          <w:sz w:val="29"/>
          <w:szCs w:val="29"/>
          <w:color w:val="002060"/>
          <w:vertAlign w:val="superscript"/>
        </w:rPr>
      </w:pPr>
      <w:r>
        <w:rPr>
          <w:rFonts w:ascii="Arial" w:cs="Arial" w:eastAsia="Arial" w:hAnsi="Arial"/>
          <w:sz w:val="18"/>
          <w:szCs w:val="18"/>
          <w:i w:val="1"/>
          <w:iCs w:val="1"/>
          <w:color w:val="auto"/>
        </w:rPr>
        <w:t>Philanthropy and community engagement</w:t>
      </w:r>
      <w:r>
        <w:rPr>
          <w:rFonts w:ascii="Arial" w:cs="Arial" w:eastAsia="Arial" w:hAnsi="Arial"/>
          <w:sz w:val="18"/>
          <w:szCs w:val="18"/>
          <w:color w:val="auto"/>
        </w:rPr>
        <w:t>, including regionalized DEI&amp;B committees and development of DEI&amp;B-related</w:t>
      </w:r>
      <w:r>
        <w:rPr>
          <w:rFonts w:ascii="Arial" w:cs="Arial" w:eastAsia="Arial" w:hAnsi="Arial"/>
          <w:sz w:val="18"/>
          <w:szCs w:val="18"/>
          <w:i w:val="1"/>
          <w:iCs w:val="1"/>
          <w:color w:val="auto"/>
        </w:rPr>
        <w:t xml:space="preserve"> </w:t>
      </w:r>
      <w:r>
        <w:rPr>
          <w:rFonts w:ascii="Arial" w:cs="Arial" w:eastAsia="Arial" w:hAnsi="Arial"/>
          <w:sz w:val="18"/>
          <w:szCs w:val="18"/>
          <w:color w:val="auto"/>
        </w:rPr>
        <w:t>metrics for grantmaking and volunteerism; and</w:t>
      </w:r>
    </w:p>
    <w:p>
      <w:pPr>
        <w:spacing w:after="0" w:line="1" w:lineRule="exact"/>
        <w:rPr>
          <w:rFonts w:ascii="MS PGothic" w:cs="MS PGothic" w:eastAsia="MS PGothic" w:hAnsi="MS PGothic"/>
          <w:sz w:val="29"/>
          <w:szCs w:val="29"/>
          <w:color w:val="002060"/>
          <w:vertAlign w:val="superscript"/>
        </w:rPr>
      </w:pPr>
    </w:p>
    <w:p>
      <w:pPr>
        <w:ind w:left="860" w:right="80" w:hanging="432"/>
        <w:spacing w:after="0" w:line="204" w:lineRule="auto"/>
        <w:tabs>
          <w:tab w:leader="none" w:pos="860" w:val="left"/>
        </w:tabs>
        <w:numPr>
          <w:ilvl w:val="0"/>
          <w:numId w:val="17"/>
        </w:numPr>
        <w:rPr>
          <w:rFonts w:ascii="MS PGothic" w:cs="MS PGothic" w:eastAsia="MS PGothic" w:hAnsi="MS PGothic"/>
          <w:sz w:val="29"/>
          <w:szCs w:val="29"/>
          <w:color w:val="002060"/>
          <w:vertAlign w:val="superscript"/>
        </w:rPr>
      </w:pPr>
      <w:r>
        <w:rPr>
          <w:rFonts w:ascii="Arial" w:cs="Arial" w:eastAsia="Arial" w:hAnsi="Arial"/>
          <w:sz w:val="18"/>
          <w:szCs w:val="18"/>
          <w:i w:val="1"/>
          <w:iCs w:val="1"/>
          <w:color w:val="auto"/>
        </w:rPr>
        <w:t>Workforce and leadership diversity</w:t>
      </w:r>
      <w:r>
        <w:rPr>
          <w:rFonts w:ascii="Arial" w:cs="Arial" w:eastAsia="Arial" w:hAnsi="Arial"/>
          <w:sz w:val="18"/>
          <w:szCs w:val="18"/>
          <w:color w:val="auto"/>
        </w:rPr>
        <w:t>, including diversity recruiting by using inclusive language, unbiased screening methods and</w:t>
      </w:r>
      <w:r>
        <w:rPr>
          <w:rFonts w:ascii="Arial" w:cs="Arial" w:eastAsia="Arial" w:hAnsi="Arial"/>
          <w:sz w:val="18"/>
          <w:szCs w:val="18"/>
          <w:i w:val="1"/>
          <w:iCs w:val="1"/>
          <w:color w:val="auto"/>
        </w:rPr>
        <w:t xml:space="preserve"> </w:t>
      </w:r>
      <w:r>
        <w:rPr>
          <w:rFonts w:ascii="Arial" w:cs="Arial" w:eastAsia="Arial" w:hAnsi="Arial"/>
          <w:sz w:val="18"/>
          <w:szCs w:val="18"/>
          <w:color w:val="auto"/>
        </w:rPr>
        <w:t>local partnerships.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current DEI&amp;B initiatives include:</w:t>
      </w:r>
    </w:p>
    <w:p>
      <w:pPr>
        <w:spacing w:after="0" w:line="239" w:lineRule="exact"/>
        <w:rPr>
          <w:sz w:val="20"/>
          <w:szCs w:val="20"/>
          <w:color w:val="auto"/>
        </w:rPr>
      </w:pPr>
    </w:p>
    <w:p>
      <w:pPr>
        <w:ind w:left="860" w:right="420" w:hanging="432"/>
        <w:spacing w:after="0" w:line="204" w:lineRule="auto"/>
        <w:tabs>
          <w:tab w:leader="none" w:pos="860" w:val="left"/>
        </w:tabs>
        <w:numPr>
          <w:ilvl w:val="0"/>
          <w:numId w:val="18"/>
        </w:numPr>
        <w:rPr>
          <w:rFonts w:ascii="MS PGothic" w:cs="MS PGothic" w:eastAsia="MS PGothic" w:hAnsi="MS PGothic"/>
          <w:sz w:val="29"/>
          <w:szCs w:val="29"/>
          <w:color w:val="002060"/>
          <w:vertAlign w:val="superscript"/>
        </w:rPr>
      </w:pPr>
      <w:r>
        <w:rPr>
          <w:rFonts w:ascii="Arial" w:cs="Arial" w:eastAsia="Arial" w:hAnsi="Arial"/>
          <w:sz w:val="18"/>
          <w:szCs w:val="18"/>
          <w:color w:val="auto"/>
        </w:rPr>
        <w:t>Management training programs to address minority representation in management and sales positions and gender income equality;</w:t>
      </w:r>
    </w:p>
    <w:p>
      <w:pPr>
        <w:ind w:left="860" w:hanging="432"/>
        <w:spacing w:after="0" w:line="180" w:lineRule="auto"/>
        <w:tabs>
          <w:tab w:leader="none" w:pos="860" w:val="left"/>
        </w:tabs>
        <w:numPr>
          <w:ilvl w:val="0"/>
          <w:numId w:val="18"/>
        </w:numPr>
        <w:rPr>
          <w:rFonts w:ascii="MS PGothic" w:cs="MS PGothic" w:eastAsia="MS PGothic" w:hAnsi="MS PGothic"/>
          <w:sz w:val="27"/>
          <w:szCs w:val="27"/>
          <w:color w:val="002060"/>
          <w:vertAlign w:val="superscript"/>
        </w:rPr>
      </w:pPr>
      <w:r>
        <w:rPr>
          <w:rFonts w:ascii="Arial" w:cs="Arial" w:eastAsia="Arial" w:hAnsi="Arial"/>
          <w:sz w:val="17"/>
          <w:szCs w:val="17"/>
          <w:color w:val="auto"/>
        </w:rPr>
        <w:t>Building a diverse hiring pipeline;</w:t>
      </w:r>
    </w:p>
    <w:p>
      <w:pPr>
        <w:ind w:left="860" w:hanging="432"/>
        <w:spacing w:after="0" w:line="180" w:lineRule="auto"/>
        <w:tabs>
          <w:tab w:leader="none" w:pos="860" w:val="left"/>
        </w:tabs>
        <w:numPr>
          <w:ilvl w:val="0"/>
          <w:numId w:val="18"/>
        </w:numPr>
        <w:rPr>
          <w:rFonts w:ascii="MS PGothic" w:cs="MS PGothic" w:eastAsia="MS PGothic" w:hAnsi="MS PGothic"/>
          <w:sz w:val="27"/>
          <w:szCs w:val="27"/>
          <w:color w:val="002060"/>
          <w:vertAlign w:val="superscript"/>
        </w:rPr>
      </w:pPr>
      <w:r>
        <w:rPr>
          <w:rFonts w:ascii="Arial" w:cs="Arial" w:eastAsia="Arial" w:hAnsi="Arial"/>
          <w:sz w:val="17"/>
          <w:szCs w:val="17"/>
          <w:color w:val="auto"/>
        </w:rPr>
        <w:t>Conducting employee focus groups to understand diversity needs and perceptions throughout the Company;</w:t>
      </w:r>
    </w:p>
    <w:p>
      <w:pPr>
        <w:ind w:left="860" w:hanging="432"/>
        <w:spacing w:after="0" w:line="180" w:lineRule="auto"/>
        <w:tabs>
          <w:tab w:leader="none" w:pos="860" w:val="left"/>
        </w:tabs>
        <w:numPr>
          <w:ilvl w:val="0"/>
          <w:numId w:val="18"/>
        </w:numPr>
        <w:rPr>
          <w:rFonts w:ascii="MS PGothic" w:cs="MS PGothic" w:eastAsia="MS PGothic" w:hAnsi="MS PGothic"/>
          <w:sz w:val="27"/>
          <w:szCs w:val="27"/>
          <w:color w:val="002060"/>
          <w:vertAlign w:val="superscript"/>
        </w:rPr>
      </w:pPr>
      <w:r>
        <w:rPr>
          <w:rFonts w:ascii="Arial" w:cs="Arial" w:eastAsia="Arial" w:hAnsi="Arial"/>
          <w:sz w:val="17"/>
          <w:szCs w:val="17"/>
          <w:color w:val="auto"/>
        </w:rPr>
        <w:t>Broadcasting our Positive Production Program videos to educate and encourage inclusion; and</w:t>
      </w:r>
    </w:p>
    <w:p>
      <w:pPr>
        <w:ind w:left="860" w:hanging="432"/>
        <w:spacing w:after="0" w:line="182" w:lineRule="auto"/>
        <w:tabs>
          <w:tab w:leader="none" w:pos="860" w:val="left"/>
        </w:tabs>
        <w:numPr>
          <w:ilvl w:val="0"/>
          <w:numId w:val="18"/>
        </w:numPr>
        <w:rPr>
          <w:rFonts w:ascii="MS PGothic" w:cs="MS PGothic" w:eastAsia="MS PGothic" w:hAnsi="MS PGothic"/>
          <w:sz w:val="29"/>
          <w:szCs w:val="29"/>
          <w:color w:val="002060"/>
          <w:vertAlign w:val="superscript"/>
        </w:rPr>
      </w:pPr>
      <w:r>
        <w:rPr>
          <w:rFonts w:ascii="Arial" w:cs="Arial" w:eastAsia="Arial" w:hAnsi="Arial"/>
          <w:sz w:val="18"/>
          <w:szCs w:val="18"/>
          <w:color w:val="auto"/>
        </w:rPr>
        <w:t>Offering both English and Spanish as a Second Language classes to remove communication hurdles among our workforce.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0070C0"/>
        </w:rPr>
        <w:t>Benefits</w:t>
      </w:r>
    </w:p>
    <w:p>
      <w:pPr>
        <w:spacing w:after="0" w:line="212" w:lineRule="exact"/>
        <w:rPr>
          <w:sz w:val="20"/>
          <w:szCs w:val="20"/>
          <w:color w:val="auto"/>
        </w:rPr>
      </w:pPr>
    </w:p>
    <w:p>
      <w:pPr>
        <w:ind w:right="420"/>
        <w:spacing w:after="0" w:line="247" w:lineRule="auto"/>
        <w:rPr>
          <w:sz w:val="20"/>
          <w:szCs w:val="20"/>
          <w:color w:val="auto"/>
        </w:rPr>
      </w:pPr>
      <w:r>
        <w:rPr>
          <w:rFonts w:ascii="Arial" w:cs="Arial" w:eastAsia="Arial" w:hAnsi="Arial"/>
          <w:sz w:val="18"/>
          <w:szCs w:val="18"/>
          <w:color w:val="auto"/>
        </w:rPr>
        <w:t>Offering competitive pay and benefits helps us attract and retain talented employees. We offer a full range of benefits to qualifying employees, including medical, dental and vision insurance, prescription drug coverage, flexible spending accounts, 401(k) retirement programs with matching contributions, paid vacations and holidays, short- and long-term disability insurance, life insurance and group accident and critical illness insurance.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0070C0"/>
        </w:rPr>
        <w:t>Safety</w:t>
      </w:r>
    </w:p>
    <w:p>
      <w:pPr>
        <w:spacing w:after="0" w:line="212"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Employee safety is a core business objective. Our installers engage in physically strenuous, and, at times, hazardous work. We have detailed safety policies and each year significant staffing, funding and resources are allocated to safety and risk management. We have strong workplace safety measures that we call Lead with Safety, a continuing education program focused on creating a safer working environment for our employees and other jobsite personnel through year-round education and training. We have regional safety managers who are OSHA 500 certified outreach trainers who conduct intensive courses on OSHA safety training.</w:t>
      </w:r>
    </w:p>
    <w:p>
      <w:pPr>
        <w:spacing w:after="0" w:line="176"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We track all incidents that occur on our job sites that could result in injury, including minor incidents that may not require first aid or medical treatment. We use this information to refine our safety training programs. We believe our safety programs are having a positive impact. Our OSHA-defined incident rate per 100 employees was 5.61 for 2023, which was below our five year average of 6.32. We had a 14% decrease in severe incidents from 2022 to 2023 with seven severe incidents in 2023. We have had no fatalities in the past three years.</w:t>
      </w:r>
    </w:p>
    <w:p>
      <w:pPr>
        <w:spacing w:after="0" w:line="15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safety programs include drugs and alcohol, confined space, fall protection, hazardous chemicals communication, respiratory protection, hand and portable power tools, personal protection, carbon monoxide, drywall storage safety, driver safety and fleet safety. Each installer receives initial safety training upon hire and may receive specialty training depending upon duties. Safety training continues with weekly toolbox talks, quarterly safety initiatives, annual refresher training and safety excellence awards. Our safety program employs more than 35 training videos, including ladder and scaffold safety, electrical safety and forklift safety. Our spray polyurethane foam protocol includes trucks and equipment, storage and disposal, sales and installer training, preventative maintenance and technical support and quality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6995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IBP Proxy Statement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Corporate Responsibility</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35</w:t>
      </w:r>
    </w:p>
    <w:p>
      <w:pPr>
        <w:sectPr>
          <w:pgSz w:w="11900" w:h="16838" w:orient="portrait"/>
          <w:cols w:equalWidth="0" w:num="1">
            <w:col w:w="11020"/>
          </w:cols>
          <w:pgMar w:left="440" w:top="296" w:right="4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0070C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Financial Wellness Program</w:t>
      </w:r>
    </w:p>
    <w:p>
      <w:pPr>
        <w:spacing w:after="0" w:line="212" w:lineRule="exact"/>
        <w:rPr>
          <w:sz w:val="20"/>
          <w:szCs w:val="20"/>
          <w:color w:val="auto"/>
        </w:rPr>
      </w:pPr>
    </w:p>
    <w:p>
      <w:pPr>
        <w:ind w:right="220"/>
        <w:spacing w:after="0" w:line="254" w:lineRule="auto"/>
        <w:rPr>
          <w:sz w:val="20"/>
          <w:szCs w:val="20"/>
          <w:color w:val="auto"/>
        </w:rPr>
      </w:pPr>
      <w:r>
        <w:rPr>
          <w:rFonts w:ascii="Arial" w:cs="Arial" w:eastAsia="Arial" w:hAnsi="Arial"/>
          <w:sz w:val="17"/>
          <w:szCs w:val="17"/>
          <w:color w:val="auto"/>
        </w:rPr>
        <w:t>We offer a financial wellness education program to our employees to increase education and encourage responsible personal financial decision-making. The program educates participants on key personal financial topics, including budgeting, credit scores, debt reduction, saving and giving back to the community. One of the key components of this program is encouraging employees to establish personal savings accounts, which the Company matches dollar for dollar up to $1,000. Since inception of the program, we have matched over</w:t>
      </w:r>
    </w:p>
    <w:p>
      <w:pPr>
        <w:ind w:right="80"/>
        <w:spacing w:after="0" w:line="250" w:lineRule="auto"/>
        <w:rPr>
          <w:sz w:val="20"/>
          <w:szCs w:val="20"/>
          <w:color w:val="auto"/>
        </w:rPr>
      </w:pPr>
      <w:r>
        <w:rPr>
          <w:rFonts w:ascii="Arial" w:cs="Arial" w:eastAsia="Arial" w:hAnsi="Arial"/>
          <w:sz w:val="18"/>
          <w:szCs w:val="18"/>
          <w:color w:val="auto"/>
        </w:rPr>
        <w:t>$6 million in employee personal savings. We believe this valuable program not only helps address employee retention, but represents the right thing to do in order to help educate and inform our employees about their financial position and security.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0070C0"/>
        </w:rPr>
        <w:t>Longevity Awards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Our longevity award program rewards employees who do not otherwise receive awards under another Company stock program for their long-time dedicated service to the Company. Eligible employees are awarded grants of restricted stock units for each ten years of continuous service to the Company, including service for companies that we acquire. Provided the Company meets a revenue target established in advance by the CHC Committee, employees are awarded restricted stock units based on a percentage of wages that convert one year later into shares of our common stock (for 2023 awards, the target was approximately $2.7 billion trailing 12-month revenue from July 1, 2022 to June 30, 2023). Through December 31, 2023, we have awarded approximately 156,000 restricted stock units to approximately 1,718 employees with tenures ranging from 10 to 48 years. We believe the program rewards employees for valued service, assists in retention of our highly valued long-term employees and results in a highly motivated and engaged workforce.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0070C0"/>
        </w:rPr>
        <w:t>Positive Production Program</w:t>
      </w:r>
    </w:p>
    <w:p>
      <w:pPr>
        <w:spacing w:after="0" w:line="21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Positive Production Program is a custom well-being program developed for our employees to provide personal development learning opportunities. The goals of the program are:</w:t>
      </w:r>
    </w:p>
    <w:p>
      <w:pPr>
        <w:spacing w:after="0" w:line="111" w:lineRule="exact"/>
        <w:rPr>
          <w:sz w:val="20"/>
          <w:szCs w:val="20"/>
          <w:color w:val="auto"/>
        </w:rPr>
      </w:pPr>
    </w:p>
    <w:p>
      <w:pPr>
        <w:ind w:left="860" w:hanging="432"/>
        <w:spacing w:after="0"/>
        <w:tabs>
          <w:tab w:leader="none" w:pos="860" w:val="left"/>
        </w:tabs>
        <w:numPr>
          <w:ilvl w:val="0"/>
          <w:numId w:val="19"/>
        </w:numPr>
        <w:rPr>
          <w:rFonts w:ascii="MS PGothic" w:cs="MS PGothic" w:eastAsia="MS PGothic" w:hAnsi="MS PGothic"/>
          <w:sz w:val="29"/>
          <w:szCs w:val="29"/>
          <w:color w:val="002060"/>
          <w:vertAlign w:val="superscript"/>
        </w:rPr>
      </w:pPr>
      <w:r>
        <w:rPr>
          <w:rFonts w:ascii="Arial" w:cs="Arial" w:eastAsia="Arial" w:hAnsi="Arial"/>
          <w:sz w:val="18"/>
          <w:szCs w:val="18"/>
          <w:color w:val="auto"/>
        </w:rPr>
        <w:t>To provide opportunities to build strong relationships among employees and connect with one another</w:t>
      </w:r>
    </w:p>
    <w:p>
      <w:pPr>
        <w:ind w:left="860" w:hanging="432"/>
        <w:spacing w:after="0" w:line="180" w:lineRule="auto"/>
        <w:tabs>
          <w:tab w:leader="none" w:pos="860" w:val="left"/>
        </w:tabs>
        <w:numPr>
          <w:ilvl w:val="0"/>
          <w:numId w:val="19"/>
        </w:numPr>
        <w:rPr>
          <w:rFonts w:ascii="MS PGothic" w:cs="MS PGothic" w:eastAsia="MS PGothic" w:hAnsi="MS PGothic"/>
          <w:sz w:val="27"/>
          <w:szCs w:val="27"/>
          <w:color w:val="002060"/>
          <w:vertAlign w:val="superscript"/>
        </w:rPr>
      </w:pPr>
      <w:r>
        <w:rPr>
          <w:rFonts w:ascii="Arial" w:cs="Arial" w:eastAsia="Arial" w:hAnsi="Arial"/>
          <w:sz w:val="17"/>
          <w:szCs w:val="17"/>
          <w:color w:val="auto"/>
        </w:rPr>
        <w:t>To build strong teams and work environments with engaged employees</w:t>
      </w:r>
    </w:p>
    <w:p>
      <w:pPr>
        <w:ind w:left="860" w:hanging="432"/>
        <w:spacing w:after="0" w:line="180" w:lineRule="auto"/>
        <w:tabs>
          <w:tab w:leader="none" w:pos="860" w:val="left"/>
        </w:tabs>
        <w:numPr>
          <w:ilvl w:val="0"/>
          <w:numId w:val="19"/>
        </w:numPr>
        <w:rPr>
          <w:rFonts w:ascii="MS PGothic" w:cs="MS PGothic" w:eastAsia="MS PGothic" w:hAnsi="MS PGothic"/>
          <w:sz w:val="27"/>
          <w:szCs w:val="27"/>
          <w:color w:val="002060"/>
          <w:vertAlign w:val="superscript"/>
        </w:rPr>
      </w:pPr>
      <w:r>
        <w:rPr>
          <w:rFonts w:ascii="Arial" w:cs="Arial" w:eastAsia="Arial" w:hAnsi="Arial"/>
          <w:sz w:val="17"/>
          <w:szCs w:val="17"/>
          <w:color w:val="auto"/>
        </w:rPr>
        <w:t>To provide opportunities for employees to learn and grow</w:t>
      </w:r>
    </w:p>
    <w:p>
      <w:pPr>
        <w:ind w:left="860" w:hanging="432"/>
        <w:spacing w:after="0" w:line="182" w:lineRule="auto"/>
        <w:tabs>
          <w:tab w:leader="none" w:pos="860" w:val="left"/>
        </w:tabs>
        <w:numPr>
          <w:ilvl w:val="0"/>
          <w:numId w:val="19"/>
        </w:numPr>
        <w:rPr>
          <w:rFonts w:ascii="MS PGothic" w:cs="MS PGothic" w:eastAsia="MS PGothic" w:hAnsi="MS PGothic"/>
          <w:sz w:val="29"/>
          <w:szCs w:val="29"/>
          <w:color w:val="002060"/>
          <w:vertAlign w:val="superscript"/>
        </w:rPr>
      </w:pPr>
      <w:r>
        <w:rPr>
          <w:rFonts w:ascii="Arial" w:cs="Arial" w:eastAsia="Arial" w:hAnsi="Arial"/>
          <w:sz w:val="18"/>
          <w:szCs w:val="18"/>
          <w:color w:val="auto"/>
        </w:rPr>
        <w:t>To improve employee well-being by building awareness and sharing best practices</w:t>
      </w:r>
    </w:p>
    <w:p>
      <w:pPr>
        <w:spacing w:after="0" w:line="18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The elements of the Positive Production Program include 43 in-house produced videos, which are emailed or texted to all employees on a bi-weekly basis and streamed on screens at each branch location and are designed to help employees thrive in all aspects of life through learning physical, intellectual and emotional skills. Through the Positive Production Program, we hope to assist our employees in developing growth mindset, emotional intelligence and gratitude that can have a lasting impact on well-being.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114935</wp:posOffset>
            </wp:positionV>
            <wp:extent cx="6995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70C0"/>
        </w:rPr>
        <w:t>IBP Proxy Statement</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70C0"/>
        </w:rPr>
        <w:t>Corporate Responsibility</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70C0"/>
        </w:rPr>
        <w:t>36</w:t>
      </w:r>
    </w:p>
    <w:p>
      <w:pPr>
        <w:sectPr>
          <w:pgSz w:w="11900" w:h="16838" w:orient="portrait"/>
          <w:cols w:equalWidth="0" w:num="1">
            <w:col w:w="11000"/>
          </w:cols>
          <w:pgMar w:left="440" w:top="296" w:right="459" w:bottom="1440" w:gutter="0" w:footer="0" w:header="0"/>
        </w:sectPr>
      </w:pPr>
    </w:p>
    <w:bookmarkStart w:id="44" w:name="page45"/>
    <w:bookmarkEnd w:id="44"/>
    <w:p>
      <w:pPr>
        <w:spacing w:after="0"/>
        <w:rPr>
          <w:sz w:val="20"/>
          <w:szCs w:val="20"/>
          <w:color w:val="auto"/>
        </w:rPr>
      </w:pPr>
      <w:r>
        <w:rPr>
          <w:rFonts w:ascii="Arial" w:cs="Arial" w:eastAsia="Arial" w:hAnsi="Arial"/>
          <w:sz w:val="22"/>
          <w:szCs w:val="22"/>
          <w:b w:val="1"/>
          <w:bCs w:val="1"/>
          <w:color w:val="00206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Elevating our Neighborhoods</w:t>
      </w: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0070C0"/>
        </w:rPr>
        <w:t>Volunteerism</w:t>
      </w:r>
    </w:p>
    <w:p>
      <w:pPr>
        <w:spacing w:after="0" w:line="20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branches serve communities nationwide and we are committed to investing in the communities where our employees live and work. We have numerous community engagement programs and encourage our employees to volunteer at nonprofit organizations in their local communities. Our employees contribute their time, passion and money to a wide variety of philanthropic organizations and we are proud to partner with them in their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250825</wp:posOffset>
            </wp:positionV>
            <wp:extent cx="6591935" cy="42862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591935" cy="428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20"/>
        <w:spacing w:after="0"/>
        <w:tabs>
          <w:tab w:leader="none" w:pos="3380" w:val="left"/>
          <w:tab w:leader="none" w:pos="3600" w:val="left"/>
          <w:tab w:leader="none" w:pos="3820" w:val="left"/>
          <w:tab w:leader="none" w:pos="4040" w:val="left"/>
          <w:tab w:leader="none" w:pos="4260" w:val="left"/>
        </w:tabs>
        <w:rPr>
          <w:sz w:val="20"/>
          <w:szCs w:val="20"/>
          <w:color w:val="auto"/>
        </w:rPr>
      </w:pPr>
      <w:r>
        <w:rPr>
          <w:sz w:val="1"/>
          <w:szCs w:val="1"/>
          <w:color w:val="auto"/>
        </w:rPr>
        <w:drawing>
          <wp:inline distT="0" distB="0" distL="0" distR="0">
            <wp:extent cx="1474470" cy="196342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74470" cy="196342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w:t>
        <w:tab/>
        <w:t> </w:t>
        <w:tab/>
        <w:t> </w:t>
        <w:tab/>
        <w:t> </w:t>
        <w:tab/>
        <w:t> </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235585</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00"/>
          </w:cols>
          <w:pgMar w:left="440" w:top="287" w:right="45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spacing w:after="0" w:line="243" w:lineRule="auto"/>
        <w:rPr>
          <w:sz w:val="20"/>
          <w:szCs w:val="20"/>
          <w:color w:val="auto"/>
        </w:rPr>
      </w:pPr>
      <w:r>
        <w:rPr>
          <w:rFonts w:ascii="Arial" w:cs="Arial" w:eastAsia="Arial" w:hAnsi="Arial"/>
          <w:sz w:val="18"/>
          <w:szCs w:val="18"/>
          <w:i w:val="1"/>
          <w:iCs w:val="1"/>
          <w:color w:val="002060"/>
        </w:rPr>
        <w:t>In August 2023 our employees spent the day at SproutFive, an early childhood education center in Columbus, Ohio, helping with classroom preparation for the upcoming school year. SproutFive ensures every family has access to high-quality early childhood education regardless of income or family status.</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i w:val="1"/>
          <w:iCs w:val="1"/>
          <w:color w:val="002060"/>
        </w:rPr>
        <w:t>In 2023, our employees volunteered with the Ronald McDonald House Charities of Central Ohio. In the spring our employees prepared lunch for families staying at Ronald McDonald House while a loved one received treatment at nearby Nationwide Children’s Hospital. In the fall, a group of employees built furniture for the Ronald McDonald House’s new 80-room expansion, partially funded by our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213360</wp:posOffset>
            </wp:positionV>
            <wp:extent cx="6995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460"/>
            <w:col w:w="5380"/>
          </w:cols>
          <w:pgMar w:left="440" w:top="287" w:right="459" w:bottom="1440" w:gutter="0" w:footer="0" w:header="0"/>
          <w:type w:val="continuous"/>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IBP Proxy Statement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7"/>
          <w:szCs w:val="17"/>
          <w:color w:val="0070C0"/>
        </w:rPr>
        <w:t>Corporate Responsibility</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37</w:t>
      </w:r>
    </w:p>
    <w:p>
      <w:pPr>
        <w:sectPr>
          <w:pgSz w:w="11900" w:h="16838" w:orient="portrait"/>
          <w:cols w:equalWidth="0" w:num="1">
            <w:col w:w="11000"/>
          </w:cols>
          <w:pgMar w:left="440" w:top="287" w:right="45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20"/>
          <w:szCs w:val="20"/>
          <w:color w:val="0070C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Installed Building Products Foundation</w:t>
      </w:r>
    </w:p>
    <w:p>
      <w:pPr>
        <w:spacing w:after="0" w:line="205"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In 2019, we established the Installed Building Products Foundation (“Foundation”) in partnership with the Columbus Foundation, a local non-profit community foundation. The Foundation Advisory Board consists of non-executive employees representing all of our geographic regions in a wide range of job categories. The Foundation is overseen by the CHC Committee. The Foundation sponsors four programs focusing on education, community giving, employee financial assistance and housing. Dollar amounts in the table below are approximate and from inception of the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140970</wp:posOffset>
            </wp:positionV>
            <wp:extent cx="7007860" cy="36518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007860" cy="3651885"/>
                    </a:xfrm>
                    <a:prstGeom prst="rect">
                      <a:avLst/>
                    </a:prstGeom>
                    <a:noFill/>
                  </pic:spPr>
                </pic:pic>
              </a:graphicData>
            </a:graphic>
          </wp:anchor>
        </w:drawing>
      </w:r>
    </w:p>
    <w:p>
      <w:pPr>
        <w:sectPr>
          <w:pgSz w:w="11900" w:h="16838" w:orient="portrait"/>
          <w:cols w:equalWidth="0" w:num="1">
            <w:col w:w="11000"/>
          </w:cols>
          <w:pgMar w:left="440" w:top="293" w:right="459" w:bottom="1440" w:gutter="0" w:footer="0" w:header="0"/>
        </w:sectPr>
      </w:pPr>
    </w:p>
    <w:p>
      <w:pPr>
        <w:spacing w:after="0" w:line="325" w:lineRule="exact"/>
        <w:rPr>
          <w:sz w:val="20"/>
          <w:szCs w:val="20"/>
          <w:color w:val="auto"/>
        </w:rPr>
      </w:pPr>
    </w:p>
    <w:p>
      <w:pPr>
        <w:ind w:left="220"/>
        <w:spacing w:after="0"/>
        <w:tabs>
          <w:tab w:leader="none" w:pos="1760" w:val="left"/>
        </w:tabs>
        <w:rPr>
          <w:sz w:val="20"/>
          <w:szCs w:val="20"/>
          <w:color w:val="auto"/>
        </w:rPr>
      </w:pPr>
      <w:r>
        <w:rPr>
          <w:rFonts w:ascii="Arial" w:cs="Arial" w:eastAsia="Arial" w:hAnsi="Arial"/>
          <w:sz w:val="18"/>
          <w:szCs w:val="18"/>
          <w:b w:val="1"/>
          <w:bCs w:val="1"/>
          <w:i w:val="1"/>
          <w:iCs w:val="1"/>
          <w:color w:val="002060"/>
        </w:rPr>
        <w:t>Scholarship</w:t>
      </w:r>
      <w:r>
        <w:rPr>
          <w:sz w:val="20"/>
          <w:szCs w:val="20"/>
          <w:color w:val="auto"/>
        </w:rPr>
        <w:tab/>
      </w:r>
      <w:r>
        <w:rPr>
          <w:rFonts w:ascii="Arial" w:cs="Arial" w:eastAsia="Arial" w:hAnsi="Arial"/>
          <w:sz w:val="18"/>
          <w:szCs w:val="18"/>
          <w:color w:val="auto"/>
        </w:rPr>
        <w:t>The Building for Tomorrow Scholarship Program awards renewable scholarships of up to</w:t>
      </w:r>
    </w:p>
    <w:p>
      <w:pPr>
        <w:spacing w:after="0" w:line="9" w:lineRule="exact"/>
        <w:rPr>
          <w:sz w:val="20"/>
          <w:szCs w:val="20"/>
          <w:color w:val="auto"/>
        </w:rPr>
      </w:pPr>
    </w:p>
    <w:p>
      <w:pPr>
        <w:ind w:left="220"/>
        <w:spacing w:after="0"/>
        <w:tabs>
          <w:tab w:leader="none" w:pos="1760" w:val="left"/>
        </w:tabs>
        <w:rPr>
          <w:sz w:val="20"/>
          <w:szCs w:val="20"/>
          <w:color w:val="auto"/>
        </w:rPr>
      </w:pPr>
      <w:r>
        <w:rPr>
          <w:rFonts w:ascii="Arial" w:cs="Arial" w:eastAsia="Arial" w:hAnsi="Arial"/>
          <w:sz w:val="18"/>
          <w:szCs w:val="18"/>
          <w:b w:val="1"/>
          <w:bCs w:val="1"/>
          <w:i w:val="1"/>
          <w:iCs w:val="1"/>
          <w:color w:val="002060"/>
        </w:rPr>
        <w:t>Program</w:t>
      </w:r>
      <w:r>
        <w:rPr>
          <w:sz w:val="20"/>
          <w:szCs w:val="20"/>
          <w:color w:val="auto"/>
        </w:rPr>
        <w:tab/>
      </w:r>
      <w:r>
        <w:rPr>
          <w:rFonts w:ascii="Arial" w:cs="Arial" w:eastAsia="Arial" w:hAnsi="Arial"/>
          <w:sz w:val="18"/>
          <w:szCs w:val="18"/>
          <w:color w:val="auto"/>
        </w:rPr>
        <w:t>$5,000 to employees and their dependents attending accredited vocational or trade schools</w:t>
      </w:r>
    </w:p>
    <w:p>
      <w:pPr>
        <w:ind w:left="1780"/>
        <w:spacing w:after="0" w:line="234" w:lineRule="auto"/>
        <w:rPr>
          <w:sz w:val="20"/>
          <w:szCs w:val="20"/>
          <w:color w:val="auto"/>
        </w:rPr>
      </w:pPr>
      <w:r>
        <w:rPr>
          <w:rFonts w:ascii="Arial" w:cs="Arial" w:eastAsia="Arial" w:hAnsi="Arial"/>
          <w:sz w:val="18"/>
          <w:szCs w:val="18"/>
          <w:color w:val="auto"/>
        </w:rPr>
        <w:t>and universities or colleges. Selection criteria include academic performance, financial need</w:t>
      </w:r>
    </w:p>
    <w:p>
      <w:pPr>
        <w:spacing w:after="0" w:line="1"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 xml:space="preserve">and character reference letters. Preference is given to construction-related fields of study. We </w:t>
      </w:r>
      <w:r>
        <w:rPr>
          <w:sz w:val="1"/>
          <w:szCs w:val="1"/>
          <w:color w:val="auto"/>
        </w:rPr>
        <w:drawing>
          <wp:inline distT="0" distB="0" distL="0" distR="0">
            <wp:extent cx="162560" cy="3429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62560" cy="34290"/>
                    </a:xfrm>
                    <a:prstGeom prst="rect">
                      <a:avLst/>
                    </a:prstGeom>
                    <a:noFill/>
                    <a:ln>
                      <a:noFill/>
                    </a:ln>
                  </pic:spPr>
                </pic:pic>
              </a:graphicData>
            </a:graphic>
          </wp:inline>
        </w:drawing>
      </w:r>
    </w:p>
    <w:p>
      <w:pPr>
        <w:spacing w:after="0" w:line="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have awarded scholarships for associate’s degrees, certification and vocational programs,</w:t>
      </w:r>
    </w:p>
    <w:p>
      <w:pPr>
        <w:ind w:left="1780"/>
        <w:spacing w:after="0"/>
        <w:rPr>
          <w:sz w:val="20"/>
          <w:szCs w:val="20"/>
          <w:color w:val="auto"/>
        </w:rPr>
      </w:pPr>
      <w:r>
        <w:rPr>
          <w:rFonts w:ascii="Arial" w:cs="Arial" w:eastAsia="Arial" w:hAnsi="Arial"/>
          <w:sz w:val="18"/>
          <w:szCs w:val="18"/>
          <w:color w:val="auto"/>
        </w:rPr>
        <w:t>bachelor’s degrees, master’s degrees and other post-graduate programs.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jc w:val="center"/>
        <w:ind w:right="260"/>
        <w:spacing w:after="0"/>
        <w:rPr>
          <w:sz w:val="20"/>
          <w:szCs w:val="20"/>
          <w:color w:val="auto"/>
        </w:rPr>
      </w:pPr>
      <w:r>
        <w:rPr>
          <w:rFonts w:ascii="Arial" w:cs="Arial" w:eastAsia="Arial" w:hAnsi="Arial"/>
          <w:sz w:val="17"/>
          <w:szCs w:val="17"/>
          <w:b w:val="1"/>
          <w:bCs w:val="1"/>
          <w:color w:val="002060"/>
        </w:rPr>
        <w:t>$3.6 million</w:t>
      </w:r>
    </w:p>
    <w:p>
      <w:pPr>
        <w:spacing w:after="0" w:line="25"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002060"/>
        </w:rPr>
        <w:t>awarded</w:t>
      </w:r>
    </w:p>
    <w:p>
      <w:pPr>
        <w:spacing w:after="0" w:line="248"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002060"/>
        </w:rPr>
        <w:t>308</w:t>
      </w:r>
    </w:p>
    <w:p>
      <w:pPr>
        <w:spacing w:after="0" w:line="14"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002060"/>
        </w:rPr>
        <w:t>grants</w:t>
      </w:r>
    </w:p>
    <w:p>
      <w:pPr>
        <w:spacing w:after="0" w:line="213" w:lineRule="exact"/>
        <w:rPr>
          <w:sz w:val="20"/>
          <w:szCs w:val="20"/>
          <w:color w:val="auto"/>
        </w:rPr>
      </w:pPr>
    </w:p>
    <w:p>
      <w:pPr>
        <w:sectPr>
          <w:pgSz w:w="11900" w:h="16838" w:orient="portrait"/>
          <w:cols w:equalWidth="0" w:num="2">
            <w:col w:w="9500" w:space="260"/>
            <w:col w:w="1240"/>
          </w:cols>
          <w:pgMar w:left="440" w:top="293" w:right="459" w:bottom="1440" w:gutter="0" w:footer="0" w:header="0"/>
          <w:type w:val="continuous"/>
        </w:sectPr>
      </w:pPr>
    </w:p>
    <w:p>
      <w:pPr>
        <w:spacing w:after="0" w:line="30"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b w:val="1"/>
                <w:bCs w:val="1"/>
                <w:i w:val="1"/>
                <w:iCs w:val="1"/>
                <w:color w:val="002060"/>
              </w:rPr>
              <w:t>Charitable</w:t>
            </w:r>
          </w:p>
        </w:tc>
        <w:tc>
          <w:tcPr>
            <w:tcW w:w="7560" w:type="dxa"/>
            <w:vAlign w:val="bottom"/>
          </w:tcPr>
          <w:p>
            <w:pPr>
              <w:ind w:left="220"/>
              <w:spacing w:after="0"/>
              <w:rPr>
                <w:sz w:val="20"/>
                <w:szCs w:val="20"/>
                <w:color w:val="auto"/>
              </w:rPr>
            </w:pPr>
            <w:r>
              <w:rPr>
                <w:rFonts w:ascii="Arial" w:cs="Arial" w:eastAsia="Arial" w:hAnsi="Arial"/>
                <w:sz w:val="18"/>
                <w:szCs w:val="18"/>
                <w:color w:val="auto"/>
                <w:w w:val="99"/>
              </w:rPr>
              <w:t>Our Foundation matches cash gifts by employees of up to $500 per year or volunteer time of</w:t>
            </w:r>
          </w:p>
        </w:tc>
      </w:tr>
      <w:tr>
        <w:trPr>
          <w:trHeight w:val="203"/>
        </w:trPr>
        <w:tc>
          <w:tcPr>
            <w:tcW w:w="1340" w:type="dxa"/>
            <w:vAlign w:val="bottom"/>
          </w:tcPr>
          <w:p>
            <w:pPr>
              <w:spacing w:after="0" w:line="202" w:lineRule="exact"/>
              <w:rPr>
                <w:sz w:val="20"/>
                <w:szCs w:val="20"/>
                <w:color w:val="auto"/>
              </w:rPr>
            </w:pPr>
            <w:r>
              <w:rPr>
                <w:rFonts w:ascii="Arial" w:cs="Arial" w:eastAsia="Arial" w:hAnsi="Arial"/>
                <w:sz w:val="18"/>
                <w:szCs w:val="18"/>
                <w:b w:val="1"/>
                <w:bCs w:val="1"/>
                <w:i w:val="1"/>
                <w:iCs w:val="1"/>
                <w:color w:val="002060"/>
              </w:rPr>
              <w:t>Giving Match</w:t>
            </w:r>
          </w:p>
        </w:tc>
        <w:tc>
          <w:tcPr>
            <w:tcW w:w="7560" w:type="dxa"/>
            <w:vAlign w:val="bottom"/>
          </w:tcPr>
          <w:p>
            <w:pPr>
              <w:ind w:left="220"/>
              <w:spacing w:after="0" w:line="202" w:lineRule="exact"/>
              <w:rPr>
                <w:sz w:val="20"/>
                <w:szCs w:val="20"/>
                <w:color w:val="auto"/>
              </w:rPr>
            </w:pPr>
            <w:r>
              <w:rPr>
                <w:rFonts w:ascii="Arial" w:cs="Arial" w:eastAsia="Arial" w:hAnsi="Arial"/>
                <w:sz w:val="18"/>
                <w:szCs w:val="18"/>
                <w:color w:val="auto"/>
              </w:rPr>
              <w:t>up to 25 hours ($20 per hour). Eligible organizations include tax-exempt public charities,</w:t>
            </w:r>
          </w:p>
        </w:tc>
      </w:tr>
      <w:tr>
        <w:trPr>
          <w:trHeight w:val="203"/>
        </w:trPr>
        <w:tc>
          <w:tcPr>
            <w:tcW w:w="1340" w:type="dxa"/>
            <w:vAlign w:val="bottom"/>
          </w:tcPr>
          <w:p>
            <w:pPr>
              <w:spacing w:after="0"/>
              <w:rPr>
                <w:sz w:val="17"/>
                <w:szCs w:val="17"/>
                <w:color w:val="auto"/>
              </w:rPr>
            </w:pPr>
          </w:p>
        </w:tc>
        <w:tc>
          <w:tcPr>
            <w:tcW w:w="7560" w:type="dxa"/>
            <w:vAlign w:val="bottom"/>
          </w:tcPr>
          <w:p>
            <w:pPr>
              <w:ind w:left="220"/>
              <w:spacing w:after="0" w:line="202" w:lineRule="exact"/>
              <w:rPr>
                <w:sz w:val="20"/>
                <w:szCs w:val="20"/>
                <w:color w:val="auto"/>
              </w:rPr>
            </w:pPr>
            <w:r>
              <w:rPr>
                <w:rFonts w:ascii="Arial" w:cs="Arial" w:eastAsia="Arial" w:hAnsi="Arial"/>
                <w:sz w:val="18"/>
                <w:szCs w:val="18"/>
                <w:color w:val="auto"/>
              </w:rPr>
              <w:t>nonprofit colleges, universities, hospitals and medical facilities and community service</w:t>
            </w:r>
          </w:p>
        </w:tc>
      </w:tr>
      <w:tr>
        <w:trPr>
          <w:trHeight w:val="239"/>
        </w:trPr>
        <w:tc>
          <w:tcPr>
            <w:tcW w:w="1340" w:type="dxa"/>
            <w:vAlign w:val="bottom"/>
          </w:tcPr>
          <w:p>
            <w:pPr>
              <w:spacing w:after="0"/>
              <w:rPr>
                <w:sz w:val="20"/>
                <w:szCs w:val="20"/>
                <w:color w:val="auto"/>
              </w:rPr>
            </w:pPr>
          </w:p>
        </w:tc>
        <w:tc>
          <w:tcPr>
            <w:tcW w:w="7560" w:type="dxa"/>
            <w:vAlign w:val="bottom"/>
          </w:tcPr>
          <w:p>
            <w:pPr>
              <w:ind w:left="220"/>
              <w:spacing w:after="0"/>
              <w:rPr>
                <w:sz w:val="20"/>
                <w:szCs w:val="20"/>
                <w:color w:val="auto"/>
              </w:rPr>
            </w:pPr>
            <w:r>
              <w:rPr>
                <w:rFonts w:ascii="Arial" w:cs="Arial" w:eastAsia="Arial" w:hAnsi="Arial"/>
                <w:sz w:val="18"/>
                <w:szCs w:val="18"/>
                <w:color w:val="auto"/>
              </w:rPr>
              <w:t>programs.</w:t>
            </w:r>
          </w:p>
        </w:tc>
      </w:tr>
    </w:tbl>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002060"/>
        </w:rPr>
        <w:t>$40,151</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002060"/>
        </w:rPr>
        <w:t>matched</w:t>
      </w:r>
    </w:p>
    <w:p>
      <w:pPr>
        <w:spacing w:after="0" w:line="248"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002060"/>
        </w:rPr>
        <w:t>120</w:t>
      </w:r>
    </w:p>
    <w:p>
      <w:pPr>
        <w:spacing w:after="0" w:line="14" w:lineRule="exact"/>
        <w:rPr>
          <w:sz w:val="20"/>
          <w:szCs w:val="20"/>
          <w:color w:val="auto"/>
        </w:rPr>
      </w:pPr>
    </w:p>
    <w:p>
      <w:pPr>
        <w:jc w:val="center"/>
        <w:ind w:right="340"/>
        <w:spacing w:after="0"/>
        <w:rPr>
          <w:sz w:val="20"/>
          <w:szCs w:val="20"/>
          <w:color w:val="auto"/>
        </w:rPr>
      </w:pPr>
      <w:r>
        <w:rPr>
          <w:rFonts w:ascii="Arial" w:cs="Arial" w:eastAsia="Arial" w:hAnsi="Arial"/>
          <w:sz w:val="17"/>
          <w:szCs w:val="17"/>
          <w:b w:val="1"/>
          <w:bCs w:val="1"/>
          <w:color w:val="002060"/>
        </w:rPr>
        <w:t>cash gifts</w:t>
      </w:r>
    </w:p>
    <w:p>
      <w:pPr>
        <w:spacing w:after="0" w:line="200" w:lineRule="exact"/>
        <w:rPr>
          <w:sz w:val="20"/>
          <w:szCs w:val="20"/>
          <w:color w:val="auto"/>
        </w:rPr>
      </w:pPr>
    </w:p>
    <w:p>
      <w:pPr>
        <w:sectPr>
          <w:pgSz w:w="11900" w:h="16838" w:orient="portrait"/>
          <w:cols w:equalWidth="0" w:num="2">
            <w:col w:w="9120" w:space="700"/>
            <w:col w:w="1180"/>
          </w:cols>
          <w:pgMar w:left="440" w:top="293" w:right="459" w:bottom="1440" w:gutter="0" w:footer="0" w:header="0"/>
          <w:type w:val="continuous"/>
        </w:sectPr>
      </w:pPr>
    </w:p>
    <w:p>
      <w:pPr>
        <w:spacing w:after="0" w:line="41"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b w:val="1"/>
                <w:bCs w:val="1"/>
                <w:i w:val="1"/>
                <w:iCs w:val="1"/>
                <w:color w:val="002060"/>
              </w:rPr>
              <w:t>Employee</w:t>
            </w:r>
          </w:p>
        </w:tc>
        <w:tc>
          <w:tcPr>
            <w:tcW w:w="7780" w:type="dxa"/>
            <w:vAlign w:val="bottom"/>
          </w:tcPr>
          <w:p>
            <w:pPr>
              <w:ind w:left="300"/>
              <w:spacing w:after="0"/>
              <w:rPr>
                <w:sz w:val="20"/>
                <w:szCs w:val="20"/>
                <w:color w:val="auto"/>
              </w:rPr>
            </w:pPr>
            <w:r>
              <w:rPr>
                <w:rFonts w:ascii="Arial" w:cs="Arial" w:eastAsia="Arial" w:hAnsi="Arial"/>
                <w:sz w:val="18"/>
                <w:szCs w:val="18"/>
                <w:color w:val="auto"/>
              </w:rPr>
              <w:t>Our Employee Financial Assistance Program is designed to provide emergency financial</w:t>
            </w:r>
          </w:p>
        </w:tc>
        <w:tc>
          <w:tcPr>
            <w:tcW w:w="220" w:type="dxa"/>
            <w:vAlign w:val="bottom"/>
            <w:shd w:val="clear" w:color="auto" w:fill="D5DCE4"/>
          </w:tcPr>
          <w:p>
            <w:pPr>
              <w:spacing w:after="0"/>
              <w:rPr>
                <w:sz w:val="17"/>
                <w:szCs w:val="17"/>
                <w:color w:val="auto"/>
              </w:rPr>
            </w:pPr>
          </w:p>
        </w:tc>
      </w:tr>
      <w:tr>
        <w:trPr>
          <w:trHeight w:val="203"/>
        </w:trPr>
        <w:tc>
          <w:tcPr>
            <w:tcW w:w="1260" w:type="dxa"/>
            <w:vAlign w:val="bottom"/>
          </w:tcPr>
          <w:p>
            <w:pPr>
              <w:spacing w:after="0" w:line="202" w:lineRule="exact"/>
              <w:rPr>
                <w:sz w:val="20"/>
                <w:szCs w:val="20"/>
                <w:color w:val="auto"/>
              </w:rPr>
            </w:pPr>
            <w:r>
              <w:rPr>
                <w:rFonts w:ascii="Arial" w:cs="Arial" w:eastAsia="Arial" w:hAnsi="Arial"/>
                <w:sz w:val="18"/>
                <w:szCs w:val="18"/>
                <w:b w:val="1"/>
                <w:bCs w:val="1"/>
                <w:i w:val="1"/>
                <w:iCs w:val="1"/>
                <w:color w:val="002060"/>
              </w:rPr>
              <w:t>Financial</w:t>
            </w:r>
          </w:p>
        </w:tc>
        <w:tc>
          <w:tcPr>
            <w:tcW w:w="7780" w:type="dxa"/>
            <w:vAlign w:val="bottom"/>
          </w:tcPr>
          <w:p>
            <w:pPr>
              <w:ind w:left="300"/>
              <w:spacing w:after="0" w:line="202" w:lineRule="exact"/>
              <w:rPr>
                <w:sz w:val="20"/>
                <w:szCs w:val="20"/>
                <w:color w:val="auto"/>
              </w:rPr>
            </w:pPr>
            <w:r>
              <w:rPr>
                <w:rFonts w:ascii="Arial" w:cs="Arial" w:eastAsia="Arial" w:hAnsi="Arial"/>
                <w:sz w:val="18"/>
                <w:szCs w:val="18"/>
                <w:color w:val="auto"/>
              </w:rPr>
              <w:t>assistance to our employees in times of crisis. The program provides for awards of up to</w:t>
            </w:r>
          </w:p>
        </w:tc>
        <w:tc>
          <w:tcPr>
            <w:tcW w:w="220" w:type="dxa"/>
            <w:vAlign w:val="bottom"/>
            <w:shd w:val="clear" w:color="auto" w:fill="D5DCE4"/>
          </w:tcPr>
          <w:p>
            <w:pPr>
              <w:spacing w:after="0"/>
              <w:rPr>
                <w:sz w:val="17"/>
                <w:szCs w:val="17"/>
                <w:color w:val="auto"/>
              </w:rPr>
            </w:pPr>
          </w:p>
        </w:tc>
      </w:tr>
      <w:tr>
        <w:trPr>
          <w:trHeight w:val="203"/>
        </w:trPr>
        <w:tc>
          <w:tcPr>
            <w:tcW w:w="1260" w:type="dxa"/>
            <w:vAlign w:val="bottom"/>
          </w:tcPr>
          <w:p>
            <w:pPr>
              <w:spacing w:after="0" w:line="202" w:lineRule="exact"/>
              <w:rPr>
                <w:sz w:val="20"/>
                <w:szCs w:val="20"/>
                <w:color w:val="auto"/>
              </w:rPr>
            </w:pPr>
            <w:r>
              <w:rPr>
                <w:rFonts w:ascii="Arial" w:cs="Arial" w:eastAsia="Arial" w:hAnsi="Arial"/>
                <w:sz w:val="18"/>
                <w:szCs w:val="18"/>
                <w:b w:val="1"/>
                <w:bCs w:val="1"/>
                <w:i w:val="1"/>
                <w:iCs w:val="1"/>
                <w:color w:val="002060"/>
              </w:rPr>
              <w:t>Assistance</w:t>
            </w:r>
          </w:p>
        </w:tc>
        <w:tc>
          <w:tcPr>
            <w:tcW w:w="7780" w:type="dxa"/>
            <w:vAlign w:val="bottom"/>
          </w:tcPr>
          <w:p>
            <w:pPr>
              <w:ind w:left="300"/>
              <w:spacing w:after="0" w:line="202" w:lineRule="exact"/>
              <w:rPr>
                <w:sz w:val="20"/>
                <w:szCs w:val="20"/>
                <w:color w:val="auto"/>
              </w:rPr>
            </w:pPr>
            <w:r>
              <w:rPr>
                <w:rFonts w:ascii="Arial" w:cs="Arial" w:eastAsia="Arial" w:hAnsi="Arial"/>
                <w:sz w:val="18"/>
                <w:szCs w:val="18"/>
                <w:color w:val="auto"/>
              </w:rPr>
              <w:t>$2,000 for food, shelter and other basic needs for employees who experience a qualifying</w:t>
            </w:r>
          </w:p>
        </w:tc>
        <w:tc>
          <w:tcPr>
            <w:tcW w:w="220" w:type="dxa"/>
            <w:vAlign w:val="bottom"/>
            <w:shd w:val="clear" w:color="auto" w:fill="D5DCE4"/>
          </w:tcPr>
          <w:p>
            <w:pPr>
              <w:spacing w:after="0"/>
              <w:rPr>
                <w:sz w:val="17"/>
                <w:szCs w:val="17"/>
                <w:color w:val="auto"/>
              </w:rPr>
            </w:pPr>
          </w:p>
        </w:tc>
      </w:tr>
      <w:tr>
        <w:trPr>
          <w:trHeight w:val="203"/>
        </w:trPr>
        <w:tc>
          <w:tcPr>
            <w:tcW w:w="1260" w:type="dxa"/>
            <w:vAlign w:val="bottom"/>
          </w:tcPr>
          <w:p>
            <w:pPr>
              <w:spacing w:after="0"/>
              <w:rPr>
                <w:sz w:val="17"/>
                <w:szCs w:val="17"/>
                <w:color w:val="auto"/>
              </w:rPr>
            </w:pPr>
          </w:p>
        </w:tc>
        <w:tc>
          <w:tcPr>
            <w:tcW w:w="7780" w:type="dxa"/>
            <w:vAlign w:val="bottom"/>
          </w:tcPr>
          <w:p>
            <w:pPr>
              <w:ind w:left="300"/>
              <w:spacing w:after="0" w:line="202" w:lineRule="exact"/>
              <w:rPr>
                <w:sz w:val="20"/>
                <w:szCs w:val="20"/>
                <w:color w:val="auto"/>
              </w:rPr>
            </w:pPr>
            <w:r>
              <w:rPr>
                <w:rFonts w:ascii="Arial" w:cs="Arial" w:eastAsia="Arial" w:hAnsi="Arial"/>
                <w:sz w:val="18"/>
                <w:szCs w:val="18"/>
                <w:color w:val="auto"/>
                <w:w w:val="99"/>
              </w:rPr>
              <w:t>event, such as a natural disaster or other acts of nature, house fire, accident, domestic abuse,</w:t>
            </w:r>
          </w:p>
        </w:tc>
        <w:tc>
          <w:tcPr>
            <w:tcW w:w="220" w:type="dxa"/>
            <w:vAlign w:val="bottom"/>
            <w:shd w:val="clear" w:color="auto" w:fill="D5DCE4"/>
          </w:tcPr>
          <w:p>
            <w:pPr>
              <w:spacing w:after="0"/>
              <w:rPr>
                <w:sz w:val="17"/>
                <w:szCs w:val="17"/>
                <w:color w:val="auto"/>
              </w:rPr>
            </w:pPr>
          </w:p>
        </w:tc>
      </w:tr>
      <w:tr>
        <w:trPr>
          <w:trHeight w:val="239"/>
        </w:trPr>
        <w:tc>
          <w:tcPr>
            <w:tcW w:w="1260" w:type="dxa"/>
            <w:vAlign w:val="bottom"/>
          </w:tcPr>
          <w:p>
            <w:pPr>
              <w:spacing w:after="0"/>
              <w:rPr>
                <w:sz w:val="20"/>
                <w:szCs w:val="20"/>
                <w:color w:val="auto"/>
              </w:rPr>
            </w:pPr>
          </w:p>
        </w:tc>
        <w:tc>
          <w:tcPr>
            <w:tcW w:w="7780" w:type="dxa"/>
            <w:vAlign w:val="bottom"/>
          </w:tcPr>
          <w:p>
            <w:pPr>
              <w:ind w:left="300"/>
              <w:spacing w:after="0"/>
              <w:rPr>
                <w:sz w:val="20"/>
                <w:szCs w:val="20"/>
                <w:color w:val="auto"/>
              </w:rPr>
            </w:pPr>
            <w:r>
              <w:rPr>
                <w:rFonts w:ascii="Arial" w:cs="Arial" w:eastAsia="Arial" w:hAnsi="Arial"/>
                <w:sz w:val="18"/>
                <w:szCs w:val="18"/>
                <w:color w:val="auto"/>
              </w:rPr>
              <w:t>crime, short term illness, death of a spouse, partner or dependent or military deployment.</w:t>
            </w:r>
          </w:p>
        </w:tc>
        <w:tc>
          <w:tcPr>
            <w:tcW w:w="220" w:type="dxa"/>
            <w:vAlign w:val="bottom"/>
            <w:shd w:val="clear" w:color="auto" w:fill="D5DCE4"/>
          </w:tcPr>
          <w:p>
            <w:pPr>
              <w:spacing w:after="0"/>
              <w:rPr>
                <w:sz w:val="20"/>
                <w:szCs w:val="20"/>
                <w:color w:val="auto"/>
              </w:rPr>
            </w:pPr>
          </w:p>
        </w:tc>
      </w:tr>
      <w:tr>
        <w:trPr>
          <w:trHeight w:val="320"/>
        </w:trPr>
        <w:tc>
          <w:tcPr>
            <w:tcW w:w="126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20" w:type="dxa"/>
            <w:vAlign w:val="bottom"/>
            <w:shd w:val="clear" w:color="auto" w:fill="D5DCE4"/>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2060"/>
        </w:rPr>
        <w:t>$325,866</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002060"/>
        </w:rPr>
        <w:t>awarded</w:t>
      </w:r>
    </w:p>
    <w:p>
      <w:pPr>
        <w:spacing w:after="0" w:line="248"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002060"/>
        </w:rPr>
        <w:t>258</w:t>
      </w:r>
    </w:p>
    <w:p>
      <w:pPr>
        <w:spacing w:after="0" w:line="14"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color w:val="002060"/>
        </w:rPr>
        <w:t>employees</w:t>
      </w:r>
    </w:p>
    <w:p>
      <w:pPr>
        <w:spacing w:after="0" w:line="241" w:lineRule="exact"/>
        <w:rPr>
          <w:sz w:val="20"/>
          <w:szCs w:val="20"/>
          <w:color w:val="auto"/>
        </w:rPr>
      </w:pPr>
    </w:p>
    <w:p>
      <w:pPr>
        <w:sectPr>
          <w:pgSz w:w="11900" w:h="16838" w:orient="portrait"/>
          <w:cols w:equalWidth="0" w:num="2">
            <w:col w:w="9480" w:space="300"/>
            <w:col w:w="1220"/>
          </w:cols>
          <w:pgMar w:left="440" w:top="293" w:right="459" w:bottom="1440" w:gutter="0" w:footer="0" w:header="0"/>
          <w:type w:val="continuous"/>
        </w:sectPr>
      </w:pPr>
    </w:p>
    <w:tbl>
      <w:tblPr>
        <w:tblLayout w:type="fixed"/>
        <w:tblInd w:w="22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Arial" w:cs="Arial" w:eastAsia="Arial" w:hAnsi="Arial"/>
                <w:sz w:val="18"/>
                <w:szCs w:val="18"/>
                <w:b w:val="1"/>
                <w:bCs w:val="1"/>
                <w:i w:val="1"/>
                <w:iCs w:val="1"/>
                <w:color w:val="002060"/>
              </w:rPr>
              <w:t>Major Grants</w:t>
            </w:r>
          </w:p>
        </w:tc>
        <w:tc>
          <w:tcPr>
            <w:tcW w:w="7540" w:type="dxa"/>
            <w:vAlign w:val="bottom"/>
          </w:tcPr>
          <w:p>
            <w:pPr>
              <w:ind w:left="240"/>
              <w:spacing w:after="0"/>
              <w:rPr>
                <w:sz w:val="20"/>
                <w:szCs w:val="20"/>
                <w:color w:val="auto"/>
              </w:rPr>
            </w:pPr>
            <w:r>
              <w:rPr>
                <w:rFonts w:ascii="Arial" w:cs="Arial" w:eastAsia="Arial" w:hAnsi="Arial"/>
                <w:sz w:val="18"/>
                <w:szCs w:val="18"/>
                <w:color w:val="auto"/>
                <w:w w:val="99"/>
              </w:rPr>
              <w:t>Our Foundation’s Major Grants Program provides grants to 501(c)(3) organizations involved</w:t>
            </w:r>
          </w:p>
        </w:tc>
      </w:tr>
      <w:tr>
        <w:trPr>
          <w:trHeight w:val="247"/>
        </w:trPr>
        <w:tc>
          <w:tcPr>
            <w:tcW w:w="1320" w:type="dxa"/>
            <w:vAlign w:val="bottom"/>
          </w:tcPr>
          <w:p>
            <w:pPr>
              <w:spacing w:after="0"/>
              <w:rPr>
                <w:sz w:val="20"/>
                <w:szCs w:val="20"/>
                <w:color w:val="auto"/>
              </w:rPr>
            </w:pPr>
            <w:r>
              <w:rPr>
                <w:rFonts w:ascii="Arial" w:cs="Arial" w:eastAsia="Arial" w:hAnsi="Arial"/>
                <w:sz w:val="18"/>
                <w:szCs w:val="18"/>
                <w:b w:val="1"/>
                <w:bCs w:val="1"/>
                <w:i w:val="1"/>
                <w:iCs w:val="1"/>
                <w:color w:val="002060"/>
              </w:rPr>
              <w:t>Program</w:t>
            </w:r>
          </w:p>
        </w:tc>
        <w:tc>
          <w:tcPr>
            <w:tcW w:w="7540" w:type="dxa"/>
            <w:vAlign w:val="bottom"/>
          </w:tcPr>
          <w:p>
            <w:pPr>
              <w:ind w:left="240"/>
              <w:spacing w:after="0"/>
              <w:rPr>
                <w:sz w:val="20"/>
                <w:szCs w:val="20"/>
                <w:color w:val="auto"/>
              </w:rPr>
            </w:pPr>
            <w:r>
              <w:rPr>
                <w:rFonts w:ascii="Arial" w:cs="Arial" w:eastAsia="Arial" w:hAnsi="Arial"/>
                <w:sz w:val="18"/>
                <w:szCs w:val="18"/>
                <w:color w:val="auto"/>
              </w:rPr>
              <w:t>in building or renovating homes or providing shelter for those in need.</w:t>
            </w:r>
          </w:p>
        </w:tc>
      </w:tr>
    </w:tbl>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jc w:val="center"/>
        <w:ind w:right="260"/>
        <w:spacing w:after="0"/>
        <w:rPr>
          <w:sz w:val="20"/>
          <w:szCs w:val="20"/>
          <w:color w:val="auto"/>
        </w:rPr>
      </w:pPr>
      <w:r>
        <w:rPr>
          <w:rFonts w:ascii="Arial" w:cs="Arial" w:eastAsia="Arial" w:hAnsi="Arial"/>
          <w:sz w:val="17"/>
          <w:szCs w:val="17"/>
          <w:b w:val="1"/>
          <w:bCs w:val="1"/>
          <w:color w:val="002060"/>
        </w:rPr>
        <w:t>$4.1 million</w:t>
      </w:r>
    </w:p>
    <w:p>
      <w:pPr>
        <w:spacing w:after="0" w:line="25"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002060"/>
        </w:rPr>
        <w:t>awarded</w:t>
      </w:r>
    </w:p>
    <w:p>
      <w:pPr>
        <w:spacing w:after="0" w:line="248"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002060"/>
        </w:rPr>
        <w:t>94</w:t>
      </w:r>
    </w:p>
    <w:p>
      <w:pPr>
        <w:spacing w:after="0" w:line="14"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002060"/>
        </w:rPr>
        <w:t>grants</w:t>
      </w:r>
    </w:p>
    <w:p>
      <w:pPr>
        <w:spacing w:after="0" w:line="200" w:lineRule="exact"/>
        <w:rPr>
          <w:sz w:val="20"/>
          <w:szCs w:val="20"/>
          <w:color w:val="auto"/>
        </w:rPr>
      </w:pPr>
    </w:p>
    <w:p>
      <w:pPr>
        <w:sectPr>
          <w:pgSz w:w="11900" w:h="16838" w:orient="portrait"/>
          <w:cols w:equalWidth="0" w:num="2">
            <w:col w:w="9080" w:space="680"/>
            <w:col w:w="1240"/>
          </w:cols>
          <w:pgMar w:left="440" w:top="293" w:right="459"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color w:val="0070C0"/>
        </w:rPr>
        <w:t>Corporate Giving</w:t>
      </w:r>
    </w:p>
    <w:p>
      <w:pPr>
        <w:spacing w:after="0" w:line="205" w:lineRule="exact"/>
        <w:rPr>
          <w:sz w:val="20"/>
          <w:szCs w:val="20"/>
          <w:color w:val="auto"/>
        </w:rPr>
      </w:pPr>
    </w:p>
    <w:p>
      <w:pPr>
        <w:ind w:right="400"/>
        <w:spacing w:after="0" w:line="245" w:lineRule="auto"/>
        <w:rPr>
          <w:sz w:val="20"/>
          <w:szCs w:val="20"/>
          <w:color w:val="auto"/>
        </w:rPr>
      </w:pPr>
      <w:r>
        <w:rPr>
          <w:rFonts w:ascii="Arial" w:cs="Arial" w:eastAsia="Arial" w:hAnsi="Arial"/>
          <w:sz w:val="18"/>
          <w:szCs w:val="18"/>
          <w:color w:val="auto"/>
        </w:rPr>
        <w:t>We recognize that as a good corporate citizen, we have a responsibility to support our communities. In addition to the Foundation, we have a robust corporate giving program that includes both national and local charities to which we have collectively contributed</w:t>
      </w:r>
    </w:p>
    <w:p>
      <w:pPr>
        <w:spacing w:after="0"/>
        <w:rPr>
          <w:sz w:val="20"/>
          <w:szCs w:val="20"/>
          <w:color w:val="auto"/>
        </w:rPr>
      </w:pPr>
      <w:r>
        <w:rPr>
          <w:rFonts w:ascii="Arial" w:cs="Arial" w:eastAsia="Arial" w:hAnsi="Arial"/>
          <w:sz w:val="18"/>
          <w:szCs w:val="18"/>
          <w:color w:val="auto"/>
        </w:rPr>
        <w:t>$2.3 million. We have entered into multi-year commitments with the Gary Sinise Foundation’s R.I.S.E. Program, Mid-Ohio Food Collective, YWCA of Central Ohio, SproutFive, St. Mary’s Scholarship Endowment, The Columbus Promise, Besa Community, Inc. and Zora’s House. Through our Foundation and corporate giving programs, we are committed to contribute a portion of our profits annually to partner with nonprofit organizations to support initiatives focused on education, housing and strengthening our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70C0"/>
        </w:rPr>
        <w:t>IBP Proxy Statement</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70C0"/>
        </w:rPr>
        <w:t>Corporate Responsibility</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70C0"/>
        </w:rPr>
        <w:t>38</w:t>
      </w:r>
    </w:p>
    <w:p>
      <w:pPr>
        <w:sectPr>
          <w:pgSz w:w="11900" w:h="16838" w:orient="portrait"/>
          <w:cols w:equalWidth="0" w:num="1">
            <w:col w:w="11000"/>
          </w:cols>
          <w:pgMar w:left="440" w:top="293" w:right="459" w:bottom="1440" w:gutter="0" w:footer="0" w:header="0"/>
          <w:type w:val="continuous"/>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234950</wp:posOffset>
            </wp:positionV>
            <wp:extent cx="2648585" cy="17741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2648585" cy="177419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2334895</wp:posOffset>
            </wp:positionV>
            <wp:extent cx="33604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002060"/>
        </w:rPr>
        <w:t>The mission of Zora’s House is to create safe spaces for women of color to establish meaningful, supportive relationships with other women in their community; to develop a deeper practice of self-care, resiliency, and emotional intelligence; and to successfully incubate their creativity, scholarship, entrepreneurship, activism, service and leadership. We are proud to contribute to and support this community hub and its efforts to strengthen the Central Ohio community.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002060"/>
        </w:rPr>
        <w:t>We are proud to enter our second year supporting the Gary Sinise Foundation’s R.I.S.E. program. R.I.S.E. (Restoring Independence. Supporting Empowerment) builds specially adapted smart homes for wounded veterans and first responders.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-2816225</wp:posOffset>
            </wp:positionV>
            <wp:extent cx="7174865" cy="19373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1937385"/>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-2816225</wp:posOffset>
            </wp:positionV>
            <wp:extent cx="7174865" cy="19373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19373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-570230</wp:posOffset>
            </wp:positionV>
            <wp:extent cx="342900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1000" w:lineRule="exact"/>
        <w:rPr>
          <w:sz w:val="20"/>
          <w:szCs w:val="20"/>
          <w:color w:val="auto"/>
        </w:rPr>
      </w:pPr>
    </w:p>
    <w:p>
      <w:pPr>
        <w:sectPr>
          <w:pgSz w:w="11900" w:h="16838" w:orient="portrait"/>
          <w:cols w:equalWidth="0" w:num="2">
            <w:col w:w="5200" w:space="420"/>
            <w:col w:w="5260"/>
          </w:cols>
          <w:pgMar w:left="440" w:top="1440" w:right="579" w:bottom="1440" w:gutter="0" w:footer="0" w:header="0"/>
        </w:sectPr>
      </w:pP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Corporate Responsibility Materials</w:t>
      </w:r>
    </w:p>
    <w:p>
      <w:pPr>
        <w:spacing w:after="0" w:line="216" w:lineRule="exact"/>
        <w:rPr>
          <w:sz w:val="20"/>
          <w:szCs w:val="20"/>
          <w:color w:val="auto"/>
        </w:rPr>
      </w:pPr>
    </w:p>
    <w:p>
      <w:pPr>
        <w:ind w:right="4600"/>
        <w:spacing w:after="0" w:line="271" w:lineRule="auto"/>
        <w:rPr>
          <w:sz w:val="20"/>
          <w:szCs w:val="20"/>
          <w:color w:val="auto"/>
        </w:rPr>
      </w:pPr>
      <w:r>
        <w:rPr>
          <w:rFonts w:ascii="Arial" w:cs="Arial" w:eastAsia="Arial" w:hAnsi="Arial"/>
          <w:sz w:val="18"/>
          <w:szCs w:val="18"/>
          <w:color w:val="auto"/>
        </w:rPr>
        <w:t xml:space="preserve">The following corporate responsibility materials are published on our website at </w:t>
      </w:r>
      <w:r>
        <w:rPr>
          <w:rFonts w:ascii="Arial" w:cs="Arial" w:eastAsia="Arial" w:hAnsi="Arial"/>
          <w:sz w:val="18"/>
          <w:szCs w:val="18"/>
          <w:i w:val="1"/>
          <w:iCs w:val="1"/>
          <w:u w:val="single" w:color="auto"/>
          <w:color w:val="0070C0"/>
        </w:rPr>
        <w:t>https://investors.installedbuildingproducts.com/corporate-governance</w:t>
      </w:r>
      <w:r>
        <w:rPr>
          <w:rFonts w:ascii="Arial" w:cs="Arial" w:eastAsia="Arial" w:hAnsi="Arial"/>
          <w:sz w:val="18"/>
          <w:szCs w:val="18"/>
          <w:color w:val="0070C0"/>
        </w:rPr>
        <w:t>:</w:t>
      </w:r>
    </w:p>
    <w:p>
      <w:pPr>
        <w:spacing w:after="0" w:line="165" w:lineRule="exact"/>
        <w:rPr>
          <w:sz w:val="20"/>
          <w:szCs w:val="20"/>
          <w:color w:val="auto"/>
        </w:rPr>
      </w:pPr>
    </w:p>
    <w:p>
      <w:pPr>
        <w:ind w:left="960" w:hanging="532"/>
        <w:spacing w:after="0"/>
        <w:tabs>
          <w:tab w:leader="none" w:pos="960" w:val="left"/>
        </w:tabs>
        <w:numPr>
          <w:ilvl w:val="0"/>
          <w:numId w:val="20"/>
        </w:numPr>
        <w:rPr>
          <w:rFonts w:ascii="MS PGothic" w:cs="MS PGothic" w:eastAsia="MS PGothic" w:hAnsi="MS PGothic"/>
          <w:sz w:val="29"/>
          <w:szCs w:val="29"/>
          <w:color w:val="002060"/>
          <w:vertAlign w:val="superscript"/>
        </w:rPr>
      </w:pPr>
      <w:r>
        <w:rPr>
          <w:rFonts w:ascii="Arial" w:cs="Arial" w:eastAsia="Arial" w:hAnsi="Arial"/>
          <w:sz w:val="18"/>
          <w:szCs w:val="18"/>
          <w:color w:val="auto"/>
        </w:rPr>
        <w:t>Conflict Minerals Policy</w:t>
      </w:r>
    </w:p>
    <w:p>
      <w:pPr>
        <w:ind w:left="960" w:hanging="532"/>
        <w:spacing w:after="0" w:line="180" w:lineRule="auto"/>
        <w:tabs>
          <w:tab w:leader="none" w:pos="960" w:val="left"/>
        </w:tabs>
        <w:numPr>
          <w:ilvl w:val="0"/>
          <w:numId w:val="20"/>
        </w:numPr>
        <w:rPr>
          <w:rFonts w:ascii="MS PGothic" w:cs="MS PGothic" w:eastAsia="MS PGothic" w:hAnsi="MS PGothic"/>
          <w:sz w:val="27"/>
          <w:szCs w:val="27"/>
          <w:color w:val="002060"/>
          <w:vertAlign w:val="superscript"/>
        </w:rPr>
      </w:pPr>
      <w:r>
        <w:rPr>
          <w:rFonts w:ascii="Arial" w:cs="Arial" w:eastAsia="Arial" w:hAnsi="Arial"/>
          <w:sz w:val="17"/>
          <w:szCs w:val="17"/>
          <w:color w:val="auto"/>
        </w:rPr>
        <w:t>Environmental Policy</w:t>
      </w:r>
    </w:p>
    <w:p>
      <w:pPr>
        <w:ind w:left="960" w:hanging="532"/>
        <w:spacing w:after="0" w:line="180" w:lineRule="auto"/>
        <w:tabs>
          <w:tab w:leader="none" w:pos="960" w:val="left"/>
        </w:tabs>
        <w:numPr>
          <w:ilvl w:val="0"/>
          <w:numId w:val="20"/>
        </w:numPr>
        <w:rPr>
          <w:rFonts w:ascii="MS PGothic" w:cs="MS PGothic" w:eastAsia="MS PGothic" w:hAnsi="MS PGothic"/>
          <w:sz w:val="27"/>
          <w:szCs w:val="27"/>
          <w:color w:val="002060"/>
          <w:vertAlign w:val="superscript"/>
        </w:rPr>
      </w:pPr>
      <w:r>
        <w:rPr>
          <w:rFonts w:ascii="Arial" w:cs="Arial" w:eastAsia="Arial" w:hAnsi="Arial"/>
          <w:sz w:val="17"/>
          <w:szCs w:val="17"/>
          <w:color w:val="auto"/>
        </w:rPr>
        <w:t>Human Rights Policy Statement</w:t>
      </w:r>
    </w:p>
    <w:p>
      <w:pPr>
        <w:ind w:left="960" w:hanging="532"/>
        <w:spacing w:after="0" w:line="180" w:lineRule="auto"/>
        <w:tabs>
          <w:tab w:leader="none" w:pos="960" w:val="left"/>
        </w:tabs>
        <w:numPr>
          <w:ilvl w:val="0"/>
          <w:numId w:val="20"/>
        </w:numPr>
        <w:rPr>
          <w:rFonts w:ascii="MS PGothic" w:cs="MS PGothic" w:eastAsia="MS PGothic" w:hAnsi="MS PGothic"/>
          <w:sz w:val="27"/>
          <w:szCs w:val="27"/>
          <w:color w:val="002060"/>
          <w:vertAlign w:val="superscript"/>
        </w:rPr>
      </w:pPr>
      <w:r>
        <w:rPr>
          <w:rFonts w:ascii="Arial" w:cs="Arial" w:eastAsia="Arial" w:hAnsi="Arial"/>
          <w:sz w:val="17"/>
          <w:szCs w:val="17"/>
          <w:color w:val="auto"/>
        </w:rPr>
        <w:t>Safety Policy</w:t>
      </w:r>
    </w:p>
    <w:p>
      <w:pPr>
        <w:ind w:left="960" w:hanging="532"/>
        <w:spacing w:after="0" w:line="182" w:lineRule="auto"/>
        <w:tabs>
          <w:tab w:leader="none" w:pos="960" w:val="left"/>
        </w:tabs>
        <w:numPr>
          <w:ilvl w:val="0"/>
          <w:numId w:val="20"/>
        </w:numPr>
        <w:rPr>
          <w:rFonts w:ascii="MS PGothic" w:cs="MS PGothic" w:eastAsia="MS PGothic" w:hAnsi="MS PGothic"/>
          <w:sz w:val="29"/>
          <w:szCs w:val="29"/>
          <w:color w:val="002060"/>
          <w:vertAlign w:val="superscript"/>
        </w:rPr>
      </w:pPr>
      <w:r>
        <w:rPr>
          <w:rFonts w:ascii="Arial" w:cs="Arial" w:eastAsia="Arial" w:hAnsi="Arial"/>
          <w:sz w:val="18"/>
          <w:szCs w:val="18"/>
          <w:color w:val="auto"/>
        </w:rPr>
        <w:t>Supplier Code of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69951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070C0"/>
        </w:rPr>
        <w:t>IBP Proxy Statement</w:t>
      </w:r>
    </w:p>
    <w:p>
      <w:pPr>
        <w:spacing w:after="0" w:line="4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0070C0"/>
        </w:rPr>
        <w:t>Corporate Responsibility</w:t>
      </w:r>
    </w:p>
    <w:p>
      <w:pPr>
        <w:spacing w:after="0" w:line="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70C0"/>
        </w:rPr>
        <w:t>39</w:t>
      </w:r>
    </w:p>
    <w:p>
      <w:pPr>
        <w:sectPr>
          <w:pgSz w:w="11900" w:h="16838" w:orient="portrait"/>
          <w:cols w:equalWidth="0" w:num="1">
            <w:col w:w="10880"/>
          </w:cols>
          <w:pgMar w:left="440" w:top="1440" w:right="579" w:bottom="1440" w:gutter="0" w:footer="0" w:header="0"/>
          <w:type w:val="continuous"/>
        </w:sectPr>
      </w:pPr>
    </w:p>
    <w:bookmarkStart w:id="47" w:name="page48"/>
    <w:bookmarkEnd w:id="47"/>
    <w:p>
      <w:pPr>
        <w:jc w:val="center"/>
        <w:ind w:left="540" w:right="200"/>
        <w:spacing w:after="0" w:line="249" w:lineRule="auto"/>
        <w:rPr>
          <w:sz w:val="20"/>
          <w:szCs w:val="20"/>
          <w:color w:val="auto"/>
        </w:rPr>
      </w:pPr>
      <w:r>
        <w:rPr>
          <w:rFonts w:ascii="Times New Roman" w:cs="Times New Roman" w:eastAsia="Times New Roman" w:hAnsi="Times New Roman"/>
          <w:sz w:val="40"/>
          <w:szCs w:val="40"/>
          <w:b w:val="1"/>
          <w:bCs w:val="1"/>
          <w:color w:val="0070C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2 – RATIFICATION OF THE APPOINTMENT OF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Overview</w:t>
      </w:r>
    </w:p>
    <w:p>
      <w:pPr>
        <w:spacing w:after="0" w:line="216"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Our Audit Committee is responsible for the appointment, compensation, retention and oversight of our independent registered public accounting firm. The Audit Committee has appointed, and the Board has ratified the appointment of, Deloitte &amp; Touche LLP (“Deloitte”) to serve as our independent registered public accounting firm for the fiscal year ending December 31, 2024. Deloitte has served as our independent registered public accounting firm since 2013.</w:t>
      </w:r>
    </w:p>
    <w:p>
      <w:pPr>
        <w:spacing w:after="0" w:line="17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Audit Committee annually reviews Deloitte’s performance and independence in deciding whether to retain Deloitte or to engage a different independent registered public accounting firm. In evaluating Deloitte’s performance, the Audit Committee considers a number of factors, among other things:</w:t>
      </w:r>
    </w:p>
    <w:p>
      <w:pPr>
        <w:spacing w:after="0" w:line="23" w:lineRule="exact"/>
        <w:rPr>
          <w:sz w:val="20"/>
          <w:szCs w:val="20"/>
          <w:color w:val="auto"/>
        </w:rPr>
      </w:pPr>
    </w:p>
    <w:p>
      <w:pPr>
        <w:ind w:left="960" w:hanging="532"/>
        <w:spacing w:after="0"/>
        <w:tabs>
          <w:tab w:leader="none" w:pos="960" w:val="left"/>
        </w:tabs>
        <w:numPr>
          <w:ilvl w:val="0"/>
          <w:numId w:val="21"/>
        </w:numPr>
        <w:rPr>
          <w:rFonts w:ascii="MS PGothic" w:cs="MS PGothic" w:eastAsia="MS PGothic" w:hAnsi="MS PGothic"/>
          <w:sz w:val="29"/>
          <w:szCs w:val="29"/>
          <w:color w:val="002060"/>
          <w:vertAlign w:val="superscript"/>
        </w:rPr>
      </w:pPr>
      <w:r>
        <w:rPr>
          <w:rFonts w:ascii="Arial" w:cs="Arial" w:eastAsia="Arial" w:hAnsi="Arial"/>
          <w:sz w:val="18"/>
          <w:szCs w:val="18"/>
          <w:color w:val="auto"/>
        </w:rPr>
        <w:t>the quality of the historical and recent performance of the firm;</w:t>
      </w:r>
    </w:p>
    <w:p>
      <w:pPr>
        <w:spacing w:after="0" w:line="103" w:lineRule="exact"/>
        <w:rPr>
          <w:rFonts w:ascii="MS PGothic" w:cs="MS PGothic" w:eastAsia="MS PGothic" w:hAnsi="MS PGothic"/>
          <w:sz w:val="29"/>
          <w:szCs w:val="29"/>
          <w:color w:val="002060"/>
          <w:vertAlign w:val="superscript"/>
        </w:rPr>
      </w:pPr>
    </w:p>
    <w:p>
      <w:pPr>
        <w:ind w:left="960" w:hanging="532"/>
        <w:spacing w:after="0" w:line="182" w:lineRule="auto"/>
        <w:tabs>
          <w:tab w:leader="none" w:pos="960" w:val="left"/>
        </w:tabs>
        <w:numPr>
          <w:ilvl w:val="0"/>
          <w:numId w:val="21"/>
        </w:numPr>
        <w:rPr>
          <w:rFonts w:ascii="MS PGothic" w:cs="MS PGothic" w:eastAsia="MS PGothic" w:hAnsi="MS PGothic"/>
          <w:sz w:val="29"/>
          <w:szCs w:val="29"/>
          <w:color w:val="002060"/>
          <w:vertAlign w:val="superscript"/>
        </w:rPr>
      </w:pPr>
      <w:r>
        <w:rPr>
          <w:rFonts w:ascii="Arial" w:cs="Arial" w:eastAsia="Arial" w:hAnsi="Arial"/>
          <w:sz w:val="18"/>
          <w:szCs w:val="18"/>
          <w:color w:val="auto"/>
        </w:rPr>
        <w:t>audit quality and efficiency, including the performance of the audit partner and audit team and their audit approach;</w:t>
      </w:r>
    </w:p>
    <w:p>
      <w:pPr>
        <w:spacing w:after="0" w:line="104" w:lineRule="exact"/>
        <w:rPr>
          <w:rFonts w:ascii="MS PGothic" w:cs="MS PGothic" w:eastAsia="MS PGothic" w:hAnsi="MS PGothic"/>
          <w:sz w:val="29"/>
          <w:szCs w:val="29"/>
          <w:color w:val="002060"/>
          <w:vertAlign w:val="superscript"/>
        </w:rPr>
      </w:pPr>
    </w:p>
    <w:p>
      <w:pPr>
        <w:ind w:left="960" w:hanging="532"/>
        <w:spacing w:after="0" w:line="182" w:lineRule="auto"/>
        <w:tabs>
          <w:tab w:leader="none" w:pos="960" w:val="left"/>
        </w:tabs>
        <w:numPr>
          <w:ilvl w:val="0"/>
          <w:numId w:val="21"/>
        </w:numPr>
        <w:rPr>
          <w:rFonts w:ascii="MS PGothic" w:cs="MS PGothic" w:eastAsia="MS PGothic" w:hAnsi="MS PGothic"/>
          <w:sz w:val="29"/>
          <w:szCs w:val="29"/>
          <w:color w:val="002060"/>
          <w:vertAlign w:val="superscript"/>
        </w:rPr>
      </w:pPr>
      <w:r>
        <w:rPr>
          <w:rFonts w:ascii="Arial" w:cs="Arial" w:eastAsia="Arial" w:hAnsi="Arial"/>
          <w:sz w:val="18"/>
          <w:szCs w:val="18"/>
          <w:color w:val="auto"/>
        </w:rPr>
        <w:t>the quality and candor of the firm’s communications with the Audit Committee;</w:t>
      </w:r>
    </w:p>
    <w:p>
      <w:pPr>
        <w:spacing w:after="0" w:line="104" w:lineRule="exact"/>
        <w:rPr>
          <w:rFonts w:ascii="MS PGothic" w:cs="MS PGothic" w:eastAsia="MS PGothic" w:hAnsi="MS PGothic"/>
          <w:sz w:val="29"/>
          <w:szCs w:val="29"/>
          <w:color w:val="002060"/>
          <w:vertAlign w:val="superscript"/>
        </w:rPr>
      </w:pPr>
    </w:p>
    <w:p>
      <w:pPr>
        <w:ind w:left="960" w:hanging="532"/>
        <w:spacing w:after="0" w:line="182" w:lineRule="auto"/>
        <w:tabs>
          <w:tab w:leader="none" w:pos="960" w:val="left"/>
        </w:tabs>
        <w:numPr>
          <w:ilvl w:val="0"/>
          <w:numId w:val="21"/>
        </w:numPr>
        <w:rPr>
          <w:rFonts w:ascii="MS PGothic" w:cs="MS PGothic" w:eastAsia="MS PGothic" w:hAnsi="MS PGothic"/>
          <w:sz w:val="29"/>
          <w:szCs w:val="29"/>
          <w:color w:val="002060"/>
          <w:vertAlign w:val="superscript"/>
        </w:rPr>
      </w:pPr>
      <w:r>
        <w:rPr>
          <w:rFonts w:ascii="Arial" w:cs="Arial" w:eastAsia="Arial" w:hAnsi="Arial"/>
          <w:sz w:val="18"/>
          <w:szCs w:val="18"/>
          <w:color w:val="auto"/>
        </w:rPr>
        <w:t>the independence, objectivity and integrity of the firm;</w:t>
      </w:r>
    </w:p>
    <w:p>
      <w:pPr>
        <w:spacing w:after="0" w:line="104" w:lineRule="exact"/>
        <w:rPr>
          <w:rFonts w:ascii="MS PGothic" w:cs="MS PGothic" w:eastAsia="MS PGothic" w:hAnsi="MS PGothic"/>
          <w:sz w:val="29"/>
          <w:szCs w:val="29"/>
          <w:color w:val="002060"/>
          <w:vertAlign w:val="superscript"/>
        </w:rPr>
      </w:pPr>
    </w:p>
    <w:p>
      <w:pPr>
        <w:ind w:left="960" w:hanging="532"/>
        <w:spacing w:after="0" w:line="182" w:lineRule="auto"/>
        <w:tabs>
          <w:tab w:leader="none" w:pos="960" w:val="left"/>
        </w:tabs>
        <w:numPr>
          <w:ilvl w:val="0"/>
          <w:numId w:val="21"/>
        </w:numPr>
        <w:rPr>
          <w:rFonts w:ascii="MS PGothic" w:cs="MS PGothic" w:eastAsia="MS PGothic" w:hAnsi="MS PGothic"/>
          <w:sz w:val="29"/>
          <w:szCs w:val="29"/>
          <w:color w:val="002060"/>
          <w:vertAlign w:val="superscript"/>
        </w:rPr>
      </w:pPr>
      <w:r>
        <w:rPr>
          <w:rFonts w:ascii="Arial" w:cs="Arial" w:eastAsia="Arial" w:hAnsi="Arial"/>
          <w:sz w:val="18"/>
          <w:szCs w:val="18"/>
          <w:color w:val="auto"/>
        </w:rPr>
        <w:t>known significant legal or regulatory proceedings against the firm;</w:t>
      </w:r>
    </w:p>
    <w:p>
      <w:pPr>
        <w:spacing w:after="0" w:line="104" w:lineRule="exact"/>
        <w:rPr>
          <w:rFonts w:ascii="MS PGothic" w:cs="MS PGothic" w:eastAsia="MS PGothic" w:hAnsi="MS PGothic"/>
          <w:sz w:val="29"/>
          <w:szCs w:val="29"/>
          <w:color w:val="002060"/>
          <w:vertAlign w:val="superscript"/>
        </w:rPr>
      </w:pPr>
    </w:p>
    <w:p>
      <w:pPr>
        <w:ind w:left="960" w:hanging="532"/>
        <w:spacing w:after="0" w:line="182" w:lineRule="auto"/>
        <w:tabs>
          <w:tab w:leader="none" w:pos="960" w:val="left"/>
        </w:tabs>
        <w:numPr>
          <w:ilvl w:val="0"/>
          <w:numId w:val="21"/>
        </w:numPr>
        <w:rPr>
          <w:rFonts w:ascii="MS PGothic" w:cs="MS PGothic" w:eastAsia="MS PGothic" w:hAnsi="MS PGothic"/>
          <w:sz w:val="29"/>
          <w:szCs w:val="29"/>
          <w:color w:val="002060"/>
          <w:vertAlign w:val="superscript"/>
        </w:rPr>
      </w:pPr>
      <w:r>
        <w:rPr>
          <w:rFonts w:ascii="Arial" w:cs="Arial" w:eastAsia="Arial" w:hAnsi="Arial"/>
          <w:sz w:val="18"/>
          <w:szCs w:val="18"/>
          <w:color w:val="auto"/>
        </w:rPr>
        <w:t>the firm’s internal quality control procedures;</w:t>
      </w:r>
    </w:p>
    <w:p>
      <w:pPr>
        <w:spacing w:after="0" w:line="104" w:lineRule="exact"/>
        <w:rPr>
          <w:rFonts w:ascii="MS PGothic" w:cs="MS PGothic" w:eastAsia="MS PGothic" w:hAnsi="MS PGothic"/>
          <w:sz w:val="29"/>
          <w:szCs w:val="29"/>
          <w:color w:val="002060"/>
          <w:vertAlign w:val="superscript"/>
        </w:rPr>
      </w:pPr>
    </w:p>
    <w:p>
      <w:pPr>
        <w:ind w:left="960" w:hanging="532"/>
        <w:spacing w:after="0" w:line="182" w:lineRule="auto"/>
        <w:tabs>
          <w:tab w:leader="none" w:pos="960" w:val="left"/>
        </w:tabs>
        <w:numPr>
          <w:ilvl w:val="0"/>
          <w:numId w:val="21"/>
        </w:numPr>
        <w:rPr>
          <w:rFonts w:ascii="MS PGothic" w:cs="MS PGothic" w:eastAsia="MS PGothic" w:hAnsi="MS PGothic"/>
          <w:sz w:val="29"/>
          <w:szCs w:val="29"/>
          <w:color w:val="002060"/>
          <w:vertAlign w:val="superscript"/>
        </w:rPr>
      </w:pPr>
      <w:r>
        <w:rPr>
          <w:rFonts w:ascii="Arial" w:cs="Arial" w:eastAsia="Arial" w:hAnsi="Arial"/>
          <w:sz w:val="18"/>
          <w:szCs w:val="18"/>
          <w:color w:val="auto"/>
        </w:rPr>
        <w:t>the appropriateness of the firm’s fees; and</w:t>
      </w:r>
    </w:p>
    <w:p>
      <w:pPr>
        <w:spacing w:after="0" w:line="104" w:lineRule="exact"/>
        <w:rPr>
          <w:rFonts w:ascii="MS PGothic" w:cs="MS PGothic" w:eastAsia="MS PGothic" w:hAnsi="MS PGothic"/>
          <w:sz w:val="29"/>
          <w:szCs w:val="29"/>
          <w:color w:val="002060"/>
          <w:vertAlign w:val="superscript"/>
        </w:rPr>
      </w:pPr>
    </w:p>
    <w:p>
      <w:pPr>
        <w:ind w:left="960" w:hanging="532"/>
        <w:spacing w:after="0" w:line="182" w:lineRule="auto"/>
        <w:tabs>
          <w:tab w:leader="none" w:pos="960" w:val="left"/>
        </w:tabs>
        <w:numPr>
          <w:ilvl w:val="0"/>
          <w:numId w:val="21"/>
        </w:numPr>
        <w:rPr>
          <w:rFonts w:ascii="MS PGothic" w:cs="MS PGothic" w:eastAsia="MS PGothic" w:hAnsi="MS PGothic"/>
          <w:sz w:val="29"/>
          <w:szCs w:val="29"/>
          <w:color w:val="002060"/>
          <w:vertAlign w:val="superscript"/>
        </w:rPr>
      </w:pPr>
      <w:r>
        <w:rPr>
          <w:rFonts w:ascii="Arial" w:cs="Arial" w:eastAsia="Arial" w:hAnsi="Arial"/>
          <w:sz w:val="18"/>
          <w:szCs w:val="18"/>
          <w:color w:val="auto"/>
        </w:rPr>
        <w:t>the benefits of having a long-tenured auditor and potential impact of selecting a different auditing firm.</w:t>
      </w:r>
    </w:p>
    <w:p>
      <w:pPr>
        <w:spacing w:after="0" w:line="182"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Based upon its assessment of Deloitte’s performance, the Audit Committee believes that the retention of Deloitte as our independent registered public accounting firm is in the best interests of the Company and our stockholders. The Audit Committee believes that Deloitte’s tenure as our independent registered public accounting firm confers distinct benefits, including enhanced audit quality and efficiency of audit plans due to Deloitte’s significant institutional knowledge of the Company and its operations, accounting practices and internal controls framework.</w:t>
      </w:r>
    </w:p>
    <w:p>
      <w:pPr>
        <w:spacing w:after="0" w:line="179"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are asking our stockholders to ratify the selection of Deloitte as our independent registered public accounting firm for 2024. Although stockholder ratification is not required, we value our stockholders’ views on our independent registered public accounting firm. If our stockholders fail to ratify the appointment of Deloitte, the Audit Committee will reconsider whether or not to retain Deloitte and may retain that firm or another firm without resubmitting the matter to our stockholders. Even if the selection of Deloitte is ratified, the Audit Committee may, in its discretion, select a different firm at any time during the year if it determines that such a change would be in the best interests of the Company and its stockholders.</w:t>
      </w:r>
    </w:p>
    <w:p>
      <w:pPr>
        <w:spacing w:after="0" w:line="17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A representative of Deloitte is expected to be present at the Annual Meeting, will be given an opportunity to make a statement and will be available to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100965</wp:posOffset>
            </wp:positionV>
            <wp:extent cx="699516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0070C0"/>
        </w:rPr>
        <w:t>Proposal 2 – Ratification of the Appointment of our Indpendent Registered Public Accounting Firm</w:t>
      </w:r>
    </w:p>
    <w:p>
      <w:pPr>
        <w:spacing w:after="0" w:line="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0070C0"/>
        </w:rPr>
        <w:t>40</w:t>
      </w:r>
    </w:p>
    <w:p>
      <w:pPr>
        <w:sectPr>
          <w:pgSz w:w="11900" w:h="16838" w:orient="portrait"/>
          <w:cols w:equalWidth="0" w:num="1">
            <w:col w:w="10920"/>
          </w:cols>
          <w:pgMar w:left="440" w:top="261" w:right="539" w:bottom="1440" w:gutter="0" w:footer="0" w:header="0"/>
        </w:sectPr>
      </w:pPr>
    </w:p>
    <w:bookmarkStart w:id="48" w:name="page49"/>
    <w:bookmarkEnd w:id="48"/>
    <w:p>
      <w:pPr>
        <w:spacing w:after="0"/>
        <w:rPr>
          <w:sz w:val="20"/>
          <w:szCs w:val="20"/>
          <w:color w:val="auto"/>
        </w:rPr>
      </w:pPr>
      <w:r>
        <w:rPr>
          <w:rFonts w:ascii="Arial" w:cs="Arial" w:eastAsia="Arial" w:hAnsi="Arial"/>
          <w:sz w:val="22"/>
          <w:szCs w:val="22"/>
          <w:b w:val="1"/>
          <w:bCs w:val="1"/>
          <w:color w:val="00206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Fees Paid to Deloitte</w:t>
      </w:r>
    </w:p>
    <w:p>
      <w:pPr>
        <w:spacing w:after="0" w:line="108"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Deloitte audited our consolidated financial statements and effectiveness of internal controls over financial reporting during the years ended December 31, 2023 and 2022. During these periods, Deloitte provided both audit and non-audit services. The following table sets forth the aggregate fees we paid to Deloitte in 2023 and 2022, respectively.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480" w:type="dxa"/>
            <w:vAlign w:val="bottom"/>
          </w:tcPr>
          <w:p>
            <w:pPr>
              <w:spacing w:after="0"/>
              <w:rPr>
                <w:sz w:val="19"/>
                <w:szCs w:val="19"/>
                <w:color w:val="auto"/>
              </w:rPr>
            </w:pPr>
          </w:p>
        </w:tc>
        <w:tc>
          <w:tcPr>
            <w:tcW w:w="1320" w:type="dxa"/>
            <w:vAlign w:val="bottom"/>
          </w:tcPr>
          <w:p>
            <w:pPr>
              <w:jc w:val="right"/>
              <w:ind w:right="272"/>
              <w:spacing w:after="0"/>
              <w:rPr>
                <w:sz w:val="20"/>
                <w:szCs w:val="20"/>
                <w:color w:val="auto"/>
              </w:rPr>
            </w:pPr>
            <w:r>
              <w:rPr>
                <w:rFonts w:ascii="Arial" w:cs="Arial" w:eastAsia="Arial" w:hAnsi="Arial"/>
                <w:sz w:val="16"/>
                <w:szCs w:val="16"/>
                <w:b w:val="1"/>
                <w:bCs w:val="1"/>
                <w:color w:val="auto"/>
              </w:rPr>
              <w:t>2023</w:t>
            </w:r>
          </w:p>
        </w:tc>
        <w:tc>
          <w:tcPr>
            <w:tcW w:w="1220" w:type="dxa"/>
            <w:vAlign w:val="bottom"/>
          </w:tcPr>
          <w:p>
            <w:pPr>
              <w:jc w:val="right"/>
              <w:ind w:right="412"/>
              <w:spacing w:after="0"/>
              <w:rPr>
                <w:sz w:val="20"/>
                <w:szCs w:val="20"/>
                <w:color w:val="auto"/>
              </w:rPr>
            </w:pPr>
            <w:r>
              <w:rPr>
                <w:rFonts w:ascii="Arial" w:cs="Arial" w:eastAsia="Arial" w:hAnsi="Arial"/>
                <w:sz w:val="16"/>
                <w:szCs w:val="16"/>
                <w:b w:val="1"/>
                <w:bCs w:val="1"/>
                <w:color w:val="auto"/>
              </w:rPr>
              <w:t>2022</w:t>
            </w:r>
          </w:p>
        </w:tc>
      </w:tr>
      <w:tr>
        <w:trPr>
          <w:trHeight w:val="42"/>
        </w:trPr>
        <w:tc>
          <w:tcPr>
            <w:tcW w:w="8480" w:type="dxa"/>
            <w:vAlign w:val="bottom"/>
            <w:tcBorders>
              <w:bottom w:val="single" w:sz="8" w:color="0070C0"/>
            </w:tcBorders>
          </w:tcPr>
          <w:p>
            <w:pPr>
              <w:spacing w:after="0"/>
              <w:rPr>
                <w:sz w:val="3"/>
                <w:szCs w:val="3"/>
                <w:color w:val="auto"/>
              </w:rPr>
            </w:pPr>
          </w:p>
        </w:tc>
        <w:tc>
          <w:tcPr>
            <w:tcW w:w="1320" w:type="dxa"/>
            <w:vAlign w:val="bottom"/>
            <w:tcBorders>
              <w:bottom w:val="single" w:sz="8" w:color="0070C0"/>
            </w:tcBorders>
          </w:tcPr>
          <w:p>
            <w:pPr>
              <w:spacing w:after="0"/>
              <w:rPr>
                <w:sz w:val="3"/>
                <w:szCs w:val="3"/>
                <w:color w:val="auto"/>
              </w:rPr>
            </w:pPr>
          </w:p>
        </w:tc>
        <w:tc>
          <w:tcPr>
            <w:tcW w:w="1220" w:type="dxa"/>
            <w:vAlign w:val="bottom"/>
            <w:tcBorders>
              <w:bottom w:val="single" w:sz="8" w:color="0070C0"/>
            </w:tcBorders>
          </w:tcPr>
          <w:p>
            <w:pPr>
              <w:spacing w:after="0"/>
              <w:rPr>
                <w:sz w:val="3"/>
                <w:szCs w:val="3"/>
                <w:color w:val="auto"/>
              </w:rPr>
            </w:pPr>
          </w:p>
        </w:tc>
      </w:tr>
      <w:tr>
        <w:trPr>
          <w:trHeight w:val="203"/>
        </w:trPr>
        <w:tc>
          <w:tcPr>
            <w:tcW w:w="8480" w:type="dxa"/>
            <w:vAlign w:val="bottom"/>
            <w:tcBorders>
              <w:bottom w:val="single" w:sz="8" w:color="auto"/>
            </w:tcBorders>
            <w:shd w:val="clear" w:color="auto" w:fill="D5DCE4"/>
          </w:tcPr>
          <w:p>
            <w:pPr>
              <w:spacing w:after="0" w:line="202" w:lineRule="exact"/>
              <w:rPr>
                <w:sz w:val="20"/>
                <w:szCs w:val="20"/>
                <w:color w:val="auto"/>
              </w:rPr>
            </w:pPr>
            <w:r>
              <w:rPr>
                <w:rFonts w:ascii="Arial" w:cs="Arial" w:eastAsia="Arial" w:hAnsi="Arial"/>
                <w:sz w:val="18"/>
                <w:szCs w:val="18"/>
                <w:color w:val="auto"/>
              </w:rPr>
              <w:t>  Audit Fees</w:t>
            </w: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$2,339,666</w:t>
            </w:r>
          </w:p>
        </w:tc>
        <w:tc>
          <w:tcPr>
            <w:tcW w:w="1220" w:type="dxa"/>
            <w:vAlign w:val="bottom"/>
            <w:tcBorders>
              <w:bottom w:val="single" w:sz="8" w:color="auto"/>
            </w:tcBorders>
          </w:tcPr>
          <w:p>
            <w:pPr>
              <w:jc w:val="right"/>
              <w:ind w:right="132"/>
              <w:spacing w:after="0" w:line="202" w:lineRule="exact"/>
              <w:rPr>
                <w:sz w:val="20"/>
                <w:szCs w:val="20"/>
                <w:color w:val="auto"/>
              </w:rPr>
            </w:pPr>
            <w:r>
              <w:rPr>
                <w:rFonts w:ascii="Arial" w:cs="Arial" w:eastAsia="Arial" w:hAnsi="Arial"/>
                <w:sz w:val="18"/>
                <w:szCs w:val="18"/>
                <w:color w:val="auto"/>
              </w:rPr>
              <w:t>$2,395,889</w:t>
            </w:r>
          </w:p>
        </w:tc>
      </w:tr>
      <w:tr>
        <w:trPr>
          <w:trHeight w:val="196"/>
        </w:trPr>
        <w:tc>
          <w:tcPr>
            <w:tcW w:w="848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  Audit Related Fees</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32"/>
              <w:spacing w:after="0" w:line="196" w:lineRule="exact"/>
              <w:rPr>
                <w:sz w:val="20"/>
                <w:szCs w:val="20"/>
                <w:color w:val="auto"/>
              </w:rPr>
            </w:pPr>
            <w:r>
              <w:rPr>
                <w:rFonts w:ascii="Arial" w:cs="Arial" w:eastAsia="Arial" w:hAnsi="Arial"/>
                <w:sz w:val="18"/>
                <w:szCs w:val="18"/>
                <w:color w:val="auto"/>
              </w:rPr>
              <w:t>111,930</w:t>
            </w:r>
          </w:p>
        </w:tc>
      </w:tr>
      <w:tr>
        <w:trPr>
          <w:trHeight w:val="196"/>
        </w:trPr>
        <w:tc>
          <w:tcPr>
            <w:tcW w:w="848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  Tax Related Fees</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32"/>
              <w:spacing w:after="0" w:line="196" w:lineRule="exact"/>
              <w:rPr>
                <w:sz w:val="20"/>
                <w:szCs w:val="20"/>
                <w:color w:val="auto"/>
              </w:rPr>
            </w:pPr>
            <w:r>
              <w:rPr>
                <w:rFonts w:ascii="Arial" w:cs="Arial" w:eastAsia="Arial" w:hAnsi="Arial"/>
                <w:sz w:val="18"/>
                <w:szCs w:val="18"/>
                <w:color w:val="auto"/>
              </w:rPr>
              <w:t>–</w:t>
            </w:r>
          </w:p>
        </w:tc>
      </w:tr>
      <w:tr>
        <w:trPr>
          <w:trHeight w:val="196"/>
        </w:trPr>
        <w:tc>
          <w:tcPr>
            <w:tcW w:w="848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  All Other Fees</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2,037</w:t>
            </w:r>
          </w:p>
        </w:tc>
        <w:tc>
          <w:tcPr>
            <w:tcW w:w="1220" w:type="dxa"/>
            <w:vAlign w:val="bottom"/>
            <w:tcBorders>
              <w:bottom w:val="single" w:sz="8" w:color="auto"/>
            </w:tcBorders>
          </w:tcPr>
          <w:p>
            <w:pPr>
              <w:jc w:val="right"/>
              <w:ind w:right="132"/>
              <w:spacing w:after="0" w:line="196" w:lineRule="exact"/>
              <w:rPr>
                <w:sz w:val="20"/>
                <w:szCs w:val="20"/>
                <w:color w:val="auto"/>
              </w:rPr>
            </w:pPr>
            <w:r>
              <w:rPr>
                <w:rFonts w:ascii="Arial" w:cs="Arial" w:eastAsia="Arial" w:hAnsi="Arial"/>
                <w:sz w:val="18"/>
                <w:szCs w:val="18"/>
                <w:color w:val="auto"/>
              </w:rPr>
              <w:t>2,037</w:t>
            </w:r>
          </w:p>
        </w:tc>
      </w:tr>
      <w:tr>
        <w:trPr>
          <w:trHeight w:val="203"/>
        </w:trPr>
        <w:tc>
          <w:tcPr>
            <w:tcW w:w="8480" w:type="dxa"/>
            <w:vAlign w:val="bottom"/>
            <w:tcBorders>
              <w:bottom w:val="single" w:sz="8" w:color="0070C0"/>
            </w:tcBorders>
            <w:shd w:val="clear" w:color="auto" w:fill="D5DCE4"/>
          </w:tcPr>
          <w:p>
            <w:pPr>
              <w:ind w:left="360"/>
              <w:spacing w:after="0" w:line="196" w:lineRule="exact"/>
              <w:rPr>
                <w:sz w:val="20"/>
                <w:szCs w:val="20"/>
                <w:color w:val="auto"/>
              </w:rPr>
            </w:pPr>
            <w:r>
              <w:rPr>
                <w:rFonts w:ascii="Arial" w:cs="Arial" w:eastAsia="Arial" w:hAnsi="Arial"/>
                <w:sz w:val="18"/>
                <w:szCs w:val="18"/>
                <w:color w:val="auto"/>
              </w:rPr>
              <w:t>  Total</w:t>
            </w:r>
          </w:p>
        </w:tc>
        <w:tc>
          <w:tcPr>
            <w:tcW w:w="1320" w:type="dxa"/>
            <w:vAlign w:val="bottom"/>
            <w:tcBorders>
              <w:bottom w:val="single" w:sz="8" w:color="0070C0"/>
            </w:tcBorders>
          </w:tcPr>
          <w:p>
            <w:pPr>
              <w:jc w:val="right"/>
              <w:spacing w:after="0" w:line="196" w:lineRule="exact"/>
              <w:rPr>
                <w:sz w:val="20"/>
                <w:szCs w:val="20"/>
                <w:color w:val="auto"/>
              </w:rPr>
            </w:pPr>
            <w:r>
              <w:rPr>
                <w:rFonts w:ascii="Arial" w:cs="Arial" w:eastAsia="Arial" w:hAnsi="Arial"/>
                <w:sz w:val="18"/>
                <w:szCs w:val="18"/>
                <w:color w:val="auto"/>
              </w:rPr>
              <w:t>$2,341,703</w:t>
            </w:r>
          </w:p>
        </w:tc>
        <w:tc>
          <w:tcPr>
            <w:tcW w:w="1220" w:type="dxa"/>
            <w:vAlign w:val="bottom"/>
            <w:tcBorders>
              <w:bottom w:val="single" w:sz="8" w:color="0070C0"/>
            </w:tcBorders>
          </w:tcPr>
          <w:p>
            <w:pPr>
              <w:jc w:val="right"/>
              <w:ind w:right="132"/>
              <w:spacing w:after="0" w:line="196" w:lineRule="exact"/>
              <w:rPr>
                <w:sz w:val="20"/>
                <w:szCs w:val="20"/>
                <w:color w:val="auto"/>
              </w:rPr>
            </w:pPr>
            <w:r>
              <w:rPr>
                <w:rFonts w:ascii="Arial" w:cs="Arial" w:eastAsia="Arial" w:hAnsi="Arial"/>
                <w:sz w:val="18"/>
                <w:szCs w:val="18"/>
                <w:color w:val="auto"/>
              </w:rPr>
              <w:t>$2,509,856</w:t>
            </w:r>
          </w:p>
        </w:tc>
      </w:tr>
    </w:tbl>
    <w:p>
      <w:pPr>
        <w:spacing w:after="0" w:line="197" w:lineRule="exact"/>
        <w:rPr>
          <w:sz w:val="20"/>
          <w:szCs w:val="20"/>
          <w:color w:val="auto"/>
        </w:rPr>
      </w:pPr>
    </w:p>
    <w:p>
      <w:pPr>
        <w:ind w:right="260"/>
        <w:spacing w:after="0" w:line="301" w:lineRule="auto"/>
        <w:rPr>
          <w:sz w:val="20"/>
          <w:szCs w:val="20"/>
          <w:color w:val="auto"/>
        </w:rPr>
      </w:pPr>
      <w:r>
        <w:rPr>
          <w:rFonts w:ascii="Arial" w:cs="Arial" w:eastAsia="Arial" w:hAnsi="Arial"/>
          <w:sz w:val="17"/>
          <w:szCs w:val="17"/>
          <w:color w:val="auto"/>
        </w:rPr>
        <w:t>Audit Fees were for the audits of our annual consolidated financial statements and internal control over financial reporting, review of our quarterly consolidated financial statements and services provided in connection with statutory and regulatory filings or engagements.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Audit Related Fees were for permissible advisory services in connection with ESG compliance and assurance readiness.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Tax Related Fees were for services related to tax consultation services.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All Other Fees were for permissible work that does not fit within the above categories, primarily technical subscriptions.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Pre-Approval of Services</w:t>
      </w:r>
    </w:p>
    <w:p>
      <w:pPr>
        <w:spacing w:after="0" w:line="216"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The Audit Committee has established a policy requiring pre-approval of all audit and non-audit services provided by our independent registered public accounting firm. On an ongoing basis, management submits to the Audit Committee specific projects and services to be performed by Deloitte for which it seeks advance approval. The Audit Committee reviews these requests and determines whether to approve the requested engagement. Periodically management reports to the Audit Committee the actual spending for such projects and services compared to the approved amounts. All services provided by Deloitte in 2023 were pre-approved by the Audit Committee in accordance with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6995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Proposal 2 – Ratification of the Appointment of our Indpendent Registered Public Accounting Firm</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41</w:t>
      </w:r>
    </w:p>
    <w:p>
      <w:pPr>
        <w:sectPr>
          <w:pgSz w:w="11900" w:h="16838" w:orient="portrait"/>
          <w:cols w:equalWidth="0" w:num="1">
            <w:col w:w="11020"/>
          </w:cols>
          <w:pgMar w:left="440" w:top="287" w:right="439" w:bottom="1440" w:gutter="0" w:footer="0" w:header="0"/>
        </w:sectPr>
      </w:pPr>
    </w:p>
    <w:bookmarkStart w:id="49" w:name="page50"/>
    <w:bookmarkEnd w:id="49"/>
    <w:p>
      <w:pPr>
        <w:spacing w:after="0"/>
        <w:rPr>
          <w:sz w:val="20"/>
          <w:szCs w:val="20"/>
          <w:color w:val="auto"/>
        </w:rPr>
      </w:pPr>
      <w:r>
        <w:rPr>
          <w:rFonts w:ascii="Arial" w:cs="Arial" w:eastAsia="Arial" w:hAnsi="Arial"/>
          <w:sz w:val="22"/>
          <w:szCs w:val="22"/>
          <w:b w:val="1"/>
          <w:bCs w:val="1"/>
          <w:color w:val="00206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7580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4758055"/>
                    </a:xfrm>
                    <a:prstGeom prst="rect">
                      <a:avLst/>
                    </a:prstGeom>
                    <a:noFill/>
                  </pic:spPr>
                </pic:pic>
              </a:graphicData>
            </a:graphic>
          </wp:anchor>
        </w:drawing>
        <w:t>  Report of the Audit Committee</w:t>
      </w:r>
    </w:p>
    <w:p>
      <w:pPr>
        <w:spacing w:after="0" w:line="288" w:lineRule="exact"/>
        <w:rPr>
          <w:sz w:val="20"/>
          <w:szCs w:val="20"/>
          <w:color w:val="auto"/>
        </w:rPr>
      </w:pPr>
    </w:p>
    <w:p>
      <w:pPr>
        <w:ind w:left="140" w:right="60"/>
        <w:spacing w:after="0" w:line="256" w:lineRule="auto"/>
        <w:rPr>
          <w:sz w:val="20"/>
          <w:szCs w:val="20"/>
          <w:color w:val="auto"/>
        </w:rPr>
      </w:pPr>
      <w:r>
        <w:rPr>
          <w:rFonts w:ascii="Arial" w:cs="Arial" w:eastAsia="Arial" w:hAnsi="Arial"/>
          <w:sz w:val="16"/>
          <w:szCs w:val="16"/>
          <w:color w:val="auto"/>
        </w:rPr>
        <w:t>Management is responsible for the preparation and presentation of the Company’s financial statements and for developing, maintaining and evaluating internal controls over financial reporting and procedures that are reasonably designed to assure compliance with accounting standards and applicable law. The Company’s independent registered public accounting firm, Deloitte &amp; Touche LLP (“Deloitte”), is responsible for performing an independent audit of the Company’s consolidated financial statements in accordance with the standards of the Public Company Accounting Oversight Board (United States) (“PCAOB”).</w:t>
      </w:r>
    </w:p>
    <w:p>
      <w:pPr>
        <w:spacing w:after="0" w:line="207" w:lineRule="exact"/>
        <w:rPr>
          <w:sz w:val="20"/>
          <w:szCs w:val="20"/>
          <w:color w:val="auto"/>
        </w:rPr>
      </w:pPr>
    </w:p>
    <w:p>
      <w:pPr>
        <w:ind w:left="140"/>
        <w:spacing w:after="0" w:line="253" w:lineRule="auto"/>
        <w:rPr>
          <w:sz w:val="20"/>
          <w:szCs w:val="20"/>
          <w:color w:val="auto"/>
        </w:rPr>
      </w:pPr>
      <w:r>
        <w:rPr>
          <w:rFonts w:ascii="Arial" w:cs="Arial" w:eastAsia="Arial" w:hAnsi="Arial"/>
          <w:sz w:val="16"/>
          <w:szCs w:val="16"/>
          <w:color w:val="auto"/>
        </w:rPr>
        <w:t>The Audit Committee’s responsibility is to provide independent and objective oversight of the Company’s financial reporting and internal controls processes. In fulfilling its oversight responsibilities, the Audit Committee has reviewed and discussed with management and Deloitte the Company’s audited consolidated financial statements for the fiscal year ended December 31, 2023, the fair and complete presentation of the Company’s results and the assessment of the Company’s internal controls over financial reporting. The Audit Committee discussed significant accounting policies applied in the Company’s financial statements, and, when applicable, alternative accounting treatments. Management represented to the Audit Committee that the financial statements were prepared in accordance with accounting principles generally accepted in the United States. The Audit Committee has also discussed with Deloitte the matters required by the applicable requirements of the PCAOB and the Securities and Exchange Commission.</w:t>
      </w:r>
    </w:p>
    <w:p>
      <w:pPr>
        <w:spacing w:after="0" w:line="208" w:lineRule="exact"/>
        <w:rPr>
          <w:sz w:val="20"/>
          <w:szCs w:val="20"/>
          <w:color w:val="auto"/>
        </w:rPr>
      </w:pPr>
    </w:p>
    <w:p>
      <w:pPr>
        <w:ind w:left="140" w:right="260"/>
        <w:spacing w:after="0" w:line="259" w:lineRule="auto"/>
        <w:rPr>
          <w:sz w:val="20"/>
          <w:szCs w:val="20"/>
          <w:color w:val="auto"/>
        </w:rPr>
      </w:pPr>
      <w:r>
        <w:rPr>
          <w:rFonts w:ascii="Arial" w:cs="Arial" w:eastAsia="Arial" w:hAnsi="Arial"/>
          <w:sz w:val="16"/>
          <w:szCs w:val="16"/>
          <w:color w:val="auto"/>
        </w:rPr>
        <w:t>In addition, the Audit Committee reviewed and discussed with Deloitte its independence from the Company and management. As part of that review, the Audit Committee received the written disclosures from Deloitte required by the PCAOB, and the Audit Committee considered and discussed Deloitte’s independence, including whether the firm’s provision of non-audit services to the Company is compatible with its independence. The Audit Committee concluded that Deloitte is independent from the Company and its management.</w:t>
      </w:r>
    </w:p>
    <w:p>
      <w:pPr>
        <w:spacing w:after="0" w:line="205" w:lineRule="exact"/>
        <w:rPr>
          <w:sz w:val="20"/>
          <w:szCs w:val="20"/>
          <w:color w:val="auto"/>
        </w:rPr>
      </w:pPr>
    </w:p>
    <w:p>
      <w:pPr>
        <w:ind w:left="140" w:right="120"/>
        <w:spacing w:after="0" w:line="259" w:lineRule="auto"/>
        <w:rPr>
          <w:sz w:val="20"/>
          <w:szCs w:val="20"/>
          <w:color w:val="auto"/>
        </w:rPr>
      </w:pPr>
      <w:r>
        <w:rPr>
          <w:rFonts w:ascii="Arial" w:cs="Arial" w:eastAsia="Arial" w:hAnsi="Arial"/>
          <w:sz w:val="16"/>
          <w:szCs w:val="16"/>
          <w:color w:val="auto"/>
        </w:rPr>
        <w:t>The Audit Committee discussed with the Company’s Internal Audit Department and Deloitte the overall scope of and plans for their respective audits. The Audit Committee meets with the Director of Internal Audit and representatives of Deloitte, in regular and executive sessions, to discuss the results of their examinations, the evaluations of the Company’s internal controls and the overall quality of the Company’s financial reporting and compliance programs.</w:t>
      </w:r>
    </w:p>
    <w:p>
      <w:pPr>
        <w:spacing w:after="0" w:line="205" w:lineRule="exact"/>
        <w:rPr>
          <w:sz w:val="20"/>
          <w:szCs w:val="20"/>
          <w:color w:val="auto"/>
        </w:rPr>
      </w:pPr>
    </w:p>
    <w:p>
      <w:pPr>
        <w:ind w:left="140" w:right="180"/>
        <w:spacing w:after="0" w:line="266" w:lineRule="auto"/>
        <w:rPr>
          <w:sz w:val="20"/>
          <w:szCs w:val="20"/>
          <w:color w:val="auto"/>
        </w:rPr>
      </w:pPr>
      <w:r>
        <w:rPr>
          <w:rFonts w:ascii="Arial" w:cs="Arial" w:eastAsia="Arial" w:hAnsi="Arial"/>
          <w:sz w:val="16"/>
          <w:szCs w:val="16"/>
          <w:color w:val="auto"/>
        </w:rPr>
        <w:t>Based on these reviews and discussions, the Audit Committee has recommended to the Board that the audited consolidated financial statements referred to above be included in the Company’s Annual Report on Form 10-K for the fiscal year ended December 31, 2023. The Audit Committee has selected, and the Board of Directors has ratified the selection of, Deloitte as the Company’s independent registered public accounting firm for 2024.</w:t>
      </w:r>
    </w:p>
    <w:p>
      <w:pPr>
        <w:spacing w:after="0" w:line="19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Audit Committee</w:t>
      </w:r>
    </w:p>
    <w:p>
      <w:pPr>
        <w:spacing w:after="0" w:line="25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Lawrence A. Hilsheimer (Chair)</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Margot L. Carter</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Michael H. Thomas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Required Vote and Recommendation of the Board</w:t>
      </w:r>
    </w:p>
    <w:p>
      <w:pPr>
        <w:spacing w:after="0" w:line="216"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The affirmative vote of a majority of the shares present or represented by proxy at the Annual Meeting and entitled to vote is required to ratify the appointment of Deloitte as our independent registered public accounting firm for 2024. Brokers have discretion to vote on this proposal in the absence of voting instructions. Abstentions will have the same effect as votes “AGAINST” this proposal. Broker non-votes will have no effect on the outcome of this proposal. Unless otherwise instructed, the persons named as proxies will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140970</wp:posOffset>
            </wp:positionV>
            <wp:extent cx="7012305" cy="127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012305" cy="127698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640" w:right="560"/>
        <w:spacing w:after="0" w:line="251" w:lineRule="auto"/>
        <w:rPr>
          <w:sz w:val="20"/>
          <w:szCs w:val="20"/>
          <w:color w:val="auto"/>
        </w:rPr>
      </w:pPr>
      <w:r>
        <w:rPr>
          <w:rFonts w:ascii="Arial" w:cs="Arial" w:eastAsia="Arial" w:hAnsi="Arial"/>
          <w:sz w:val="22"/>
          <w:szCs w:val="22"/>
          <w:b w:val="1"/>
          <w:bCs w:val="1"/>
          <w:color w:val="002060"/>
        </w:rPr>
        <w:t>THE BOARD OF DIRECTORS UNANIMOUSLY RECOMMENDS THAT YOU VOTE “FOR” THE RATIFICATION OF THE APPOINTMENT OF DELOITTE &amp; TOUCHE LLP AS OUR INDEPENDENT REGISTERED PUBLIC ACCOUNTING FIRM FOR 2024.</w:t>
      </w:r>
    </w:p>
    <w:p>
      <w:pPr>
        <w:spacing w:after="0" w:line="178" w:lineRule="exact"/>
        <w:rPr>
          <w:sz w:val="20"/>
          <w:szCs w:val="20"/>
          <w:color w:val="auto"/>
        </w:rPr>
      </w:pPr>
    </w:p>
    <w:p>
      <w:pPr>
        <w:ind w:left="1640" w:right="600"/>
        <w:spacing w:after="0" w:line="297" w:lineRule="auto"/>
        <w:rPr>
          <w:sz w:val="20"/>
          <w:szCs w:val="20"/>
          <w:color w:val="auto"/>
        </w:rPr>
      </w:pPr>
      <w:r>
        <w:rPr>
          <w:rFonts w:ascii="Arial" w:cs="Arial" w:eastAsia="Arial" w:hAnsi="Arial"/>
          <w:sz w:val="21"/>
          <w:szCs w:val="21"/>
          <w:b w:val="1"/>
          <w:bCs w:val="1"/>
          <w:color w:val="002060"/>
        </w:rPr>
        <w:t>THE BOARD BELIEVES THAT IT IS IN THE BEST INTERESTS OF THE COMPANY AND ITS STOCKHOLDERS TO RETAIN DELOITTE AS OUR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255905</wp:posOffset>
            </wp:positionV>
            <wp:extent cx="6995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Proposal 2 – Ratification of the Appointment of our Indpendent Registered Public Accounting Firm</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42</w:t>
      </w:r>
    </w:p>
    <w:p>
      <w:pPr>
        <w:sectPr>
          <w:pgSz w:w="11900" w:h="16838" w:orient="portrait"/>
          <w:cols w:equalWidth="0" w:num="1">
            <w:col w:w="11000"/>
          </w:cols>
          <w:pgMar w:left="440" w:top="354" w:right="459" w:bottom="1440" w:gutter="0" w:footer="0" w:header="0"/>
        </w:sectPr>
      </w:pPr>
    </w:p>
    <w:bookmarkStart w:id="50" w:name="page51"/>
    <w:bookmarkEnd w:id="50"/>
    <w:p>
      <w:pPr>
        <w:jc w:val="center"/>
        <w:ind w:left="460" w:right="640"/>
        <w:spacing w:after="0" w:line="266" w:lineRule="auto"/>
        <w:rPr>
          <w:sz w:val="20"/>
          <w:szCs w:val="20"/>
          <w:color w:val="auto"/>
        </w:rPr>
      </w:pPr>
      <w:r>
        <w:rPr>
          <w:rFonts w:ascii="Times New Roman" w:cs="Times New Roman" w:eastAsia="Times New Roman" w:hAnsi="Times New Roman"/>
          <w:sz w:val="40"/>
          <w:szCs w:val="40"/>
          <w:b w:val="1"/>
          <w:bCs w:val="1"/>
          <w:color w:val="0070C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3 – NON-BINDING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951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7"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As required by Section 14A of the Securities Exchange Act of 1934 (the “Exchange Act”) and as a matter of good corporate governance, we are seeking stockholder approval of our executive compensation program. This vote is not intended to address any specific item of compensation, but rather the overall compensation of our named executive officers (“NEOs”) and the executive compensation program and practices described in this Proxy Statement.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Stockholders are being asked to vote on the following advisory resolution:</w:t>
      </w:r>
    </w:p>
    <w:p>
      <w:pPr>
        <w:spacing w:after="0" w:line="322" w:lineRule="exact"/>
        <w:rPr>
          <w:sz w:val="20"/>
          <w:szCs w:val="20"/>
          <w:color w:val="auto"/>
        </w:rPr>
      </w:pPr>
    </w:p>
    <w:p>
      <w:pPr>
        <w:ind w:left="440"/>
        <w:spacing w:after="0" w:line="246" w:lineRule="auto"/>
        <w:rPr>
          <w:sz w:val="20"/>
          <w:szCs w:val="20"/>
          <w:color w:val="auto"/>
        </w:rPr>
      </w:pPr>
      <w:r>
        <w:rPr>
          <w:rFonts w:ascii="Arial" w:cs="Arial" w:eastAsia="Arial" w:hAnsi="Arial"/>
          <w:sz w:val="18"/>
          <w:szCs w:val="18"/>
          <w:i w:val="1"/>
          <w:iCs w:val="1"/>
          <w:color w:val="auto"/>
        </w:rPr>
        <w:t>“RESOLVED, that the Company’s stockholders approve, on an advisory basis, the compensation of the Company’s named executive officers for 2023, as disclosed pursuant to the compensation disclosure rules of the Securities and Exchange Commission, including the Compensation Discussion and Analysis and accompanying compensation tables and related narrative disclosures in the Company’s Proxy Statement.”</w:t>
      </w:r>
    </w:p>
    <w:p>
      <w:pPr>
        <w:spacing w:after="0" w:line="175"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We have a pay for performance philosophy that forms the foundation of our decisions regarding payment of executive compensation. We believe that this philosophy and the compensation structure established by the CHC Committee are central to our ability to attract, retain and motivate individuals who can achieve superior financial results in the best interests of the Company and our stockholders. We link pay to performance by weighting a significant portion of the target compensation of our NEOs in variable, or “at risk,” compensation elements. We also align our NEOs’ financial interests with those of our stockholders by awarding a substantial portion of total compensation in the form of equity.</w:t>
      </w:r>
    </w:p>
    <w:p>
      <w:pPr>
        <w:spacing w:after="0" w:line="179" w:lineRule="exact"/>
        <w:rPr>
          <w:sz w:val="20"/>
          <w:szCs w:val="20"/>
          <w:color w:val="auto"/>
        </w:rPr>
      </w:pPr>
    </w:p>
    <w:p>
      <w:pPr>
        <w:jc w:val="both"/>
        <w:ind w:right="620"/>
        <w:spacing w:after="0" w:line="253" w:lineRule="auto"/>
        <w:rPr>
          <w:sz w:val="20"/>
          <w:szCs w:val="20"/>
          <w:color w:val="auto"/>
        </w:rPr>
      </w:pPr>
      <w:r>
        <w:rPr>
          <w:rFonts w:ascii="Arial" w:cs="Arial" w:eastAsia="Arial" w:hAnsi="Arial"/>
          <w:sz w:val="18"/>
          <w:szCs w:val="18"/>
          <w:color w:val="auto"/>
        </w:rPr>
        <w:t>We urge you to read “</w:t>
      </w:r>
      <w:r>
        <w:rPr>
          <w:rFonts w:ascii="Arial" w:cs="Arial" w:eastAsia="Arial" w:hAnsi="Arial"/>
          <w:sz w:val="18"/>
          <w:szCs w:val="18"/>
          <w:i w:val="1"/>
          <w:iCs w:val="1"/>
          <w:color w:val="auto"/>
        </w:rPr>
        <w:t>Executive Compensation – Compensation Discussion and Analysis</w:t>
      </w:r>
      <w:r>
        <w:rPr>
          <w:rFonts w:ascii="Arial" w:cs="Arial" w:eastAsia="Arial" w:hAnsi="Arial"/>
          <w:sz w:val="18"/>
          <w:szCs w:val="18"/>
          <w:color w:val="auto"/>
        </w:rPr>
        <w:t>” below, which describes in detail how our executive compensation program operates and is designed to achieve our compensation objectives, as well as the accompanying compensation tables and narratives that provide detailed information on the compensation of our NEOs.</w:t>
      </w:r>
    </w:p>
    <w:p>
      <w:pPr>
        <w:spacing w:after="0" w:line="169"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This advisory vote, commonly referred to as a “say-on -pay” advisory vote, is non-binding. However, the outcome of the vote will provide valuable information to the CHC Committee regarding stockholder sentiment about our compensation program, which the CHC Committee will consider when making future decisions regarding the compensation of our NEOs. Our executive compensation program was strongly supported by our stockholders in 2023, with approximately 95% of the votes cast at the 2023 Annual Meeting of Stockholders voting in favor. We have held a similar stockholder vote every year since 2017 and expect to hold a similar vote at the 2025 Annual Meeting of Stockholders.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Required Vote and Recommendation of the Board</w:t>
      </w:r>
    </w:p>
    <w:p>
      <w:pPr>
        <w:spacing w:after="0" w:line="216" w:lineRule="exact"/>
        <w:rPr>
          <w:sz w:val="20"/>
          <w:szCs w:val="20"/>
          <w:color w:val="auto"/>
        </w:rPr>
      </w:pPr>
    </w:p>
    <w:p>
      <w:pPr>
        <w:jc w:val="both"/>
        <w:ind w:right="180"/>
        <w:spacing w:after="0" w:line="275" w:lineRule="auto"/>
        <w:rPr>
          <w:sz w:val="20"/>
          <w:szCs w:val="20"/>
          <w:color w:val="auto"/>
        </w:rPr>
      </w:pPr>
      <w:r>
        <w:rPr>
          <w:rFonts w:ascii="Arial" w:cs="Arial" w:eastAsia="Arial" w:hAnsi="Arial"/>
          <w:sz w:val="17"/>
          <w:szCs w:val="17"/>
          <w:color w:val="auto"/>
        </w:rPr>
        <w:t>The affirmative vote of a majority of the shares present or represented by proxy at the Annual Meeting and entitled to vote is required for approval of this advisory resolution. Abstentions will have the same effect as votes “AGAINST” this proposal. Broker non-votes will have no effect on the outcome of the proposal. Unless otherwise instructed, the persons named as proxies will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125095</wp:posOffset>
            </wp:positionV>
            <wp:extent cx="7012305" cy="14916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012305" cy="1491615"/>
                    </a:xfrm>
                    <a:prstGeom prst="rect">
                      <a:avLst/>
                    </a:prstGeom>
                    <a:noFill/>
                  </pic:spPr>
                </pic:pic>
              </a:graphicData>
            </a:graphic>
          </wp:anchor>
        </w:drawing>
      </w:r>
    </w:p>
    <w:p>
      <w:pPr>
        <w:spacing w:after="0" w:line="297" w:lineRule="exact"/>
        <w:rPr>
          <w:sz w:val="20"/>
          <w:szCs w:val="20"/>
          <w:color w:val="auto"/>
        </w:rPr>
      </w:pPr>
    </w:p>
    <w:p>
      <w:pPr>
        <w:ind w:left="1420" w:right="300"/>
        <w:spacing w:after="0" w:line="251" w:lineRule="auto"/>
        <w:rPr>
          <w:sz w:val="20"/>
          <w:szCs w:val="20"/>
          <w:color w:val="auto"/>
        </w:rPr>
      </w:pPr>
      <w:r>
        <w:rPr>
          <w:rFonts w:ascii="Arial" w:cs="Arial" w:eastAsia="Arial" w:hAnsi="Arial"/>
          <w:sz w:val="22"/>
          <w:szCs w:val="22"/>
          <w:b w:val="1"/>
          <w:bCs w:val="1"/>
          <w:color w:val="002060"/>
        </w:rPr>
        <w:t>THE BOARD UNANIMOUSLY RECOMMENDS THAT YOU VOTE “FOR” THE NON-BINDING ADVISORY RESOLUTION APPROVING THE COMPENSATION OF OUR NAMED EXECUTIVE OFFICERS.</w:t>
      </w:r>
    </w:p>
    <w:p>
      <w:pPr>
        <w:spacing w:after="0" w:line="178" w:lineRule="exact"/>
        <w:rPr>
          <w:sz w:val="20"/>
          <w:szCs w:val="20"/>
          <w:color w:val="auto"/>
        </w:rPr>
      </w:pPr>
    </w:p>
    <w:p>
      <w:pPr>
        <w:ind w:left="1420" w:right="1220"/>
        <w:spacing w:after="0" w:line="269" w:lineRule="auto"/>
        <w:rPr>
          <w:sz w:val="20"/>
          <w:szCs w:val="20"/>
          <w:color w:val="auto"/>
        </w:rPr>
      </w:pPr>
      <w:r>
        <w:rPr>
          <w:rFonts w:ascii="Arial" w:cs="Arial" w:eastAsia="Arial" w:hAnsi="Arial"/>
          <w:sz w:val="21"/>
          <w:szCs w:val="21"/>
          <w:b w:val="1"/>
          <w:bCs w:val="1"/>
          <w:color w:val="002060"/>
        </w:rPr>
        <w:t>THE BOARD BELIEVES THAT OUR COMPENSATION PROGRAM SUPPORTS OUR BUSINESS MODEL AND THE OBJECTIVES AND VALUES DESCRIBED IN THE “COMPENSATION DISCUSSION AND ANALYSIS”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410845</wp:posOffset>
            </wp:positionV>
            <wp:extent cx="6995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70C0"/>
        </w:rPr>
        <w:t>Proposal 3 – Non-Binding Advisory Vote on Executive Compensation</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70C0"/>
        </w:rPr>
        <w:t>43</w:t>
      </w:r>
    </w:p>
    <w:p>
      <w:pPr>
        <w:sectPr>
          <w:pgSz w:w="11900" w:h="16838" w:orient="portrait"/>
          <w:cols w:equalWidth="0" w:num="1">
            <w:col w:w="11000"/>
          </w:cols>
          <w:pgMar w:left="440" w:top="261" w:right="459" w:bottom="1440" w:gutter="0" w:footer="0" w:header="0"/>
        </w:sectPr>
      </w:pPr>
    </w:p>
    <w:bookmarkStart w:id="51" w:name="page52"/>
    <w:bookmarkEnd w:id="51"/>
    <w:p>
      <w:pPr>
        <w:jc w:val="center"/>
        <w:ind w:left="920"/>
        <w:spacing w:after="0" w:line="266" w:lineRule="auto"/>
        <w:rPr>
          <w:sz w:val="20"/>
          <w:szCs w:val="20"/>
          <w:color w:val="auto"/>
        </w:rPr>
      </w:pPr>
      <w:r>
        <w:rPr>
          <w:rFonts w:ascii="Times New Roman" w:cs="Times New Roman" w:eastAsia="Times New Roman" w:hAnsi="Times New Roman"/>
          <w:sz w:val="40"/>
          <w:szCs w:val="40"/>
          <w:b w:val="1"/>
          <w:bCs w:val="1"/>
          <w:color w:val="0070C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OFFICERS AND CERTAIN SIGNIFICANT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biographical information regarding our executive officers and certain significant employees is as of April 11, 2024:</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166370</wp:posOffset>
            </wp:positionV>
            <wp:extent cx="6995160" cy="1551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551305"/>
                    </a:xfrm>
                    <a:prstGeom prst="rect">
                      <a:avLst/>
                    </a:prstGeom>
                    <a:noFill/>
                  </pic:spPr>
                </pic:pic>
              </a:graphicData>
            </a:graphic>
          </wp:anchor>
        </w:drawing>
      </w:r>
    </w:p>
    <w:p>
      <w:pPr>
        <w:sectPr>
          <w:pgSz w:w="11900" w:h="16838" w:orient="portrait"/>
          <w:cols w:equalWidth="0" w:num="1">
            <w:col w:w="11000"/>
          </w:cols>
          <w:pgMar w:left="440" w:top="261" w:right="459" w:bottom="1440" w:gutter="0" w:footer="0" w:header="0"/>
        </w:sect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Jeffrey W. Edwards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Age 60</w:t>
      </w:r>
    </w:p>
    <w:p>
      <w:pPr>
        <w:spacing w:after="0" w:line="32" w:lineRule="exact"/>
        <w:rPr>
          <w:sz w:val="20"/>
          <w:szCs w:val="20"/>
          <w:color w:val="auto"/>
        </w:rPr>
      </w:pPr>
    </w:p>
    <w:p>
      <w:pPr>
        <w:ind w:right="660"/>
        <w:spacing w:after="0" w:line="253" w:lineRule="auto"/>
        <w:rPr>
          <w:sz w:val="20"/>
          <w:szCs w:val="20"/>
          <w:color w:val="auto"/>
        </w:rPr>
      </w:pPr>
      <w:r>
        <w:rPr>
          <w:rFonts w:ascii="Arial" w:cs="Arial" w:eastAsia="Arial" w:hAnsi="Arial"/>
          <w:sz w:val="18"/>
          <w:szCs w:val="18"/>
          <w:color w:val="auto"/>
        </w:rPr>
        <w:t>President, Chief Executive Officer and Chairman</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Mr. Edwards is our President, Chief Executive Officer and Chairman and has held these positions since 2011, 2004 and 1999, respectively. Mr. Edwards’ position allows him to advise the Board on management’s perspective over a full range of issues affecting the Company. Prior to joining us, Mr. Edwards acted as an officer and strategist for several companies that he and his family started, acquired or invested in over more than 40 years across a variety of industries, including multi-family and student housing development and management, industrial tool distribution, wholesale building supply, homebuilding, land and real estate development and real estate brokerage. Since 1988, Mr. Edwards has been involved in the launch of many business ventures as well as commercial real estate developments in central Ohio and elsewhere. He holds a B.S. in Marketing from Miami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-1957705</wp:posOffset>
            </wp:positionH>
            <wp:positionV relativeFrom="paragraph">
              <wp:posOffset>220345</wp:posOffset>
            </wp:positionV>
            <wp:extent cx="69951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720"/>
            <w:col w:w="7920"/>
          </w:cols>
          <w:pgMar w:left="440" w:top="261" w:right="459" w:bottom="1440" w:gutter="0" w:footer="0" w:header="0"/>
          <w:type w:val="continuous"/>
        </w:sectPr>
      </w:pP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Todd R. Fry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Age 58</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Chief Accounting Officer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Mr. Fry has been our Chief Accounting Officer since April 2014 and our Treasurer since March 2015. He was Chief Financial Officer of Champion Industries, Inc., a commercial printer, business form manufacturer and supplier of office products and office furniture, from 1999 to April 2014, where his responsibilities included SEC reporting, Sarbanes-Oxley compliance, mergers &amp; acquisitions, corporate governance, risk management and debt negotiation. From 1997 to 1999, Mr. Fry served as Chief Financial Officer of Broughton Foods Company, where he led both the initial public offering and subsequent sale of the company. Mr. Fry served in various positions at Coopers &amp; Lybrand L.L.P. from 1991 to 1997. Mr. Fry holds a B.S. from The Ohio State University. Mr. Fry has served as a director of Summit State Bank since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-1957705</wp:posOffset>
            </wp:positionH>
            <wp:positionV relativeFrom="paragraph">
              <wp:posOffset>59690</wp:posOffset>
            </wp:positionV>
            <wp:extent cx="6995160" cy="17741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74190"/>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2360" w:space="720"/>
            <w:col w:w="7920"/>
          </w:cols>
          <w:pgMar w:left="440" w:top="261" w:right="459" w:bottom="1440" w:gutter="0" w:footer="0" w:header="0"/>
          <w:type w:val="continuous"/>
        </w:sectPr>
      </w:pPr>
    </w:p>
    <w:p>
      <w:pPr>
        <w:spacing w:after="0"/>
        <w:rPr>
          <w:sz w:val="20"/>
          <w:szCs w:val="20"/>
          <w:color w:val="auto"/>
        </w:rPr>
      </w:pPr>
      <w:r>
        <w:rPr>
          <w:rFonts w:ascii="Arial" w:cs="Arial" w:eastAsia="Arial" w:hAnsi="Arial"/>
          <w:sz w:val="18"/>
          <w:szCs w:val="18"/>
          <w:b w:val="1"/>
          <w:bCs w:val="1"/>
          <w:color w:val="0070C0"/>
        </w:rPr>
        <w:t>W. Jeffrey Hire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Age 72</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President of External</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Affairs</w:t>
      </w:r>
    </w:p>
    <w:p>
      <w:pPr>
        <w:spacing w:after="0" w:line="20" w:lineRule="exact"/>
        <w:rPr>
          <w:sz w:val="20"/>
          <w:szCs w:val="20"/>
          <w:color w:val="auto"/>
        </w:rPr>
      </w:pPr>
      <w:r>
        <w:rPr>
          <w:sz w:val="20"/>
          <w:szCs w:val="20"/>
          <w:color w:val="auto"/>
        </w:rPr>
        <w:br w:type="column"/>
      </w:r>
    </w:p>
    <w:p>
      <w:pPr>
        <w:ind w:right="60"/>
        <w:spacing w:after="0" w:line="238" w:lineRule="auto"/>
        <w:rPr>
          <w:sz w:val="20"/>
          <w:szCs w:val="20"/>
          <w:color w:val="auto"/>
        </w:rPr>
      </w:pPr>
      <w:r>
        <w:rPr>
          <w:rFonts w:ascii="Arial" w:cs="Arial" w:eastAsia="Arial" w:hAnsi="Arial"/>
          <w:sz w:val="18"/>
          <w:szCs w:val="18"/>
          <w:color w:val="auto"/>
        </w:rPr>
        <w:t>Mr. Hire joined the Company in 2008 and was named President of External Affairs in 2013. His responsibilities include working with our national homebuilder customers, our major insulation suppliers and industry associations. Prior to joining us, from 1978 to 2008, Mr. Hire held numerous management positions at Owens Corning. From 2006 to 2008, he served as Director of Products and Programs for the Insulating Systems Business, developing product innovations and value-added customer programs. For 11 years prior to that, Mr. Hire was General Manager of the Insulation Contractor Segment of the Residential Insulation Division. He earned a B.S. in Philosophy from University of Mount Union in Alliance, Ohio and an M.B.A. specializing in General Management from The University of St. Thomas Opus College of Business in St. Paul, Minnesota. He serves on the Board of the Insulation Contractors Association of America, and has served twice as its President. Mr. Hire has served as a Committee Chairman for the North American Insulation Manufacturers Association. Mr. Hire received the Insulation Contractors Association of America’s “Key Man” award for his leadership and dedication to the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-1957705</wp:posOffset>
            </wp:positionH>
            <wp:positionV relativeFrom="paragraph">
              <wp:posOffset>57785</wp:posOffset>
            </wp:positionV>
            <wp:extent cx="699516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2360" w:space="720"/>
            <w:col w:w="7920"/>
          </w:cols>
          <w:pgMar w:left="440" w:top="261" w:right="459" w:bottom="1440" w:gutter="0" w:footer="0" w:header="0"/>
          <w:type w:val="continuous"/>
        </w:sectPr>
      </w:pPr>
    </w:p>
    <w:p>
      <w:pPr>
        <w:spacing w:after="0"/>
        <w:rPr>
          <w:sz w:val="20"/>
          <w:szCs w:val="20"/>
          <w:color w:val="auto"/>
        </w:rPr>
      </w:pPr>
      <w:r>
        <w:rPr>
          <w:rFonts w:ascii="Arial" w:cs="Arial" w:eastAsia="Arial" w:hAnsi="Arial"/>
          <w:sz w:val="18"/>
          <w:szCs w:val="18"/>
          <w:b w:val="1"/>
          <w:bCs w:val="1"/>
          <w:color w:val="0070C0"/>
        </w:rPr>
        <w:t>Michael T. Miller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Age 59</w:t>
      </w:r>
    </w:p>
    <w:p>
      <w:pPr>
        <w:spacing w:after="0" w:line="32" w:lineRule="exact"/>
        <w:rPr>
          <w:sz w:val="20"/>
          <w:szCs w:val="20"/>
          <w:color w:val="auto"/>
        </w:rPr>
      </w:pPr>
    </w:p>
    <w:p>
      <w:pPr>
        <w:ind w:right="720"/>
        <w:spacing w:after="0" w:line="247" w:lineRule="auto"/>
        <w:rPr>
          <w:sz w:val="20"/>
          <w:szCs w:val="20"/>
          <w:color w:val="auto"/>
        </w:rPr>
      </w:pPr>
      <w:r>
        <w:rPr>
          <w:rFonts w:ascii="Arial" w:cs="Arial" w:eastAsia="Arial" w:hAnsi="Arial"/>
          <w:sz w:val="18"/>
          <w:szCs w:val="18"/>
          <w:color w:val="auto"/>
        </w:rPr>
        <w:t>Executive Vice President, Chief Financial Officer and Director</w:t>
      </w:r>
    </w:p>
    <w:p>
      <w:pPr>
        <w:spacing w:after="0" w:line="20" w:lineRule="exact"/>
        <w:rPr>
          <w:sz w:val="20"/>
          <w:szCs w:val="20"/>
          <w:color w:val="auto"/>
        </w:rPr>
      </w:pPr>
      <w:r>
        <w:rPr>
          <w:sz w:val="20"/>
          <w:szCs w:val="20"/>
          <w:color w:val="auto"/>
        </w:rPr>
        <w:br w:type="column"/>
      </w:r>
    </w:p>
    <w:p>
      <w:pPr>
        <w:ind w:right="80"/>
        <w:spacing w:after="0" w:line="239" w:lineRule="auto"/>
        <w:rPr>
          <w:sz w:val="20"/>
          <w:szCs w:val="20"/>
          <w:color w:val="auto"/>
        </w:rPr>
      </w:pPr>
      <w:r>
        <w:rPr>
          <w:rFonts w:ascii="Arial" w:cs="Arial" w:eastAsia="Arial" w:hAnsi="Arial"/>
          <w:sz w:val="18"/>
          <w:szCs w:val="18"/>
          <w:color w:val="auto"/>
        </w:rPr>
        <w:t>Mr. Miller has served as our most senior financial officer since he joined us in 2000 as our Executive Vice President – Finance. He has been our Chief Financial Officer since 2013 and as a director for us and our predecessor since 2004. Prior to joining the Company, Mr. Miller held the position of Senior Vice President/Managing Director responsible for Corporate Investment Banking at Huntington Capital Corp., a subsidiary of Huntington Bancshares, Inc., a regional bank holding company. Before joining Huntington in 1991, Mr. Miller held various positions with Deutsche Bank and Canadian Imperial Bank of Commerce in New York. Mr. Miller began his career at First Union National Bank in Charlotte, North Carolina. He holds a B.A. from Wake Forest University. Mr. Miller served on the Board of BMC Stock Holdings, Inc. from 2014 to January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-1957705</wp:posOffset>
            </wp:positionH>
            <wp:positionV relativeFrom="paragraph">
              <wp:posOffset>59690</wp:posOffset>
            </wp:positionV>
            <wp:extent cx="699516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-1957705</wp:posOffset>
            </wp:positionH>
            <wp:positionV relativeFrom="paragraph">
              <wp:posOffset>196850</wp:posOffset>
            </wp:positionV>
            <wp:extent cx="699516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720"/>
            <w:col w:w="7920"/>
          </w:cols>
          <w:pgMar w:left="440" w:top="261" w:right="459" w:bottom="1440" w:gutter="0" w:footer="0" w:header="0"/>
          <w:type w:val="continuous"/>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7"/>
          <w:szCs w:val="17"/>
          <w:color w:val="0070C0"/>
        </w:rPr>
        <w:t>Executive Officers and Certain Significant Employees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44</w:t>
      </w:r>
    </w:p>
    <w:p>
      <w:pPr>
        <w:sectPr>
          <w:pgSz w:w="11900" w:h="16838" w:orient="portrait"/>
          <w:cols w:equalWidth="0" w:num="1">
            <w:col w:w="11000"/>
          </w:cols>
          <w:pgMar w:left="440" w:top="261" w:right="45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color w:val="0070C0"/>
        </w:rPr>
        <w:t>Jason R. Niswonger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Age 51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Chief Administrative and</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Sustainability Officer</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Arial" w:cs="Arial" w:eastAsia="Arial" w:hAnsi="Arial"/>
          <w:sz w:val="18"/>
          <w:szCs w:val="18"/>
          <w:color w:val="auto"/>
        </w:rPr>
        <w:t>Mr. Niswonger has been our Chief Administrative and Sustainability Officer since March 2022. Previously Mr. Niswonger served as our Senior Vice President, Finance and Investor Relations from March 2015 to February 2022 and our Director of Investor Relations from January 2014 until March 2015. Prior to joining the Company, he served from 2011 to 2013 as the Director, Financial Reporting for Edwards Industries, a national property development and management company. From 2006 to 2011, Mr. Niswonger held multiple positions, including the Director, Finance for the Seating Systems Division of Commercial Vehicle Group, Inc., a supplier of integrated system solutions for the global commercial vehicle market. From 2004 to 2006, he was the Director, Financial Reporting for Installed Building Products, LLC. Prior to joining Installed Building Products, LLC, Mr. Niswonger served as the Director of Global Accounting and Financial Reporting at Sterling Commerce, Inc., a global provider of EDI services, B2B integration software solutions and consulting, where he worked from 2000 to 2004. Prior to joining Sterling, he held positions in financial reporting at Express, a division of The Limited, and Exel Logistics. Mr. Niswonger earned an M.B.A. from Otterbein College and a B.A. from Ohio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-1950085</wp:posOffset>
            </wp:positionV>
            <wp:extent cx="7174865" cy="20916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20916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720"/>
            <w:col w:w="7920"/>
          </w:cols>
          <w:pgMar w:left="440" w:top="350" w:right="459" w:bottom="1440" w:gutter="0" w:footer="0" w:header="0"/>
        </w:sectPr>
      </w:pP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Brad A. Wheeler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Age 48</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Chief Operating Officer</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Mr. Wheeler was named our Chief Operating Officer effective January 1, 2024. Prior to becoming Chief Operating Officer, Mr. Wheeler served as a Regional President from January 2015 through December 2024. He joined the Company in 2010 as a Regional Manager and has been responsible for the management of our operations in several states, including Colorado, Texas, Florida and Georgia. In June 2022, Mr. Wheeler assumed additional responsibility for Alpha’s heavy commercial business and was named President of the Alpha family of companies. He attended Radford University and has been an active member of Vistage International CEO Organization since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-1957705</wp:posOffset>
            </wp:positionH>
            <wp:positionV relativeFrom="paragraph">
              <wp:posOffset>126365</wp:posOffset>
            </wp:positionV>
            <wp:extent cx="6995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720"/>
            <w:col w:w="7920"/>
          </w:cols>
          <w:pgMar w:left="440" w:top="350" w:right="459" w:bottom="1440" w:gutter="0" w:footer="0" w:header="0"/>
          <w:type w:val="continuous"/>
        </w:sectPr>
      </w:pP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002060"/>
        </w:rPr>
        <w:t>Certain Significant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173355</wp:posOffset>
            </wp:positionV>
            <wp:extent cx="6995160" cy="13290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1329055"/>
                    </a:xfrm>
                    <a:prstGeom prst="rect">
                      <a:avLst/>
                    </a:prstGeom>
                    <a:noFill/>
                  </pic:spPr>
                </pic:pic>
              </a:graphicData>
            </a:graphic>
          </wp:anchor>
        </w:drawing>
      </w:r>
    </w:p>
    <w:p>
      <w:pPr>
        <w:sectPr>
          <w:pgSz w:w="11900" w:h="16838" w:orient="portrait"/>
          <w:cols w:equalWidth="0" w:num="1">
            <w:col w:w="11000"/>
          </w:cols>
          <w:pgMar w:left="440" w:top="350" w:right="459" w:bottom="1440" w:gutter="0" w:footer="0" w:header="0"/>
          <w:type w:val="continuous"/>
        </w:sect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Jay P. Elliott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Age 63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 - Business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Strategy and Development</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color w:val="auto"/>
        </w:rPr>
        <w:t>Mr. Elliott served as our Chief Operating Officer from 2013 through December 2023. He was named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 Business Strategy and Development effective January 2024. He joined</w:t>
      </w:r>
    </w:p>
    <w:p>
      <w:pPr>
        <w:spacing w:after="0"/>
        <w:rPr>
          <w:sz w:val="20"/>
          <w:szCs w:val="20"/>
          <w:color w:val="auto"/>
        </w:rPr>
      </w:pPr>
      <w:r>
        <w:rPr>
          <w:rFonts w:ascii="Arial" w:cs="Arial" w:eastAsia="Arial" w:hAnsi="Arial"/>
          <w:sz w:val="17"/>
          <w:szCs w:val="17"/>
          <w:color w:val="auto"/>
        </w:rPr>
        <w:t>the Company in April 2002 as our Regional Operations and Business Integrations Manager. Prior to</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joining us, Mr. Elliott worked with E&amp;Y Corporate Finance, LLC in restructuring advisory</w:t>
      </w:r>
    </w:p>
    <w:p>
      <w:pPr>
        <w:spacing w:after="0" w:line="234" w:lineRule="auto"/>
        <w:rPr>
          <w:sz w:val="20"/>
          <w:szCs w:val="20"/>
          <w:color w:val="auto"/>
        </w:rPr>
      </w:pPr>
      <w:r>
        <w:rPr>
          <w:rFonts w:ascii="Arial" w:cs="Arial" w:eastAsia="Arial" w:hAnsi="Arial"/>
          <w:sz w:val="18"/>
          <w:szCs w:val="18"/>
          <w:color w:val="auto"/>
        </w:rPr>
        <w:t>services. Mr. Elliott’s experience includes ten years with Owens Corning in several roles, including</w:t>
      </w:r>
    </w:p>
    <w:p>
      <w:pPr>
        <w:spacing w:after="0" w:line="235" w:lineRule="auto"/>
        <w:rPr>
          <w:sz w:val="20"/>
          <w:szCs w:val="20"/>
          <w:color w:val="auto"/>
        </w:rPr>
      </w:pPr>
      <w:r>
        <w:rPr>
          <w:rFonts w:ascii="Arial" w:cs="Arial" w:eastAsia="Arial" w:hAnsi="Arial"/>
          <w:sz w:val="18"/>
          <w:szCs w:val="18"/>
          <w:color w:val="auto"/>
        </w:rPr>
        <w:t>new business development, market management and corporate strategic planning. Mr. Elliott spent</w:t>
      </w:r>
    </w:p>
    <w:p>
      <w:pPr>
        <w:spacing w:after="0" w:line="235" w:lineRule="auto"/>
        <w:rPr>
          <w:sz w:val="20"/>
          <w:szCs w:val="20"/>
          <w:color w:val="auto"/>
        </w:rPr>
      </w:pPr>
      <w:r>
        <w:rPr>
          <w:rFonts w:ascii="Arial" w:cs="Arial" w:eastAsia="Arial" w:hAnsi="Arial"/>
          <w:sz w:val="18"/>
          <w:szCs w:val="18"/>
          <w:color w:val="auto"/>
        </w:rPr>
        <w:t>three years with IBM and began his career with Westinghouse Electric Corp. He earned an M.B.A.</w:t>
      </w:r>
    </w:p>
    <w:p>
      <w:pPr>
        <w:spacing w:after="0" w:line="235" w:lineRule="auto"/>
        <w:rPr>
          <w:sz w:val="20"/>
          <w:szCs w:val="20"/>
          <w:color w:val="auto"/>
        </w:rPr>
      </w:pPr>
      <w:r>
        <w:rPr>
          <w:rFonts w:ascii="Arial" w:cs="Arial" w:eastAsia="Arial" w:hAnsi="Arial"/>
          <w:sz w:val="18"/>
          <w:szCs w:val="18"/>
          <w:color w:val="auto"/>
        </w:rPr>
        <w:t>from Cornell University Johnson Graduate School of Management, a B.E. from Dartmouth College</w:t>
      </w:r>
    </w:p>
    <w:p>
      <w:pPr>
        <w:spacing w:after="0"/>
        <w:rPr>
          <w:sz w:val="20"/>
          <w:szCs w:val="20"/>
          <w:color w:val="auto"/>
        </w:rPr>
      </w:pPr>
      <w:r>
        <w:rPr>
          <w:rFonts w:ascii="Arial" w:cs="Arial" w:eastAsia="Arial" w:hAnsi="Arial"/>
          <w:sz w:val="18"/>
          <w:szCs w:val="18"/>
          <w:color w:val="auto"/>
        </w:rPr>
        <w:t>Thayer School of Engineering, and an A.B. from Colgate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-1957705</wp:posOffset>
            </wp:positionH>
            <wp:positionV relativeFrom="paragraph">
              <wp:posOffset>134620</wp:posOffset>
            </wp:positionV>
            <wp:extent cx="69951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200"/>
            <w:col w:w="7920"/>
          </w:cols>
          <w:pgMar w:left="440" w:top="350" w:right="4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Randall A. Hall</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Age 62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President, Aster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Contractors Holdings, LLC</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Mr. Hall has been President of Aster Contractors Holdings, LLC, one of our subsidiaries, since October 2020. Mr. Hall joined the Company in 1995 and has held a number of positions, including regional manager (January 2017-October 2020), regional operations performance manager (2016-2017), manager of our Cornerstone Energy Conservation Service operations and manager of our Edwards/Mooney &amp; Moses branch operations. Prior to joining the Company, Mr. Hall served as the Vice President of Operations and Vice President of Finance at Pipeliner Systems, Inc., and as an accountant at Bolon, Hart &amp; Buehler, Inc. He received a B.S. in Accounting from Franklin University in Columbus, Ohio.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-1957705</wp:posOffset>
            </wp:positionH>
            <wp:positionV relativeFrom="paragraph">
              <wp:posOffset>126365</wp:posOffset>
            </wp:positionV>
            <wp:extent cx="6995160" cy="10712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0712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720"/>
            <w:col w:w="7920"/>
          </w:cols>
          <w:pgMar w:left="440" w:top="350" w:right="45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William W. Jenkins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Age 67</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Purchasing</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and Supply Chain</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Mr. Jenkins has been our Senior Vice President, Purchasing and Supply Chain since March 2015 and served as our Director of Internal Audit from September 2013 until March 2015. From 2011 to 2013, he served as a Regional President and served as our President from 1998 to 2011. Prior to joining the Company, Mr. Jenkins held senior management positions with Midwest Wholesale Building Materials, a building products wholesaler and BuyOhio Realtors. Mr. Jenkins began his career with Ernst &amp; Young LLP, where he progressed to become a Senior Manager. He graduated from The Ohio State University with a B.S. and was licensed as a CPA in the State of Ohio.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-1957705</wp:posOffset>
            </wp:positionH>
            <wp:positionV relativeFrom="paragraph">
              <wp:posOffset>118745</wp:posOffset>
            </wp:positionV>
            <wp:extent cx="699516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20" w:space="360"/>
            <w:col w:w="7920"/>
          </w:cols>
          <w:pgMar w:left="440" w:top="350" w:right="45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R. Scott Jenkins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Age 68</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Regional President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Mr. Jenkins has been a Regional President since 2006 when we acquired OJ Insulation, Inc., which he co-founded in 1984. Since joining us, Mr. Jenkins has been responsible for the management of operations in several states, including Minnesota, Idaho, Washington and California. During his</w:t>
      </w:r>
    </w:p>
    <w:p>
      <w:pPr>
        <w:spacing w:after="0" w:line="2"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22-year tenure at OJ Insulation as owner and chief executive officer, Mr. Jenkins was responsible for numerous strategic acquisitions and significant company growth. He received a B.A. in Social Science from the University of California at Irvine and was an active member of Vistage International CEO Organization for over 15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-1957705</wp:posOffset>
            </wp:positionH>
            <wp:positionV relativeFrom="paragraph">
              <wp:posOffset>126365</wp:posOffset>
            </wp:positionV>
            <wp:extent cx="699516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-1957705</wp:posOffset>
            </wp:positionH>
            <wp:positionV relativeFrom="paragraph">
              <wp:posOffset>263525</wp:posOffset>
            </wp:positionV>
            <wp:extent cx="699516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720"/>
            <w:col w:w="7920"/>
          </w:cols>
          <w:pgMar w:left="440" w:top="350" w:right="459" w:bottom="1440" w:gutter="0" w:footer="0" w:header="0"/>
          <w:type w:val="continuous"/>
        </w:sect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7"/>
          <w:szCs w:val="17"/>
          <w:color w:val="0070C0"/>
        </w:rPr>
        <w:t>Executive Officers and Certain Significant Employees</w:t>
      </w:r>
    </w:p>
    <w:p>
      <w:pPr>
        <w:sectPr>
          <w:pgSz w:w="11900" w:h="16838" w:orient="portrait"/>
          <w:cols w:equalWidth="0" w:num="1">
            <w:col w:w="11000"/>
          </w:cols>
          <w:pgMar w:left="440" w:top="350" w:right="459" w:bottom="1440" w:gutter="0" w:footer="0" w:header="0"/>
          <w:type w:val="continuous"/>
        </w:sectPr>
      </w:pPr>
    </w:p>
    <w:p>
      <w:pPr>
        <w:spacing w:after="0" w:line="71" w:lineRule="exact"/>
        <w:rPr>
          <w:sz w:val="20"/>
          <w:szCs w:val="20"/>
          <w:color w:val="auto"/>
        </w:rPr>
      </w:pPr>
    </w:p>
    <w:p>
      <w:pPr>
        <w:jc w:val="center"/>
        <w:spacing w:after="0"/>
        <w:rPr>
          <w:sz w:val="20"/>
          <w:szCs w:val="20"/>
          <w:color w:val="auto"/>
        </w:rPr>
      </w:pPr>
      <w:r>
        <w:rPr>
          <w:rFonts w:ascii="Arial" w:cs="Arial" w:eastAsia="Arial" w:hAnsi="Arial"/>
          <w:sz w:val="17"/>
          <w:szCs w:val="17"/>
          <w:color w:val="0070C0"/>
        </w:rPr>
        <w:t>45</w:t>
      </w:r>
    </w:p>
    <w:p>
      <w:pPr>
        <w:sectPr>
          <w:pgSz w:w="11900" w:h="16838" w:orient="portrait"/>
          <w:cols w:equalWidth="0" w:num="1">
            <w:col w:w="11000"/>
          </w:cols>
          <w:pgMar w:left="440" w:top="350" w:right="45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b w:val="1"/>
          <w:bCs w:val="1"/>
          <w:color w:val="0070C0"/>
        </w:rPr>
        <w:drawing>
          <wp:anchor simplePos="0" relativeHeight="251657728" behindDoc="1" locked="0" layoutInCell="0" allowOverlap="1">
            <wp:simplePos x="0" y="0"/>
            <wp:positionH relativeFrom="page">
              <wp:posOffset>276860</wp:posOffset>
            </wp:positionH>
            <wp:positionV relativeFrom="page">
              <wp:posOffset>200660</wp:posOffset>
            </wp:positionV>
            <wp:extent cx="1894205" cy="11315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894205" cy="1131570"/>
                    </a:xfrm>
                    <a:prstGeom prst="rect">
                      <a:avLst/>
                    </a:prstGeom>
                    <a:noFill/>
                  </pic:spPr>
                </pic:pic>
              </a:graphicData>
            </a:graphic>
          </wp:anchor>
        </w:drawing>
        <w:t>Martin J. Luffy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Age 64</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Chief Information Officer</w:t>
      </w:r>
    </w:p>
    <w:p>
      <w:pPr>
        <w:spacing w:after="0" w:line="20" w:lineRule="exact"/>
        <w:rPr>
          <w:sz w:val="20"/>
          <w:szCs w:val="20"/>
          <w:color w:val="auto"/>
        </w:rPr>
      </w:pPr>
      <w:r>
        <w:rPr>
          <w:sz w:val="20"/>
          <w:szCs w:val="20"/>
          <w:color w:val="auto"/>
        </w:rPr>
        <w:br w:type="column"/>
      </w:r>
    </w:p>
    <w:p>
      <w:pPr>
        <w:jc w:val="both"/>
        <w:ind w:right="140"/>
        <w:spacing w:after="0" w:line="255" w:lineRule="auto"/>
        <w:rPr>
          <w:sz w:val="20"/>
          <w:szCs w:val="20"/>
          <w:color w:val="auto"/>
        </w:rPr>
      </w:pPr>
      <w:r>
        <w:rPr>
          <w:rFonts w:ascii="Arial" w:cs="Arial" w:eastAsia="Arial" w:hAnsi="Arial"/>
          <w:sz w:val="17"/>
          <w:szCs w:val="17"/>
          <w:color w:val="auto"/>
        </w:rPr>
        <w:t>Mr. Luffy has been our Chief Information Officer since joining the company in 2002. Prior to joining Installed Building Products, he served in a number of roles for an international data center hosting provider, including Regional Director and Vice President of Data Center Operations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-528955</wp:posOffset>
            </wp:positionV>
            <wp:extent cx="7174865" cy="12433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1243330"/>
                    </a:xfrm>
                    <a:prstGeom prst="rect">
                      <a:avLst/>
                    </a:prstGeom>
                    <a:noFill/>
                  </pic:spPr>
                </pic:pic>
              </a:graphicData>
            </a:graphic>
          </wp:anchor>
        </w:drawing>
      </w:r>
    </w:p>
    <w:p>
      <w:pPr>
        <w:ind w:right="60"/>
        <w:spacing w:after="0" w:line="239" w:lineRule="auto"/>
        <w:rPr>
          <w:sz w:val="20"/>
          <w:szCs w:val="20"/>
          <w:color w:val="auto"/>
        </w:rPr>
      </w:pPr>
      <w:r>
        <w:rPr>
          <w:rFonts w:ascii="Arial" w:cs="Arial" w:eastAsia="Arial" w:hAnsi="Arial"/>
          <w:sz w:val="18"/>
          <w:szCs w:val="18"/>
          <w:color w:val="auto"/>
        </w:rPr>
        <w:t>Mr. Luffy began his career with Arthur Andersen and Peat Marwick and has held successive senior management positions with a number of technology and professional services entities. He received a B.S. degree from Purdue University and a M.B.A. from the University of Dayton. Mr. Luffy has served on multiple nonprofit boards including his current role on the board of a foundation that provides financial aid assistance for cancer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-1957705</wp:posOffset>
            </wp:positionH>
            <wp:positionV relativeFrom="paragraph">
              <wp:posOffset>57785</wp:posOffset>
            </wp:positionV>
            <wp:extent cx="699516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2360" w:space="720"/>
            <w:col w:w="7940"/>
          </w:cols>
          <w:pgMar w:left="440" w:top="350" w:right="439" w:bottom="1440" w:gutter="0" w:footer="0" w:header="0"/>
        </w:sectPr>
      </w:pPr>
    </w:p>
    <w:p>
      <w:pPr>
        <w:spacing w:after="0"/>
        <w:rPr>
          <w:sz w:val="20"/>
          <w:szCs w:val="20"/>
          <w:color w:val="auto"/>
        </w:rPr>
      </w:pPr>
      <w:r>
        <w:rPr>
          <w:rFonts w:ascii="Arial" w:cs="Arial" w:eastAsia="Arial" w:hAnsi="Arial"/>
          <w:sz w:val="18"/>
          <w:szCs w:val="18"/>
          <w:b w:val="1"/>
          <w:bCs w:val="1"/>
          <w:color w:val="0070C0"/>
        </w:rPr>
        <w:t>Shelley A. McBride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Age 67</w:t>
      </w:r>
    </w:p>
    <w:p>
      <w:pPr>
        <w:spacing w:after="0" w:line="32"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General Counsel and Secretary</w:t>
      </w:r>
    </w:p>
    <w:p>
      <w:pPr>
        <w:spacing w:after="0" w:line="20" w:lineRule="exact"/>
        <w:rPr>
          <w:sz w:val="20"/>
          <w:szCs w:val="20"/>
          <w:color w:val="auto"/>
        </w:rPr>
      </w:pPr>
      <w:r>
        <w:rPr>
          <w:sz w:val="20"/>
          <w:szCs w:val="20"/>
          <w:color w:val="auto"/>
        </w:rPr>
        <w:br w:type="column"/>
      </w:r>
    </w:p>
    <w:p>
      <w:pPr>
        <w:ind w:right="40"/>
        <w:spacing w:after="0" w:line="238" w:lineRule="auto"/>
        <w:rPr>
          <w:sz w:val="20"/>
          <w:szCs w:val="20"/>
          <w:color w:val="auto"/>
        </w:rPr>
      </w:pPr>
      <w:r>
        <w:rPr>
          <w:rFonts w:ascii="Arial" w:cs="Arial" w:eastAsia="Arial" w:hAnsi="Arial"/>
          <w:sz w:val="18"/>
          <w:szCs w:val="18"/>
          <w:color w:val="auto"/>
        </w:rPr>
        <w:t>Ms. McBride joined the Company in 2005 as General Counsel and Secretary. Prior to joining the Company, she worked as an attorney at the law firm of Calfee, Halter &amp; Griswold, representing corporate and institutional clients in the areas of mergers and acquisitions, secured credit transactions, subordinated debt financings, common and preferred equity investments, organizational restructuring and general corporate matters. Before joining Calfee, Halter &amp; Griswold in 2001, Ms. McBride served as legal counsel for Nationwide Mutual Insurance Company in the Nationwide Enterprise Office of Investments and also served as legal counsel for various investment funds at Banc One Capital. Her experience includes representing corporate and institutional clients at the law firms of Squire Patton Boggs and Kegler, Brown, Hill &amp; Ritter. From 1983 to 1989, Ms. McBride served as a law clerk to the Honorable John D. Holschuh and the Honorable Mark R. Abel in the United States District Court for the Southern District of Ohio. Ms. McBride earned a J.D. and a B.A. from The Ohio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-1957705</wp:posOffset>
            </wp:positionH>
            <wp:positionV relativeFrom="paragraph">
              <wp:posOffset>59690</wp:posOffset>
            </wp:positionV>
            <wp:extent cx="6995160" cy="11315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1131570"/>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2360" w:space="720"/>
            <w:col w:w="7940"/>
          </w:cols>
          <w:pgMar w:left="440" w:top="350" w:right="439" w:bottom="1440" w:gutter="0" w:footer="0" w:header="0"/>
          <w:type w:val="continuous"/>
        </w:sectPr>
      </w:pPr>
    </w:p>
    <w:p>
      <w:pPr>
        <w:spacing w:after="0"/>
        <w:rPr>
          <w:sz w:val="20"/>
          <w:szCs w:val="20"/>
          <w:color w:val="auto"/>
        </w:rPr>
      </w:pPr>
      <w:r>
        <w:rPr>
          <w:rFonts w:ascii="Arial" w:cs="Arial" w:eastAsia="Arial" w:hAnsi="Arial"/>
          <w:sz w:val="17"/>
          <w:szCs w:val="17"/>
          <w:b w:val="1"/>
          <w:bCs w:val="1"/>
          <w:color w:val="0070C0"/>
        </w:rPr>
        <w:t>Matthew J. Momper</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Age 63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Regional President</w:t>
      </w:r>
    </w:p>
    <w:p>
      <w:pPr>
        <w:spacing w:after="0" w:line="20" w:lineRule="exact"/>
        <w:rPr>
          <w:sz w:val="20"/>
          <w:szCs w:val="20"/>
          <w:color w:val="auto"/>
        </w:rPr>
      </w:pPr>
      <w:r>
        <w:rPr>
          <w:sz w:val="20"/>
          <w:szCs w:val="20"/>
          <w:color w:val="auto"/>
        </w:rPr>
        <w:br w:type="column"/>
      </w:r>
    </w:p>
    <w:p>
      <w:pPr>
        <w:ind w:right="40"/>
        <w:spacing w:after="0"/>
        <w:rPr>
          <w:sz w:val="20"/>
          <w:szCs w:val="20"/>
          <w:color w:val="auto"/>
        </w:rPr>
      </w:pPr>
      <w:r>
        <w:rPr>
          <w:rFonts w:ascii="Arial" w:cs="Arial" w:eastAsia="Arial" w:hAnsi="Arial"/>
          <w:sz w:val="18"/>
          <w:szCs w:val="18"/>
          <w:color w:val="auto"/>
        </w:rPr>
        <w:t>Mr. Momper has been a Regional President since 2008. Since joining us, Mr. Momper has been responsible for the management of operations in several states, including Wisconsin, Indiana, Ohio and Illinois. Prior to joining the Company, he served as President of Momper Insulation Inc., a family business, which he joined in 1984. Mr. Momper was responsible for significant growth of Momper Insulation Inc., and the strategic decision to join that company with us in 1998. He received a B.S. from Ball State University and an M.B.A. from Drake University. Mr. Momper served on the Board of Trustees for Ball State University for 16 years and is currently the Board for the Allen County Building Department.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-1957705</wp:posOffset>
            </wp:positionH>
            <wp:positionV relativeFrom="paragraph">
              <wp:posOffset>57785</wp:posOffset>
            </wp:positionV>
            <wp:extent cx="69951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2360" w:space="720"/>
            <w:col w:w="7940"/>
          </w:cols>
          <w:pgMar w:left="440" w:top="350" w:right="439" w:bottom="1440" w:gutter="0" w:footer="0" w:header="0"/>
          <w:type w:val="continuous"/>
        </w:sectPr>
      </w:pPr>
    </w:p>
    <w:p>
      <w:pPr>
        <w:spacing w:after="0"/>
        <w:rPr>
          <w:sz w:val="20"/>
          <w:szCs w:val="20"/>
          <w:color w:val="auto"/>
        </w:rPr>
      </w:pPr>
      <w:r>
        <w:rPr>
          <w:rFonts w:ascii="Arial" w:cs="Arial" w:eastAsia="Arial" w:hAnsi="Arial"/>
          <w:sz w:val="17"/>
          <w:szCs w:val="17"/>
          <w:b w:val="1"/>
          <w:bCs w:val="1"/>
          <w:color w:val="0070C0"/>
        </w:rPr>
        <w:t>Warren W. Pearce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Age 65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Regional President</w:t>
      </w:r>
    </w:p>
    <w:p>
      <w:pPr>
        <w:spacing w:after="0" w:line="20" w:lineRule="exact"/>
        <w:rPr>
          <w:sz w:val="20"/>
          <w:szCs w:val="20"/>
          <w:color w:val="auto"/>
        </w:rPr>
      </w:pPr>
      <w:r>
        <w:rPr>
          <w:sz w:val="20"/>
          <w:szCs w:val="20"/>
          <w:color w:val="auto"/>
        </w:rPr>
        <w:br w:type="column"/>
      </w:r>
    </w:p>
    <w:p>
      <w:pPr>
        <w:ind w:right="20"/>
        <w:spacing w:after="0"/>
        <w:rPr>
          <w:sz w:val="20"/>
          <w:szCs w:val="20"/>
          <w:color w:val="auto"/>
        </w:rPr>
      </w:pPr>
      <w:r>
        <w:rPr>
          <w:rFonts w:ascii="Arial" w:cs="Arial" w:eastAsia="Arial" w:hAnsi="Arial"/>
          <w:sz w:val="18"/>
          <w:szCs w:val="18"/>
          <w:color w:val="auto"/>
        </w:rPr>
        <w:t>Mr. Pearce has been a Regional President since 2011. Since joining the Company, Mr. Pearce has been responsible for the management of operations in several states, including Ohio, North Carolina, Virginia and Maryland. From 2004 to 2011, he was Vice President of Operations for Masco Corporation, a manufacturer of home products, distributor of building products and installer of building products, where he held various other positions beginning in 1984. Mr. Pearce began his career at Carroll Insulation and later served as branch manager at American Aluminum Insulation. He received from Kent Votech his Electrical Apprenticeship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-1957705</wp:posOffset>
            </wp:positionH>
            <wp:positionV relativeFrom="paragraph">
              <wp:posOffset>60325</wp:posOffset>
            </wp:positionV>
            <wp:extent cx="6995160" cy="11315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131570"/>
                    </a:xfrm>
                    <a:prstGeom prst="rect">
                      <a:avLst/>
                    </a:prstGeom>
                    <a:noFill/>
                  </pic:spPr>
                </pic:pic>
              </a:graphicData>
            </a:graphic>
          </wp:anchor>
        </w:drawing>
      </w:r>
    </w:p>
    <w:p>
      <w:pPr>
        <w:spacing w:after="0" w:line="131" w:lineRule="exact"/>
        <w:rPr>
          <w:sz w:val="20"/>
          <w:szCs w:val="20"/>
          <w:color w:val="auto"/>
        </w:rPr>
      </w:pPr>
    </w:p>
    <w:p>
      <w:pPr>
        <w:sectPr>
          <w:pgSz w:w="11900" w:h="16838" w:orient="portrait"/>
          <w:cols w:equalWidth="0" w:num="2">
            <w:col w:w="2360" w:space="720"/>
            <w:col w:w="7940"/>
          </w:cols>
          <w:pgMar w:left="440" w:top="350" w:right="439" w:bottom="1440" w:gutter="0" w:footer="0" w:header="0"/>
          <w:type w:val="continuous"/>
        </w:sectPr>
      </w:pPr>
    </w:p>
    <w:p>
      <w:pPr>
        <w:spacing w:after="0"/>
        <w:rPr>
          <w:sz w:val="20"/>
          <w:szCs w:val="20"/>
          <w:color w:val="auto"/>
        </w:rPr>
      </w:pPr>
      <w:r>
        <w:rPr>
          <w:rFonts w:ascii="Arial" w:cs="Arial" w:eastAsia="Arial" w:hAnsi="Arial"/>
          <w:sz w:val="18"/>
          <w:szCs w:val="18"/>
          <w:b w:val="1"/>
          <w:bCs w:val="1"/>
          <w:color w:val="0070C0"/>
        </w:rPr>
        <w:t>Kelly Clifford Riehl</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Age 47</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of Communications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and Community Relations</w:t>
      </w:r>
    </w:p>
    <w:p>
      <w:pPr>
        <w:spacing w:after="0" w:line="20" w:lineRule="exact"/>
        <w:rPr>
          <w:sz w:val="20"/>
          <w:szCs w:val="20"/>
          <w:color w:val="auto"/>
        </w:rPr>
      </w:pPr>
      <w:r>
        <w:rPr>
          <w:sz w:val="20"/>
          <w:szCs w:val="20"/>
          <w:color w:val="auto"/>
        </w:rPr>
        <w:br w:type="column"/>
      </w:r>
    </w:p>
    <w:p>
      <w:pPr>
        <w:ind w:right="80"/>
        <w:spacing w:after="0"/>
        <w:rPr>
          <w:sz w:val="20"/>
          <w:szCs w:val="20"/>
          <w:color w:val="auto"/>
        </w:rPr>
      </w:pPr>
      <w:r>
        <w:rPr>
          <w:rFonts w:ascii="Arial" w:cs="Arial" w:eastAsia="Arial" w:hAnsi="Arial"/>
          <w:sz w:val="18"/>
          <w:szCs w:val="18"/>
          <w:color w:val="auto"/>
        </w:rPr>
        <w:t>Ms. Clifford Riehl has been our Vice President of Communications and Community Relations since May 2023 and the President of our Foundation since March 2019. She served as our Director of Communications and Community Relations from 2014 to 2023 and our Marketing Manager from 2009 to 2014. Prior to joining us, Ms. Clifford Riehl owned a meeting planning company, The Meeting Partners Group, and served in communications, management and marketing roles at Nationwide Arena, the Greater Columbus Convention Center and the Radiological Society of North America. Ms. Clifford Riehl has a Bachelor of Science degree in Organizations Communications from Ohio University and serves on numerous nonprofit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-1957705</wp:posOffset>
            </wp:positionH>
            <wp:positionV relativeFrom="paragraph">
              <wp:posOffset>57785</wp:posOffset>
            </wp:positionV>
            <wp:extent cx="69951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2" w:lineRule="exact"/>
        <w:rPr>
          <w:sz w:val="20"/>
          <w:szCs w:val="20"/>
          <w:color w:val="auto"/>
        </w:rPr>
      </w:pPr>
    </w:p>
    <w:p>
      <w:pPr>
        <w:sectPr>
          <w:pgSz w:w="11900" w:h="16838" w:orient="portrait"/>
          <w:cols w:equalWidth="0" w:num="2">
            <w:col w:w="2740" w:space="340"/>
            <w:col w:w="7940"/>
          </w:cols>
          <w:pgMar w:left="440" w:top="350" w:right="4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480" w:type="dxa"/>
            <w:vAlign w:val="bottom"/>
          </w:tcPr>
          <w:p>
            <w:pPr>
              <w:spacing w:after="0"/>
              <w:rPr>
                <w:sz w:val="20"/>
                <w:szCs w:val="20"/>
                <w:color w:val="auto"/>
              </w:rPr>
            </w:pPr>
            <w:r>
              <w:rPr>
                <w:rFonts w:ascii="Arial" w:cs="Arial" w:eastAsia="Arial" w:hAnsi="Arial"/>
                <w:sz w:val="18"/>
                <w:szCs w:val="18"/>
                <w:b w:val="1"/>
                <w:bCs w:val="1"/>
                <w:color w:val="0070C0"/>
              </w:rPr>
              <w:t>Randall S. Williamson</w:t>
            </w:r>
          </w:p>
        </w:tc>
        <w:tc>
          <w:tcPr>
            <w:tcW w:w="8540" w:type="dxa"/>
            <w:vAlign w:val="bottom"/>
          </w:tcPr>
          <w:p>
            <w:pPr>
              <w:ind w:left="600"/>
              <w:spacing w:after="0"/>
              <w:rPr>
                <w:sz w:val="20"/>
                <w:szCs w:val="20"/>
                <w:color w:val="auto"/>
              </w:rPr>
            </w:pPr>
            <w:r>
              <w:rPr>
                <w:rFonts w:ascii="Arial" w:cs="Arial" w:eastAsia="Arial" w:hAnsi="Arial"/>
                <w:sz w:val="18"/>
                <w:szCs w:val="18"/>
                <w:color w:val="auto"/>
              </w:rPr>
              <w:t>Mr. Williamson has been a Regional President since 2001. Since joining us, Mr. Williamson has</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Age 62</w:t>
            </w:r>
          </w:p>
        </w:tc>
        <w:tc>
          <w:tcPr>
            <w:tcW w:w="8540" w:type="dxa"/>
            <w:vAlign w:val="bottom"/>
          </w:tcPr>
          <w:p>
            <w:pPr>
              <w:ind w:left="600"/>
              <w:spacing w:after="0" w:line="202" w:lineRule="exact"/>
              <w:rPr>
                <w:sz w:val="20"/>
                <w:szCs w:val="20"/>
                <w:color w:val="auto"/>
              </w:rPr>
            </w:pPr>
            <w:r>
              <w:rPr>
                <w:rFonts w:ascii="Arial" w:cs="Arial" w:eastAsia="Arial" w:hAnsi="Arial"/>
                <w:sz w:val="18"/>
                <w:szCs w:val="18"/>
                <w:color w:val="auto"/>
              </w:rPr>
              <w:t>been responsible for the management of operations in several states, including Massachusetts,</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Regional President</w:t>
            </w:r>
          </w:p>
        </w:tc>
        <w:tc>
          <w:tcPr>
            <w:tcW w:w="8540" w:type="dxa"/>
            <w:vAlign w:val="bottom"/>
          </w:tcPr>
          <w:p>
            <w:pPr>
              <w:ind w:left="600"/>
              <w:spacing w:after="0" w:line="202" w:lineRule="exact"/>
              <w:rPr>
                <w:sz w:val="20"/>
                <w:szCs w:val="20"/>
                <w:color w:val="auto"/>
              </w:rPr>
            </w:pPr>
            <w:r>
              <w:rPr>
                <w:rFonts w:ascii="Arial" w:cs="Arial" w:eastAsia="Arial" w:hAnsi="Arial"/>
                <w:sz w:val="18"/>
                <w:szCs w:val="18"/>
                <w:color w:val="auto"/>
              </w:rPr>
              <w:t>New Jersey, New York and Michigan. He began his career in 1981 at Monroe Insulation and Gutter</w:t>
            </w:r>
          </w:p>
        </w:tc>
      </w:tr>
      <w:tr>
        <w:trPr>
          <w:trHeight w:val="203"/>
        </w:trPr>
        <w:tc>
          <w:tcPr>
            <w:tcW w:w="2480" w:type="dxa"/>
            <w:vAlign w:val="bottom"/>
          </w:tcPr>
          <w:p>
            <w:pPr>
              <w:spacing w:after="0"/>
              <w:rPr>
                <w:sz w:val="17"/>
                <w:szCs w:val="17"/>
                <w:color w:val="auto"/>
              </w:rPr>
            </w:pPr>
          </w:p>
        </w:tc>
        <w:tc>
          <w:tcPr>
            <w:tcW w:w="8540" w:type="dxa"/>
            <w:vAlign w:val="bottom"/>
          </w:tcPr>
          <w:p>
            <w:pPr>
              <w:ind w:left="600"/>
              <w:spacing w:after="0" w:line="202" w:lineRule="exact"/>
              <w:rPr>
                <w:sz w:val="20"/>
                <w:szCs w:val="20"/>
                <w:color w:val="auto"/>
              </w:rPr>
            </w:pPr>
            <w:r>
              <w:rPr>
                <w:rFonts w:ascii="Arial" w:cs="Arial" w:eastAsia="Arial" w:hAnsi="Arial"/>
                <w:sz w:val="18"/>
                <w:szCs w:val="18"/>
                <w:color w:val="auto"/>
              </w:rPr>
              <w:t>Company Incorporated, or Monroe, where he progressed to become Vice President in 1992. In</w:t>
            </w:r>
          </w:p>
        </w:tc>
      </w:tr>
      <w:tr>
        <w:trPr>
          <w:trHeight w:val="203"/>
        </w:trPr>
        <w:tc>
          <w:tcPr>
            <w:tcW w:w="2480" w:type="dxa"/>
            <w:vAlign w:val="bottom"/>
          </w:tcPr>
          <w:p>
            <w:pPr>
              <w:spacing w:after="0"/>
              <w:rPr>
                <w:sz w:val="17"/>
                <w:szCs w:val="17"/>
                <w:color w:val="auto"/>
              </w:rPr>
            </w:pPr>
          </w:p>
        </w:tc>
        <w:tc>
          <w:tcPr>
            <w:tcW w:w="8540" w:type="dxa"/>
            <w:vAlign w:val="bottom"/>
          </w:tcPr>
          <w:p>
            <w:pPr>
              <w:ind w:left="600"/>
              <w:spacing w:after="0" w:line="202" w:lineRule="exact"/>
              <w:rPr>
                <w:sz w:val="20"/>
                <w:szCs w:val="20"/>
                <w:color w:val="auto"/>
              </w:rPr>
            </w:pPr>
            <w:r>
              <w:rPr>
                <w:rFonts w:ascii="Arial" w:cs="Arial" w:eastAsia="Arial" w:hAnsi="Arial"/>
                <w:sz w:val="18"/>
                <w:szCs w:val="18"/>
                <w:color w:val="auto"/>
              </w:rPr>
              <w:t>1996, Mr. Williamson purchased Monroe and merged it with other companies to form American</w:t>
            </w:r>
          </w:p>
        </w:tc>
      </w:tr>
      <w:tr>
        <w:trPr>
          <w:trHeight w:val="203"/>
        </w:trPr>
        <w:tc>
          <w:tcPr>
            <w:tcW w:w="2480" w:type="dxa"/>
            <w:vAlign w:val="bottom"/>
          </w:tcPr>
          <w:p>
            <w:pPr>
              <w:spacing w:after="0"/>
              <w:rPr>
                <w:sz w:val="17"/>
                <w:szCs w:val="17"/>
                <w:color w:val="auto"/>
              </w:rPr>
            </w:pPr>
          </w:p>
        </w:tc>
        <w:tc>
          <w:tcPr>
            <w:tcW w:w="8540" w:type="dxa"/>
            <w:vAlign w:val="bottom"/>
          </w:tcPr>
          <w:p>
            <w:pPr>
              <w:ind w:left="600"/>
              <w:spacing w:after="0" w:line="202" w:lineRule="exact"/>
              <w:rPr>
                <w:sz w:val="20"/>
                <w:szCs w:val="20"/>
                <w:color w:val="auto"/>
              </w:rPr>
            </w:pPr>
            <w:r>
              <w:rPr>
                <w:rFonts w:ascii="Arial" w:cs="Arial" w:eastAsia="Arial" w:hAnsi="Arial"/>
                <w:sz w:val="18"/>
                <w:szCs w:val="18"/>
                <w:color w:val="auto"/>
              </w:rPr>
              <w:t>Building Systems, Inc., where he served as President until 2001. American Building Systems, Inc.</w:t>
            </w:r>
          </w:p>
        </w:tc>
      </w:tr>
      <w:tr>
        <w:trPr>
          <w:trHeight w:val="203"/>
        </w:trPr>
        <w:tc>
          <w:tcPr>
            <w:tcW w:w="2480" w:type="dxa"/>
            <w:vAlign w:val="bottom"/>
          </w:tcPr>
          <w:p>
            <w:pPr>
              <w:spacing w:after="0"/>
              <w:rPr>
                <w:sz w:val="17"/>
                <w:szCs w:val="17"/>
                <w:color w:val="auto"/>
              </w:rPr>
            </w:pPr>
          </w:p>
        </w:tc>
        <w:tc>
          <w:tcPr>
            <w:tcW w:w="8540" w:type="dxa"/>
            <w:vAlign w:val="bottom"/>
          </w:tcPr>
          <w:p>
            <w:pPr>
              <w:ind w:left="600"/>
              <w:spacing w:after="0" w:line="202" w:lineRule="exact"/>
              <w:rPr>
                <w:sz w:val="20"/>
                <w:szCs w:val="20"/>
                <w:color w:val="auto"/>
              </w:rPr>
            </w:pPr>
            <w:r>
              <w:rPr>
                <w:rFonts w:ascii="Arial" w:cs="Arial" w:eastAsia="Arial" w:hAnsi="Arial"/>
                <w:sz w:val="18"/>
                <w:szCs w:val="18"/>
                <w:color w:val="auto"/>
              </w:rPr>
              <w:t>merged with us in 2001. Mr. Williamson attended Colorado State University and serves on the</w:t>
            </w:r>
          </w:p>
        </w:tc>
      </w:tr>
      <w:tr>
        <w:trPr>
          <w:trHeight w:val="239"/>
        </w:trPr>
        <w:tc>
          <w:tcPr>
            <w:tcW w:w="2480" w:type="dxa"/>
            <w:vAlign w:val="bottom"/>
          </w:tcPr>
          <w:p>
            <w:pPr>
              <w:spacing w:after="0"/>
              <w:rPr>
                <w:sz w:val="20"/>
                <w:szCs w:val="20"/>
                <w:color w:val="auto"/>
              </w:rPr>
            </w:pPr>
          </w:p>
        </w:tc>
        <w:tc>
          <w:tcPr>
            <w:tcW w:w="8540" w:type="dxa"/>
            <w:vAlign w:val="bottom"/>
          </w:tcPr>
          <w:p>
            <w:pPr>
              <w:ind w:left="600"/>
              <w:spacing w:after="0"/>
              <w:rPr>
                <w:sz w:val="20"/>
                <w:szCs w:val="20"/>
                <w:color w:val="auto"/>
              </w:rPr>
            </w:pPr>
            <w:r>
              <w:rPr>
                <w:rFonts w:ascii="Arial" w:cs="Arial" w:eastAsia="Arial" w:hAnsi="Arial"/>
                <w:sz w:val="18"/>
                <w:szCs w:val="18"/>
                <w:color w:val="auto"/>
              </w:rPr>
              <w:t>board of governors for U.S. Grown Foods.</w:t>
            </w:r>
          </w:p>
        </w:tc>
      </w:tr>
      <w:tr>
        <w:trPr>
          <w:trHeight w:val="90"/>
        </w:trPr>
        <w:tc>
          <w:tcPr>
            <w:tcW w:w="2480" w:type="dxa"/>
            <w:vAlign w:val="bottom"/>
            <w:tcBorders>
              <w:bottom w:val="single" w:sz="8" w:color="0070C0"/>
            </w:tcBorders>
          </w:tcPr>
          <w:p>
            <w:pPr>
              <w:spacing w:after="0"/>
              <w:rPr>
                <w:sz w:val="7"/>
                <w:szCs w:val="7"/>
                <w:color w:val="auto"/>
              </w:rPr>
            </w:pPr>
          </w:p>
        </w:tc>
        <w:tc>
          <w:tcPr>
            <w:tcW w:w="8540" w:type="dxa"/>
            <w:vAlign w:val="bottom"/>
            <w:tcBorders>
              <w:bottom w:val="single" w:sz="8" w:color="0070C0"/>
            </w:tcBorders>
          </w:tcPr>
          <w:p>
            <w:pPr>
              <w:spacing w:after="0"/>
              <w:rPr>
                <w:sz w:val="7"/>
                <w:szCs w:val="7"/>
                <w:color w:val="auto"/>
              </w:rPr>
            </w:pPr>
          </w:p>
        </w:tc>
      </w:tr>
      <w:tr>
        <w:trPr>
          <w:trHeight w:val="196"/>
        </w:trPr>
        <w:tc>
          <w:tcPr>
            <w:tcW w:w="2480" w:type="dxa"/>
            <w:vAlign w:val="bottom"/>
            <w:tcBorders>
              <w:bottom w:val="single" w:sz="8" w:color="0070C0"/>
            </w:tcBorders>
          </w:tcPr>
          <w:p>
            <w:pPr>
              <w:spacing w:after="0"/>
              <w:rPr>
                <w:sz w:val="17"/>
                <w:szCs w:val="17"/>
                <w:color w:val="auto"/>
              </w:rPr>
            </w:pPr>
          </w:p>
        </w:tc>
        <w:tc>
          <w:tcPr>
            <w:tcW w:w="8540" w:type="dxa"/>
            <w:vAlign w:val="bottom"/>
            <w:tcBorders>
              <w:bottom w:val="single" w:sz="8" w:color="0070C0"/>
            </w:tcBorders>
          </w:tcPr>
          <w:p>
            <w:pPr>
              <w:spacing w:after="0"/>
              <w:rPr>
                <w:sz w:val="17"/>
                <w:szCs w:val="17"/>
                <w:color w:val="auto"/>
              </w:rPr>
            </w:pPr>
          </w:p>
        </w:tc>
      </w:tr>
      <w:tr>
        <w:trPr>
          <w:trHeight w:val="326"/>
        </w:trPr>
        <w:tc>
          <w:tcPr>
            <w:tcW w:w="2480" w:type="dxa"/>
            <w:vAlign w:val="bottom"/>
          </w:tcPr>
          <w:p>
            <w:pPr>
              <w:spacing w:after="0"/>
              <w:rPr>
                <w:sz w:val="24"/>
                <w:szCs w:val="24"/>
                <w:color w:val="auto"/>
              </w:rPr>
            </w:pPr>
          </w:p>
        </w:tc>
        <w:tc>
          <w:tcPr>
            <w:tcW w:w="8540" w:type="dxa"/>
            <w:vAlign w:val="bottom"/>
          </w:tcPr>
          <w:p>
            <w:pPr>
              <w:jc w:val="center"/>
              <w:ind w:right="2390"/>
              <w:spacing w:after="0"/>
              <w:rPr>
                <w:sz w:val="20"/>
                <w:szCs w:val="20"/>
                <w:color w:val="auto"/>
              </w:rPr>
            </w:pPr>
            <w:r>
              <w:rPr>
                <w:rFonts w:ascii="Arial" w:cs="Arial" w:eastAsia="Arial" w:hAnsi="Arial"/>
                <w:sz w:val="18"/>
                <w:szCs w:val="18"/>
                <w:b w:val="1"/>
                <w:bCs w:val="1"/>
                <w:color w:val="0070C0"/>
                <w:w w:val="99"/>
              </w:rPr>
              <w:t>IBP 2024 Proxy Statement</w:t>
            </w:r>
          </w:p>
        </w:tc>
      </w:tr>
      <w:tr>
        <w:trPr>
          <w:trHeight w:val="239"/>
        </w:trPr>
        <w:tc>
          <w:tcPr>
            <w:tcW w:w="2480" w:type="dxa"/>
            <w:vAlign w:val="bottom"/>
          </w:tcPr>
          <w:p>
            <w:pPr>
              <w:spacing w:after="0"/>
              <w:rPr>
                <w:sz w:val="20"/>
                <w:szCs w:val="20"/>
                <w:color w:val="auto"/>
              </w:rPr>
            </w:pPr>
          </w:p>
        </w:tc>
        <w:tc>
          <w:tcPr>
            <w:tcW w:w="8540" w:type="dxa"/>
            <w:vAlign w:val="bottom"/>
          </w:tcPr>
          <w:p>
            <w:pPr>
              <w:jc w:val="center"/>
              <w:ind w:right="2410"/>
              <w:spacing w:after="0"/>
              <w:rPr>
                <w:sz w:val="20"/>
                <w:szCs w:val="20"/>
                <w:color w:val="auto"/>
              </w:rPr>
            </w:pPr>
            <w:r>
              <w:rPr>
                <w:rFonts w:ascii="Arial" w:cs="Arial" w:eastAsia="Arial" w:hAnsi="Arial"/>
                <w:sz w:val="18"/>
                <w:szCs w:val="18"/>
                <w:color w:val="0070C0"/>
                <w:w w:val="99"/>
              </w:rPr>
              <w:t>Executive Officers and Certain Significant Employees</w:t>
            </w:r>
          </w:p>
        </w:tc>
      </w:tr>
      <w:tr>
        <w:trPr>
          <w:trHeight w:val="270"/>
        </w:trPr>
        <w:tc>
          <w:tcPr>
            <w:tcW w:w="2480" w:type="dxa"/>
            <w:vAlign w:val="bottom"/>
          </w:tcPr>
          <w:p>
            <w:pPr>
              <w:spacing w:after="0"/>
              <w:rPr>
                <w:sz w:val="23"/>
                <w:szCs w:val="23"/>
                <w:color w:val="auto"/>
              </w:rPr>
            </w:pPr>
          </w:p>
        </w:tc>
        <w:tc>
          <w:tcPr>
            <w:tcW w:w="8540" w:type="dxa"/>
            <w:vAlign w:val="bottom"/>
          </w:tcPr>
          <w:p>
            <w:pPr>
              <w:jc w:val="center"/>
              <w:ind w:right="2410"/>
              <w:spacing w:after="0"/>
              <w:rPr>
                <w:sz w:val="20"/>
                <w:szCs w:val="20"/>
                <w:color w:val="auto"/>
              </w:rPr>
            </w:pPr>
            <w:r>
              <w:rPr>
                <w:rFonts w:ascii="Arial" w:cs="Arial" w:eastAsia="Arial" w:hAnsi="Arial"/>
                <w:sz w:val="18"/>
                <w:szCs w:val="18"/>
                <w:color w:val="0070C0"/>
                <w:w w:val="99"/>
              </w:rPr>
              <w:t>46</w:t>
            </w:r>
          </w:p>
        </w:tc>
      </w:tr>
    </w:tbl>
    <w:p>
      <w:pPr>
        <w:sectPr>
          <w:pgSz w:w="11900" w:h="16838" w:orient="portrait"/>
          <w:cols w:equalWidth="0" w:num="1">
            <w:col w:w="11020"/>
          </w:cols>
          <w:pgMar w:left="440" w:top="350" w:right="439" w:bottom="1440" w:gutter="0" w:footer="0" w:header="0"/>
          <w:type w:val="continuous"/>
        </w:sectPr>
      </w:pPr>
    </w:p>
    <w:bookmarkStart w:id="54" w:name="page55"/>
    <w:bookmarkEnd w:id="54"/>
    <w:p>
      <w:pPr>
        <w:ind w:left="1120"/>
        <w:spacing w:after="0"/>
        <w:rPr>
          <w:sz w:val="20"/>
          <w:szCs w:val="20"/>
          <w:color w:val="auto"/>
        </w:rPr>
      </w:pPr>
      <w:r>
        <w:rPr>
          <w:rFonts w:ascii="Times New Roman" w:cs="Times New Roman" w:eastAsia="Times New Roman" w:hAnsi="Times New Roman"/>
          <w:sz w:val="40"/>
          <w:szCs w:val="40"/>
          <w:b w:val="1"/>
          <w:bCs w:val="1"/>
          <w:color w:val="0070C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6995160" cy="21170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21170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002060"/>
        </w:rPr>
        <w:t>CHC Committee Report</w:t>
      </w:r>
    </w:p>
    <w:p>
      <w:pPr>
        <w:spacing w:after="0" w:line="324" w:lineRule="exact"/>
        <w:rPr>
          <w:sz w:val="20"/>
          <w:szCs w:val="20"/>
          <w:color w:val="auto"/>
        </w:rPr>
      </w:pPr>
    </w:p>
    <w:p>
      <w:pPr>
        <w:ind w:left="180"/>
        <w:spacing w:after="0" w:line="247" w:lineRule="auto"/>
        <w:rPr>
          <w:sz w:val="20"/>
          <w:szCs w:val="20"/>
          <w:color w:val="auto"/>
        </w:rPr>
      </w:pPr>
      <w:r>
        <w:rPr>
          <w:rFonts w:ascii="Arial" w:cs="Arial" w:eastAsia="Arial" w:hAnsi="Arial"/>
          <w:sz w:val="18"/>
          <w:szCs w:val="18"/>
          <w:color w:val="auto"/>
        </w:rPr>
        <w:t>The CHC Committee has reviewed the Compensation Discussion and Analysis (“CD&amp;A”) included in this Proxy Statement and has discussed the CD&amp;A with members of the management team involved in the compensation process. Based on such review and discussions, the CHC Committee recommended to the Board of Directors that the CD&amp;A be included in this Proxy Statement and incorporated in the Company’s Annual Report on Form 10-K for the year ended December 31, 2023.</w:t>
      </w:r>
    </w:p>
    <w:p>
      <w:pPr>
        <w:sectPr>
          <w:pgSz w:w="11900" w:h="16838" w:orient="portrait"/>
          <w:cols w:equalWidth="0" w:num="1">
            <w:col w:w="10560"/>
          </w:cols>
          <w:pgMar w:left="440" w:top="261" w:right="899" w:bottom="1440" w:gutter="0" w:footer="0" w:header="0"/>
        </w:sectPr>
      </w:pPr>
    </w:p>
    <w:p>
      <w:pPr>
        <w:spacing w:after="0" w:line="3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CHC Committee</w:t>
      </w:r>
    </w:p>
    <w:p>
      <w:pPr>
        <w:spacing w:after="0" w:line="37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Janet E. Jackson (Chair)</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David R. Meuse</w:t>
      </w:r>
    </w:p>
    <w:p>
      <w:pPr>
        <w:ind w:left="180"/>
        <w:spacing w:after="0"/>
        <w:rPr>
          <w:sz w:val="20"/>
          <w:szCs w:val="20"/>
          <w:color w:val="auto"/>
        </w:rPr>
      </w:pPr>
      <w:r>
        <w:rPr>
          <w:rFonts w:ascii="Arial" w:cs="Arial" w:eastAsia="Arial" w:hAnsi="Arial"/>
          <w:sz w:val="18"/>
          <w:szCs w:val="18"/>
          <w:i w:val="1"/>
          <w:iCs w:val="1"/>
          <w:color w:val="auto"/>
        </w:rPr>
        <w:t>Marchelle E. Moore</w:t>
      </w: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CD&amp;A 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166370</wp:posOffset>
            </wp:positionV>
            <wp:extent cx="2828925" cy="2489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828925" cy="248920"/>
                    </a:xfrm>
                    <a:prstGeom prst="rect">
                      <a:avLst/>
                    </a:prstGeom>
                    <a:noFill/>
                  </pic:spPr>
                </pic:pic>
              </a:graphicData>
            </a:graphic>
          </wp:anchor>
        </w:drawing>
      </w:r>
    </w:p>
    <w:p>
      <w:pPr>
        <w:spacing w:after="0" w:line="31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FFFFFF"/>
        </w:rPr>
        <w:t>  Section 1 – Executive Summary</w:t>
      </w:r>
    </w:p>
    <w:p>
      <w:pPr>
        <w:spacing w:after="0" w:line="88" w:lineRule="exact"/>
        <w:rPr>
          <w:sz w:val="20"/>
          <w:szCs w:val="20"/>
          <w:color w:val="auto"/>
        </w:rPr>
      </w:pPr>
    </w:p>
    <w:p>
      <w:pPr>
        <w:ind w:left="620"/>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Our Growth Strategy</w:t>
      </w:r>
    </w:p>
    <w:p>
      <w:pPr>
        <w:spacing w:after="0" w:line="50" w:lineRule="exact"/>
        <w:rPr>
          <w:sz w:val="20"/>
          <w:szCs w:val="20"/>
          <w:color w:val="auto"/>
        </w:rPr>
      </w:pPr>
    </w:p>
    <w:p>
      <w:pPr>
        <w:ind w:left="620" w:right="1040"/>
        <w:spacing w:after="0" w:line="253" w:lineRule="exact"/>
        <w:rPr>
          <w:sz w:val="20"/>
          <w:szCs w:val="20"/>
          <w:color w:val="auto"/>
        </w:rPr>
      </w:pPr>
      <w:r>
        <w:rPr>
          <w:rFonts w:ascii="MS PGothic" w:cs="MS PGothic" w:eastAsia="MS PGothic" w:hAnsi="MS PGothic"/>
          <w:sz w:val="13"/>
          <w:szCs w:val="13"/>
          <w:color w:val="002060"/>
        </w:rPr>
        <w:t>∎</w:t>
      </w:r>
      <w:r>
        <w:rPr>
          <w:rFonts w:ascii="Arial" w:cs="Arial" w:eastAsia="Arial" w:hAnsi="Arial"/>
          <w:sz w:val="17"/>
          <w:szCs w:val="17"/>
          <w:color w:val="auto"/>
        </w:rPr>
        <w:t xml:space="preserve">   </w:t>
      </w:r>
      <w:r>
        <w:rPr>
          <w:rFonts w:ascii="Arial" w:cs="Arial" w:eastAsia="Arial" w:hAnsi="Arial"/>
          <w:sz w:val="17"/>
          <w:szCs w:val="17"/>
          <w:u w:val="single" w:color="auto"/>
          <w:color w:val="0000EE"/>
        </w:rPr>
        <w:t>Our Capital Allocation Strategy</w:t>
      </w:r>
      <w:r>
        <w:rPr>
          <w:rFonts w:ascii="Arial" w:cs="Arial" w:eastAsia="Arial" w:hAnsi="Arial"/>
          <w:sz w:val="17"/>
          <w:szCs w:val="17"/>
          <w:color w:val="auto"/>
        </w:rPr>
        <w:t xml:space="preserve"> </w:t>
      </w:r>
      <w:r>
        <w:rPr>
          <w:rFonts w:ascii="MS PGothic" w:cs="MS PGothic" w:eastAsia="MS PGothic" w:hAnsi="MS PGothic"/>
          <w:sz w:val="13"/>
          <w:szCs w:val="13"/>
          <w:color w:val="002060"/>
        </w:rPr>
        <w:t>∎</w:t>
      </w:r>
      <w:r>
        <w:rPr>
          <w:rFonts w:ascii="Arial" w:cs="Arial" w:eastAsia="Arial" w:hAnsi="Arial"/>
          <w:sz w:val="17"/>
          <w:szCs w:val="17"/>
          <w:color w:val="auto"/>
        </w:rPr>
        <w:t xml:space="preserve">   </w:t>
      </w:r>
      <w:r>
        <w:rPr>
          <w:rFonts w:ascii="Arial" w:cs="Arial" w:eastAsia="Arial" w:hAnsi="Arial"/>
          <w:sz w:val="17"/>
          <w:szCs w:val="17"/>
          <w:u w:val="single" w:color="auto"/>
          <w:color w:val="0000EE"/>
        </w:rPr>
        <w:t>Our Acquisition Strategy</w:t>
      </w:r>
      <w:r>
        <w:rPr>
          <w:rFonts w:ascii="Arial" w:cs="Arial" w:eastAsia="Arial" w:hAnsi="Arial"/>
          <w:sz w:val="17"/>
          <w:szCs w:val="17"/>
          <w:color w:val="auto"/>
        </w:rPr>
        <w:t xml:space="preserve"> </w:t>
      </w:r>
      <w:r>
        <w:rPr>
          <w:rFonts w:ascii="MS PGothic" w:cs="MS PGothic" w:eastAsia="MS PGothic" w:hAnsi="MS PGothic"/>
          <w:sz w:val="13"/>
          <w:szCs w:val="13"/>
          <w:color w:val="002060"/>
        </w:rPr>
        <w:t>∎</w:t>
      </w:r>
      <w:r>
        <w:rPr>
          <w:rFonts w:ascii="Arial" w:cs="Arial" w:eastAsia="Arial" w:hAnsi="Arial"/>
          <w:sz w:val="17"/>
          <w:szCs w:val="17"/>
          <w:color w:val="auto"/>
        </w:rPr>
        <w:t xml:space="preserve">   </w:t>
      </w:r>
      <w:r>
        <w:rPr>
          <w:rFonts w:ascii="Arial" w:cs="Arial" w:eastAsia="Arial" w:hAnsi="Arial"/>
          <w:sz w:val="17"/>
          <w:szCs w:val="17"/>
          <w:u w:val="single" w:color="auto"/>
          <w:color w:val="0000EE"/>
        </w:rPr>
        <w:t>2023 Financial Highlights</w:t>
      </w:r>
    </w:p>
    <w:p>
      <w:pPr>
        <w:spacing w:after="0" w:line="66" w:lineRule="exact"/>
        <w:rPr>
          <w:sz w:val="20"/>
          <w:szCs w:val="20"/>
          <w:color w:val="auto"/>
        </w:rPr>
      </w:pPr>
    </w:p>
    <w:p>
      <w:pPr>
        <w:ind w:left="620"/>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Pay for Performance</w:t>
      </w:r>
    </w:p>
    <w:p>
      <w:pPr>
        <w:spacing w:after="0" w:line="117" w:lineRule="exact"/>
        <w:rPr>
          <w:sz w:val="20"/>
          <w:szCs w:val="20"/>
          <w:color w:val="auto"/>
        </w:rPr>
      </w:pPr>
    </w:p>
    <w:p>
      <w:pPr>
        <w:ind w:left="620" w:right="900"/>
        <w:spacing w:after="0" w:line="252" w:lineRule="exact"/>
        <w:rPr>
          <w:sz w:val="20"/>
          <w:szCs w:val="20"/>
          <w:color w:val="auto"/>
        </w:rPr>
      </w:pPr>
      <w:r>
        <w:rPr>
          <w:rFonts w:ascii="MS PGothic" w:cs="MS PGothic" w:eastAsia="MS PGothic" w:hAnsi="MS PGothic"/>
          <w:sz w:val="13"/>
          <w:szCs w:val="13"/>
          <w:color w:val="002060"/>
        </w:rPr>
        <w:t>∎</w:t>
      </w:r>
      <w:r>
        <w:rPr>
          <w:rFonts w:ascii="Arial" w:cs="Arial" w:eastAsia="Arial" w:hAnsi="Arial"/>
          <w:sz w:val="17"/>
          <w:szCs w:val="17"/>
          <w:color w:val="auto"/>
        </w:rPr>
        <w:t xml:space="preserve">   </w:t>
      </w:r>
      <w:r>
        <w:rPr>
          <w:rFonts w:ascii="Arial" w:cs="Arial" w:eastAsia="Arial" w:hAnsi="Arial"/>
          <w:sz w:val="17"/>
          <w:szCs w:val="17"/>
          <w:u w:val="single" w:color="auto"/>
          <w:color w:val="0000EE"/>
        </w:rPr>
        <w:t>2023 Say-on-Pay Voting Results</w:t>
      </w:r>
      <w:r>
        <w:rPr>
          <w:rFonts w:ascii="Arial" w:cs="Arial" w:eastAsia="Arial" w:hAnsi="Arial"/>
          <w:sz w:val="17"/>
          <w:szCs w:val="17"/>
          <w:color w:val="auto"/>
        </w:rPr>
        <w:t xml:space="preserve"> </w:t>
      </w:r>
      <w:r>
        <w:rPr>
          <w:rFonts w:ascii="MS PGothic" w:cs="MS PGothic" w:eastAsia="MS PGothic" w:hAnsi="MS PGothic"/>
          <w:sz w:val="13"/>
          <w:szCs w:val="13"/>
          <w:color w:val="002060"/>
        </w:rPr>
        <w:t>∎</w:t>
      </w:r>
      <w:r>
        <w:rPr>
          <w:rFonts w:ascii="Arial" w:cs="Arial" w:eastAsia="Arial" w:hAnsi="Arial"/>
          <w:sz w:val="17"/>
          <w:szCs w:val="17"/>
          <w:color w:val="auto"/>
        </w:rPr>
        <w:t xml:space="preserve">   </w:t>
      </w:r>
      <w:r>
        <w:rPr>
          <w:rFonts w:ascii="Arial" w:cs="Arial" w:eastAsia="Arial" w:hAnsi="Arial"/>
          <w:sz w:val="17"/>
          <w:szCs w:val="17"/>
          <w:u w:val="single" w:color="auto"/>
          <w:color w:val="0000EE"/>
        </w:rPr>
        <w:t>2023 Named Executive Officers</w:t>
      </w:r>
    </w:p>
    <w:p>
      <w:pPr>
        <w:spacing w:after="0" w:line="104" w:lineRule="exact"/>
        <w:rPr>
          <w:sz w:val="20"/>
          <w:szCs w:val="20"/>
          <w:color w:val="auto"/>
        </w:rPr>
      </w:pPr>
    </w:p>
    <w:p>
      <w:pPr>
        <w:ind w:left="620"/>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2023 Executive Compensation at a Glance</w:t>
      </w:r>
    </w:p>
    <w:p>
      <w:pPr>
        <w:spacing w:after="0" w:line="252" w:lineRule="exact"/>
        <w:rPr>
          <w:sz w:val="20"/>
          <w:szCs w:val="20"/>
          <w:color w:val="auto"/>
        </w:rPr>
      </w:pPr>
    </w:p>
    <w:p>
      <w:pPr>
        <w:ind w:left="620"/>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2023 Target Compensation Mix</w:t>
      </w:r>
    </w:p>
    <w:p>
      <w:pPr>
        <w:spacing w:after="0" w:line="212" w:lineRule="exact"/>
        <w:rPr>
          <w:sz w:val="20"/>
          <w:szCs w:val="20"/>
          <w:color w:val="auto"/>
        </w:rPr>
      </w:pPr>
    </w:p>
    <w:p>
      <w:pPr>
        <w:ind w:left="620"/>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Key Compensation Practices for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86360</wp:posOffset>
            </wp:positionV>
            <wp:extent cx="2828925" cy="2400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828925" cy="240030"/>
                    </a:xfrm>
                    <a:prstGeom prst="rect">
                      <a:avLst/>
                    </a:prstGeom>
                    <a:noFill/>
                  </pic:spPr>
                </pic:pic>
              </a:graphicData>
            </a:graphic>
          </wp:anchor>
        </w:drawing>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FFFFFF"/>
        </w:rPr>
        <w:t>  Section 2 – How We Determine Pay</w:t>
      </w:r>
    </w:p>
    <w:p>
      <w:pPr>
        <w:spacing w:after="0" w:line="88" w:lineRule="exact"/>
        <w:rPr>
          <w:sz w:val="20"/>
          <w:szCs w:val="20"/>
          <w:color w:val="auto"/>
        </w:rPr>
      </w:pPr>
    </w:p>
    <w:p>
      <w:pPr>
        <w:ind w:left="620"/>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Our Philosophy</w:t>
      </w:r>
    </w:p>
    <w:p>
      <w:pPr>
        <w:spacing w:after="0" w:line="50" w:lineRule="exact"/>
        <w:rPr>
          <w:sz w:val="20"/>
          <w:szCs w:val="20"/>
          <w:color w:val="auto"/>
        </w:rPr>
      </w:pPr>
    </w:p>
    <w:p>
      <w:pPr>
        <w:ind w:left="620"/>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Our Goals</w:t>
      </w:r>
    </w:p>
    <w:p>
      <w:pPr>
        <w:spacing w:after="0" w:line="50" w:lineRule="exact"/>
        <w:rPr>
          <w:sz w:val="20"/>
          <w:szCs w:val="20"/>
          <w:color w:val="auto"/>
        </w:rPr>
      </w:pPr>
    </w:p>
    <w:p>
      <w:pPr>
        <w:ind w:left="620"/>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Our Guiding Principles</w:t>
      </w:r>
    </w:p>
    <w:p>
      <w:pPr>
        <w:spacing w:after="0" w:line="50" w:lineRule="exact"/>
        <w:rPr>
          <w:sz w:val="20"/>
          <w:szCs w:val="20"/>
          <w:color w:val="auto"/>
        </w:rPr>
      </w:pPr>
    </w:p>
    <w:p>
      <w:pPr>
        <w:ind w:left="620"/>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Our Process</w:t>
      </w:r>
    </w:p>
    <w:p>
      <w:pPr>
        <w:spacing w:after="0" w:line="50" w:lineRule="exact"/>
        <w:rPr>
          <w:sz w:val="20"/>
          <w:szCs w:val="20"/>
          <w:color w:val="auto"/>
        </w:rPr>
      </w:pPr>
    </w:p>
    <w:p>
      <w:pPr>
        <w:ind w:left="620"/>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Competitive Positioning</w:t>
      </w:r>
    </w:p>
    <w:p>
      <w:pPr>
        <w:spacing w:after="0" w:line="50" w:lineRule="exact"/>
        <w:rPr>
          <w:sz w:val="20"/>
          <w:szCs w:val="20"/>
          <w:color w:val="auto"/>
        </w:rPr>
      </w:pPr>
    </w:p>
    <w:p>
      <w:pPr>
        <w:ind w:left="620"/>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Advisory Stock Vote</w:t>
      </w:r>
    </w:p>
    <w:p>
      <w:pPr>
        <w:spacing w:after="0" w:line="50" w:lineRule="exact"/>
        <w:rPr>
          <w:sz w:val="20"/>
          <w:szCs w:val="20"/>
          <w:color w:val="auto"/>
        </w:rPr>
      </w:pPr>
    </w:p>
    <w:p>
      <w:pPr>
        <w:ind w:left="620"/>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Risk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680" w:type="dxa"/>
            <w:vAlign w:val="bottom"/>
            <w:tcBorders>
              <w:top w:val="single" w:sz="8" w:color="0070C0"/>
            </w:tcBorders>
          </w:tcPr>
          <w:p>
            <w:pPr>
              <w:jc w:val="center"/>
              <w:spacing w:after="0"/>
              <w:rPr>
                <w:sz w:val="20"/>
                <w:szCs w:val="20"/>
                <w:color w:val="auto"/>
              </w:rPr>
            </w:pPr>
            <w:r>
              <w:rPr>
                <w:rFonts w:ascii="Arial" w:cs="Arial" w:eastAsia="Arial" w:hAnsi="Arial"/>
                <w:sz w:val="16"/>
                <w:szCs w:val="16"/>
                <w:color w:val="auto"/>
                <w:w w:val="86"/>
              </w:rPr>
              <w:t>  Page </w:t>
            </w:r>
          </w:p>
        </w:tc>
        <w:tc>
          <w:tcPr>
            <w:tcW w:w="4440" w:type="dxa"/>
            <w:vAlign w:val="bottom"/>
            <w:tcBorders>
              <w:top w:val="single" w:sz="8" w:color="0070C0"/>
            </w:tcBorders>
            <w:gridSpan w:val="7"/>
            <w:shd w:val="clear" w:color="auto" w:fill="0070C0"/>
          </w:tcPr>
          <w:p>
            <w:pPr>
              <w:ind w:left="100"/>
              <w:spacing w:after="0"/>
              <w:rPr>
                <w:sz w:val="20"/>
                <w:szCs w:val="20"/>
                <w:color w:val="auto"/>
              </w:rPr>
            </w:pPr>
            <w:r>
              <w:rPr>
                <w:rFonts w:ascii="Arial" w:cs="Arial" w:eastAsia="Arial" w:hAnsi="Arial"/>
                <w:sz w:val="18"/>
                <w:szCs w:val="18"/>
                <w:i w:val="1"/>
                <w:iCs w:val="1"/>
                <w:color w:val="FFFFFF"/>
              </w:rPr>
              <w:t>Section 3 – Elements of our Compensation Program</w:t>
            </w:r>
          </w:p>
        </w:tc>
        <w:tc>
          <w:tcPr>
            <w:tcW w:w="540" w:type="dxa"/>
            <w:vAlign w:val="bottom"/>
            <w:tcBorders>
              <w:top w:val="single" w:sz="8" w:color="0070C0"/>
            </w:tcBorders>
          </w:tcPr>
          <w:p>
            <w:pPr>
              <w:jc w:val="center"/>
              <w:ind w:left="32"/>
              <w:spacing w:after="0"/>
              <w:rPr>
                <w:sz w:val="20"/>
                <w:szCs w:val="20"/>
                <w:color w:val="auto"/>
              </w:rPr>
            </w:pPr>
            <w:r>
              <w:rPr>
                <w:rFonts w:ascii="Arial" w:cs="Arial" w:eastAsia="Arial" w:hAnsi="Arial"/>
                <w:sz w:val="16"/>
                <w:szCs w:val="16"/>
                <w:color w:val="auto"/>
              </w:rPr>
              <w:t>Page</w:t>
            </w:r>
          </w:p>
        </w:tc>
      </w:tr>
      <w:tr>
        <w:trPr>
          <w:trHeight w:val="77"/>
        </w:trPr>
        <w:tc>
          <w:tcPr>
            <w:tcW w:w="680" w:type="dxa"/>
            <w:vAlign w:val="bottom"/>
          </w:tcPr>
          <w:p>
            <w:pPr>
              <w:spacing w:after="0"/>
              <w:rPr>
                <w:sz w:val="6"/>
                <w:szCs w:val="6"/>
                <w:color w:val="auto"/>
              </w:rPr>
            </w:pPr>
          </w:p>
        </w:tc>
        <w:tc>
          <w:tcPr>
            <w:tcW w:w="100" w:type="dxa"/>
            <w:vAlign w:val="bottom"/>
            <w:shd w:val="clear" w:color="auto" w:fill="0070C0"/>
          </w:tcPr>
          <w:p>
            <w:pPr>
              <w:spacing w:after="0"/>
              <w:rPr>
                <w:sz w:val="6"/>
                <w:szCs w:val="6"/>
                <w:color w:val="auto"/>
              </w:rPr>
            </w:pPr>
          </w:p>
        </w:tc>
        <w:tc>
          <w:tcPr>
            <w:tcW w:w="420" w:type="dxa"/>
            <w:vAlign w:val="bottom"/>
            <w:shd w:val="clear" w:color="auto" w:fill="0070C0"/>
          </w:tcPr>
          <w:p>
            <w:pPr>
              <w:spacing w:after="0"/>
              <w:rPr>
                <w:sz w:val="6"/>
                <w:szCs w:val="6"/>
                <w:color w:val="auto"/>
              </w:rPr>
            </w:pPr>
          </w:p>
        </w:tc>
        <w:tc>
          <w:tcPr>
            <w:tcW w:w="960" w:type="dxa"/>
            <w:vAlign w:val="bottom"/>
            <w:shd w:val="clear" w:color="auto" w:fill="0070C0"/>
          </w:tcPr>
          <w:p>
            <w:pPr>
              <w:spacing w:after="0"/>
              <w:rPr>
                <w:sz w:val="6"/>
                <w:szCs w:val="6"/>
                <w:color w:val="auto"/>
              </w:rPr>
            </w:pPr>
          </w:p>
        </w:tc>
        <w:tc>
          <w:tcPr>
            <w:tcW w:w="1260" w:type="dxa"/>
            <w:vAlign w:val="bottom"/>
            <w:shd w:val="clear" w:color="auto" w:fill="0070C0"/>
          </w:tcPr>
          <w:p>
            <w:pPr>
              <w:spacing w:after="0"/>
              <w:rPr>
                <w:sz w:val="6"/>
                <w:szCs w:val="6"/>
                <w:color w:val="auto"/>
              </w:rPr>
            </w:pPr>
          </w:p>
        </w:tc>
        <w:tc>
          <w:tcPr>
            <w:tcW w:w="700" w:type="dxa"/>
            <w:vAlign w:val="bottom"/>
            <w:shd w:val="clear" w:color="auto" w:fill="0070C0"/>
          </w:tcPr>
          <w:p>
            <w:pPr>
              <w:spacing w:after="0"/>
              <w:rPr>
                <w:sz w:val="6"/>
                <w:szCs w:val="6"/>
                <w:color w:val="auto"/>
              </w:rPr>
            </w:pPr>
          </w:p>
        </w:tc>
        <w:tc>
          <w:tcPr>
            <w:tcW w:w="80" w:type="dxa"/>
            <w:vAlign w:val="bottom"/>
            <w:shd w:val="clear" w:color="auto" w:fill="0070C0"/>
          </w:tcPr>
          <w:p>
            <w:pPr>
              <w:spacing w:after="0"/>
              <w:rPr>
                <w:sz w:val="6"/>
                <w:szCs w:val="6"/>
                <w:color w:val="auto"/>
              </w:rPr>
            </w:pPr>
          </w:p>
        </w:tc>
        <w:tc>
          <w:tcPr>
            <w:tcW w:w="920" w:type="dxa"/>
            <w:vAlign w:val="bottom"/>
            <w:shd w:val="clear" w:color="auto" w:fill="0070C0"/>
          </w:tcPr>
          <w:p>
            <w:pPr>
              <w:spacing w:after="0"/>
              <w:rPr>
                <w:sz w:val="6"/>
                <w:szCs w:val="6"/>
                <w:color w:val="auto"/>
              </w:rPr>
            </w:pPr>
          </w:p>
        </w:tc>
        <w:tc>
          <w:tcPr>
            <w:tcW w:w="540" w:type="dxa"/>
            <w:vAlign w:val="bottom"/>
          </w:tcPr>
          <w:p>
            <w:pPr>
              <w:spacing w:after="0"/>
              <w:rPr>
                <w:sz w:val="6"/>
                <w:szCs w:val="6"/>
                <w:color w:val="auto"/>
              </w:rPr>
            </w:pPr>
          </w:p>
        </w:tc>
      </w:tr>
      <w:tr>
        <w:trPr>
          <w:trHeight w:val="176"/>
        </w:trPr>
        <w:tc>
          <w:tcPr>
            <w:tcW w:w="680" w:type="dxa"/>
            <w:vAlign w:val="bottom"/>
          </w:tcPr>
          <w:p>
            <w:pPr>
              <w:jc w:val="center"/>
              <w:ind w:left="32"/>
              <w:spacing w:after="0" w:line="169" w:lineRule="exact"/>
              <w:rPr>
                <w:sz w:val="20"/>
                <w:szCs w:val="20"/>
                <w:color w:val="auto"/>
              </w:rPr>
            </w:pPr>
            <w:r>
              <w:rPr>
                <w:rFonts w:ascii="Arial" w:cs="Arial" w:eastAsia="Arial" w:hAnsi="Arial"/>
                <w:sz w:val="18"/>
                <w:szCs w:val="18"/>
                <w:color w:val="auto"/>
                <w:w w:val="99"/>
              </w:rPr>
              <w:t>48</w:t>
            </w:r>
          </w:p>
        </w:tc>
        <w:tc>
          <w:tcPr>
            <w:tcW w:w="100" w:type="dxa"/>
            <w:vAlign w:val="bottom"/>
          </w:tcPr>
          <w:p>
            <w:pPr>
              <w:spacing w:after="0"/>
              <w:rPr>
                <w:sz w:val="15"/>
                <w:szCs w:val="15"/>
                <w:color w:val="auto"/>
              </w:rPr>
            </w:pPr>
          </w:p>
        </w:tc>
        <w:tc>
          <w:tcPr>
            <w:tcW w:w="420" w:type="dxa"/>
            <w:vAlign w:val="bottom"/>
          </w:tcPr>
          <w:p>
            <w:pPr>
              <w:ind w:left="180"/>
              <w:spacing w:after="0" w:line="169"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w:t>
            </w:r>
          </w:p>
        </w:tc>
        <w:tc>
          <w:tcPr>
            <w:tcW w:w="2220" w:type="dxa"/>
            <w:vAlign w:val="bottom"/>
            <w:tcBorders>
              <w:bottom w:val="single" w:sz="8" w:color="0000EE"/>
            </w:tcBorders>
            <w:gridSpan w:val="2"/>
          </w:tcPr>
          <w:p>
            <w:pPr>
              <w:spacing w:after="0" w:line="156" w:lineRule="exact"/>
              <w:rPr>
                <w:sz w:val="20"/>
                <w:szCs w:val="20"/>
                <w:color w:val="auto"/>
              </w:rPr>
            </w:pPr>
            <w:r>
              <w:rPr>
                <w:rFonts w:ascii="Arial" w:cs="Arial" w:eastAsia="Arial" w:hAnsi="Arial"/>
                <w:sz w:val="18"/>
                <w:szCs w:val="18"/>
                <w:color w:val="0000EE"/>
                <w:w w:val="98"/>
              </w:rPr>
              <w:t>Compensation Components</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jc w:val="center"/>
              <w:ind w:left="52"/>
              <w:spacing w:after="0" w:line="169" w:lineRule="exact"/>
              <w:rPr>
                <w:sz w:val="20"/>
                <w:szCs w:val="20"/>
                <w:color w:val="auto"/>
              </w:rPr>
            </w:pPr>
            <w:r>
              <w:rPr>
                <w:rFonts w:ascii="Arial" w:cs="Arial" w:eastAsia="Arial" w:hAnsi="Arial"/>
                <w:sz w:val="18"/>
                <w:szCs w:val="18"/>
                <w:color w:val="auto"/>
                <w:w w:val="99"/>
              </w:rPr>
              <w:t>55</w:t>
            </w:r>
          </w:p>
        </w:tc>
      </w:tr>
      <w:tr>
        <w:trPr>
          <w:trHeight w:val="236"/>
        </w:trPr>
        <w:tc>
          <w:tcPr>
            <w:tcW w:w="680" w:type="dxa"/>
            <w:vAlign w:val="bottom"/>
          </w:tcPr>
          <w:p>
            <w:pPr>
              <w:jc w:val="center"/>
              <w:ind w:left="32"/>
              <w:spacing w:after="0"/>
              <w:rPr>
                <w:sz w:val="20"/>
                <w:szCs w:val="20"/>
                <w:color w:val="auto"/>
              </w:rPr>
            </w:pPr>
            <w:r>
              <w:rPr>
                <w:rFonts w:ascii="Arial" w:cs="Arial" w:eastAsia="Arial" w:hAnsi="Arial"/>
                <w:sz w:val="18"/>
                <w:szCs w:val="18"/>
                <w:color w:val="auto"/>
                <w:w w:val="99"/>
              </w:rPr>
              <w:t>48</w:t>
            </w:r>
          </w:p>
        </w:tc>
        <w:tc>
          <w:tcPr>
            <w:tcW w:w="100" w:type="dxa"/>
            <w:vAlign w:val="bottom"/>
          </w:tcPr>
          <w:p>
            <w:pPr>
              <w:spacing w:after="0"/>
              <w:rPr>
                <w:sz w:val="20"/>
                <w:szCs w:val="20"/>
                <w:color w:val="auto"/>
              </w:rPr>
            </w:pPr>
          </w:p>
        </w:tc>
        <w:tc>
          <w:tcPr>
            <w:tcW w:w="420" w:type="dxa"/>
            <w:vAlign w:val="bottom"/>
          </w:tcPr>
          <w:p>
            <w:pPr>
              <w:ind w:left="180"/>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w:t>
            </w:r>
          </w:p>
        </w:tc>
        <w:tc>
          <w:tcPr>
            <w:tcW w:w="9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6"/>
              </w:rPr>
              <w:t>Base Salary</w:t>
            </w:r>
          </w:p>
        </w:tc>
        <w:tc>
          <w:tcPr>
            <w:tcW w:w="196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center"/>
              <w:ind w:left="52"/>
              <w:spacing w:after="0"/>
              <w:rPr>
                <w:sz w:val="20"/>
                <w:szCs w:val="20"/>
                <w:color w:val="auto"/>
              </w:rPr>
            </w:pPr>
            <w:r>
              <w:rPr>
                <w:rFonts w:ascii="Arial" w:cs="Arial" w:eastAsia="Arial" w:hAnsi="Arial"/>
                <w:sz w:val="18"/>
                <w:szCs w:val="18"/>
                <w:color w:val="auto"/>
                <w:w w:val="99"/>
              </w:rPr>
              <w:t>56</w:t>
            </w:r>
          </w:p>
        </w:tc>
      </w:tr>
      <w:tr>
        <w:trPr>
          <w:trHeight w:val="237"/>
        </w:trPr>
        <w:tc>
          <w:tcPr>
            <w:tcW w:w="680" w:type="dxa"/>
            <w:vAlign w:val="bottom"/>
          </w:tcPr>
          <w:p>
            <w:pPr>
              <w:jc w:val="center"/>
              <w:ind w:left="32"/>
              <w:spacing w:after="0"/>
              <w:rPr>
                <w:sz w:val="20"/>
                <w:szCs w:val="20"/>
                <w:color w:val="auto"/>
              </w:rPr>
            </w:pPr>
            <w:r>
              <w:rPr>
                <w:rFonts w:ascii="Arial" w:cs="Arial" w:eastAsia="Arial" w:hAnsi="Arial"/>
                <w:sz w:val="18"/>
                <w:szCs w:val="18"/>
                <w:color w:val="auto"/>
                <w:w w:val="99"/>
              </w:rPr>
              <w:t>48</w:t>
            </w:r>
          </w:p>
        </w:tc>
        <w:tc>
          <w:tcPr>
            <w:tcW w:w="100" w:type="dxa"/>
            <w:vAlign w:val="bottom"/>
          </w:tcPr>
          <w:p>
            <w:pPr>
              <w:spacing w:after="0"/>
              <w:rPr>
                <w:sz w:val="20"/>
                <w:szCs w:val="20"/>
                <w:color w:val="auto"/>
              </w:rPr>
            </w:pPr>
          </w:p>
        </w:tc>
        <w:tc>
          <w:tcPr>
            <w:tcW w:w="420" w:type="dxa"/>
            <w:vAlign w:val="bottom"/>
          </w:tcPr>
          <w:p>
            <w:pPr>
              <w:ind w:left="180"/>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w:t>
            </w:r>
          </w:p>
        </w:tc>
        <w:tc>
          <w:tcPr>
            <w:tcW w:w="29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Performance-Based Cash Incentives</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center"/>
              <w:ind w:left="52"/>
              <w:spacing w:after="0"/>
              <w:rPr>
                <w:sz w:val="20"/>
                <w:szCs w:val="20"/>
                <w:color w:val="auto"/>
              </w:rPr>
            </w:pPr>
            <w:r>
              <w:rPr>
                <w:rFonts w:ascii="Arial" w:cs="Arial" w:eastAsia="Arial" w:hAnsi="Arial"/>
                <w:sz w:val="18"/>
                <w:szCs w:val="18"/>
                <w:color w:val="auto"/>
                <w:w w:val="99"/>
              </w:rPr>
              <w:t>56</w:t>
            </w:r>
          </w:p>
        </w:tc>
      </w:tr>
      <w:tr>
        <w:trPr>
          <w:trHeight w:val="237"/>
        </w:trPr>
        <w:tc>
          <w:tcPr>
            <w:tcW w:w="680" w:type="dxa"/>
            <w:vAlign w:val="bottom"/>
          </w:tcPr>
          <w:p>
            <w:pPr>
              <w:jc w:val="center"/>
              <w:ind w:left="32"/>
              <w:spacing w:after="0"/>
              <w:rPr>
                <w:sz w:val="20"/>
                <w:szCs w:val="20"/>
                <w:color w:val="auto"/>
              </w:rPr>
            </w:pPr>
            <w:r>
              <w:rPr>
                <w:rFonts w:ascii="Arial" w:cs="Arial" w:eastAsia="Arial" w:hAnsi="Arial"/>
                <w:sz w:val="18"/>
                <w:szCs w:val="18"/>
                <w:color w:val="auto"/>
                <w:w w:val="99"/>
              </w:rPr>
              <w:t>49</w:t>
            </w:r>
          </w:p>
        </w:tc>
        <w:tc>
          <w:tcPr>
            <w:tcW w:w="100" w:type="dxa"/>
            <w:vAlign w:val="bottom"/>
          </w:tcPr>
          <w:p>
            <w:pPr>
              <w:spacing w:after="0"/>
              <w:rPr>
                <w:sz w:val="20"/>
                <w:szCs w:val="20"/>
                <w:color w:val="auto"/>
              </w:rPr>
            </w:pPr>
          </w:p>
        </w:tc>
        <w:tc>
          <w:tcPr>
            <w:tcW w:w="420" w:type="dxa"/>
            <w:vAlign w:val="bottom"/>
          </w:tcPr>
          <w:p>
            <w:pPr>
              <w:ind w:left="180"/>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w:t>
            </w:r>
          </w:p>
        </w:tc>
        <w:tc>
          <w:tcPr>
            <w:tcW w:w="30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8"/>
              </w:rPr>
              <w:t>Performance-Based Equity Incentives</w:t>
            </w:r>
          </w:p>
        </w:tc>
        <w:tc>
          <w:tcPr>
            <w:tcW w:w="920" w:type="dxa"/>
            <w:vAlign w:val="bottom"/>
          </w:tcPr>
          <w:p>
            <w:pPr>
              <w:spacing w:after="0"/>
              <w:rPr>
                <w:sz w:val="20"/>
                <w:szCs w:val="20"/>
                <w:color w:val="auto"/>
              </w:rPr>
            </w:pPr>
          </w:p>
        </w:tc>
        <w:tc>
          <w:tcPr>
            <w:tcW w:w="540" w:type="dxa"/>
            <w:vAlign w:val="bottom"/>
          </w:tcPr>
          <w:p>
            <w:pPr>
              <w:jc w:val="center"/>
              <w:ind w:left="52"/>
              <w:spacing w:after="0"/>
              <w:rPr>
                <w:sz w:val="20"/>
                <w:szCs w:val="20"/>
                <w:color w:val="auto"/>
              </w:rPr>
            </w:pPr>
            <w:r>
              <w:rPr>
                <w:rFonts w:ascii="Arial" w:cs="Arial" w:eastAsia="Arial" w:hAnsi="Arial"/>
                <w:sz w:val="18"/>
                <w:szCs w:val="18"/>
                <w:color w:val="auto"/>
                <w:w w:val="99"/>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43180</wp:posOffset>
            </wp:positionV>
            <wp:extent cx="2820035" cy="2400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820035" cy="240030"/>
                    </a:xfrm>
                    <a:prstGeom prst="rect">
                      <a:avLst/>
                    </a:prstGeom>
                    <a:noFill/>
                  </pic:spPr>
                </pic:pic>
              </a:graphicData>
            </a:graphic>
          </wp:anchor>
        </w:drawing>
      </w:r>
    </w:p>
    <w:p>
      <w:pPr>
        <w:spacing w:after="0" w:line="112" w:lineRule="exact"/>
        <w:rPr>
          <w:sz w:val="20"/>
          <w:szCs w:val="20"/>
          <w:color w:val="auto"/>
        </w:rPr>
      </w:pPr>
    </w:p>
    <w:p>
      <w:pPr>
        <w:ind w:left="780" w:hanging="485"/>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FFFFFF"/>
        </w:rPr>
        <w:t>Section 4 – What we Paid in 2023</w:t>
      </w:r>
    </w:p>
    <w:p>
      <w:pPr>
        <w:spacing w:after="0" w:line="55" w:lineRule="exact"/>
        <w:rPr>
          <w:sz w:val="20"/>
          <w:szCs w:val="20"/>
          <w:color w:val="auto"/>
        </w:rPr>
      </w:pPr>
    </w:p>
    <w:tbl>
      <w:tblPr>
        <w:tblLayout w:type="fixed"/>
        <w:tblInd w:w="300" w:type="dxa"/>
        <w:tblCellMar>
          <w:top w:w="0" w:type="dxa"/>
          <w:left w:w="0" w:type="dxa"/>
          <w:bottom w:w="0" w:type="dxa"/>
          <w:right w:w="0" w:type="dxa"/>
        </w:tblCellMar>
      </w:tblPr>
      <w:tr>
        <w:trPr>
          <w:trHeight w:val="227"/>
        </w:trPr>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50</w:t>
            </w:r>
          </w:p>
        </w:tc>
        <w:tc>
          <w:tcPr>
            <w:tcW w:w="480" w:type="dxa"/>
            <w:vAlign w:val="bottom"/>
          </w:tcPr>
          <w:p>
            <w:pPr>
              <w:ind w:left="240"/>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w:t>
            </w:r>
          </w:p>
        </w:tc>
        <w:tc>
          <w:tcPr>
            <w:tcW w:w="400" w:type="dxa"/>
            <w:vAlign w:val="bottom"/>
            <w:tcBorders>
              <w:bottom w:val="single" w:sz="8" w:color="0000EE"/>
            </w:tcBorders>
            <w:gridSpan w:val="2"/>
          </w:tcPr>
          <w:p>
            <w:pPr>
              <w:jc w:val="right"/>
              <w:ind w:right="20"/>
              <w:spacing w:after="0"/>
              <w:rPr>
                <w:sz w:val="20"/>
                <w:szCs w:val="20"/>
                <w:color w:val="auto"/>
              </w:rPr>
            </w:pPr>
            <w:r>
              <w:rPr>
                <w:rFonts w:ascii="Arial" w:cs="Arial" w:eastAsia="Arial" w:hAnsi="Arial"/>
                <w:sz w:val="18"/>
                <w:szCs w:val="18"/>
                <w:color w:val="0000EE"/>
                <w:w w:val="89"/>
              </w:rPr>
              <w:t>2023</w:t>
            </w:r>
          </w:p>
        </w:tc>
        <w:tc>
          <w:tcPr>
            <w:tcW w:w="1000" w:type="dxa"/>
            <w:vAlign w:val="bottom"/>
            <w:tcBorders>
              <w:bottom w:val="single" w:sz="8" w:color="0000EE"/>
            </w:tcBorders>
            <w:gridSpan w:val="2"/>
          </w:tcPr>
          <w:p>
            <w:pPr>
              <w:ind w:left="40"/>
              <w:spacing w:after="0"/>
              <w:rPr>
                <w:sz w:val="20"/>
                <w:szCs w:val="20"/>
                <w:color w:val="auto"/>
              </w:rPr>
            </w:pPr>
            <w:r>
              <w:rPr>
                <w:rFonts w:ascii="Arial" w:cs="Arial" w:eastAsia="Arial" w:hAnsi="Arial"/>
                <w:sz w:val="18"/>
                <w:szCs w:val="18"/>
                <w:color w:val="0000EE"/>
                <w:w w:val="96"/>
              </w:rPr>
              <w:t>Base Salary</w:t>
            </w: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7"/>
        </w:trPr>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50</w:t>
            </w:r>
          </w:p>
        </w:tc>
        <w:tc>
          <w:tcPr>
            <w:tcW w:w="480" w:type="dxa"/>
            <w:vAlign w:val="bottom"/>
          </w:tcPr>
          <w:p>
            <w:pPr>
              <w:ind w:left="240"/>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w:t>
            </w:r>
          </w:p>
        </w:tc>
        <w:tc>
          <w:tcPr>
            <w:tcW w:w="400" w:type="dxa"/>
            <w:vAlign w:val="bottom"/>
            <w:tcBorders>
              <w:bottom w:val="single" w:sz="8" w:color="0000EE"/>
            </w:tcBorders>
            <w:gridSpan w:val="2"/>
          </w:tcPr>
          <w:p>
            <w:pPr>
              <w:jc w:val="right"/>
              <w:ind w:right="20"/>
              <w:spacing w:after="0"/>
              <w:rPr>
                <w:sz w:val="20"/>
                <w:szCs w:val="20"/>
                <w:color w:val="auto"/>
              </w:rPr>
            </w:pPr>
            <w:r>
              <w:rPr>
                <w:rFonts w:ascii="Arial" w:cs="Arial" w:eastAsia="Arial" w:hAnsi="Arial"/>
                <w:sz w:val="18"/>
                <w:szCs w:val="18"/>
                <w:color w:val="0000EE"/>
                <w:w w:val="89"/>
              </w:rPr>
              <w:t>2023</w:t>
            </w:r>
          </w:p>
        </w:tc>
        <w:tc>
          <w:tcPr>
            <w:tcW w:w="3520" w:type="dxa"/>
            <w:vAlign w:val="bottom"/>
            <w:tcBorders>
              <w:bottom w:val="single" w:sz="8" w:color="0000EE"/>
            </w:tcBorders>
            <w:gridSpan w:val="5"/>
          </w:tcPr>
          <w:p>
            <w:pPr>
              <w:ind w:left="40"/>
              <w:spacing w:after="0"/>
              <w:rPr>
                <w:sz w:val="20"/>
                <w:szCs w:val="20"/>
                <w:color w:val="auto"/>
              </w:rPr>
            </w:pPr>
            <w:r>
              <w:rPr>
                <w:rFonts w:ascii="Arial" w:cs="Arial" w:eastAsia="Arial" w:hAnsi="Arial"/>
                <w:sz w:val="18"/>
                <w:szCs w:val="18"/>
                <w:color w:val="0000EE"/>
                <w:w w:val="99"/>
              </w:rPr>
              <w:t>Performance-Based Incentive Cash Awards</w:t>
            </w:r>
          </w:p>
        </w:tc>
        <w:tc>
          <w:tcPr>
            <w:tcW w:w="1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7"/>
        </w:trPr>
        <w:tc>
          <w:tcPr>
            <w:tcW w:w="420" w:type="dxa"/>
            <w:vAlign w:val="bottom"/>
            <w:vMerge w:val="restart"/>
          </w:tcPr>
          <w:p>
            <w:pPr>
              <w:jc w:val="right"/>
              <w:ind w:right="130"/>
              <w:spacing w:after="0"/>
              <w:rPr>
                <w:sz w:val="20"/>
                <w:szCs w:val="20"/>
                <w:color w:val="auto"/>
              </w:rPr>
            </w:pPr>
            <w:r>
              <w:rPr>
                <w:rFonts w:ascii="Arial" w:cs="Arial" w:eastAsia="Arial" w:hAnsi="Arial"/>
                <w:sz w:val="18"/>
                <w:szCs w:val="18"/>
                <w:color w:val="auto"/>
                <w:w w:val="89"/>
              </w:rPr>
              <w:t>50</w:t>
            </w:r>
          </w:p>
        </w:tc>
        <w:tc>
          <w:tcPr>
            <w:tcW w:w="880" w:type="dxa"/>
            <w:vAlign w:val="bottom"/>
            <w:gridSpan w:val="3"/>
          </w:tcPr>
          <w:p>
            <w:pPr>
              <w:jc w:val="right"/>
              <w:ind w:right="20"/>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w:t>
            </w:r>
            <w:r>
              <w:rPr>
                <w:rFonts w:ascii="Arial" w:cs="Arial" w:eastAsia="Arial" w:hAnsi="Arial"/>
                <w:sz w:val="18"/>
                <w:szCs w:val="18"/>
                <w:color w:val="0000EE"/>
              </w:rPr>
              <w:t>2023</w:t>
            </w:r>
          </w:p>
        </w:tc>
        <w:tc>
          <w:tcPr>
            <w:tcW w:w="3640" w:type="dxa"/>
            <w:vAlign w:val="bottom"/>
            <w:gridSpan w:val="6"/>
          </w:tcPr>
          <w:p>
            <w:pPr>
              <w:ind w:left="40"/>
              <w:spacing w:after="0"/>
              <w:rPr>
                <w:sz w:val="20"/>
                <w:szCs w:val="20"/>
                <w:color w:val="auto"/>
              </w:rPr>
            </w:pPr>
            <w:r>
              <w:rPr>
                <w:rFonts w:ascii="Arial" w:cs="Arial" w:eastAsia="Arial" w:hAnsi="Arial"/>
                <w:sz w:val="18"/>
                <w:szCs w:val="18"/>
                <w:color w:val="0000EE"/>
              </w:rPr>
              <w:t>Performance-Based Incentive Equity</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420" w:type="dxa"/>
            <w:vAlign w:val="bottom"/>
            <w:vMerge w:val="continue"/>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gridSpan w:val="3"/>
            <w:vMerge w:val="restart"/>
          </w:tcPr>
          <w:p>
            <w:pPr>
              <w:spacing w:after="0" w:line="182" w:lineRule="exact"/>
              <w:rPr>
                <w:sz w:val="20"/>
                <w:szCs w:val="20"/>
                <w:color w:val="auto"/>
              </w:rPr>
            </w:pPr>
            <w:r>
              <w:rPr>
                <w:rFonts w:ascii="Arial" w:cs="Arial" w:eastAsia="Arial" w:hAnsi="Arial"/>
                <w:sz w:val="18"/>
                <w:szCs w:val="18"/>
                <w:color w:val="0000EE"/>
                <w:w w:val="86"/>
              </w:rPr>
              <w:t>Awards</w:t>
            </w:r>
          </w:p>
        </w:tc>
        <w:tc>
          <w:tcPr>
            <w:tcW w:w="3500" w:type="dxa"/>
            <w:vAlign w:val="bottom"/>
            <w:gridSpan w:val="5"/>
            <w:vMerge w:val="restart"/>
          </w:tcPr>
          <w:p>
            <w:pPr>
              <w:spacing w:after="0"/>
              <w:rPr>
                <w:sz w:val="12"/>
                <w:szCs w:val="12"/>
                <w:color w:val="auto"/>
              </w:rPr>
            </w:pP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Borders>
              <w:bottom w:val="single" w:sz="8" w:color="0000EE"/>
            </w:tcBorders>
            <w:gridSpan w:val="3"/>
            <w:vMerge w:val="continue"/>
          </w:tcPr>
          <w:p>
            <w:pPr>
              <w:spacing w:after="0"/>
              <w:rPr>
                <w:sz w:val="3"/>
                <w:szCs w:val="3"/>
                <w:color w:val="auto"/>
              </w:rPr>
            </w:pPr>
          </w:p>
        </w:tc>
        <w:tc>
          <w:tcPr>
            <w:tcW w:w="3500" w:type="dxa"/>
            <w:vAlign w:val="bottom"/>
            <w:gridSpan w:val="5"/>
            <w:vMerge w:val="continue"/>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20" w:type="dxa"/>
            <w:vAlign w:val="bottom"/>
            <w:vMerge w:val="restart"/>
          </w:tcPr>
          <w:p>
            <w:pPr>
              <w:jc w:val="right"/>
              <w:ind w:right="130"/>
              <w:spacing w:after="0"/>
              <w:rPr>
                <w:sz w:val="20"/>
                <w:szCs w:val="20"/>
                <w:color w:val="auto"/>
              </w:rPr>
            </w:pPr>
            <w:r>
              <w:rPr>
                <w:rFonts w:ascii="Arial" w:cs="Arial" w:eastAsia="Arial" w:hAnsi="Arial"/>
                <w:sz w:val="18"/>
                <w:szCs w:val="18"/>
                <w:color w:val="auto"/>
                <w:w w:val="89"/>
              </w:rPr>
              <w:t>50</w:t>
            </w:r>
          </w:p>
        </w:tc>
        <w:tc>
          <w:tcPr>
            <w:tcW w:w="4520" w:type="dxa"/>
            <w:vAlign w:val="bottom"/>
            <w:gridSpan w:val="9"/>
          </w:tcPr>
          <w:p>
            <w:pPr>
              <w:ind w:left="240"/>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w:t>
            </w:r>
            <w:r>
              <w:rPr>
                <w:rFonts w:ascii="Arial" w:cs="Arial" w:eastAsia="Arial" w:hAnsi="Arial"/>
                <w:sz w:val="18"/>
                <w:szCs w:val="18"/>
                <w:color w:val="0000EE"/>
              </w:rPr>
              <w:t>Compensation Changes after December 31,</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420" w:type="dxa"/>
            <w:vAlign w:val="bottom"/>
            <w:vMerge w:val="continue"/>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20" w:type="dxa"/>
            <w:vAlign w:val="bottom"/>
            <w:vMerge w:val="continue"/>
          </w:tcPr>
          <w:p>
            <w:pPr>
              <w:spacing w:after="0"/>
              <w:rPr>
                <w:sz w:val="12"/>
                <w:szCs w:val="12"/>
                <w:color w:val="auto"/>
              </w:rPr>
            </w:pPr>
          </w:p>
        </w:tc>
        <w:tc>
          <w:tcPr>
            <w:tcW w:w="820" w:type="dxa"/>
            <w:vAlign w:val="bottom"/>
            <w:gridSpan w:val="2"/>
            <w:vMerge w:val="restart"/>
          </w:tcPr>
          <w:p>
            <w:pPr>
              <w:ind w:left="420"/>
              <w:spacing w:after="0" w:line="182" w:lineRule="exact"/>
              <w:rPr>
                <w:sz w:val="20"/>
                <w:szCs w:val="20"/>
                <w:color w:val="auto"/>
              </w:rPr>
            </w:pPr>
            <w:r>
              <w:rPr>
                <w:rFonts w:ascii="Arial" w:cs="Arial" w:eastAsia="Arial" w:hAnsi="Arial"/>
                <w:sz w:val="18"/>
                <w:szCs w:val="18"/>
                <w:color w:val="0000EE"/>
                <w:w w:val="94"/>
              </w:rPr>
              <w:t>2023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4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4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43180</wp:posOffset>
            </wp:positionV>
            <wp:extent cx="2820035" cy="2400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820035" cy="240030"/>
                    </a:xfrm>
                    <a:prstGeom prst="rect">
                      <a:avLst/>
                    </a:prstGeom>
                    <a:noFill/>
                  </pic:spPr>
                </pic:pic>
              </a:graphicData>
            </a:graphic>
          </wp:anchor>
        </w:drawing>
      </w:r>
    </w:p>
    <w:p>
      <w:pPr>
        <w:spacing w:after="0" w:line="112" w:lineRule="exact"/>
        <w:rPr>
          <w:sz w:val="20"/>
          <w:szCs w:val="20"/>
          <w:color w:val="auto"/>
        </w:rPr>
      </w:pPr>
    </w:p>
    <w:p>
      <w:pPr>
        <w:ind w:left="780" w:hanging="485"/>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FFFFFF"/>
        </w:rPr>
        <w:t>Section 5 – Other Compensation and Policies</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227"/>
        </w:trPr>
        <w:tc>
          <w:tcPr>
            <w:tcW w:w="420" w:type="dxa"/>
            <w:vAlign w:val="bottom"/>
          </w:tcPr>
          <w:p>
            <w:pPr>
              <w:spacing w:after="0"/>
              <w:rPr>
                <w:sz w:val="19"/>
                <w:szCs w:val="19"/>
                <w:color w:val="auto"/>
              </w:rPr>
            </w:pPr>
          </w:p>
        </w:tc>
        <w:tc>
          <w:tcPr>
            <w:tcW w:w="480" w:type="dxa"/>
            <w:vAlign w:val="bottom"/>
            <w:gridSpan w:val="2"/>
          </w:tcPr>
          <w:p>
            <w:pPr>
              <w:ind w:left="240"/>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w:t>
            </w:r>
          </w:p>
        </w:tc>
        <w:tc>
          <w:tcPr>
            <w:tcW w:w="8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6"/>
              </w:rPr>
              <w:t>Perquisites</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04"/>
        </w:trPr>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51</w:t>
            </w:r>
          </w:p>
        </w:tc>
        <w:tc>
          <w:tcPr>
            <w:tcW w:w="480" w:type="dxa"/>
            <w:vAlign w:val="bottom"/>
            <w:gridSpan w:val="2"/>
          </w:tcPr>
          <w:p>
            <w:pPr>
              <w:ind w:left="240"/>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w:t>
            </w:r>
          </w:p>
        </w:tc>
        <w:tc>
          <w:tcPr>
            <w:tcW w:w="25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7"/>
              </w:rPr>
              <w:t>Post-Termination Compensation</w:t>
            </w:r>
          </w:p>
        </w:tc>
        <w:tc>
          <w:tcPr>
            <w:tcW w:w="18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6"/>
        </w:trPr>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52</w:t>
            </w:r>
          </w:p>
        </w:tc>
        <w:tc>
          <w:tcPr>
            <w:tcW w:w="480" w:type="dxa"/>
            <w:vAlign w:val="bottom"/>
            <w:gridSpan w:val="2"/>
          </w:tcPr>
          <w:p>
            <w:pPr>
              <w:ind w:left="240"/>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w:t>
            </w:r>
          </w:p>
        </w:tc>
        <w:tc>
          <w:tcPr>
            <w:tcW w:w="15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7"/>
              </w:rPr>
              <w:t>Retirement Benefits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7"/>
        </w:trPr>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52</w:t>
            </w:r>
          </w:p>
        </w:tc>
        <w:tc>
          <w:tcPr>
            <w:tcW w:w="480" w:type="dxa"/>
            <w:vAlign w:val="bottom"/>
            <w:gridSpan w:val="2"/>
          </w:tcPr>
          <w:p>
            <w:pPr>
              <w:ind w:left="240"/>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w:t>
            </w:r>
          </w:p>
        </w:tc>
        <w:tc>
          <w:tcPr>
            <w:tcW w:w="17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7"/>
              </w:rPr>
              <w:t>Equity Grant Practices</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6"/>
        </w:trPr>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52</w:t>
            </w:r>
          </w:p>
        </w:tc>
        <w:tc>
          <w:tcPr>
            <w:tcW w:w="480" w:type="dxa"/>
            <w:vAlign w:val="bottom"/>
            <w:gridSpan w:val="2"/>
          </w:tcPr>
          <w:p>
            <w:pPr>
              <w:ind w:left="240"/>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w:t>
            </w:r>
          </w:p>
        </w:tc>
        <w:tc>
          <w:tcPr>
            <w:tcW w:w="4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5"/>
              </w:rPr>
              <w:t>Taxes</w:t>
            </w:r>
          </w:p>
        </w:tc>
        <w:tc>
          <w:tcPr>
            <w:tcW w:w="840" w:type="dxa"/>
            <w:vAlign w:val="bottom"/>
            <w:gridSpan w:val="2"/>
          </w:tcPr>
          <w:p>
            <w:pPr>
              <w:spacing w:after="0"/>
              <w:rPr>
                <w:sz w:val="20"/>
                <w:szCs w:val="20"/>
                <w:color w:val="auto"/>
              </w:rPr>
            </w:pPr>
          </w:p>
        </w:tc>
        <w:tc>
          <w:tcPr>
            <w:tcW w:w="580" w:type="dxa"/>
            <w:vAlign w:val="bottom"/>
            <w:gridSpan w:val="3"/>
          </w:tcPr>
          <w:p>
            <w:pPr>
              <w:spacing w:after="0"/>
              <w:rPr>
                <w:sz w:val="20"/>
                <w:szCs w:val="20"/>
                <w:color w:val="auto"/>
              </w:rPr>
            </w:pPr>
          </w:p>
        </w:tc>
        <w:tc>
          <w:tcPr>
            <w:tcW w:w="6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7"/>
        </w:trPr>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53</w:t>
            </w:r>
          </w:p>
        </w:tc>
        <w:tc>
          <w:tcPr>
            <w:tcW w:w="480" w:type="dxa"/>
            <w:vAlign w:val="bottom"/>
            <w:gridSpan w:val="2"/>
          </w:tcPr>
          <w:p>
            <w:pPr>
              <w:ind w:left="240"/>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w:t>
            </w:r>
          </w:p>
        </w:tc>
        <w:tc>
          <w:tcPr>
            <w:tcW w:w="18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7"/>
              </w:rPr>
              <w:t>Stock Ownership Policy</w:t>
            </w:r>
          </w:p>
        </w:tc>
        <w:tc>
          <w:tcPr>
            <w:tcW w:w="6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7"/>
        </w:trPr>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54</w:t>
            </w:r>
          </w:p>
        </w:tc>
        <w:tc>
          <w:tcPr>
            <w:tcW w:w="1760" w:type="dxa"/>
            <w:vAlign w:val="bottom"/>
            <w:gridSpan w:val="5"/>
          </w:tcPr>
          <w:p>
            <w:pPr>
              <w:ind w:left="240"/>
              <w:spacing w:after="0" w:line="207" w:lineRule="exact"/>
              <w:rPr>
                <w:sz w:val="20"/>
                <w:szCs w:val="20"/>
                <w:color w:val="auto"/>
              </w:rPr>
            </w:pPr>
            <w:r>
              <w:rPr>
                <w:rFonts w:ascii="MS PGothic" w:cs="MS PGothic" w:eastAsia="MS PGothic" w:hAnsi="MS PGothic"/>
                <w:sz w:val="14"/>
                <w:szCs w:val="14"/>
                <w:color w:val="002060"/>
                <w:w w:val="97"/>
              </w:rPr>
              <w:t>∎</w:t>
            </w:r>
            <w:r>
              <w:rPr>
                <w:rFonts w:ascii="Arial" w:cs="Arial" w:eastAsia="Arial" w:hAnsi="Arial"/>
                <w:sz w:val="18"/>
                <w:szCs w:val="18"/>
                <w:color w:val="auto"/>
                <w:w w:val="97"/>
              </w:rPr>
              <w:t xml:space="preserve">   </w:t>
            </w:r>
            <w:r>
              <w:rPr>
                <w:rFonts w:ascii="Arial" w:cs="Arial" w:eastAsia="Arial" w:hAnsi="Arial"/>
                <w:sz w:val="18"/>
                <w:szCs w:val="18"/>
                <w:color w:val="0000EE"/>
                <w:w w:val="97"/>
              </w:rPr>
              <w:t>Clawback Policy</w:t>
            </w:r>
          </w:p>
        </w:tc>
        <w:tc>
          <w:tcPr>
            <w:tcW w:w="1260" w:type="dxa"/>
            <w:vAlign w:val="bottom"/>
            <w:gridSpan w:val="4"/>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08"/>
        </w:trPr>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54</w:t>
            </w:r>
          </w:p>
        </w:tc>
        <w:tc>
          <w:tcPr>
            <w:tcW w:w="46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-2830830</wp:posOffset>
            </wp:positionH>
            <wp:positionV relativeFrom="paragraph">
              <wp:posOffset>6350</wp:posOffset>
            </wp:positionV>
            <wp:extent cx="642937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429375" cy="17145"/>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468630</wp:posOffset>
            </wp:positionV>
            <wp:extent cx="69951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40" w:space="560"/>
            <w:col w:w="5660"/>
          </w:cols>
          <w:pgMar w:left="440" w:top="261"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0070C0"/>
        </w:rPr>
        <w:t>Compensation Discussion and Analysis</w:t>
      </w:r>
    </w:p>
    <w:p>
      <w:pPr>
        <w:spacing w:after="0" w:line="5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0070C0"/>
        </w:rPr>
        <w:t>47</w:t>
      </w:r>
    </w:p>
    <w:p>
      <w:pPr>
        <w:sectPr>
          <w:pgSz w:w="11900" w:h="16838" w:orient="portrait"/>
          <w:cols w:equalWidth="0" w:num="1">
            <w:col w:w="10560"/>
          </w:cols>
          <w:pgMar w:left="440" w:top="261" w:right="89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22"/>
          <w:szCs w:val="22"/>
          <w:b w:val="1"/>
          <w:bCs w:val="1"/>
          <w:color w:val="00206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Section 1 – Executive Summary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0070C0"/>
        </w:rPr>
        <w:t>Our Growth Strategy</w:t>
      </w:r>
    </w:p>
    <w:p>
      <w:pPr>
        <w:spacing w:after="0" w:line="205"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We are focused on diversifying our products and services, broadening our mix of end market exposure and expanding our geographic footprint. Our growth strategy includes acquisition of residential and commercial installers in new markets, acquisitions of businesses offering complementary products, introduction of new product offerings in existing markets, pursuit of new product categories in commercial markets, and expanding our multi-family sales in existing branches.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We have a demonstrated record of success for each of our growth strategies:</w:t>
      </w:r>
    </w:p>
    <w:p>
      <w:pPr>
        <w:spacing w:after="0" w:line="239" w:lineRule="exact"/>
        <w:rPr>
          <w:sz w:val="20"/>
          <w:szCs w:val="20"/>
          <w:color w:val="auto"/>
        </w:rPr>
      </w:pPr>
    </w:p>
    <w:p>
      <w:pPr>
        <w:ind w:left="960" w:hanging="532"/>
        <w:spacing w:after="0" w:line="213" w:lineRule="auto"/>
        <w:tabs>
          <w:tab w:leader="none" w:pos="960" w:val="left"/>
        </w:tabs>
        <w:numPr>
          <w:ilvl w:val="0"/>
          <w:numId w:val="24"/>
        </w:numPr>
        <w:rPr>
          <w:rFonts w:ascii="MS PGothic" w:cs="MS PGothic" w:eastAsia="MS PGothic" w:hAnsi="MS PGothic"/>
          <w:sz w:val="29"/>
          <w:szCs w:val="29"/>
          <w:color w:val="002060"/>
          <w:vertAlign w:val="superscript"/>
        </w:rPr>
      </w:pPr>
      <w:r>
        <w:rPr>
          <w:rFonts w:ascii="Arial" w:cs="Arial" w:eastAsia="Arial" w:hAnsi="Arial"/>
          <w:sz w:val="18"/>
          <w:szCs w:val="18"/>
          <w:color w:val="auto"/>
        </w:rPr>
        <w:t>Product diversification - Revenue from insulation installation services represented approximately 66% of our total revenues in 2018 compared to 60% in 2023.</w:t>
      </w:r>
    </w:p>
    <w:p>
      <w:pPr>
        <w:spacing w:after="0" w:line="4" w:lineRule="exact"/>
        <w:rPr>
          <w:rFonts w:ascii="MS PGothic" w:cs="MS PGothic" w:eastAsia="MS PGothic" w:hAnsi="MS PGothic"/>
          <w:sz w:val="29"/>
          <w:szCs w:val="29"/>
          <w:color w:val="002060"/>
          <w:vertAlign w:val="superscript"/>
        </w:rPr>
      </w:pPr>
    </w:p>
    <w:p>
      <w:pPr>
        <w:ind w:left="960" w:right="340" w:hanging="532"/>
        <w:spacing w:after="0" w:line="213" w:lineRule="auto"/>
        <w:tabs>
          <w:tab w:leader="none" w:pos="960" w:val="left"/>
        </w:tabs>
        <w:numPr>
          <w:ilvl w:val="0"/>
          <w:numId w:val="24"/>
        </w:numPr>
        <w:rPr>
          <w:rFonts w:ascii="MS PGothic" w:cs="MS PGothic" w:eastAsia="MS PGothic" w:hAnsi="MS PGothic"/>
          <w:sz w:val="29"/>
          <w:szCs w:val="29"/>
          <w:color w:val="002060"/>
          <w:vertAlign w:val="superscript"/>
        </w:rPr>
      </w:pPr>
      <w:r>
        <w:rPr>
          <w:rFonts w:ascii="Arial" w:cs="Arial" w:eastAsia="Arial" w:hAnsi="Arial"/>
          <w:sz w:val="18"/>
          <w:szCs w:val="18"/>
          <w:color w:val="auto"/>
        </w:rPr>
        <w:t>End market diversification - We have decreased our residential new construction end market exposure from 77% in 2018 compared to 72% in 2023.</w:t>
      </w:r>
    </w:p>
    <w:p>
      <w:pPr>
        <w:ind w:left="960" w:hanging="532"/>
        <w:spacing w:after="0" w:line="201" w:lineRule="auto"/>
        <w:tabs>
          <w:tab w:leader="none" w:pos="960" w:val="left"/>
        </w:tabs>
        <w:numPr>
          <w:ilvl w:val="0"/>
          <w:numId w:val="24"/>
        </w:numPr>
        <w:rPr>
          <w:rFonts w:ascii="MS PGothic" w:cs="MS PGothic" w:eastAsia="MS PGothic" w:hAnsi="MS PGothic"/>
          <w:sz w:val="29"/>
          <w:szCs w:val="29"/>
          <w:color w:val="002060"/>
          <w:vertAlign w:val="superscript"/>
        </w:rPr>
      </w:pPr>
      <w:r>
        <w:rPr>
          <w:rFonts w:ascii="Arial" w:cs="Arial" w:eastAsia="Arial" w:hAnsi="Arial"/>
          <w:sz w:val="18"/>
          <w:szCs w:val="18"/>
          <w:color w:val="auto"/>
        </w:rPr>
        <w:t>Geographic expansion - We have added 75 new branch locations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220345</wp:posOffset>
            </wp:positionV>
            <wp:extent cx="3874770" cy="11315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874770"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0070C0"/>
        </w:rPr>
        <w:t>Our Capital Allocation Strategy</w:t>
      </w:r>
    </w:p>
    <w:p>
      <w:pPr>
        <w:spacing w:after="0" w:line="205"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Our primary use of capital is acquisitions, which are responsible for much of the success of our growth strategy. Our asset-light model generates substantial operating cash flow, which supports further acquisition growth.</w:t>
      </w:r>
    </w:p>
    <w:p>
      <w:pPr>
        <w:spacing w:after="0" w:line="154"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In addition to pursuing strategic acquisitions, in 2023, we returned nearly $70 million to stockholders, including quarterly and variable dividends of $63.1 million and stock repurchases totaling $6.3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126365</wp:posOffset>
            </wp:positionV>
            <wp:extent cx="558927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589270" cy="17145"/>
                    </a:xfrm>
                    <a:prstGeom prst="rect">
                      <a:avLst/>
                    </a:prstGeom>
                    <a:noFill/>
                  </pic:spPr>
                </pic:pic>
              </a:graphicData>
            </a:graphic>
          </wp:anchor>
        </w:drawing>
      </w:r>
    </w:p>
    <w:p>
      <w:pPr>
        <w:spacing w:after="0" w:line="247" w:lineRule="exact"/>
        <w:rPr>
          <w:sz w:val="20"/>
          <w:szCs w:val="20"/>
          <w:color w:val="auto"/>
        </w:rPr>
      </w:pPr>
    </w:p>
    <w:tbl>
      <w:tblPr>
        <w:tblLayout w:type="fixed"/>
        <w:tblInd w:w="1100" w:type="dxa"/>
        <w:tblCellMar>
          <w:top w:w="0" w:type="dxa"/>
          <w:left w:w="0" w:type="dxa"/>
          <w:bottom w:w="0" w:type="dxa"/>
          <w:right w:w="0" w:type="dxa"/>
        </w:tblCellMar>
      </w:tblPr>
      <w:tr>
        <w:trPr>
          <w:trHeight w:val="470"/>
        </w:trPr>
        <w:tc>
          <w:tcPr>
            <w:tcW w:w="4460" w:type="dxa"/>
            <w:vAlign w:val="bottom"/>
            <w:tcBorders>
              <w:right w:val="single" w:sz="8" w:color="auto"/>
            </w:tcBorders>
          </w:tcPr>
          <w:p>
            <w:pPr>
              <w:jc w:val="center"/>
              <w:ind w:right="36"/>
              <w:spacing w:after="0"/>
              <w:rPr>
                <w:sz w:val="20"/>
                <w:szCs w:val="20"/>
                <w:color w:val="auto"/>
              </w:rPr>
            </w:pPr>
            <w:r>
              <w:rPr>
                <w:rFonts w:ascii="Arial" w:cs="Arial" w:eastAsia="Arial" w:hAnsi="Arial"/>
                <w:sz w:val="29"/>
                <w:szCs w:val="29"/>
                <w:b w:val="1"/>
                <w:bCs w:val="1"/>
                <w:color w:val="0070C0"/>
                <w:w w:val="99"/>
              </w:rPr>
              <w:t>2023 Cash Dividends</w:t>
            </w:r>
          </w:p>
        </w:tc>
        <w:tc>
          <w:tcPr>
            <w:tcW w:w="4340" w:type="dxa"/>
            <w:vAlign w:val="bottom"/>
          </w:tcPr>
          <w:p>
            <w:pPr>
              <w:jc w:val="center"/>
              <w:ind w:left="16"/>
              <w:spacing w:after="0"/>
              <w:rPr>
                <w:sz w:val="20"/>
                <w:szCs w:val="20"/>
                <w:color w:val="auto"/>
              </w:rPr>
            </w:pPr>
            <w:r>
              <w:rPr>
                <w:rFonts w:ascii="Arial" w:cs="Arial" w:eastAsia="Arial" w:hAnsi="Arial"/>
                <w:sz w:val="29"/>
                <w:szCs w:val="29"/>
                <w:b w:val="1"/>
                <w:bCs w:val="1"/>
                <w:color w:val="0070C0"/>
                <w:w w:val="98"/>
              </w:rPr>
              <w:t>2023 Stock Repurchases</w:t>
            </w:r>
          </w:p>
        </w:tc>
      </w:tr>
      <w:tr>
        <w:trPr>
          <w:trHeight w:val="445"/>
        </w:trPr>
        <w:tc>
          <w:tcPr>
            <w:tcW w:w="4460" w:type="dxa"/>
            <w:vAlign w:val="bottom"/>
            <w:tcBorders>
              <w:right w:val="single" w:sz="8" w:color="auto"/>
            </w:tcBorders>
          </w:tcPr>
          <w:p>
            <w:pPr>
              <w:jc w:val="center"/>
              <w:ind w:right="36"/>
              <w:spacing w:after="0"/>
              <w:rPr>
                <w:sz w:val="20"/>
                <w:szCs w:val="20"/>
                <w:color w:val="auto"/>
              </w:rPr>
            </w:pPr>
            <w:r>
              <w:rPr>
                <w:rFonts w:ascii="Arial" w:cs="Arial" w:eastAsia="Arial" w:hAnsi="Arial"/>
                <w:sz w:val="29"/>
                <w:szCs w:val="29"/>
                <w:b w:val="1"/>
                <w:bCs w:val="1"/>
                <w:color w:val="auto"/>
                <w:w w:val="98"/>
              </w:rPr>
              <w:t>$63.1 million</w:t>
            </w:r>
          </w:p>
        </w:tc>
        <w:tc>
          <w:tcPr>
            <w:tcW w:w="4340" w:type="dxa"/>
            <w:vAlign w:val="bottom"/>
          </w:tcPr>
          <w:p>
            <w:pPr>
              <w:jc w:val="center"/>
              <w:ind w:left="16"/>
              <w:spacing w:after="0"/>
              <w:rPr>
                <w:sz w:val="20"/>
                <w:szCs w:val="20"/>
                <w:color w:val="auto"/>
              </w:rPr>
            </w:pPr>
            <w:r>
              <w:rPr>
                <w:rFonts w:ascii="Arial" w:cs="Arial" w:eastAsia="Arial" w:hAnsi="Arial"/>
                <w:sz w:val="29"/>
                <w:szCs w:val="29"/>
                <w:b w:val="1"/>
                <w:bCs w:val="1"/>
                <w:color w:val="auto"/>
                <w:w w:val="99"/>
              </w:rPr>
              <w:t>$6.3 million</w:t>
            </w:r>
          </w:p>
        </w:tc>
      </w:tr>
      <w:tr>
        <w:trPr>
          <w:trHeight w:val="83"/>
        </w:trPr>
        <w:tc>
          <w:tcPr>
            <w:tcW w:w="4460" w:type="dxa"/>
            <w:vAlign w:val="bottom"/>
            <w:tcBorders>
              <w:right w:val="single" w:sz="8" w:color="auto"/>
            </w:tcBorders>
          </w:tcPr>
          <w:p>
            <w:pPr>
              <w:spacing w:after="0"/>
              <w:rPr>
                <w:sz w:val="7"/>
                <w:szCs w:val="7"/>
                <w:color w:val="auto"/>
              </w:rPr>
            </w:pPr>
          </w:p>
        </w:tc>
        <w:tc>
          <w:tcPr>
            <w:tcW w:w="4340" w:type="dxa"/>
            <w:vAlign w:val="bottom"/>
          </w:tcPr>
          <w:p>
            <w:pPr>
              <w:spacing w:after="0"/>
              <w:rPr>
                <w:sz w:val="7"/>
                <w:szCs w:val="7"/>
                <w:color w:val="auto"/>
              </w:rPr>
            </w:pPr>
          </w:p>
        </w:tc>
      </w:tr>
      <w:tr>
        <w:trPr>
          <w:trHeight w:val="48"/>
        </w:trPr>
        <w:tc>
          <w:tcPr>
            <w:tcW w:w="4460" w:type="dxa"/>
            <w:vAlign w:val="bottom"/>
            <w:tcBorders>
              <w:bottom w:val="single" w:sz="8" w:color="0070C0"/>
            </w:tcBorders>
          </w:tcPr>
          <w:p>
            <w:pPr>
              <w:spacing w:after="0"/>
              <w:rPr>
                <w:sz w:val="4"/>
                <w:szCs w:val="4"/>
                <w:color w:val="auto"/>
              </w:rPr>
            </w:pPr>
          </w:p>
        </w:tc>
        <w:tc>
          <w:tcPr>
            <w:tcW w:w="4340" w:type="dxa"/>
            <w:vAlign w:val="bottom"/>
            <w:tcBorders>
              <w:bottom w:val="single" w:sz="8" w:color="0070C0"/>
            </w:tcBorders>
          </w:tcPr>
          <w:p>
            <w:pPr>
              <w:spacing w:after="0"/>
              <w:rPr>
                <w:sz w:val="4"/>
                <w:szCs w:val="4"/>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0070C0"/>
        </w:rPr>
        <w:t>Our Acquisition Strategy</w:t>
      </w:r>
    </w:p>
    <w:p>
      <w:pPr>
        <w:spacing w:after="0" w:line="205"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In the 1990s, we began our acquisition strategy with the goal of creating a national platform and have since grown, by our estimate, to become one of the nation’s largest installers of insulation in the residential new construction end market. Since 1999, we have successfully completed and integrated over 190 acquisitions, expanding our geographic footprint and market presence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699516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0070C0"/>
        </w:rPr>
        <w:t>Compensation Discussion and Analysis</w:t>
      </w:r>
    </w:p>
    <w:p>
      <w:pPr>
        <w:spacing w:after="0" w:line="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0070C0"/>
        </w:rPr>
        <w:t>48</w:t>
      </w:r>
    </w:p>
    <w:p>
      <w:pPr>
        <w:sectPr>
          <w:pgSz w:w="11900" w:h="16838" w:orient="portrait"/>
          <w:cols w:equalWidth="0" w:num="1">
            <w:col w:w="10900"/>
          </w:cols>
          <w:pgMar w:left="440" w:top="287" w:right="559" w:bottom="1440" w:gutter="0" w:footer="0" w:header="0"/>
        </w:sectPr>
      </w:pPr>
    </w:p>
    <w:bookmarkStart w:id="56" w:name="page57"/>
    <w:bookmarkEnd w:id="56"/>
    <w:p>
      <w:pPr>
        <w:ind w:right="48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and diversifying our product offerings. In 2023, we successfully acquired and integrated eight businesses representing approximately $75 million in annual aggregate revenues.</w:t>
      </w:r>
    </w:p>
    <w:p>
      <w:pPr>
        <w:spacing w:after="0" w:line="302" w:lineRule="exact"/>
        <w:rPr>
          <w:sz w:val="20"/>
          <w:szCs w:val="20"/>
          <w:color w:val="auto"/>
        </w:rPr>
      </w:pPr>
    </w:p>
    <w:p>
      <w:pPr>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xml:space="preserve">   Keys to our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4617720</wp:posOffset>
            </wp:positionH>
            <wp:positionV relativeFrom="paragraph">
              <wp:posOffset>-59055</wp:posOffset>
            </wp:positionV>
            <wp:extent cx="2048510" cy="6940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048510" cy="694055"/>
                    </a:xfrm>
                    <a:prstGeom prst="rect">
                      <a:avLst/>
                    </a:prstGeom>
                    <a:noFill/>
                  </pic:spPr>
                </pic:pic>
              </a:graphicData>
            </a:graphic>
          </wp:anchor>
        </w:drawing>
      </w:r>
    </w:p>
    <w:p>
      <w:pPr>
        <w:ind w:left="360"/>
        <w:spacing w:after="0" w:line="201" w:lineRule="exact"/>
        <w:rPr>
          <w:sz w:val="20"/>
          <w:szCs w:val="20"/>
          <w:color w:val="auto"/>
        </w:rPr>
      </w:pPr>
      <w:r>
        <w:rPr>
          <w:rFonts w:ascii="MS PGothic" w:cs="MS PGothic" w:eastAsia="MS PGothic" w:hAnsi="MS PGothic"/>
          <w:sz w:val="18"/>
          <w:szCs w:val="18"/>
          <w:color w:val="002060"/>
        </w:rPr>
        <w:t>✓</w:t>
      </w:r>
      <w:r>
        <w:rPr>
          <w:rFonts w:ascii="Arial" w:cs="Arial" w:eastAsia="Arial" w:hAnsi="Arial"/>
          <w:sz w:val="18"/>
          <w:szCs w:val="18"/>
          <w:color w:val="auto"/>
        </w:rPr>
        <w:t> Target profitable markets</w:t>
      </w:r>
    </w:p>
    <w:p>
      <w:pPr>
        <w:spacing w:after="0" w:line="5" w:lineRule="exact"/>
        <w:rPr>
          <w:sz w:val="20"/>
          <w:szCs w:val="20"/>
          <w:color w:val="auto"/>
        </w:rPr>
      </w:pPr>
    </w:p>
    <w:p>
      <w:pPr>
        <w:ind w:left="360" w:right="5480"/>
        <w:spacing w:after="0" w:line="216" w:lineRule="exact"/>
        <w:rPr>
          <w:sz w:val="20"/>
          <w:szCs w:val="20"/>
          <w:color w:val="auto"/>
        </w:rPr>
      </w:pPr>
      <w:r>
        <w:rPr>
          <w:rFonts w:ascii="MS PGothic" w:cs="MS PGothic" w:eastAsia="MS PGothic" w:hAnsi="MS PGothic"/>
          <w:sz w:val="18"/>
          <w:szCs w:val="18"/>
          <w:color w:val="002060"/>
        </w:rPr>
        <w:t>✓</w:t>
      </w:r>
      <w:r>
        <w:rPr>
          <w:rFonts w:ascii="Arial" w:cs="Arial" w:eastAsia="Arial" w:hAnsi="Arial"/>
          <w:sz w:val="18"/>
          <w:szCs w:val="18"/>
          <w:color w:val="auto"/>
        </w:rPr>
        <w:t xml:space="preserve"> Acquire operations with a strong reputation and customer base </w:t>
      </w:r>
      <w:r>
        <w:rPr>
          <w:rFonts w:ascii="MS PGothic" w:cs="MS PGothic" w:eastAsia="MS PGothic" w:hAnsi="MS PGothic"/>
          <w:sz w:val="18"/>
          <w:szCs w:val="18"/>
          <w:color w:val="002060"/>
        </w:rPr>
        <w:t>✓</w:t>
      </w:r>
      <w:r>
        <w:rPr>
          <w:rFonts w:ascii="Arial" w:cs="Arial" w:eastAsia="Arial" w:hAnsi="Arial"/>
          <w:sz w:val="18"/>
          <w:szCs w:val="18"/>
          <w:color w:val="auto"/>
        </w:rPr>
        <w:t> Leverage national buying power</w:t>
      </w:r>
    </w:p>
    <w:p>
      <w:pPr>
        <w:spacing w:after="0" w:line="1" w:lineRule="exact"/>
        <w:rPr>
          <w:sz w:val="20"/>
          <w:szCs w:val="20"/>
          <w:color w:val="auto"/>
        </w:rPr>
      </w:pPr>
    </w:p>
    <w:p>
      <w:pPr>
        <w:ind w:left="360"/>
        <w:spacing w:after="0" w:line="207" w:lineRule="exact"/>
        <w:rPr>
          <w:sz w:val="20"/>
          <w:szCs w:val="20"/>
          <w:color w:val="auto"/>
        </w:rPr>
      </w:pPr>
      <w:r>
        <w:rPr>
          <w:rFonts w:ascii="MS PGothic" w:cs="MS PGothic" w:eastAsia="MS PGothic" w:hAnsi="MS PGothic"/>
          <w:sz w:val="18"/>
          <w:szCs w:val="18"/>
          <w:color w:val="002060"/>
        </w:rPr>
        <w:t>✓</w:t>
      </w:r>
      <w:r>
        <w:rPr>
          <w:rFonts w:ascii="Arial" w:cs="Arial" w:eastAsia="Arial" w:hAnsi="Arial"/>
          <w:sz w:val="18"/>
          <w:szCs w:val="18"/>
          <w:color w:val="auto"/>
        </w:rPr>
        <w:t> Leverage relationships with national homebuilders</w:t>
      </w:r>
    </w:p>
    <w:p>
      <w:pPr>
        <w:spacing w:after="0" w:line="9" w:lineRule="exact"/>
        <w:rPr>
          <w:sz w:val="20"/>
          <w:szCs w:val="20"/>
          <w:color w:val="auto"/>
        </w:rPr>
      </w:pPr>
    </w:p>
    <w:p>
      <w:pPr>
        <w:ind w:left="360"/>
        <w:spacing w:after="0" w:line="207" w:lineRule="exact"/>
        <w:rPr>
          <w:sz w:val="20"/>
          <w:szCs w:val="20"/>
          <w:color w:val="auto"/>
        </w:rPr>
      </w:pPr>
      <w:r>
        <w:rPr>
          <w:rFonts w:ascii="MS PGothic" w:cs="MS PGothic" w:eastAsia="MS PGothic" w:hAnsi="MS PGothic"/>
          <w:sz w:val="18"/>
          <w:szCs w:val="18"/>
          <w:color w:val="002060"/>
        </w:rPr>
        <w:t>✓</w:t>
      </w:r>
      <w:r>
        <w:rPr>
          <w:rFonts w:ascii="Arial" w:cs="Arial" w:eastAsia="Arial" w:hAnsi="Arial"/>
          <w:sz w:val="18"/>
          <w:szCs w:val="18"/>
          <w:color w:val="auto"/>
        </w:rPr>
        <w:t> Maintain existing management teams and trade names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0070C0"/>
        </w:rPr>
        <w:t>2023 Financial Highlights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record 2023 financial and operating results reflect the continued success of our key business strategies outlined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17145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1714500"/>
                    </a:xfrm>
                    <a:prstGeom prst="rect">
                      <a:avLst/>
                    </a:prstGeom>
                    <a:noFill/>
                  </pic:spPr>
                </pic:pic>
              </a:graphicData>
            </a:graphic>
          </wp:anchor>
        </w:drawing>
      </w:r>
    </w:p>
    <w:p>
      <w:pPr>
        <w:spacing w:after="0" w:line="375" w:lineRule="exact"/>
        <w:rPr>
          <w:sz w:val="20"/>
          <w:szCs w:val="20"/>
          <w:color w:val="auto"/>
        </w:rPr>
      </w:pPr>
    </w:p>
    <w:tbl>
      <w:tblPr>
        <w:tblLayout w:type="fixed"/>
        <w:tblInd w:w="500" w:type="dxa"/>
        <w:tblCellMar>
          <w:top w:w="0" w:type="dxa"/>
          <w:left w:w="0" w:type="dxa"/>
          <w:bottom w:w="0" w:type="dxa"/>
          <w:right w:w="0" w:type="dxa"/>
        </w:tblCellMar>
      </w:tblPr>
      <w:tr>
        <w:trPr>
          <w:trHeight w:val="297"/>
        </w:trPr>
        <w:tc>
          <w:tcPr>
            <w:tcW w:w="20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25"/>
                <w:szCs w:val="25"/>
                <w:b w:val="1"/>
                <w:bCs w:val="1"/>
                <w:color w:val="0070C0"/>
              </w:rPr>
              <w:t>Record</w:t>
            </w:r>
          </w:p>
        </w:tc>
        <w:tc>
          <w:tcPr>
            <w:tcW w:w="1400" w:type="dxa"/>
            <w:vAlign w:val="bottom"/>
            <w:vMerge w:val="restart"/>
          </w:tcPr>
          <w:p>
            <w:pPr>
              <w:jc w:val="center"/>
              <w:ind w:left="214"/>
              <w:spacing w:after="0"/>
              <w:rPr>
                <w:sz w:val="20"/>
                <w:szCs w:val="20"/>
                <w:color w:val="auto"/>
              </w:rPr>
            </w:pPr>
            <w:r>
              <w:rPr>
                <w:rFonts w:ascii="Arial" w:cs="Arial" w:eastAsia="Arial" w:hAnsi="Arial"/>
                <w:sz w:val="25"/>
                <w:szCs w:val="25"/>
                <w:b w:val="1"/>
                <w:bCs w:val="1"/>
                <w:color w:val="0070C0"/>
                <w:w w:val="99"/>
              </w:rPr>
              <w:t>Record</w:t>
            </w:r>
          </w:p>
        </w:tc>
        <w:tc>
          <w:tcPr>
            <w:tcW w:w="0" w:type="dxa"/>
            <w:vAlign w:val="bottom"/>
          </w:tcPr>
          <w:p>
            <w:pPr>
              <w:spacing w:after="0"/>
              <w:rPr>
                <w:sz w:val="1"/>
                <w:szCs w:val="1"/>
                <w:color w:val="auto"/>
              </w:rPr>
            </w:pPr>
          </w:p>
        </w:tc>
      </w:tr>
      <w:tr>
        <w:trPr>
          <w:trHeight w:val="148"/>
        </w:trPr>
        <w:tc>
          <w:tcPr>
            <w:tcW w:w="2020" w:type="dxa"/>
            <w:vAlign w:val="bottom"/>
            <w:vMerge w:val="restart"/>
          </w:tcPr>
          <w:p>
            <w:pPr>
              <w:jc w:val="center"/>
              <w:ind w:right="374"/>
              <w:spacing w:after="0"/>
              <w:rPr>
                <w:sz w:val="20"/>
                <w:szCs w:val="20"/>
                <w:color w:val="auto"/>
              </w:rPr>
            </w:pPr>
            <w:r>
              <w:rPr>
                <w:rFonts w:ascii="Arial" w:cs="Arial" w:eastAsia="Arial" w:hAnsi="Arial"/>
                <w:sz w:val="25"/>
                <w:szCs w:val="25"/>
                <w:b w:val="1"/>
                <w:bCs w:val="1"/>
                <w:color w:val="0070C0"/>
              </w:rPr>
              <w:t>Record</w:t>
            </w:r>
          </w:p>
        </w:tc>
        <w:tc>
          <w:tcPr>
            <w:tcW w:w="2360" w:type="dxa"/>
            <w:vAlign w:val="bottom"/>
            <w:vMerge w:val="restart"/>
          </w:tcPr>
          <w:p>
            <w:pPr>
              <w:jc w:val="center"/>
              <w:spacing w:after="0"/>
              <w:rPr>
                <w:sz w:val="20"/>
                <w:szCs w:val="20"/>
                <w:color w:val="auto"/>
              </w:rPr>
            </w:pPr>
            <w:r>
              <w:rPr>
                <w:rFonts w:ascii="Arial" w:cs="Arial" w:eastAsia="Arial" w:hAnsi="Arial"/>
                <w:sz w:val="25"/>
                <w:szCs w:val="25"/>
                <w:b w:val="1"/>
                <w:bCs w:val="1"/>
                <w:color w:val="0070C0"/>
                <w:w w:val="99"/>
              </w:rPr>
              <w:t>Record</w:t>
            </w:r>
          </w:p>
        </w:tc>
        <w:tc>
          <w:tcPr>
            <w:tcW w:w="2180" w:type="dxa"/>
            <w:vAlign w:val="bottom"/>
            <w:vMerge w:val="restart"/>
          </w:tcPr>
          <w:p>
            <w:pPr>
              <w:jc w:val="center"/>
              <w:spacing w:after="0"/>
              <w:rPr>
                <w:sz w:val="20"/>
                <w:szCs w:val="20"/>
                <w:color w:val="auto"/>
              </w:rPr>
            </w:pPr>
            <w:r>
              <w:rPr>
                <w:rFonts w:ascii="Arial" w:cs="Arial" w:eastAsia="Arial" w:hAnsi="Arial"/>
                <w:sz w:val="25"/>
                <w:szCs w:val="25"/>
                <w:b w:val="1"/>
                <w:bCs w:val="1"/>
                <w:color w:val="0070C0"/>
              </w:rPr>
              <w:t>Record</w:t>
            </w:r>
          </w:p>
        </w:tc>
        <w:tc>
          <w:tcPr>
            <w:tcW w:w="2260" w:type="dxa"/>
            <w:vAlign w:val="bottom"/>
            <w:vMerge w:val="restart"/>
          </w:tcPr>
          <w:p>
            <w:pPr>
              <w:jc w:val="center"/>
              <w:spacing w:after="0"/>
              <w:rPr>
                <w:sz w:val="20"/>
                <w:szCs w:val="20"/>
                <w:color w:val="auto"/>
              </w:rPr>
            </w:pPr>
            <w:r>
              <w:rPr>
                <w:rFonts w:ascii="Arial" w:cs="Arial" w:eastAsia="Arial" w:hAnsi="Arial"/>
                <w:sz w:val="25"/>
                <w:szCs w:val="25"/>
                <w:b w:val="1"/>
                <w:bCs w:val="1"/>
                <w:color w:val="0070C0"/>
                <w:w w:val="99"/>
              </w:rPr>
              <w:t>Diluted</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vMerge w:val="continue"/>
          </w:tcPr>
          <w:p>
            <w:pPr>
              <w:spacing w:after="0"/>
              <w:rPr>
                <w:sz w:val="12"/>
                <w:szCs w:val="12"/>
                <w:color w:val="auto"/>
              </w:rPr>
            </w:pPr>
          </w:p>
        </w:tc>
        <w:tc>
          <w:tcPr>
            <w:tcW w:w="2360" w:type="dxa"/>
            <w:vAlign w:val="bottom"/>
            <w:vMerge w:val="continue"/>
          </w:tcPr>
          <w:p>
            <w:pPr>
              <w:spacing w:after="0"/>
              <w:rPr>
                <w:sz w:val="12"/>
                <w:szCs w:val="12"/>
                <w:color w:val="auto"/>
              </w:rPr>
            </w:pPr>
          </w:p>
        </w:tc>
        <w:tc>
          <w:tcPr>
            <w:tcW w:w="2180" w:type="dxa"/>
            <w:vAlign w:val="bottom"/>
            <w:vMerge w:val="continue"/>
          </w:tcPr>
          <w:p>
            <w:pPr>
              <w:spacing w:after="0"/>
              <w:rPr>
                <w:sz w:val="12"/>
                <w:szCs w:val="12"/>
                <w:color w:val="auto"/>
              </w:rPr>
            </w:pPr>
          </w:p>
        </w:tc>
        <w:tc>
          <w:tcPr>
            <w:tcW w:w="2260" w:type="dxa"/>
            <w:vAlign w:val="bottom"/>
            <w:vMerge w:val="continue"/>
          </w:tcPr>
          <w:p>
            <w:pPr>
              <w:spacing w:after="0"/>
              <w:rPr>
                <w:sz w:val="12"/>
                <w:szCs w:val="12"/>
                <w:color w:val="auto"/>
              </w:rPr>
            </w:pPr>
          </w:p>
        </w:tc>
        <w:tc>
          <w:tcPr>
            <w:tcW w:w="1400" w:type="dxa"/>
            <w:vAlign w:val="bottom"/>
            <w:vMerge w:val="restart"/>
          </w:tcPr>
          <w:p>
            <w:pPr>
              <w:jc w:val="center"/>
              <w:ind w:left="194"/>
              <w:spacing w:after="0"/>
              <w:rPr>
                <w:sz w:val="20"/>
                <w:szCs w:val="20"/>
                <w:color w:val="auto"/>
              </w:rPr>
            </w:pPr>
            <w:r>
              <w:rPr>
                <w:rFonts w:ascii="Arial" w:cs="Arial" w:eastAsia="Arial" w:hAnsi="Arial"/>
                <w:sz w:val="25"/>
                <w:szCs w:val="25"/>
                <w:b w:val="1"/>
                <w:bCs w:val="1"/>
                <w:color w:val="0070C0"/>
              </w:rPr>
              <w:t>Adjusted</w:t>
            </w:r>
          </w:p>
        </w:tc>
        <w:tc>
          <w:tcPr>
            <w:tcW w:w="0" w:type="dxa"/>
            <w:vAlign w:val="bottom"/>
          </w:tcPr>
          <w:p>
            <w:pPr>
              <w:spacing w:after="0"/>
              <w:rPr>
                <w:sz w:val="1"/>
                <w:szCs w:val="1"/>
                <w:color w:val="auto"/>
              </w:rPr>
            </w:pPr>
          </w:p>
        </w:tc>
      </w:tr>
      <w:tr>
        <w:trPr>
          <w:trHeight w:val="148"/>
        </w:trPr>
        <w:tc>
          <w:tcPr>
            <w:tcW w:w="2020" w:type="dxa"/>
            <w:vAlign w:val="bottom"/>
            <w:vMerge w:val="restart"/>
          </w:tcPr>
          <w:p>
            <w:pPr>
              <w:jc w:val="center"/>
              <w:ind w:right="374"/>
              <w:spacing w:after="0"/>
              <w:rPr>
                <w:sz w:val="20"/>
                <w:szCs w:val="20"/>
                <w:color w:val="auto"/>
              </w:rPr>
            </w:pPr>
            <w:r>
              <w:rPr>
                <w:rFonts w:ascii="Arial" w:cs="Arial" w:eastAsia="Arial" w:hAnsi="Arial"/>
                <w:sz w:val="25"/>
                <w:szCs w:val="25"/>
                <w:b w:val="1"/>
                <w:bCs w:val="1"/>
                <w:color w:val="0070C0"/>
              </w:rPr>
              <w:t>Net Revenue</w:t>
            </w:r>
          </w:p>
        </w:tc>
        <w:tc>
          <w:tcPr>
            <w:tcW w:w="2360" w:type="dxa"/>
            <w:vAlign w:val="bottom"/>
            <w:vMerge w:val="restart"/>
          </w:tcPr>
          <w:p>
            <w:pPr>
              <w:jc w:val="center"/>
              <w:spacing w:after="0"/>
              <w:rPr>
                <w:sz w:val="20"/>
                <w:szCs w:val="20"/>
                <w:color w:val="auto"/>
              </w:rPr>
            </w:pPr>
            <w:r>
              <w:rPr>
                <w:rFonts w:ascii="Arial" w:cs="Arial" w:eastAsia="Arial" w:hAnsi="Arial"/>
                <w:sz w:val="25"/>
                <w:szCs w:val="25"/>
                <w:b w:val="1"/>
                <w:bCs w:val="1"/>
                <w:color w:val="0070C0"/>
              </w:rPr>
              <w:t>Gross Profit</w:t>
            </w:r>
          </w:p>
        </w:tc>
        <w:tc>
          <w:tcPr>
            <w:tcW w:w="2180" w:type="dxa"/>
            <w:vAlign w:val="bottom"/>
            <w:vMerge w:val="restart"/>
          </w:tcPr>
          <w:p>
            <w:pPr>
              <w:jc w:val="center"/>
              <w:spacing w:after="0"/>
              <w:rPr>
                <w:sz w:val="20"/>
                <w:szCs w:val="20"/>
                <w:color w:val="auto"/>
              </w:rPr>
            </w:pPr>
            <w:r>
              <w:rPr>
                <w:rFonts w:ascii="Arial" w:cs="Arial" w:eastAsia="Arial" w:hAnsi="Arial"/>
                <w:sz w:val="25"/>
                <w:szCs w:val="25"/>
                <w:b w:val="1"/>
                <w:bCs w:val="1"/>
                <w:color w:val="0070C0"/>
              </w:rPr>
              <w:t>Net Income</w:t>
            </w:r>
          </w:p>
        </w:tc>
        <w:tc>
          <w:tcPr>
            <w:tcW w:w="2260" w:type="dxa"/>
            <w:vAlign w:val="bottom"/>
            <w:vMerge w:val="restart"/>
          </w:tcPr>
          <w:p>
            <w:pPr>
              <w:jc w:val="center"/>
              <w:spacing w:after="0"/>
              <w:rPr>
                <w:sz w:val="20"/>
                <w:szCs w:val="20"/>
                <w:color w:val="auto"/>
              </w:rPr>
            </w:pPr>
            <w:r>
              <w:rPr>
                <w:rFonts w:ascii="Arial" w:cs="Arial" w:eastAsia="Arial" w:hAnsi="Arial"/>
                <w:sz w:val="25"/>
                <w:szCs w:val="25"/>
                <w:b w:val="1"/>
                <w:bCs w:val="1"/>
                <w:color w:val="0070C0"/>
              </w:rPr>
              <w:t>Earnings Per</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20" w:type="dxa"/>
            <w:vAlign w:val="bottom"/>
            <w:vMerge w:val="continue"/>
          </w:tcPr>
          <w:p>
            <w:pPr>
              <w:spacing w:after="0"/>
              <w:rPr>
                <w:sz w:val="12"/>
                <w:szCs w:val="12"/>
                <w:color w:val="auto"/>
              </w:rPr>
            </w:pPr>
          </w:p>
        </w:tc>
        <w:tc>
          <w:tcPr>
            <w:tcW w:w="2360" w:type="dxa"/>
            <w:vAlign w:val="bottom"/>
            <w:vMerge w:val="continue"/>
          </w:tcPr>
          <w:p>
            <w:pPr>
              <w:spacing w:after="0"/>
              <w:rPr>
                <w:sz w:val="12"/>
                <w:szCs w:val="12"/>
                <w:color w:val="auto"/>
              </w:rPr>
            </w:pPr>
          </w:p>
        </w:tc>
        <w:tc>
          <w:tcPr>
            <w:tcW w:w="2180" w:type="dxa"/>
            <w:vAlign w:val="bottom"/>
            <w:vMerge w:val="continue"/>
          </w:tcPr>
          <w:p>
            <w:pPr>
              <w:spacing w:after="0"/>
              <w:rPr>
                <w:sz w:val="12"/>
                <w:szCs w:val="12"/>
                <w:color w:val="auto"/>
              </w:rPr>
            </w:pPr>
          </w:p>
        </w:tc>
        <w:tc>
          <w:tcPr>
            <w:tcW w:w="2260" w:type="dxa"/>
            <w:vAlign w:val="bottom"/>
            <w:vMerge w:val="continue"/>
          </w:tcPr>
          <w:p>
            <w:pPr>
              <w:spacing w:after="0"/>
              <w:rPr>
                <w:sz w:val="12"/>
                <w:szCs w:val="12"/>
                <w:color w:val="auto"/>
              </w:rPr>
            </w:pPr>
          </w:p>
        </w:tc>
        <w:tc>
          <w:tcPr>
            <w:tcW w:w="1400" w:type="dxa"/>
            <w:vAlign w:val="bottom"/>
            <w:vMerge w:val="restart"/>
          </w:tcPr>
          <w:p>
            <w:pPr>
              <w:jc w:val="center"/>
              <w:ind w:left="214"/>
              <w:spacing w:after="0"/>
              <w:rPr>
                <w:sz w:val="20"/>
                <w:szCs w:val="20"/>
                <w:color w:val="auto"/>
              </w:rPr>
            </w:pPr>
            <w:r>
              <w:rPr>
                <w:rFonts w:ascii="Arial" w:cs="Arial" w:eastAsia="Arial" w:hAnsi="Arial"/>
                <w:sz w:val="25"/>
                <w:szCs w:val="25"/>
                <w:b w:val="1"/>
                <w:bCs w:val="1"/>
                <w:color w:val="0070C0"/>
              </w:rPr>
              <w:t>EBITDA</w:t>
            </w:r>
          </w:p>
        </w:tc>
        <w:tc>
          <w:tcPr>
            <w:tcW w:w="0" w:type="dxa"/>
            <w:vAlign w:val="bottom"/>
          </w:tcPr>
          <w:p>
            <w:pPr>
              <w:spacing w:after="0"/>
              <w:rPr>
                <w:sz w:val="1"/>
                <w:szCs w:val="1"/>
                <w:color w:val="auto"/>
              </w:rPr>
            </w:pPr>
          </w:p>
        </w:tc>
      </w:tr>
      <w:tr>
        <w:trPr>
          <w:trHeight w:val="199"/>
        </w:trPr>
        <w:tc>
          <w:tcPr>
            <w:tcW w:w="20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60" w:type="dxa"/>
            <w:vAlign w:val="bottom"/>
            <w:vMerge w:val="restart"/>
          </w:tcPr>
          <w:p>
            <w:pPr>
              <w:jc w:val="center"/>
              <w:spacing w:after="0"/>
              <w:rPr>
                <w:sz w:val="20"/>
                <w:szCs w:val="20"/>
                <w:color w:val="auto"/>
              </w:rPr>
            </w:pPr>
            <w:r>
              <w:rPr>
                <w:rFonts w:ascii="Arial" w:cs="Arial" w:eastAsia="Arial" w:hAnsi="Arial"/>
                <w:sz w:val="25"/>
                <w:szCs w:val="25"/>
                <w:b w:val="1"/>
                <w:bCs w:val="1"/>
                <w:color w:val="0070C0"/>
              </w:rPr>
              <w:t>Share</w:t>
            </w: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6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2460" w:type="dxa"/>
            <w:vAlign w:val="bottom"/>
          </w:tcPr>
          <w:p>
            <w:pPr>
              <w:jc w:val="center"/>
              <w:spacing w:after="0"/>
              <w:rPr>
                <w:sz w:val="20"/>
                <w:szCs w:val="20"/>
                <w:color w:val="auto"/>
              </w:rPr>
            </w:pPr>
            <w:r>
              <w:rPr>
                <w:rFonts w:ascii="Arial" w:cs="Arial" w:eastAsia="Arial" w:hAnsi="Arial"/>
                <w:sz w:val="29"/>
                <w:szCs w:val="29"/>
                <w:b w:val="1"/>
                <w:bCs w:val="1"/>
                <w:color w:val="auto"/>
                <w:w w:val="99"/>
              </w:rPr>
              <w:t>$2.8</w:t>
            </w:r>
          </w:p>
        </w:tc>
        <w:tc>
          <w:tcPr>
            <w:tcW w:w="2420" w:type="dxa"/>
            <w:vAlign w:val="bottom"/>
          </w:tcPr>
          <w:p>
            <w:pPr>
              <w:jc w:val="center"/>
              <w:spacing w:after="0"/>
              <w:rPr>
                <w:sz w:val="20"/>
                <w:szCs w:val="20"/>
                <w:color w:val="auto"/>
              </w:rPr>
            </w:pPr>
            <w:r>
              <w:rPr>
                <w:rFonts w:ascii="Arial" w:cs="Arial" w:eastAsia="Arial" w:hAnsi="Arial"/>
                <w:sz w:val="29"/>
                <w:szCs w:val="29"/>
                <w:b w:val="1"/>
                <w:bCs w:val="1"/>
                <w:color w:val="auto"/>
                <w:w w:val="99"/>
              </w:rPr>
              <w:t>$930.7</w:t>
            </w:r>
          </w:p>
        </w:tc>
        <w:tc>
          <w:tcPr>
            <w:tcW w:w="2200" w:type="dxa"/>
            <w:vAlign w:val="bottom"/>
          </w:tcPr>
          <w:p>
            <w:pPr>
              <w:jc w:val="center"/>
              <w:spacing w:after="0"/>
              <w:rPr>
                <w:sz w:val="20"/>
                <w:szCs w:val="20"/>
                <w:color w:val="auto"/>
              </w:rPr>
            </w:pPr>
            <w:r>
              <w:rPr>
                <w:rFonts w:ascii="Arial" w:cs="Arial" w:eastAsia="Arial" w:hAnsi="Arial"/>
                <w:sz w:val="29"/>
                <w:szCs w:val="29"/>
                <w:b w:val="1"/>
                <w:bCs w:val="1"/>
                <w:color w:val="auto"/>
                <w:w w:val="99"/>
              </w:rPr>
              <w:t>$243.7</w:t>
            </w:r>
          </w:p>
        </w:tc>
        <w:tc>
          <w:tcPr>
            <w:tcW w:w="2120" w:type="dxa"/>
            <w:vAlign w:val="bottom"/>
          </w:tcPr>
          <w:p>
            <w:pPr>
              <w:jc w:val="right"/>
              <w:ind w:right="494"/>
              <w:spacing w:after="0"/>
              <w:rPr>
                <w:sz w:val="20"/>
                <w:szCs w:val="20"/>
                <w:color w:val="auto"/>
              </w:rPr>
            </w:pPr>
            <w:r>
              <w:rPr>
                <w:rFonts w:ascii="Arial" w:cs="Arial" w:eastAsia="Arial" w:hAnsi="Arial"/>
                <w:sz w:val="29"/>
                <w:szCs w:val="29"/>
                <w:b w:val="1"/>
                <w:bCs w:val="1"/>
                <w:color w:val="auto"/>
              </w:rPr>
              <w:t>$8.61</w:t>
            </w:r>
          </w:p>
        </w:tc>
        <w:tc>
          <w:tcPr>
            <w:tcW w:w="1820" w:type="dxa"/>
            <w:vAlign w:val="bottom"/>
          </w:tcPr>
          <w:p>
            <w:pPr>
              <w:jc w:val="center"/>
              <w:ind w:left="8"/>
              <w:spacing w:after="0"/>
              <w:rPr>
                <w:sz w:val="20"/>
                <w:szCs w:val="20"/>
                <w:color w:val="auto"/>
              </w:rPr>
            </w:pPr>
            <w:r>
              <w:rPr>
                <w:rFonts w:ascii="Arial" w:cs="Arial" w:eastAsia="Arial" w:hAnsi="Arial"/>
                <w:sz w:val="29"/>
                <w:szCs w:val="29"/>
                <w:b w:val="1"/>
                <w:bCs w:val="1"/>
                <w:color w:val="auto"/>
                <w:w w:val="99"/>
              </w:rPr>
              <w:t>$485.9</w:t>
            </w:r>
          </w:p>
        </w:tc>
      </w:tr>
      <w:tr>
        <w:trPr>
          <w:trHeight w:val="397"/>
        </w:trPr>
        <w:tc>
          <w:tcPr>
            <w:tcW w:w="2460" w:type="dxa"/>
            <w:vAlign w:val="bottom"/>
          </w:tcPr>
          <w:p>
            <w:pPr>
              <w:jc w:val="center"/>
              <w:spacing w:after="0"/>
              <w:rPr>
                <w:sz w:val="20"/>
                <w:szCs w:val="20"/>
                <w:color w:val="auto"/>
              </w:rPr>
            </w:pPr>
            <w:r>
              <w:rPr>
                <w:rFonts w:ascii="Arial" w:cs="Arial" w:eastAsia="Arial" w:hAnsi="Arial"/>
                <w:sz w:val="29"/>
                <w:szCs w:val="29"/>
                <w:b w:val="1"/>
                <w:bCs w:val="1"/>
                <w:color w:val="auto"/>
                <w:w w:val="98"/>
              </w:rPr>
              <w:t>billion</w:t>
            </w:r>
          </w:p>
        </w:tc>
        <w:tc>
          <w:tcPr>
            <w:tcW w:w="2420" w:type="dxa"/>
            <w:vAlign w:val="bottom"/>
          </w:tcPr>
          <w:p>
            <w:pPr>
              <w:jc w:val="center"/>
              <w:spacing w:after="0"/>
              <w:rPr>
                <w:sz w:val="20"/>
                <w:szCs w:val="20"/>
                <w:color w:val="auto"/>
              </w:rPr>
            </w:pPr>
            <w:r>
              <w:rPr>
                <w:rFonts w:ascii="Arial" w:cs="Arial" w:eastAsia="Arial" w:hAnsi="Arial"/>
                <w:sz w:val="29"/>
                <w:szCs w:val="29"/>
                <w:b w:val="1"/>
                <w:bCs w:val="1"/>
                <w:color w:val="auto"/>
              </w:rPr>
              <w:t>million</w:t>
            </w:r>
          </w:p>
        </w:tc>
        <w:tc>
          <w:tcPr>
            <w:tcW w:w="2200" w:type="dxa"/>
            <w:vAlign w:val="bottom"/>
          </w:tcPr>
          <w:p>
            <w:pPr>
              <w:jc w:val="center"/>
              <w:spacing w:after="0"/>
              <w:rPr>
                <w:sz w:val="20"/>
                <w:szCs w:val="20"/>
                <w:color w:val="auto"/>
              </w:rPr>
            </w:pPr>
            <w:r>
              <w:rPr>
                <w:rFonts w:ascii="Arial" w:cs="Arial" w:eastAsia="Arial" w:hAnsi="Arial"/>
                <w:sz w:val="29"/>
                <w:szCs w:val="29"/>
                <w:b w:val="1"/>
                <w:bCs w:val="1"/>
                <w:color w:val="auto"/>
                <w:w w:val="98"/>
              </w:rPr>
              <w:t>million</w:t>
            </w:r>
          </w:p>
        </w:tc>
        <w:tc>
          <w:tcPr>
            <w:tcW w:w="2120" w:type="dxa"/>
            <w:vAlign w:val="bottom"/>
          </w:tcPr>
          <w:p>
            <w:pPr>
              <w:spacing w:after="0"/>
              <w:rPr>
                <w:sz w:val="24"/>
                <w:szCs w:val="24"/>
                <w:color w:val="auto"/>
              </w:rPr>
            </w:pPr>
          </w:p>
        </w:tc>
        <w:tc>
          <w:tcPr>
            <w:tcW w:w="1820" w:type="dxa"/>
            <w:vAlign w:val="bottom"/>
          </w:tcPr>
          <w:p>
            <w:pPr>
              <w:jc w:val="center"/>
              <w:ind w:left="28"/>
              <w:spacing w:after="0"/>
              <w:rPr>
                <w:sz w:val="20"/>
                <w:szCs w:val="20"/>
                <w:color w:val="auto"/>
              </w:rPr>
            </w:pPr>
            <w:r>
              <w:rPr>
                <w:rFonts w:ascii="Arial" w:cs="Arial" w:eastAsia="Arial" w:hAnsi="Arial"/>
                <w:sz w:val="29"/>
                <w:szCs w:val="29"/>
                <w:b w:val="1"/>
                <w:bCs w:val="1"/>
                <w:color w:val="auto"/>
              </w:rPr>
              <w:t>million</w:t>
            </w:r>
          </w:p>
        </w:tc>
      </w:tr>
      <w:tr>
        <w:trPr>
          <w:trHeight w:val="394"/>
        </w:trPr>
        <w:tc>
          <w:tcPr>
            <w:tcW w:w="2460" w:type="dxa"/>
            <w:vAlign w:val="bottom"/>
          </w:tcPr>
          <w:p>
            <w:pPr>
              <w:jc w:val="center"/>
              <w:spacing w:after="0"/>
              <w:rPr>
                <w:sz w:val="20"/>
                <w:szCs w:val="20"/>
                <w:color w:val="auto"/>
              </w:rPr>
            </w:pPr>
            <w:r>
              <w:rPr>
                <w:rFonts w:ascii="Arial" w:cs="Arial" w:eastAsia="Arial" w:hAnsi="Arial"/>
                <w:sz w:val="22"/>
                <w:szCs w:val="22"/>
                <w:color w:val="0070C0"/>
                <w:w w:val="97"/>
              </w:rPr>
              <w:t>4.1% increase</w:t>
            </w:r>
          </w:p>
        </w:tc>
        <w:tc>
          <w:tcPr>
            <w:tcW w:w="2420" w:type="dxa"/>
            <w:vAlign w:val="bottom"/>
          </w:tcPr>
          <w:p>
            <w:pPr>
              <w:jc w:val="center"/>
              <w:spacing w:after="0"/>
              <w:rPr>
                <w:sz w:val="20"/>
                <w:szCs w:val="20"/>
                <w:color w:val="auto"/>
              </w:rPr>
            </w:pPr>
            <w:r>
              <w:rPr>
                <w:rFonts w:ascii="Arial" w:cs="Arial" w:eastAsia="Arial" w:hAnsi="Arial"/>
                <w:sz w:val="22"/>
                <w:szCs w:val="22"/>
                <w:color w:val="0070C0"/>
                <w:w w:val="98"/>
              </w:rPr>
              <w:t>12.4% increase</w:t>
            </w:r>
          </w:p>
        </w:tc>
        <w:tc>
          <w:tcPr>
            <w:tcW w:w="2200" w:type="dxa"/>
            <w:vAlign w:val="bottom"/>
          </w:tcPr>
          <w:p>
            <w:pPr>
              <w:jc w:val="center"/>
              <w:spacing w:after="0"/>
              <w:rPr>
                <w:sz w:val="20"/>
                <w:szCs w:val="20"/>
                <w:color w:val="auto"/>
              </w:rPr>
            </w:pPr>
            <w:r>
              <w:rPr>
                <w:rFonts w:ascii="Arial" w:cs="Arial" w:eastAsia="Arial" w:hAnsi="Arial"/>
                <w:sz w:val="22"/>
                <w:szCs w:val="22"/>
                <w:color w:val="0070C0"/>
                <w:w w:val="97"/>
              </w:rPr>
              <w:t>9.1% increase</w:t>
            </w:r>
          </w:p>
        </w:tc>
        <w:tc>
          <w:tcPr>
            <w:tcW w:w="2120" w:type="dxa"/>
            <w:vAlign w:val="bottom"/>
          </w:tcPr>
          <w:p>
            <w:pPr>
              <w:jc w:val="center"/>
              <w:ind w:left="34"/>
              <w:spacing w:after="0"/>
              <w:rPr>
                <w:sz w:val="20"/>
                <w:szCs w:val="20"/>
                <w:color w:val="auto"/>
              </w:rPr>
            </w:pPr>
            <w:r>
              <w:rPr>
                <w:rFonts w:ascii="Arial" w:cs="Arial" w:eastAsia="Arial" w:hAnsi="Arial"/>
                <w:sz w:val="22"/>
                <w:szCs w:val="22"/>
                <w:color w:val="0070C0"/>
                <w:w w:val="97"/>
              </w:rPr>
              <w:t>11.2% increase</w:t>
            </w:r>
          </w:p>
        </w:tc>
        <w:tc>
          <w:tcPr>
            <w:tcW w:w="1820" w:type="dxa"/>
            <w:vAlign w:val="bottom"/>
          </w:tcPr>
          <w:p>
            <w:pPr>
              <w:jc w:val="center"/>
              <w:ind w:left="28"/>
              <w:spacing w:after="0"/>
              <w:rPr>
                <w:sz w:val="20"/>
                <w:szCs w:val="20"/>
                <w:color w:val="auto"/>
              </w:rPr>
            </w:pPr>
            <w:r>
              <w:rPr>
                <w:rFonts w:ascii="Arial" w:cs="Arial" w:eastAsia="Arial" w:hAnsi="Arial"/>
                <w:sz w:val="22"/>
                <w:szCs w:val="22"/>
                <w:color w:val="0070C0"/>
                <w:w w:val="98"/>
              </w:rPr>
              <w:t>10.6% increase</w:t>
            </w:r>
          </w:p>
        </w:tc>
      </w:tr>
      <w:tr>
        <w:trPr>
          <w:trHeight w:val="141"/>
        </w:trPr>
        <w:tc>
          <w:tcPr>
            <w:tcW w:w="2460" w:type="dxa"/>
            <w:vAlign w:val="bottom"/>
            <w:tcBorders>
              <w:bottom w:val="single" w:sz="8" w:color="0070C0"/>
            </w:tcBorders>
          </w:tcPr>
          <w:p>
            <w:pPr>
              <w:spacing w:after="0"/>
              <w:rPr>
                <w:sz w:val="12"/>
                <w:szCs w:val="12"/>
                <w:color w:val="auto"/>
              </w:rPr>
            </w:pPr>
          </w:p>
        </w:tc>
        <w:tc>
          <w:tcPr>
            <w:tcW w:w="2420" w:type="dxa"/>
            <w:vAlign w:val="bottom"/>
            <w:tcBorders>
              <w:bottom w:val="single" w:sz="8" w:color="0070C0"/>
            </w:tcBorders>
          </w:tcPr>
          <w:p>
            <w:pPr>
              <w:spacing w:after="0"/>
              <w:rPr>
                <w:sz w:val="12"/>
                <w:szCs w:val="12"/>
                <w:color w:val="auto"/>
              </w:rPr>
            </w:pPr>
          </w:p>
        </w:tc>
        <w:tc>
          <w:tcPr>
            <w:tcW w:w="2200" w:type="dxa"/>
            <w:vAlign w:val="bottom"/>
            <w:tcBorders>
              <w:bottom w:val="single" w:sz="8" w:color="0070C0"/>
            </w:tcBorders>
          </w:tcPr>
          <w:p>
            <w:pPr>
              <w:spacing w:after="0"/>
              <w:rPr>
                <w:sz w:val="12"/>
                <w:szCs w:val="12"/>
                <w:color w:val="auto"/>
              </w:rPr>
            </w:pPr>
          </w:p>
        </w:tc>
        <w:tc>
          <w:tcPr>
            <w:tcW w:w="2120" w:type="dxa"/>
            <w:vAlign w:val="bottom"/>
            <w:tcBorders>
              <w:bottom w:val="single" w:sz="8" w:color="0070C0"/>
            </w:tcBorders>
          </w:tcPr>
          <w:p>
            <w:pPr>
              <w:spacing w:after="0"/>
              <w:rPr>
                <w:sz w:val="12"/>
                <w:szCs w:val="12"/>
                <w:color w:val="auto"/>
              </w:rPr>
            </w:pPr>
          </w:p>
        </w:tc>
        <w:tc>
          <w:tcPr>
            <w:tcW w:w="1820" w:type="dxa"/>
            <w:vAlign w:val="bottom"/>
            <w:tcBorders>
              <w:bottom w:val="single" w:sz="8" w:color="0070C0"/>
            </w:tcBorders>
          </w:tcPr>
          <w:p>
            <w:pPr>
              <w:spacing w:after="0"/>
              <w:rPr>
                <w:sz w:val="12"/>
                <w:szCs w:val="12"/>
                <w:color w:val="auto"/>
              </w:rPr>
            </w:pPr>
          </w:p>
        </w:tc>
      </w:tr>
    </w:tbl>
    <w:p>
      <w:pPr>
        <w:spacing w:after="0" w:line="197"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Additional Information – Use of Non-GAAP Financial Measures</w:t>
      </w:r>
      <w:r>
        <w:rPr>
          <w:rFonts w:ascii="Arial" w:cs="Arial" w:eastAsia="Arial" w:hAnsi="Arial"/>
          <w:sz w:val="18"/>
          <w:szCs w:val="18"/>
          <w:color w:val="auto"/>
        </w:rPr>
        <w:t>” for a reconciliation of Adjusted EBITDA to the most directly comparable GAAP measure. Figures above reflect year-over-year increases.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color w:val="0070C0"/>
        </w:rPr>
        <w:t>Pay for Performance</w:t>
      </w:r>
    </w:p>
    <w:p>
      <w:pPr>
        <w:spacing w:after="0" w:line="205"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Our executive compensation philosophy is to provide a competitive compensation package weighted toward Company performance and aligned with our stockholders’ long-term interests. A significant percentage of our executives’ compensation is at risk and based on Company performance. The CHC Committee believes that our executive compensation program drives performance and increases stockholder value.</w:t>
      </w:r>
    </w:p>
    <w:p>
      <w:pPr>
        <w:spacing w:after="0" w:line="17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CHC Committee believes that total compensation for the Company’s named executive officers should align with the Company’s financial and strategic objectives and sustained growth, as well as individual performance, level of responsibility and experience. Consistent with that philosophy, in 2023 approximately 85.0% of our Chief Executive Officer’s and an average of 70.5% of our other named executive officers’ total target compensation reflected our continued emphasis on at-risk compensation linked with the Company’s operational and financial performance. Any incentive compensation earned by our NEOs depends upon the Company’s achieved Adjusted EBITDA during the performance period as compared against the target set in advance by the CHC Committee. Performance-based restricted stock is awarded as a number of shares rather than a fixed dollar amount, so the value of the restricted stock award fluctuates with our stock price during the performance period and the additional two year vesting period, strongly aligning the interests of our NEOs with the interests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699516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Compensation Discussion and Analysis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49</w:t>
      </w:r>
    </w:p>
    <w:p>
      <w:pPr>
        <w:sectPr>
          <w:pgSz w:w="11900" w:h="16838" w:orient="portrait"/>
          <w:cols w:equalWidth="0" w:num="1">
            <w:col w:w="11020"/>
          </w:cols>
          <w:pgMar w:left="440" w:top="296" w:right="439" w:bottom="1440" w:gutter="0" w:footer="0" w:header="0"/>
        </w:sectPr>
      </w:pPr>
    </w:p>
    <w:bookmarkStart w:id="57" w:name="page58"/>
    <w:bookmarkEnd w:id="57"/>
    <w:p>
      <w:pPr>
        <w:spacing w:after="0"/>
        <w:rPr>
          <w:sz w:val="20"/>
          <w:szCs w:val="20"/>
          <w:color w:val="auto"/>
        </w:rPr>
      </w:pPr>
      <w:r>
        <w:rPr>
          <w:rFonts w:ascii="Arial" w:cs="Arial" w:eastAsia="Arial" w:hAnsi="Arial"/>
          <w:sz w:val="20"/>
          <w:szCs w:val="20"/>
          <w:color w:val="0070C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2023 Say-on-Pay Voting Results</w:t>
      </w:r>
    </w:p>
    <w:p>
      <w:pPr>
        <w:spacing w:after="0" w:line="205"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Our executive compensation program received strong support from our stockholders in 2023, with 95% the votes cast at the 2023 Annual Meeting of Stockholders voting in favor. The CHC Committee believes that this level of support is indicative of our stockholders’ strong support of our compensation practices and pay for performance alignment, and influenced its decision to retain the core elements of our executive compensation program.</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0070C0"/>
        </w:rPr>
        <w:t>2023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159385</wp:posOffset>
            </wp:positionV>
            <wp:extent cx="6797675" cy="9086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79767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1920" w:type="dxa"/>
            <w:vAlign w:val="bottom"/>
          </w:tcPr>
          <w:p>
            <w:pPr>
              <w:jc w:val="center"/>
              <w:ind w:right="165"/>
              <w:spacing w:after="0"/>
              <w:rPr>
                <w:sz w:val="20"/>
                <w:szCs w:val="20"/>
                <w:color w:val="auto"/>
              </w:rPr>
            </w:pPr>
            <w:r>
              <w:rPr>
                <w:rFonts w:ascii="Arial" w:cs="Arial" w:eastAsia="Arial" w:hAnsi="Arial"/>
                <w:sz w:val="16"/>
                <w:szCs w:val="16"/>
                <w:color w:val="0070C0"/>
              </w:rPr>
              <w:t>Jeffrey W. Edwards</w:t>
            </w:r>
          </w:p>
        </w:tc>
        <w:tc>
          <w:tcPr>
            <w:tcW w:w="2440" w:type="dxa"/>
            <w:vAlign w:val="bottom"/>
          </w:tcPr>
          <w:p>
            <w:pPr>
              <w:jc w:val="center"/>
              <w:ind w:right="5"/>
              <w:spacing w:after="0"/>
              <w:rPr>
                <w:sz w:val="20"/>
                <w:szCs w:val="20"/>
                <w:color w:val="auto"/>
              </w:rPr>
            </w:pPr>
            <w:r>
              <w:rPr>
                <w:rFonts w:ascii="Arial" w:cs="Arial" w:eastAsia="Arial" w:hAnsi="Arial"/>
                <w:sz w:val="16"/>
                <w:szCs w:val="16"/>
                <w:color w:val="0070C0"/>
                <w:w w:val="99"/>
              </w:rPr>
              <w:t>Michael T. Miller</w:t>
            </w:r>
          </w:p>
        </w:tc>
        <w:tc>
          <w:tcPr>
            <w:tcW w:w="2140" w:type="dxa"/>
            <w:vAlign w:val="bottom"/>
          </w:tcPr>
          <w:p>
            <w:pPr>
              <w:jc w:val="center"/>
              <w:spacing w:after="0"/>
              <w:rPr>
                <w:sz w:val="20"/>
                <w:szCs w:val="20"/>
                <w:color w:val="auto"/>
              </w:rPr>
            </w:pPr>
            <w:r>
              <w:rPr>
                <w:rFonts w:ascii="Arial" w:cs="Arial" w:eastAsia="Arial" w:hAnsi="Arial"/>
                <w:sz w:val="16"/>
                <w:szCs w:val="16"/>
                <w:color w:val="0070C0"/>
                <w:w w:val="99"/>
              </w:rPr>
              <w:t>Jay P. Elliott</w:t>
            </w:r>
          </w:p>
        </w:tc>
        <w:tc>
          <w:tcPr>
            <w:tcW w:w="2320" w:type="dxa"/>
            <w:vAlign w:val="bottom"/>
          </w:tcPr>
          <w:p>
            <w:pPr>
              <w:jc w:val="center"/>
              <w:spacing w:after="0"/>
              <w:rPr>
                <w:sz w:val="20"/>
                <w:szCs w:val="20"/>
                <w:color w:val="auto"/>
              </w:rPr>
            </w:pPr>
            <w:r>
              <w:rPr>
                <w:rFonts w:ascii="Arial" w:cs="Arial" w:eastAsia="Arial" w:hAnsi="Arial"/>
                <w:sz w:val="16"/>
                <w:szCs w:val="16"/>
                <w:color w:val="0070C0"/>
              </w:rPr>
              <w:t>W. Jeffrey Hire</w:t>
            </w:r>
          </w:p>
        </w:tc>
        <w:tc>
          <w:tcPr>
            <w:tcW w:w="1840" w:type="dxa"/>
            <w:vAlign w:val="bottom"/>
          </w:tcPr>
          <w:p>
            <w:pPr>
              <w:jc w:val="center"/>
              <w:ind w:left="225"/>
              <w:spacing w:after="0"/>
              <w:rPr>
                <w:sz w:val="20"/>
                <w:szCs w:val="20"/>
                <w:color w:val="auto"/>
              </w:rPr>
            </w:pPr>
            <w:r>
              <w:rPr>
                <w:rFonts w:ascii="Arial" w:cs="Arial" w:eastAsia="Arial" w:hAnsi="Arial"/>
                <w:sz w:val="16"/>
                <w:szCs w:val="16"/>
                <w:color w:val="0070C0"/>
              </w:rPr>
              <w:t>Jason R. Niswonger</w:t>
            </w:r>
          </w:p>
        </w:tc>
      </w:tr>
      <w:tr>
        <w:trPr>
          <w:trHeight w:val="162"/>
        </w:trPr>
        <w:tc>
          <w:tcPr>
            <w:tcW w:w="1920" w:type="dxa"/>
            <w:vAlign w:val="bottom"/>
          </w:tcPr>
          <w:p>
            <w:pPr>
              <w:jc w:val="center"/>
              <w:ind w:right="165"/>
              <w:spacing w:after="0"/>
              <w:rPr>
                <w:sz w:val="20"/>
                <w:szCs w:val="20"/>
                <w:color w:val="auto"/>
              </w:rPr>
            </w:pPr>
            <w:r>
              <w:rPr>
                <w:rFonts w:ascii="Arial" w:cs="Arial" w:eastAsia="Arial" w:hAnsi="Arial"/>
                <w:sz w:val="14"/>
                <w:szCs w:val="14"/>
                <w:i w:val="1"/>
                <w:iCs w:val="1"/>
                <w:color w:val="auto"/>
              </w:rPr>
              <w:t>President, Chief Executive</w:t>
            </w:r>
          </w:p>
        </w:tc>
        <w:tc>
          <w:tcPr>
            <w:tcW w:w="2440" w:type="dxa"/>
            <w:vAlign w:val="bottom"/>
          </w:tcPr>
          <w:p>
            <w:pPr>
              <w:jc w:val="center"/>
              <w:ind w:right="5"/>
              <w:spacing w:after="0"/>
              <w:rPr>
                <w:sz w:val="20"/>
                <w:szCs w:val="20"/>
                <w:color w:val="auto"/>
              </w:rPr>
            </w:pPr>
            <w:r>
              <w:rPr>
                <w:rFonts w:ascii="Arial" w:cs="Arial" w:eastAsia="Arial" w:hAnsi="Arial"/>
                <w:sz w:val="14"/>
                <w:szCs w:val="14"/>
                <w:i w:val="1"/>
                <w:iCs w:val="1"/>
                <w:color w:val="auto"/>
              </w:rPr>
              <w:t>Executive Vice President and</w:t>
            </w:r>
          </w:p>
        </w:tc>
        <w:tc>
          <w:tcPr>
            <w:tcW w:w="2140" w:type="dxa"/>
            <w:vAlign w:val="bottom"/>
          </w:tcPr>
          <w:p>
            <w:pPr>
              <w:jc w:val="center"/>
              <w:spacing w:after="0"/>
              <w:rPr>
                <w:sz w:val="20"/>
                <w:szCs w:val="20"/>
                <w:color w:val="auto"/>
              </w:rPr>
            </w:pPr>
            <w:r>
              <w:rPr>
                <w:rFonts w:ascii="Arial" w:cs="Arial" w:eastAsia="Arial" w:hAnsi="Arial"/>
                <w:sz w:val="14"/>
                <w:szCs w:val="14"/>
                <w:i w:val="1"/>
                <w:iCs w:val="1"/>
                <w:color w:val="auto"/>
              </w:rPr>
              <w:t>Chief Operating Officer</w:t>
            </w:r>
          </w:p>
        </w:tc>
        <w:tc>
          <w:tcPr>
            <w:tcW w:w="2320" w:type="dxa"/>
            <w:vAlign w:val="bottom"/>
          </w:tcPr>
          <w:p>
            <w:pPr>
              <w:jc w:val="center"/>
              <w:spacing w:after="0"/>
              <w:rPr>
                <w:sz w:val="20"/>
                <w:szCs w:val="20"/>
                <w:color w:val="auto"/>
              </w:rPr>
            </w:pPr>
            <w:r>
              <w:rPr>
                <w:rFonts w:ascii="Arial" w:cs="Arial" w:eastAsia="Arial" w:hAnsi="Arial"/>
                <w:sz w:val="14"/>
                <w:szCs w:val="14"/>
                <w:i w:val="1"/>
                <w:iCs w:val="1"/>
                <w:color w:val="auto"/>
              </w:rPr>
              <w:t>President, External Affairs</w:t>
            </w:r>
          </w:p>
        </w:tc>
        <w:tc>
          <w:tcPr>
            <w:tcW w:w="1840" w:type="dxa"/>
            <w:vAlign w:val="bottom"/>
          </w:tcPr>
          <w:p>
            <w:pPr>
              <w:jc w:val="center"/>
              <w:ind w:left="205"/>
              <w:spacing w:after="0"/>
              <w:rPr>
                <w:sz w:val="20"/>
                <w:szCs w:val="20"/>
                <w:color w:val="auto"/>
              </w:rPr>
            </w:pPr>
            <w:r>
              <w:rPr>
                <w:rFonts w:ascii="Arial" w:cs="Arial" w:eastAsia="Arial" w:hAnsi="Arial"/>
                <w:sz w:val="14"/>
                <w:szCs w:val="14"/>
                <w:i w:val="1"/>
                <w:iCs w:val="1"/>
                <w:color w:val="auto"/>
              </w:rPr>
              <w:t>Chief Administrative and</w:t>
            </w:r>
          </w:p>
        </w:tc>
      </w:tr>
      <w:tr>
        <w:trPr>
          <w:trHeight w:val="188"/>
        </w:trPr>
        <w:tc>
          <w:tcPr>
            <w:tcW w:w="1920" w:type="dxa"/>
            <w:vAlign w:val="bottom"/>
          </w:tcPr>
          <w:p>
            <w:pPr>
              <w:jc w:val="center"/>
              <w:ind w:right="165"/>
              <w:spacing w:after="0"/>
              <w:rPr>
                <w:sz w:val="20"/>
                <w:szCs w:val="20"/>
                <w:color w:val="auto"/>
              </w:rPr>
            </w:pPr>
            <w:r>
              <w:rPr>
                <w:rFonts w:ascii="Arial" w:cs="Arial" w:eastAsia="Arial" w:hAnsi="Arial"/>
                <w:sz w:val="14"/>
                <w:szCs w:val="14"/>
                <w:i w:val="1"/>
                <w:iCs w:val="1"/>
                <w:color w:val="auto"/>
              </w:rPr>
              <w:t>Officer and Chairman</w:t>
            </w:r>
          </w:p>
        </w:tc>
        <w:tc>
          <w:tcPr>
            <w:tcW w:w="2440" w:type="dxa"/>
            <w:vAlign w:val="bottom"/>
          </w:tcPr>
          <w:p>
            <w:pPr>
              <w:jc w:val="center"/>
              <w:spacing w:after="0"/>
              <w:rPr>
                <w:sz w:val="20"/>
                <w:szCs w:val="20"/>
                <w:color w:val="auto"/>
              </w:rPr>
            </w:pPr>
            <w:r>
              <w:rPr>
                <w:rFonts w:ascii="Arial" w:cs="Arial" w:eastAsia="Arial" w:hAnsi="Arial"/>
                <w:sz w:val="14"/>
                <w:szCs w:val="14"/>
                <w:i w:val="1"/>
                <w:iCs w:val="1"/>
                <w:color w:val="auto"/>
              </w:rPr>
              <w:t>Chief Financial Officer</w:t>
            </w:r>
          </w:p>
        </w:tc>
        <w:tc>
          <w:tcPr>
            <w:tcW w:w="21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840" w:type="dxa"/>
            <w:vAlign w:val="bottom"/>
          </w:tcPr>
          <w:p>
            <w:pPr>
              <w:jc w:val="center"/>
              <w:ind w:left="225"/>
              <w:spacing w:after="0"/>
              <w:rPr>
                <w:sz w:val="20"/>
                <w:szCs w:val="20"/>
                <w:color w:val="auto"/>
              </w:rPr>
            </w:pPr>
            <w:r>
              <w:rPr>
                <w:rFonts w:ascii="Arial" w:cs="Arial" w:eastAsia="Arial" w:hAnsi="Arial"/>
                <w:sz w:val="14"/>
                <w:szCs w:val="14"/>
                <w:i w:val="1"/>
                <w:iCs w:val="1"/>
                <w:color w:val="auto"/>
              </w:rPr>
              <w:t>Sustainability Officer</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0070C0"/>
        </w:rPr>
        <w:t>2023 Executive Compensation at a Glance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440" w:type="dxa"/>
            <w:vAlign w:val="bottom"/>
          </w:tcPr>
          <w:p>
            <w:pPr>
              <w:jc w:val="center"/>
              <w:spacing w:after="0"/>
              <w:rPr>
                <w:sz w:val="20"/>
                <w:szCs w:val="20"/>
                <w:color w:val="auto"/>
              </w:rPr>
            </w:pPr>
            <w:r>
              <w:rPr>
                <w:rFonts w:ascii="Arial" w:cs="Arial" w:eastAsia="Arial" w:hAnsi="Arial"/>
                <w:sz w:val="16"/>
                <w:szCs w:val="16"/>
                <w:b w:val="1"/>
                <w:bCs w:val="1"/>
                <w:color w:val="002060"/>
              </w:rPr>
              <w:t>Performance-</w:t>
            </w:r>
          </w:p>
        </w:tc>
        <w:tc>
          <w:tcPr>
            <w:tcW w:w="1600" w:type="dxa"/>
            <w:vAlign w:val="bottom"/>
          </w:tcPr>
          <w:p>
            <w:pPr>
              <w:spacing w:after="0"/>
              <w:rPr>
                <w:sz w:val="16"/>
                <w:szCs w:val="16"/>
                <w:color w:val="auto"/>
              </w:rPr>
            </w:pPr>
          </w:p>
        </w:tc>
      </w:tr>
      <w:tr>
        <w:trPr>
          <w:trHeight w:val="189"/>
        </w:trPr>
        <w:tc>
          <w:tcPr>
            <w:tcW w:w="3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002060"/>
              </w:rPr>
              <w:t>Performance-</w:t>
            </w:r>
          </w:p>
        </w:tc>
        <w:tc>
          <w:tcPr>
            <w:tcW w:w="2440" w:type="dxa"/>
            <w:vAlign w:val="bottom"/>
          </w:tcPr>
          <w:p>
            <w:pPr>
              <w:jc w:val="center"/>
              <w:spacing w:after="0"/>
              <w:rPr>
                <w:sz w:val="20"/>
                <w:szCs w:val="20"/>
                <w:color w:val="auto"/>
              </w:rPr>
            </w:pPr>
            <w:r>
              <w:rPr>
                <w:rFonts w:ascii="Arial" w:cs="Arial" w:eastAsia="Arial" w:hAnsi="Arial"/>
                <w:sz w:val="16"/>
                <w:szCs w:val="16"/>
                <w:b w:val="1"/>
                <w:bCs w:val="1"/>
                <w:color w:val="002060"/>
              </w:rPr>
              <w:t>Based Restricted</w:t>
            </w:r>
          </w:p>
        </w:tc>
        <w:tc>
          <w:tcPr>
            <w:tcW w:w="1600" w:type="dxa"/>
            <w:vAlign w:val="bottom"/>
          </w:tcPr>
          <w:p>
            <w:pPr>
              <w:spacing w:after="0"/>
              <w:rPr>
                <w:sz w:val="16"/>
                <w:szCs w:val="16"/>
                <w:color w:val="auto"/>
              </w:rPr>
            </w:pPr>
          </w:p>
        </w:tc>
      </w:tr>
      <w:tr>
        <w:trPr>
          <w:trHeight w:val="189"/>
        </w:trPr>
        <w:tc>
          <w:tcPr>
            <w:tcW w:w="3880" w:type="dxa"/>
            <w:vAlign w:val="bottom"/>
          </w:tcPr>
          <w:p>
            <w:pPr>
              <w:spacing w:after="0"/>
              <w:rPr>
                <w:sz w:val="16"/>
                <w:szCs w:val="16"/>
                <w:color w:val="auto"/>
              </w:rPr>
            </w:pPr>
          </w:p>
        </w:tc>
        <w:tc>
          <w:tcPr>
            <w:tcW w:w="1260" w:type="dxa"/>
            <w:vAlign w:val="bottom"/>
          </w:tcPr>
          <w:p>
            <w:pPr>
              <w:jc w:val="center"/>
              <w:ind w:right="33"/>
              <w:spacing w:after="0"/>
              <w:rPr>
                <w:sz w:val="20"/>
                <w:szCs w:val="20"/>
                <w:color w:val="auto"/>
              </w:rPr>
            </w:pPr>
            <w:r>
              <w:rPr>
                <w:rFonts w:ascii="Arial" w:cs="Arial" w:eastAsia="Arial" w:hAnsi="Arial"/>
                <w:sz w:val="16"/>
                <w:szCs w:val="16"/>
                <w:b w:val="1"/>
                <w:bCs w:val="1"/>
                <w:color w:val="002060"/>
                <w:w w:val="99"/>
              </w:rPr>
              <w:t>Base</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002060"/>
              </w:rPr>
              <w:t>Based Cash</w:t>
            </w:r>
          </w:p>
        </w:tc>
        <w:tc>
          <w:tcPr>
            <w:tcW w:w="2440" w:type="dxa"/>
            <w:vAlign w:val="bottom"/>
          </w:tcPr>
          <w:p>
            <w:pPr>
              <w:jc w:val="center"/>
              <w:spacing w:after="0"/>
              <w:rPr>
                <w:sz w:val="20"/>
                <w:szCs w:val="20"/>
                <w:color w:val="auto"/>
              </w:rPr>
            </w:pPr>
            <w:r>
              <w:rPr>
                <w:rFonts w:ascii="Arial" w:cs="Arial" w:eastAsia="Arial" w:hAnsi="Arial"/>
                <w:sz w:val="16"/>
                <w:szCs w:val="16"/>
                <w:b w:val="1"/>
                <w:bCs w:val="1"/>
                <w:color w:val="002060"/>
              </w:rPr>
              <w:t>Stock Award at Grant</w:t>
            </w:r>
          </w:p>
        </w:tc>
        <w:tc>
          <w:tcPr>
            <w:tcW w:w="1600" w:type="dxa"/>
            <w:vAlign w:val="bottom"/>
          </w:tcPr>
          <w:p>
            <w:pPr>
              <w:spacing w:after="0"/>
              <w:rPr>
                <w:sz w:val="16"/>
                <w:szCs w:val="16"/>
                <w:color w:val="auto"/>
              </w:rPr>
            </w:pPr>
          </w:p>
        </w:tc>
      </w:tr>
      <w:tr>
        <w:trPr>
          <w:trHeight w:val="189"/>
        </w:trPr>
        <w:tc>
          <w:tcPr>
            <w:tcW w:w="3880" w:type="dxa"/>
            <w:vAlign w:val="bottom"/>
          </w:tcPr>
          <w:p>
            <w:pPr>
              <w:spacing w:after="0"/>
              <w:rPr>
                <w:sz w:val="16"/>
                <w:szCs w:val="16"/>
                <w:color w:val="auto"/>
              </w:rPr>
            </w:pPr>
          </w:p>
        </w:tc>
        <w:tc>
          <w:tcPr>
            <w:tcW w:w="1260" w:type="dxa"/>
            <w:vAlign w:val="bottom"/>
          </w:tcPr>
          <w:p>
            <w:pPr>
              <w:jc w:val="center"/>
              <w:ind w:right="53"/>
              <w:spacing w:after="0"/>
              <w:rPr>
                <w:sz w:val="20"/>
                <w:szCs w:val="20"/>
                <w:color w:val="auto"/>
              </w:rPr>
            </w:pPr>
            <w:r>
              <w:rPr>
                <w:rFonts w:ascii="Arial" w:cs="Arial" w:eastAsia="Arial" w:hAnsi="Arial"/>
                <w:sz w:val="16"/>
                <w:szCs w:val="16"/>
                <w:b w:val="1"/>
                <w:bCs w:val="1"/>
                <w:color w:val="002060"/>
                <w:w w:val="99"/>
              </w:rPr>
              <w:t>Salary</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002060"/>
              </w:rPr>
              <w:t>Award Earned</w:t>
            </w:r>
          </w:p>
        </w:tc>
        <w:tc>
          <w:tcPr>
            <w:tcW w:w="2440" w:type="dxa"/>
            <w:vAlign w:val="bottom"/>
          </w:tcPr>
          <w:p>
            <w:pPr>
              <w:jc w:val="center"/>
              <w:spacing w:after="0"/>
              <w:rPr>
                <w:sz w:val="20"/>
                <w:szCs w:val="20"/>
                <w:color w:val="auto"/>
              </w:rPr>
            </w:pPr>
            <w:r>
              <w:rPr>
                <w:rFonts w:ascii="Arial" w:cs="Arial" w:eastAsia="Arial" w:hAnsi="Arial"/>
                <w:sz w:val="16"/>
                <w:szCs w:val="16"/>
                <w:b w:val="1"/>
                <w:bCs w:val="1"/>
                <w:color w:val="002060"/>
              </w:rPr>
              <w:t>Date Fair Value</w:t>
            </w:r>
          </w:p>
        </w:tc>
        <w:tc>
          <w:tcPr>
            <w:tcW w:w="1600" w:type="dxa"/>
            <w:vAlign w:val="bottom"/>
          </w:tcPr>
          <w:p>
            <w:pPr>
              <w:jc w:val="right"/>
              <w:ind w:right="553"/>
              <w:spacing w:after="0"/>
              <w:rPr>
                <w:sz w:val="20"/>
                <w:szCs w:val="20"/>
                <w:color w:val="auto"/>
              </w:rPr>
            </w:pPr>
            <w:r>
              <w:rPr>
                <w:rFonts w:ascii="Arial" w:cs="Arial" w:eastAsia="Arial" w:hAnsi="Arial"/>
                <w:sz w:val="16"/>
                <w:szCs w:val="16"/>
                <w:b w:val="1"/>
                <w:bCs w:val="1"/>
                <w:color w:val="002060"/>
              </w:rPr>
              <w:t>Total</w:t>
            </w:r>
          </w:p>
        </w:tc>
      </w:tr>
      <w:tr>
        <w:trPr>
          <w:trHeight w:val="210"/>
        </w:trPr>
        <w:tc>
          <w:tcPr>
            <w:tcW w:w="3880" w:type="dxa"/>
            <w:vAlign w:val="bottom"/>
            <w:tcBorders>
              <w:bottom w:val="single" w:sz="8" w:color="0070C0"/>
            </w:tcBorders>
          </w:tcPr>
          <w:p>
            <w:pPr>
              <w:spacing w:after="0"/>
              <w:rPr>
                <w:sz w:val="20"/>
                <w:szCs w:val="20"/>
                <w:color w:val="auto"/>
              </w:rPr>
            </w:pPr>
            <w:r>
              <w:rPr>
                <w:rFonts w:ascii="Arial" w:cs="Arial" w:eastAsia="Arial" w:hAnsi="Arial"/>
                <w:sz w:val="16"/>
                <w:szCs w:val="16"/>
                <w:b w:val="1"/>
                <w:bCs w:val="1"/>
                <w:color w:val="002060"/>
              </w:rPr>
              <w:t>Name</w:t>
            </w:r>
          </w:p>
        </w:tc>
        <w:tc>
          <w:tcPr>
            <w:tcW w:w="1260" w:type="dxa"/>
            <w:vAlign w:val="bottom"/>
            <w:tcBorders>
              <w:bottom w:val="single" w:sz="8" w:color="0070C0"/>
            </w:tcBorders>
          </w:tcPr>
          <w:p>
            <w:pPr>
              <w:jc w:val="center"/>
              <w:ind w:right="53"/>
              <w:spacing w:after="0"/>
              <w:rPr>
                <w:sz w:val="20"/>
                <w:szCs w:val="20"/>
                <w:color w:val="auto"/>
              </w:rPr>
            </w:pPr>
            <w:r>
              <w:rPr>
                <w:rFonts w:ascii="Arial" w:cs="Arial" w:eastAsia="Arial" w:hAnsi="Arial"/>
                <w:sz w:val="16"/>
                <w:szCs w:val="16"/>
                <w:b w:val="1"/>
                <w:bCs w:val="1"/>
                <w:color w:val="002060"/>
              </w:rPr>
              <w:t>($)(1)</w:t>
            </w:r>
          </w:p>
        </w:tc>
        <w:tc>
          <w:tcPr>
            <w:tcW w:w="1840" w:type="dxa"/>
            <w:vAlign w:val="bottom"/>
            <w:tcBorders>
              <w:bottom w:val="single" w:sz="8" w:color="0070C0"/>
            </w:tcBorders>
          </w:tcPr>
          <w:p>
            <w:pPr>
              <w:jc w:val="center"/>
              <w:spacing w:after="0"/>
              <w:rPr>
                <w:sz w:val="20"/>
                <w:szCs w:val="20"/>
                <w:color w:val="auto"/>
              </w:rPr>
            </w:pPr>
            <w:r>
              <w:rPr>
                <w:rFonts w:ascii="Arial" w:cs="Arial" w:eastAsia="Arial" w:hAnsi="Arial"/>
                <w:sz w:val="16"/>
                <w:szCs w:val="16"/>
                <w:b w:val="1"/>
                <w:bCs w:val="1"/>
                <w:color w:val="002060"/>
              </w:rPr>
              <w:t>($)</w:t>
            </w:r>
          </w:p>
        </w:tc>
        <w:tc>
          <w:tcPr>
            <w:tcW w:w="2440" w:type="dxa"/>
            <w:vAlign w:val="bottom"/>
            <w:tcBorders>
              <w:bottom w:val="single" w:sz="8" w:color="0070C0"/>
            </w:tcBorders>
          </w:tcPr>
          <w:p>
            <w:pPr>
              <w:jc w:val="center"/>
              <w:spacing w:after="0"/>
              <w:rPr>
                <w:sz w:val="20"/>
                <w:szCs w:val="20"/>
                <w:color w:val="auto"/>
              </w:rPr>
            </w:pPr>
            <w:r>
              <w:rPr>
                <w:rFonts w:ascii="Arial" w:cs="Arial" w:eastAsia="Arial" w:hAnsi="Arial"/>
                <w:sz w:val="16"/>
                <w:szCs w:val="16"/>
                <w:b w:val="1"/>
                <w:bCs w:val="1"/>
                <w:color w:val="002060"/>
              </w:rPr>
              <w:t>($)</w:t>
            </w:r>
          </w:p>
        </w:tc>
        <w:tc>
          <w:tcPr>
            <w:tcW w:w="1600" w:type="dxa"/>
            <w:vAlign w:val="bottom"/>
            <w:tcBorders>
              <w:bottom w:val="single" w:sz="8" w:color="0070C0"/>
            </w:tcBorders>
          </w:tcPr>
          <w:p>
            <w:pPr>
              <w:jc w:val="right"/>
              <w:ind w:right="633"/>
              <w:spacing w:after="0"/>
              <w:rPr>
                <w:sz w:val="20"/>
                <w:szCs w:val="20"/>
                <w:color w:val="auto"/>
              </w:rPr>
            </w:pPr>
            <w:r>
              <w:rPr>
                <w:rFonts w:ascii="Arial" w:cs="Arial" w:eastAsia="Arial" w:hAnsi="Arial"/>
                <w:sz w:val="16"/>
                <w:szCs w:val="16"/>
                <w:b w:val="1"/>
                <w:bCs w:val="1"/>
                <w:color w:val="002060"/>
              </w:rPr>
              <w:t>($)</w:t>
            </w:r>
          </w:p>
        </w:tc>
      </w:tr>
      <w:tr>
        <w:trPr>
          <w:trHeight w:val="297"/>
        </w:trPr>
        <w:tc>
          <w:tcPr>
            <w:tcW w:w="3880" w:type="dxa"/>
            <w:vAlign w:val="bottom"/>
            <w:tcBorders>
              <w:bottom w:val="single" w:sz="8" w:color="D5DCE4"/>
            </w:tcBorders>
            <w:shd w:val="clear" w:color="auto" w:fill="D5DCE4"/>
          </w:tcPr>
          <w:p>
            <w:pPr>
              <w:spacing w:after="0"/>
              <w:rPr>
                <w:sz w:val="20"/>
                <w:szCs w:val="20"/>
                <w:color w:val="auto"/>
              </w:rPr>
            </w:pPr>
            <w:r>
              <w:rPr>
                <w:rFonts w:ascii="Arial" w:cs="Arial" w:eastAsia="Arial" w:hAnsi="Arial"/>
                <w:sz w:val="18"/>
                <w:szCs w:val="18"/>
                <w:color w:val="auto"/>
              </w:rPr>
              <w:t>  Jeffrey W. Edwards</w:t>
            </w:r>
          </w:p>
        </w:tc>
        <w:tc>
          <w:tcPr>
            <w:tcW w:w="1260" w:type="dxa"/>
            <w:vAlign w:val="bottom"/>
          </w:tcPr>
          <w:p>
            <w:pPr>
              <w:jc w:val="right"/>
              <w:ind w:right="253"/>
              <w:spacing w:after="0"/>
              <w:rPr>
                <w:sz w:val="20"/>
                <w:szCs w:val="20"/>
                <w:color w:val="auto"/>
              </w:rPr>
            </w:pPr>
            <w:r>
              <w:rPr>
                <w:rFonts w:ascii="Arial" w:cs="Arial" w:eastAsia="Arial" w:hAnsi="Arial"/>
                <w:sz w:val="18"/>
                <w:szCs w:val="18"/>
                <w:color w:val="auto"/>
              </w:rPr>
              <w:t>840,000</w:t>
            </w:r>
          </w:p>
        </w:tc>
        <w:tc>
          <w:tcPr>
            <w:tcW w:w="1840" w:type="dxa"/>
            <w:vAlign w:val="bottom"/>
          </w:tcPr>
          <w:p>
            <w:pPr>
              <w:jc w:val="right"/>
              <w:ind w:right="314"/>
              <w:spacing w:after="0"/>
              <w:rPr>
                <w:sz w:val="20"/>
                <w:szCs w:val="20"/>
                <w:color w:val="auto"/>
              </w:rPr>
            </w:pPr>
            <w:r>
              <w:rPr>
                <w:rFonts w:ascii="Arial" w:cs="Arial" w:eastAsia="Arial" w:hAnsi="Arial"/>
                <w:sz w:val="18"/>
                <w:szCs w:val="18"/>
                <w:color w:val="auto"/>
              </w:rPr>
              <w:t>1,225,900</w:t>
            </w:r>
          </w:p>
        </w:tc>
        <w:tc>
          <w:tcPr>
            <w:tcW w:w="2440" w:type="dxa"/>
            <w:vAlign w:val="bottom"/>
          </w:tcPr>
          <w:p>
            <w:pPr>
              <w:jc w:val="right"/>
              <w:ind w:right="335"/>
              <w:spacing w:after="0"/>
              <w:rPr>
                <w:sz w:val="20"/>
                <w:szCs w:val="20"/>
                <w:color w:val="auto"/>
              </w:rPr>
            </w:pPr>
            <w:r>
              <w:rPr>
                <w:rFonts w:ascii="Arial" w:cs="Arial" w:eastAsia="Arial" w:hAnsi="Arial"/>
                <w:sz w:val="18"/>
                <w:szCs w:val="18"/>
                <w:color w:val="auto"/>
              </w:rPr>
              <w:t>3,837,502</w:t>
            </w:r>
          </w:p>
        </w:tc>
        <w:tc>
          <w:tcPr>
            <w:tcW w:w="1600" w:type="dxa"/>
            <w:vAlign w:val="bottom"/>
          </w:tcPr>
          <w:p>
            <w:pPr>
              <w:jc w:val="right"/>
              <w:ind w:right="293"/>
              <w:spacing w:after="0"/>
              <w:rPr>
                <w:sz w:val="20"/>
                <w:szCs w:val="20"/>
                <w:color w:val="auto"/>
              </w:rPr>
            </w:pPr>
            <w:r>
              <w:rPr>
                <w:rFonts w:ascii="Arial" w:cs="Arial" w:eastAsia="Arial" w:hAnsi="Arial"/>
                <w:sz w:val="18"/>
                <w:szCs w:val="18"/>
                <w:color w:val="auto"/>
              </w:rPr>
              <w:t>5,903,402</w:t>
            </w:r>
          </w:p>
        </w:tc>
      </w:tr>
      <w:tr>
        <w:trPr>
          <w:trHeight w:val="291"/>
        </w:trPr>
        <w:tc>
          <w:tcPr>
            <w:tcW w:w="3880" w:type="dxa"/>
            <w:vAlign w:val="bottom"/>
            <w:tcBorders>
              <w:top w:val="single" w:sz="8" w:color="auto"/>
              <w:bottom w:val="single" w:sz="8" w:color="D5DCE4"/>
            </w:tcBorders>
            <w:shd w:val="clear" w:color="auto" w:fill="D5DCE4"/>
          </w:tcPr>
          <w:p>
            <w:pPr>
              <w:spacing w:after="0"/>
              <w:rPr>
                <w:sz w:val="20"/>
                <w:szCs w:val="20"/>
                <w:color w:val="auto"/>
              </w:rPr>
            </w:pPr>
            <w:r>
              <w:rPr>
                <w:rFonts w:ascii="Arial" w:cs="Arial" w:eastAsia="Arial" w:hAnsi="Arial"/>
                <w:sz w:val="18"/>
                <w:szCs w:val="18"/>
                <w:color w:val="auto"/>
              </w:rPr>
              <w:t>  Michael T. Miller</w:t>
            </w:r>
          </w:p>
        </w:tc>
        <w:tc>
          <w:tcPr>
            <w:tcW w:w="1260" w:type="dxa"/>
            <w:vAlign w:val="bottom"/>
            <w:tcBorders>
              <w:top w:val="single" w:sz="8" w:color="auto"/>
            </w:tcBorders>
          </w:tcPr>
          <w:p>
            <w:pPr>
              <w:jc w:val="right"/>
              <w:ind w:right="253"/>
              <w:spacing w:after="0"/>
              <w:rPr>
                <w:sz w:val="20"/>
                <w:szCs w:val="20"/>
                <w:color w:val="auto"/>
              </w:rPr>
            </w:pPr>
            <w:r>
              <w:rPr>
                <w:rFonts w:ascii="Arial" w:cs="Arial" w:eastAsia="Arial" w:hAnsi="Arial"/>
                <w:sz w:val="18"/>
                <w:szCs w:val="18"/>
                <w:color w:val="auto"/>
              </w:rPr>
              <w:t>445,000</w:t>
            </w:r>
          </w:p>
        </w:tc>
        <w:tc>
          <w:tcPr>
            <w:tcW w:w="1840" w:type="dxa"/>
            <w:vAlign w:val="bottom"/>
            <w:tcBorders>
              <w:top w:val="single" w:sz="8" w:color="auto"/>
            </w:tcBorders>
          </w:tcPr>
          <w:p>
            <w:pPr>
              <w:jc w:val="right"/>
              <w:ind w:right="314"/>
              <w:spacing w:after="0"/>
              <w:rPr>
                <w:sz w:val="20"/>
                <w:szCs w:val="20"/>
                <w:color w:val="auto"/>
              </w:rPr>
            </w:pPr>
            <w:r>
              <w:rPr>
                <w:rFonts w:ascii="Arial" w:cs="Arial" w:eastAsia="Arial" w:hAnsi="Arial"/>
                <w:sz w:val="18"/>
                <w:szCs w:val="18"/>
                <w:color w:val="auto"/>
              </w:rPr>
              <w:t>458,380</w:t>
            </w:r>
          </w:p>
        </w:tc>
        <w:tc>
          <w:tcPr>
            <w:tcW w:w="2440" w:type="dxa"/>
            <w:vAlign w:val="bottom"/>
            <w:tcBorders>
              <w:top w:val="single" w:sz="8" w:color="auto"/>
            </w:tcBorders>
          </w:tcPr>
          <w:p>
            <w:pPr>
              <w:jc w:val="right"/>
              <w:ind w:right="335"/>
              <w:spacing w:after="0"/>
              <w:rPr>
                <w:sz w:val="20"/>
                <w:szCs w:val="20"/>
                <w:color w:val="auto"/>
              </w:rPr>
            </w:pPr>
            <w:r>
              <w:rPr>
                <w:rFonts w:ascii="Arial" w:cs="Arial" w:eastAsia="Arial" w:hAnsi="Arial"/>
                <w:sz w:val="18"/>
                <w:szCs w:val="18"/>
                <w:color w:val="auto"/>
              </w:rPr>
              <w:t>1,236,500</w:t>
            </w:r>
          </w:p>
        </w:tc>
        <w:tc>
          <w:tcPr>
            <w:tcW w:w="1600" w:type="dxa"/>
            <w:vAlign w:val="bottom"/>
            <w:tcBorders>
              <w:top w:val="single" w:sz="8" w:color="auto"/>
            </w:tcBorders>
          </w:tcPr>
          <w:p>
            <w:pPr>
              <w:jc w:val="right"/>
              <w:ind w:right="293"/>
              <w:spacing w:after="0"/>
              <w:rPr>
                <w:sz w:val="20"/>
                <w:szCs w:val="20"/>
                <w:color w:val="auto"/>
              </w:rPr>
            </w:pPr>
            <w:r>
              <w:rPr>
                <w:rFonts w:ascii="Arial" w:cs="Arial" w:eastAsia="Arial" w:hAnsi="Arial"/>
                <w:sz w:val="18"/>
                <w:szCs w:val="18"/>
                <w:color w:val="auto"/>
              </w:rPr>
              <w:t>2,139,880</w:t>
            </w:r>
          </w:p>
        </w:tc>
      </w:tr>
      <w:tr>
        <w:trPr>
          <w:trHeight w:val="290"/>
        </w:trPr>
        <w:tc>
          <w:tcPr>
            <w:tcW w:w="3880" w:type="dxa"/>
            <w:vAlign w:val="bottom"/>
            <w:tcBorders>
              <w:top w:val="single" w:sz="8" w:color="auto"/>
              <w:bottom w:val="single" w:sz="8" w:color="D5DCE4"/>
            </w:tcBorders>
            <w:shd w:val="clear" w:color="auto" w:fill="D5DCE4"/>
          </w:tcPr>
          <w:p>
            <w:pPr>
              <w:spacing w:after="0"/>
              <w:rPr>
                <w:sz w:val="20"/>
                <w:szCs w:val="20"/>
                <w:color w:val="auto"/>
              </w:rPr>
            </w:pPr>
            <w:r>
              <w:rPr>
                <w:rFonts w:ascii="Arial" w:cs="Arial" w:eastAsia="Arial" w:hAnsi="Arial"/>
                <w:sz w:val="18"/>
                <w:szCs w:val="18"/>
                <w:color w:val="auto"/>
              </w:rPr>
              <w:t>  Jay P. Elliott</w:t>
            </w:r>
          </w:p>
        </w:tc>
        <w:tc>
          <w:tcPr>
            <w:tcW w:w="1260" w:type="dxa"/>
            <w:vAlign w:val="bottom"/>
            <w:tcBorders>
              <w:top w:val="single" w:sz="8" w:color="auto"/>
            </w:tcBorders>
          </w:tcPr>
          <w:p>
            <w:pPr>
              <w:jc w:val="right"/>
              <w:ind w:right="253"/>
              <w:spacing w:after="0"/>
              <w:rPr>
                <w:sz w:val="20"/>
                <w:szCs w:val="20"/>
                <w:color w:val="auto"/>
              </w:rPr>
            </w:pPr>
            <w:r>
              <w:rPr>
                <w:rFonts w:ascii="Arial" w:cs="Arial" w:eastAsia="Arial" w:hAnsi="Arial"/>
                <w:sz w:val="18"/>
                <w:szCs w:val="18"/>
                <w:color w:val="auto"/>
              </w:rPr>
              <w:t>485,000</w:t>
            </w:r>
          </w:p>
        </w:tc>
        <w:tc>
          <w:tcPr>
            <w:tcW w:w="1840" w:type="dxa"/>
            <w:vAlign w:val="bottom"/>
            <w:tcBorders>
              <w:top w:val="single" w:sz="8" w:color="auto"/>
            </w:tcBorders>
          </w:tcPr>
          <w:p>
            <w:pPr>
              <w:jc w:val="right"/>
              <w:ind w:right="314"/>
              <w:spacing w:after="0"/>
              <w:rPr>
                <w:sz w:val="20"/>
                <w:szCs w:val="20"/>
                <w:color w:val="auto"/>
              </w:rPr>
            </w:pPr>
            <w:r>
              <w:rPr>
                <w:rFonts w:ascii="Arial" w:cs="Arial" w:eastAsia="Arial" w:hAnsi="Arial"/>
                <w:sz w:val="18"/>
                <w:szCs w:val="18"/>
                <w:color w:val="auto"/>
              </w:rPr>
              <w:t>346,450</w:t>
            </w:r>
          </w:p>
        </w:tc>
        <w:tc>
          <w:tcPr>
            <w:tcW w:w="2440" w:type="dxa"/>
            <w:vAlign w:val="bottom"/>
            <w:tcBorders>
              <w:top w:val="single" w:sz="8" w:color="auto"/>
            </w:tcBorders>
          </w:tcPr>
          <w:p>
            <w:pPr>
              <w:jc w:val="right"/>
              <w:ind w:right="335"/>
              <w:spacing w:after="0"/>
              <w:rPr>
                <w:sz w:val="20"/>
                <w:szCs w:val="20"/>
                <w:color w:val="auto"/>
              </w:rPr>
            </w:pPr>
            <w:r>
              <w:rPr>
                <w:rFonts w:ascii="Arial" w:cs="Arial" w:eastAsia="Arial" w:hAnsi="Arial"/>
                <w:sz w:val="18"/>
                <w:szCs w:val="18"/>
                <w:color w:val="auto"/>
              </w:rPr>
              <w:t>1,279,089</w:t>
            </w:r>
          </w:p>
        </w:tc>
        <w:tc>
          <w:tcPr>
            <w:tcW w:w="1600" w:type="dxa"/>
            <w:vAlign w:val="bottom"/>
            <w:tcBorders>
              <w:top w:val="single" w:sz="8" w:color="auto"/>
            </w:tcBorders>
          </w:tcPr>
          <w:p>
            <w:pPr>
              <w:jc w:val="right"/>
              <w:ind w:right="293"/>
              <w:spacing w:after="0"/>
              <w:rPr>
                <w:sz w:val="20"/>
                <w:szCs w:val="20"/>
                <w:color w:val="auto"/>
              </w:rPr>
            </w:pPr>
            <w:r>
              <w:rPr>
                <w:rFonts w:ascii="Arial" w:cs="Arial" w:eastAsia="Arial" w:hAnsi="Arial"/>
                <w:sz w:val="18"/>
                <w:szCs w:val="18"/>
                <w:color w:val="auto"/>
              </w:rPr>
              <w:t>2,110,539</w:t>
            </w:r>
          </w:p>
        </w:tc>
      </w:tr>
      <w:tr>
        <w:trPr>
          <w:trHeight w:val="290"/>
        </w:trPr>
        <w:tc>
          <w:tcPr>
            <w:tcW w:w="3880" w:type="dxa"/>
            <w:vAlign w:val="bottom"/>
            <w:tcBorders>
              <w:top w:val="single" w:sz="8" w:color="auto"/>
              <w:bottom w:val="single" w:sz="8" w:color="D5DCE4"/>
            </w:tcBorders>
            <w:shd w:val="clear" w:color="auto" w:fill="D5DCE4"/>
          </w:tcPr>
          <w:p>
            <w:pPr>
              <w:spacing w:after="0"/>
              <w:rPr>
                <w:sz w:val="20"/>
                <w:szCs w:val="20"/>
                <w:color w:val="auto"/>
              </w:rPr>
            </w:pPr>
            <w:r>
              <w:rPr>
                <w:rFonts w:ascii="Arial" w:cs="Arial" w:eastAsia="Arial" w:hAnsi="Arial"/>
                <w:sz w:val="18"/>
                <w:szCs w:val="18"/>
                <w:color w:val="auto"/>
              </w:rPr>
              <w:t>  W. Jeffrey Hire</w:t>
            </w:r>
          </w:p>
        </w:tc>
        <w:tc>
          <w:tcPr>
            <w:tcW w:w="1260" w:type="dxa"/>
            <w:vAlign w:val="bottom"/>
            <w:tcBorders>
              <w:top w:val="single" w:sz="8" w:color="auto"/>
            </w:tcBorders>
          </w:tcPr>
          <w:p>
            <w:pPr>
              <w:jc w:val="right"/>
              <w:ind w:right="253"/>
              <w:spacing w:after="0"/>
              <w:rPr>
                <w:sz w:val="20"/>
                <w:szCs w:val="20"/>
                <w:color w:val="auto"/>
              </w:rPr>
            </w:pPr>
            <w:r>
              <w:rPr>
                <w:rFonts w:ascii="Arial" w:cs="Arial" w:eastAsia="Arial" w:hAnsi="Arial"/>
                <w:sz w:val="18"/>
                <w:szCs w:val="18"/>
                <w:color w:val="auto"/>
              </w:rPr>
              <w:t>420,000</w:t>
            </w:r>
          </w:p>
        </w:tc>
        <w:tc>
          <w:tcPr>
            <w:tcW w:w="1840" w:type="dxa"/>
            <w:vAlign w:val="bottom"/>
            <w:tcBorders>
              <w:top w:val="single" w:sz="8" w:color="auto"/>
            </w:tcBorders>
          </w:tcPr>
          <w:p>
            <w:pPr>
              <w:jc w:val="right"/>
              <w:ind w:right="314"/>
              <w:spacing w:after="0"/>
              <w:rPr>
                <w:sz w:val="20"/>
                <w:szCs w:val="20"/>
                <w:color w:val="auto"/>
              </w:rPr>
            </w:pPr>
            <w:r>
              <w:rPr>
                <w:rFonts w:ascii="Arial" w:cs="Arial" w:eastAsia="Arial" w:hAnsi="Arial"/>
                <w:sz w:val="18"/>
                <w:szCs w:val="18"/>
                <w:color w:val="auto"/>
              </w:rPr>
              <w:t>213,200</w:t>
            </w:r>
          </w:p>
        </w:tc>
        <w:tc>
          <w:tcPr>
            <w:tcW w:w="2440" w:type="dxa"/>
            <w:vAlign w:val="bottom"/>
            <w:tcBorders>
              <w:top w:val="single" w:sz="8" w:color="auto"/>
            </w:tcBorders>
          </w:tcPr>
          <w:p>
            <w:pPr>
              <w:jc w:val="right"/>
              <w:ind w:right="335"/>
              <w:spacing w:after="0"/>
              <w:rPr>
                <w:sz w:val="20"/>
                <w:szCs w:val="20"/>
                <w:color w:val="auto"/>
              </w:rPr>
            </w:pPr>
            <w:r>
              <w:rPr>
                <w:rFonts w:ascii="Arial" w:cs="Arial" w:eastAsia="Arial" w:hAnsi="Arial"/>
                <w:sz w:val="18"/>
                <w:szCs w:val="18"/>
                <w:color w:val="auto"/>
              </w:rPr>
              <w:t>266,418</w:t>
            </w:r>
          </w:p>
        </w:tc>
        <w:tc>
          <w:tcPr>
            <w:tcW w:w="1600" w:type="dxa"/>
            <w:vAlign w:val="bottom"/>
            <w:tcBorders>
              <w:top w:val="single" w:sz="8" w:color="auto"/>
            </w:tcBorders>
          </w:tcPr>
          <w:p>
            <w:pPr>
              <w:jc w:val="right"/>
              <w:ind w:right="293"/>
              <w:spacing w:after="0"/>
              <w:rPr>
                <w:sz w:val="20"/>
                <w:szCs w:val="20"/>
                <w:color w:val="auto"/>
              </w:rPr>
            </w:pPr>
            <w:r>
              <w:rPr>
                <w:rFonts w:ascii="Arial" w:cs="Arial" w:eastAsia="Arial" w:hAnsi="Arial"/>
                <w:sz w:val="18"/>
                <w:szCs w:val="18"/>
                <w:color w:val="auto"/>
              </w:rPr>
              <w:t>899,618</w:t>
            </w:r>
          </w:p>
        </w:tc>
      </w:tr>
      <w:tr>
        <w:trPr>
          <w:trHeight w:val="270"/>
        </w:trPr>
        <w:tc>
          <w:tcPr>
            <w:tcW w:w="3880" w:type="dxa"/>
            <w:vAlign w:val="bottom"/>
            <w:tcBorders>
              <w:top w:val="single" w:sz="8" w:color="auto"/>
              <w:bottom w:val="single" w:sz="8" w:color="D5DCE4"/>
            </w:tcBorders>
            <w:shd w:val="clear" w:color="auto" w:fill="D5DCE4"/>
          </w:tcPr>
          <w:p>
            <w:pPr>
              <w:spacing w:after="0"/>
              <w:rPr>
                <w:sz w:val="20"/>
                <w:szCs w:val="20"/>
                <w:color w:val="auto"/>
              </w:rPr>
            </w:pPr>
            <w:r>
              <w:rPr>
                <w:rFonts w:ascii="Arial" w:cs="Arial" w:eastAsia="Arial" w:hAnsi="Arial"/>
                <w:sz w:val="18"/>
                <w:szCs w:val="18"/>
                <w:color w:val="auto"/>
              </w:rPr>
              <w:t>  Jason R. Niswonger</w:t>
            </w:r>
          </w:p>
        </w:tc>
        <w:tc>
          <w:tcPr>
            <w:tcW w:w="1260" w:type="dxa"/>
            <w:vAlign w:val="bottom"/>
            <w:tcBorders>
              <w:top w:val="single" w:sz="8" w:color="auto"/>
            </w:tcBorders>
          </w:tcPr>
          <w:p>
            <w:pPr>
              <w:jc w:val="right"/>
              <w:ind w:right="253"/>
              <w:spacing w:after="0"/>
              <w:rPr>
                <w:sz w:val="20"/>
                <w:szCs w:val="20"/>
                <w:color w:val="auto"/>
              </w:rPr>
            </w:pPr>
            <w:r>
              <w:rPr>
                <w:rFonts w:ascii="Arial" w:cs="Arial" w:eastAsia="Arial" w:hAnsi="Arial"/>
                <w:sz w:val="18"/>
                <w:szCs w:val="18"/>
                <w:color w:val="auto"/>
              </w:rPr>
              <w:t>425,000</w:t>
            </w:r>
          </w:p>
        </w:tc>
        <w:tc>
          <w:tcPr>
            <w:tcW w:w="1840" w:type="dxa"/>
            <w:vAlign w:val="bottom"/>
            <w:tcBorders>
              <w:top w:val="single" w:sz="8" w:color="auto"/>
            </w:tcBorders>
          </w:tcPr>
          <w:p>
            <w:pPr>
              <w:jc w:val="right"/>
              <w:ind w:right="314"/>
              <w:spacing w:after="0"/>
              <w:rPr>
                <w:sz w:val="20"/>
                <w:szCs w:val="20"/>
                <w:color w:val="auto"/>
              </w:rPr>
            </w:pPr>
            <w:r>
              <w:rPr>
                <w:rFonts w:ascii="Arial" w:cs="Arial" w:eastAsia="Arial" w:hAnsi="Arial"/>
                <w:sz w:val="18"/>
                <w:szCs w:val="18"/>
                <w:color w:val="auto"/>
              </w:rPr>
              <w:t>282,490</w:t>
            </w:r>
          </w:p>
        </w:tc>
        <w:tc>
          <w:tcPr>
            <w:tcW w:w="2440" w:type="dxa"/>
            <w:vAlign w:val="bottom"/>
            <w:tcBorders>
              <w:top w:val="single" w:sz="8" w:color="auto"/>
            </w:tcBorders>
          </w:tcPr>
          <w:p>
            <w:pPr>
              <w:jc w:val="right"/>
              <w:ind w:right="335"/>
              <w:spacing w:after="0"/>
              <w:rPr>
                <w:sz w:val="20"/>
                <w:szCs w:val="20"/>
                <w:color w:val="auto"/>
              </w:rPr>
            </w:pPr>
            <w:r>
              <w:rPr>
                <w:rFonts w:ascii="Arial" w:cs="Arial" w:eastAsia="Arial" w:hAnsi="Arial"/>
                <w:sz w:val="18"/>
                <w:szCs w:val="18"/>
                <w:color w:val="auto"/>
              </w:rPr>
              <w:t>437,011</w:t>
            </w:r>
          </w:p>
        </w:tc>
        <w:tc>
          <w:tcPr>
            <w:tcW w:w="1600" w:type="dxa"/>
            <w:vAlign w:val="bottom"/>
            <w:tcBorders>
              <w:top w:val="single" w:sz="8" w:color="auto"/>
            </w:tcBorders>
          </w:tcPr>
          <w:p>
            <w:pPr>
              <w:jc w:val="right"/>
              <w:ind w:right="293"/>
              <w:spacing w:after="0"/>
              <w:rPr>
                <w:sz w:val="20"/>
                <w:szCs w:val="20"/>
                <w:color w:val="auto"/>
              </w:rPr>
            </w:pPr>
            <w:r>
              <w:rPr>
                <w:rFonts w:ascii="Arial" w:cs="Arial" w:eastAsia="Arial" w:hAnsi="Arial"/>
                <w:sz w:val="18"/>
                <w:szCs w:val="18"/>
                <w:color w:val="auto"/>
              </w:rPr>
              <w:t>1,144,501</w:t>
            </w:r>
          </w:p>
        </w:tc>
      </w:tr>
      <w:tr>
        <w:trPr>
          <w:trHeight w:val="27"/>
        </w:trPr>
        <w:tc>
          <w:tcPr>
            <w:tcW w:w="3880" w:type="dxa"/>
            <w:vAlign w:val="bottom"/>
            <w:shd w:val="clear" w:color="auto" w:fill="0070C0"/>
          </w:tcPr>
          <w:p>
            <w:pPr>
              <w:spacing w:after="0"/>
              <w:rPr>
                <w:sz w:val="2"/>
                <w:szCs w:val="2"/>
                <w:color w:val="auto"/>
              </w:rPr>
            </w:pPr>
          </w:p>
        </w:tc>
        <w:tc>
          <w:tcPr>
            <w:tcW w:w="1260" w:type="dxa"/>
            <w:vAlign w:val="bottom"/>
            <w:shd w:val="clear" w:color="auto" w:fill="0070C0"/>
          </w:tcPr>
          <w:p>
            <w:pPr>
              <w:spacing w:after="0"/>
              <w:rPr>
                <w:sz w:val="2"/>
                <w:szCs w:val="2"/>
                <w:color w:val="auto"/>
              </w:rPr>
            </w:pPr>
          </w:p>
        </w:tc>
        <w:tc>
          <w:tcPr>
            <w:tcW w:w="1840" w:type="dxa"/>
            <w:vAlign w:val="bottom"/>
            <w:shd w:val="clear" w:color="auto" w:fill="0070C0"/>
          </w:tcPr>
          <w:p>
            <w:pPr>
              <w:spacing w:after="0"/>
              <w:rPr>
                <w:sz w:val="2"/>
                <w:szCs w:val="2"/>
                <w:color w:val="auto"/>
              </w:rPr>
            </w:pPr>
          </w:p>
        </w:tc>
        <w:tc>
          <w:tcPr>
            <w:tcW w:w="2440" w:type="dxa"/>
            <w:vAlign w:val="bottom"/>
            <w:shd w:val="clear" w:color="auto" w:fill="0070C0"/>
          </w:tcPr>
          <w:p>
            <w:pPr>
              <w:spacing w:after="0"/>
              <w:rPr>
                <w:sz w:val="2"/>
                <w:szCs w:val="2"/>
                <w:color w:val="auto"/>
              </w:rPr>
            </w:pPr>
          </w:p>
        </w:tc>
        <w:tc>
          <w:tcPr>
            <w:tcW w:w="1600" w:type="dxa"/>
            <w:vAlign w:val="bottom"/>
            <w:shd w:val="clear" w:color="auto" w:fill="0070C0"/>
          </w:tcPr>
          <w:p>
            <w:pPr>
              <w:spacing w:after="0"/>
              <w:rPr>
                <w:sz w:val="2"/>
                <w:szCs w:val="2"/>
                <w:color w:val="auto"/>
              </w:rPr>
            </w:pPr>
          </w:p>
        </w:tc>
      </w:tr>
    </w:tbl>
    <w:p>
      <w:pPr>
        <w:spacing w:after="0" w:line="103" w:lineRule="exact"/>
        <w:rPr>
          <w:sz w:val="20"/>
          <w:szCs w:val="20"/>
          <w:color w:val="auto"/>
        </w:rPr>
      </w:pPr>
    </w:p>
    <w:p>
      <w:pPr>
        <w:ind w:left="760" w:hanging="54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 salary effective April 1, 2023.</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0070C0"/>
        </w:rPr>
        <w:t>2023 Target Compensation Mix</w:t>
      </w:r>
    </w:p>
    <w:p>
      <w:pPr>
        <w:spacing w:after="0" w:line="205"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Our executive compensation program for 2023 consisted of three components: base salary, performance-based cash awards and performance-based restricted stock awards. The CHC Committee believes that a significant portion of each NEO’s target compensation should be at risk and based on Company performance. The graphics below reflect the mix of target executive compensation for 2023 and highlights the at-risk portion of total target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69951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Compensation Discussion and Analysis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50</w:t>
      </w:r>
    </w:p>
    <w:p>
      <w:pPr>
        <w:sectPr>
          <w:pgSz w:w="11900" w:h="16838" w:orient="portrait"/>
          <w:cols w:equalWidth="0" w:num="1">
            <w:col w:w="11020"/>
          </w:cols>
          <w:pgMar w:left="440" w:top="293" w:right="439"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559435</wp:posOffset>
            </wp:positionH>
            <wp:positionV relativeFrom="page">
              <wp:posOffset>200660</wp:posOffset>
            </wp:positionV>
            <wp:extent cx="3231515" cy="2074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231515"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0070C0"/>
        </w:rPr>
        <w:t>Key Compensation Practices for Executives</w:t>
      </w:r>
    </w:p>
    <w:p>
      <w:pPr>
        <w:spacing w:after="0" w:line="232" w:lineRule="exact"/>
        <w:rPr>
          <w:sz w:val="20"/>
          <w:szCs w:val="20"/>
          <w:color w:val="auto"/>
        </w:rPr>
      </w:pPr>
    </w:p>
    <w:p>
      <w:pPr>
        <w:jc w:val="center"/>
        <w:ind w:left="60"/>
        <w:spacing w:after="0"/>
        <w:rPr>
          <w:sz w:val="20"/>
          <w:szCs w:val="20"/>
          <w:color w:val="auto"/>
        </w:rPr>
      </w:pPr>
      <w:r>
        <w:rPr>
          <w:rFonts w:ascii="Arial" w:cs="Arial" w:eastAsia="Arial" w:hAnsi="Arial"/>
          <w:sz w:val="18"/>
          <w:szCs w:val="18"/>
          <w:b w:val="1"/>
          <w:bCs w:val="1"/>
          <w:color w:val="auto"/>
        </w:rPr>
        <w:t>What We Do</w:t>
      </w:r>
    </w:p>
    <w:p>
      <w:pPr>
        <w:spacing w:after="0" w:line="77" w:lineRule="exact"/>
        <w:rPr>
          <w:sz w:val="20"/>
          <w:szCs w:val="20"/>
          <w:color w:val="auto"/>
        </w:rPr>
      </w:pPr>
    </w:p>
    <w:p>
      <w:pPr>
        <w:ind w:left="440" w:right="240" w:hanging="269"/>
        <w:spacing w:after="0" w:line="232"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b w:val="1"/>
          <w:bCs w:val="1"/>
          <w:color w:val="auto"/>
        </w:rPr>
        <w:t xml:space="preserve">   Pay for Performance </w:t>
      </w:r>
      <w:r>
        <w:rPr>
          <w:rFonts w:ascii="Arial" w:cs="Arial" w:eastAsia="Arial" w:hAnsi="Arial"/>
          <w:sz w:val="18"/>
          <w:szCs w:val="18"/>
          <w:color w:val="auto"/>
        </w:rPr>
        <w:t>where a substantial percentage of</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is based on achievement of objective pre-established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-421005</wp:posOffset>
            </wp:positionV>
            <wp:extent cx="333438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34385" cy="17145"/>
                    </a:xfrm>
                    <a:prstGeom prst="rect">
                      <a:avLst/>
                    </a:prstGeom>
                    <a:noFill/>
                  </pic:spPr>
                </pic:pic>
              </a:graphicData>
            </a:graphic>
          </wp:anchor>
        </w:drawing>
      </w:r>
    </w:p>
    <w:p>
      <w:pPr>
        <w:ind w:left="180"/>
        <w:spacing w:after="0" w:line="189"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b w:val="1"/>
          <w:bCs w:val="1"/>
          <w:color w:val="auto"/>
        </w:rPr>
        <w:t xml:space="preserve">   Balanced Compensation Mix </w:t>
      </w:r>
      <w:r>
        <w:rPr>
          <w:rFonts w:ascii="Arial" w:cs="Arial" w:eastAsia="Arial" w:hAnsi="Arial"/>
          <w:sz w:val="18"/>
          <w:szCs w:val="18"/>
          <w:color w:val="auto"/>
        </w:rPr>
        <w:t>of salary and performance-</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cash bonuses and restricted stock awards</w:t>
      </w:r>
    </w:p>
    <w:p>
      <w:pPr>
        <w:spacing w:after="0" w:line="14" w:lineRule="exact"/>
        <w:rPr>
          <w:sz w:val="20"/>
          <w:szCs w:val="20"/>
          <w:color w:val="auto"/>
        </w:rPr>
      </w:pPr>
    </w:p>
    <w:p>
      <w:pPr>
        <w:ind w:left="18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b w:val="1"/>
          <w:bCs w:val="1"/>
          <w:color w:val="auto"/>
        </w:rPr>
        <w:t xml:space="preserve">   Multi-year Vesting of Equity Awards </w:t>
      </w:r>
      <w:r>
        <w:rPr>
          <w:rFonts w:ascii="Arial" w:cs="Arial" w:eastAsia="Arial" w:hAnsi="Arial"/>
          <w:sz w:val="18"/>
          <w:szCs w:val="18"/>
          <w:color w:val="auto"/>
        </w:rPr>
        <w:t>over a two-year</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period after the performance target is met</w:t>
      </w:r>
    </w:p>
    <w:p>
      <w:pPr>
        <w:spacing w:after="0" w:line="14" w:lineRule="exact"/>
        <w:rPr>
          <w:sz w:val="20"/>
          <w:szCs w:val="20"/>
          <w:color w:val="auto"/>
        </w:rPr>
      </w:pPr>
    </w:p>
    <w:p>
      <w:pPr>
        <w:ind w:left="440" w:right="20" w:hanging="269"/>
        <w:spacing w:after="0" w:line="243"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b w:val="1"/>
          <w:bCs w:val="1"/>
          <w:color w:val="auto"/>
        </w:rPr>
        <w:t xml:space="preserve">   Limited Perquisites </w:t>
      </w:r>
      <w:r>
        <w:rPr>
          <w:rFonts w:ascii="Arial" w:cs="Arial" w:eastAsia="Arial" w:hAnsi="Arial"/>
          <w:sz w:val="18"/>
          <w:szCs w:val="18"/>
          <w:color w:val="auto"/>
        </w:rPr>
        <w:t>that are not available to other salaried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w:t>
      </w:r>
    </w:p>
    <w:p>
      <w:pPr>
        <w:spacing w:after="0" w:line="1" w:lineRule="exact"/>
        <w:rPr>
          <w:sz w:val="20"/>
          <w:szCs w:val="20"/>
          <w:color w:val="auto"/>
        </w:rPr>
      </w:pPr>
    </w:p>
    <w:p>
      <w:pPr>
        <w:ind w:left="440" w:right="360" w:hanging="269"/>
        <w:spacing w:after="0" w:line="243"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b w:val="1"/>
          <w:bCs w:val="1"/>
          <w:color w:val="auto"/>
        </w:rPr>
        <w:t xml:space="preserve">   Competitive Pay </w:t>
      </w:r>
      <w:r>
        <w:rPr>
          <w:rFonts w:ascii="Arial" w:cs="Arial" w:eastAsia="Arial" w:hAnsi="Arial"/>
          <w:sz w:val="18"/>
          <w:szCs w:val="18"/>
          <w:color w:val="auto"/>
        </w:rPr>
        <w:t>targeted near the median of our peer</w:t>
      </w:r>
      <w:r>
        <w:rPr>
          <w:rFonts w:ascii="Arial" w:cs="Arial" w:eastAsia="Arial" w:hAnsi="Arial"/>
          <w:sz w:val="18"/>
          <w:szCs w:val="18"/>
          <w:b w:val="1"/>
          <w:bCs w:val="1"/>
          <w:color w:val="auto"/>
        </w:rPr>
        <w:t xml:space="preserve"> </w:t>
      </w:r>
      <w:r>
        <w:rPr>
          <w:rFonts w:ascii="Arial" w:cs="Arial" w:eastAsia="Arial" w:hAnsi="Arial"/>
          <w:sz w:val="18"/>
          <w:szCs w:val="18"/>
          <w:color w:val="auto"/>
        </w:rPr>
        <w:t>group</w:t>
      </w:r>
    </w:p>
    <w:p>
      <w:pPr>
        <w:spacing w:after="0" w:line="1" w:lineRule="exact"/>
        <w:rPr>
          <w:sz w:val="20"/>
          <w:szCs w:val="20"/>
          <w:color w:val="auto"/>
        </w:rPr>
      </w:pPr>
    </w:p>
    <w:p>
      <w:pPr>
        <w:ind w:left="440" w:right="940" w:hanging="269"/>
        <w:spacing w:after="0" w:line="243" w:lineRule="exact"/>
        <w:rPr>
          <w:sz w:val="20"/>
          <w:szCs w:val="20"/>
          <w:color w:val="auto"/>
        </w:rPr>
      </w:pPr>
      <w:r>
        <w:rPr>
          <w:rFonts w:ascii="MS PGothic" w:cs="MS PGothic" w:eastAsia="MS PGothic" w:hAnsi="MS PGothic"/>
          <w:sz w:val="17"/>
          <w:szCs w:val="17"/>
          <w:color w:val="0070C0"/>
        </w:rPr>
        <w:t>✓</w:t>
      </w:r>
      <w:r>
        <w:rPr>
          <w:rFonts w:ascii="Arial" w:cs="Arial" w:eastAsia="Arial" w:hAnsi="Arial"/>
          <w:sz w:val="17"/>
          <w:szCs w:val="17"/>
          <w:b w:val="1"/>
          <w:bCs w:val="1"/>
          <w:color w:val="auto"/>
        </w:rPr>
        <w:t xml:space="preserve">   Clawback Policy </w:t>
      </w:r>
      <w:r>
        <w:rPr>
          <w:rFonts w:ascii="Arial" w:cs="Arial" w:eastAsia="Arial" w:hAnsi="Arial"/>
          <w:sz w:val="17"/>
          <w:szCs w:val="17"/>
          <w:color w:val="auto"/>
        </w:rPr>
        <w:t>allowing recovery of incentive</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under specified circumstances</w:t>
      </w:r>
    </w:p>
    <w:p>
      <w:pPr>
        <w:spacing w:after="0" w:line="1" w:lineRule="exact"/>
        <w:rPr>
          <w:sz w:val="20"/>
          <w:szCs w:val="20"/>
          <w:color w:val="auto"/>
        </w:rPr>
      </w:pPr>
    </w:p>
    <w:p>
      <w:pPr>
        <w:ind w:left="18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b w:val="1"/>
          <w:bCs w:val="1"/>
          <w:color w:val="auto"/>
        </w:rPr>
        <w:t xml:space="preserve">   Meaningful Equity Ownership Requirements </w:t>
      </w:r>
      <w:r>
        <w:rPr>
          <w:rFonts w:ascii="Arial" w:cs="Arial" w:eastAsia="Arial" w:hAnsi="Arial"/>
          <w:sz w:val="18"/>
          <w:szCs w:val="18"/>
          <w:color w:val="auto"/>
        </w:rPr>
        <w:t>as a</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multiple of base salary</w:t>
      </w:r>
    </w:p>
    <w:p>
      <w:pPr>
        <w:spacing w:after="0" w:line="14" w:lineRule="exact"/>
        <w:rPr>
          <w:sz w:val="20"/>
          <w:szCs w:val="20"/>
          <w:color w:val="auto"/>
        </w:rPr>
      </w:pPr>
    </w:p>
    <w:p>
      <w:pPr>
        <w:ind w:left="18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b w:val="1"/>
          <w:bCs w:val="1"/>
          <w:color w:val="auto"/>
        </w:rPr>
        <w:t xml:space="preserve">   Annual Say-on-Pay Vote </w:t>
      </w:r>
      <w:r>
        <w:rPr>
          <w:rFonts w:ascii="Arial" w:cs="Arial" w:eastAsia="Arial" w:hAnsi="Arial"/>
          <w:sz w:val="18"/>
          <w:szCs w:val="18"/>
          <w:color w:val="auto"/>
        </w:rPr>
        <w:t>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740410</wp:posOffset>
            </wp:positionV>
            <wp:extent cx="699516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-2467610</wp:posOffset>
            </wp:positionV>
            <wp:extent cx="2957195" cy="17570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957195" cy="1757045"/>
                    </a:xfrm>
                    <a:prstGeom prst="rect">
                      <a:avLst/>
                    </a:prstGeom>
                    <a:noFill/>
                  </pic:spPr>
                </pic:pic>
              </a:graphicData>
            </a:graphic>
          </wp:anchor>
        </w:drawing>
      </w:r>
    </w:p>
    <w:p>
      <w:pPr>
        <w:spacing w:after="0" w:line="57"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b w:val="1"/>
          <w:bCs w:val="1"/>
          <w:color w:val="auto"/>
        </w:rPr>
        <w:t xml:space="preserve">    NO Tax Gross-Ups </w:t>
      </w:r>
      <w:r>
        <w:rPr>
          <w:rFonts w:ascii="Arial" w:cs="Arial" w:eastAsia="Arial" w:hAnsi="Arial"/>
          <w:sz w:val="18"/>
          <w:szCs w:val="18"/>
          <w:color w:val="auto"/>
        </w:rPr>
        <w:t>for perquisites or excise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-110490</wp:posOffset>
            </wp:positionV>
            <wp:extent cx="348869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76" w:lineRule="exact"/>
        <w:rPr>
          <w:sz w:val="20"/>
          <w:szCs w:val="20"/>
          <w:color w:val="auto"/>
        </w:rPr>
      </w:pPr>
    </w:p>
    <w:p>
      <w:pPr>
        <w:ind w:left="260" w:right="500" w:hanging="269"/>
        <w:spacing w:after="0" w:line="238"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b w:val="1"/>
          <w:bCs w:val="1"/>
          <w:color w:val="auto"/>
        </w:rPr>
        <w:t xml:space="preserve">    NO Pension Plans </w:t>
      </w:r>
      <w:r>
        <w:rPr>
          <w:rFonts w:ascii="Arial" w:cs="Arial" w:eastAsia="Arial" w:hAnsi="Arial"/>
          <w:sz w:val="18"/>
          <w:szCs w:val="18"/>
          <w:color w:val="auto"/>
        </w:rPr>
        <w:t>or retirement benefits that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to other salaried employees</w:t>
      </w:r>
    </w:p>
    <w:p>
      <w:pPr>
        <w:spacing w:after="0" w:line="1" w:lineRule="exact"/>
        <w:rPr>
          <w:sz w:val="20"/>
          <w:szCs w:val="20"/>
          <w:color w:val="auto"/>
        </w:rPr>
      </w:pPr>
    </w:p>
    <w:p>
      <w:pPr>
        <w:ind w:left="260" w:right="100" w:hanging="269"/>
        <w:spacing w:after="0" w:line="223"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b w:val="1"/>
          <w:bCs w:val="1"/>
          <w:color w:val="auto"/>
        </w:rPr>
        <w:t xml:space="preserve">    NO Hedging </w:t>
      </w:r>
      <w:r>
        <w:rPr>
          <w:rFonts w:ascii="Arial" w:cs="Arial" w:eastAsia="Arial" w:hAnsi="Arial"/>
          <w:sz w:val="18"/>
          <w:szCs w:val="18"/>
          <w:color w:val="auto"/>
        </w:rPr>
        <w:t>or other monetization transactions involving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securities (the Board has made an exception to the policy for our Chief Executive Officer, see Footnote 2 in the “</w:t>
      </w:r>
      <w:r>
        <w:rPr>
          <w:rFonts w:ascii="Arial" w:cs="Arial" w:eastAsia="Arial" w:hAnsi="Arial"/>
          <w:sz w:val="18"/>
          <w:szCs w:val="18"/>
          <w:i w:val="1"/>
          <w:iCs w:val="1"/>
          <w:color w:val="auto"/>
        </w:rPr>
        <w:t>Stock Ownership Table”</w:t>
      </w:r>
      <w:r>
        <w:rPr>
          <w:rFonts w:ascii="Arial" w:cs="Arial" w:eastAsia="Arial" w:hAnsi="Arial"/>
          <w:sz w:val="18"/>
          <w:szCs w:val="18"/>
          <w:color w:val="auto"/>
        </w:rPr>
        <w:t xml:space="preserve"> beginning on page 73)</w:t>
      </w:r>
    </w:p>
    <w:p>
      <w:pPr>
        <w:spacing w:after="0" w:line="1" w:lineRule="exact"/>
        <w:rPr>
          <w:sz w:val="20"/>
          <w:szCs w:val="20"/>
          <w:color w:val="auto"/>
        </w:rPr>
      </w:pPr>
    </w:p>
    <w:p>
      <w:pPr>
        <w:ind w:left="260" w:right="60" w:hanging="269"/>
        <w:spacing w:after="0" w:line="243"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b w:val="1"/>
          <w:bCs w:val="1"/>
          <w:color w:val="auto"/>
        </w:rPr>
        <w:t xml:space="preserve">    NO Short Sales </w:t>
      </w:r>
      <w:r>
        <w:rPr>
          <w:rFonts w:ascii="Arial" w:cs="Arial" w:eastAsia="Arial" w:hAnsi="Arial"/>
          <w:sz w:val="18"/>
          <w:szCs w:val="18"/>
          <w:color w:val="auto"/>
        </w:rPr>
        <w:t>or other speculative transactions involving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securities</w:t>
      </w:r>
    </w:p>
    <w:p>
      <w:pPr>
        <w:spacing w:after="0" w:line="1" w:lineRule="exact"/>
        <w:rPr>
          <w:sz w:val="20"/>
          <w:szCs w:val="20"/>
          <w:color w:val="auto"/>
        </w:rPr>
      </w:pPr>
    </w:p>
    <w:p>
      <w:pPr>
        <w:ind w:left="260" w:right="100" w:hanging="269"/>
        <w:spacing w:after="0" w:line="243"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b w:val="1"/>
          <w:bCs w:val="1"/>
          <w:color w:val="auto"/>
        </w:rPr>
        <w:t xml:space="preserve">    NO Option Repricing </w:t>
      </w:r>
      <w:r>
        <w:rPr>
          <w:rFonts w:ascii="Arial" w:cs="Arial" w:eastAsia="Arial" w:hAnsi="Arial"/>
          <w:sz w:val="18"/>
          <w:szCs w:val="18"/>
          <w:color w:val="auto"/>
        </w:rPr>
        <w:t>of underwater stock options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 approval</w:t>
      </w:r>
    </w:p>
    <w:p>
      <w:pPr>
        <w:spacing w:after="0" w:line="1" w:lineRule="exact"/>
        <w:rPr>
          <w:sz w:val="20"/>
          <w:szCs w:val="20"/>
          <w:color w:val="auto"/>
        </w:rPr>
      </w:pPr>
    </w:p>
    <w:p>
      <w:pPr>
        <w:ind w:left="260" w:right="40" w:hanging="269"/>
        <w:spacing w:after="0" w:line="230"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b w:val="1"/>
          <w:bCs w:val="1"/>
          <w:color w:val="auto"/>
        </w:rPr>
        <w:t xml:space="preserve">    NO Single Trigger </w:t>
      </w:r>
      <w:r>
        <w:rPr>
          <w:rFonts w:ascii="Arial" w:cs="Arial" w:eastAsia="Arial" w:hAnsi="Arial"/>
          <w:sz w:val="18"/>
          <w:szCs w:val="18"/>
          <w:color w:val="auto"/>
        </w:rPr>
        <w:t>accelerated vesting of incentive awards</w:t>
      </w:r>
      <w:r>
        <w:rPr>
          <w:rFonts w:ascii="Arial" w:cs="Arial" w:eastAsia="Arial" w:hAnsi="Arial"/>
          <w:sz w:val="18"/>
          <w:szCs w:val="18"/>
          <w:b w:val="1"/>
          <w:bCs w:val="1"/>
          <w:color w:val="auto"/>
        </w:rPr>
        <w:t xml:space="preserve"> </w:t>
      </w:r>
      <w:r>
        <w:rPr>
          <w:rFonts w:ascii="Arial" w:cs="Arial" w:eastAsia="Arial" w:hAnsi="Arial"/>
          <w:sz w:val="18"/>
          <w:szCs w:val="18"/>
          <w:color w:val="auto"/>
        </w:rPr>
        <w:t>upon a change in control without a qualifying loss of employment</w:t>
      </w:r>
    </w:p>
    <w:p>
      <w:pPr>
        <w:ind w:left="260" w:hanging="269"/>
        <w:spacing w:after="0" w:line="219"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b w:val="1"/>
          <w:bCs w:val="1"/>
          <w:color w:val="auto"/>
        </w:rPr>
        <w:t xml:space="preserve">    NO Pledging </w:t>
      </w:r>
      <w:r>
        <w:rPr>
          <w:rFonts w:ascii="Arial" w:cs="Arial" w:eastAsia="Arial" w:hAnsi="Arial"/>
          <w:sz w:val="18"/>
          <w:szCs w:val="18"/>
          <w:color w:val="auto"/>
        </w:rPr>
        <w:t>of Company securities as collateral or holding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securities as collateral in a margin account (the Board has made an exception to the policy for our Chief Executive Officer, see Footnote 2 in the “</w:t>
      </w:r>
      <w:r>
        <w:rPr>
          <w:rFonts w:ascii="Arial" w:cs="Arial" w:eastAsia="Arial" w:hAnsi="Arial"/>
          <w:sz w:val="18"/>
          <w:szCs w:val="18"/>
          <w:i w:val="1"/>
          <w:iCs w:val="1"/>
          <w:color w:val="auto"/>
        </w:rPr>
        <w:t>Stock Ownership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Table” </w:t>
      </w:r>
      <w:r>
        <w:rPr>
          <w:rFonts w:ascii="Arial" w:cs="Arial" w:eastAsia="Arial" w:hAnsi="Arial"/>
          <w:sz w:val="18"/>
          <w:szCs w:val="18"/>
          <w:color w:val="auto"/>
        </w:rPr>
        <w:t>beginning on page 73)</w:t>
      </w:r>
    </w:p>
    <w:p>
      <w:pPr>
        <w:spacing w:after="0" w:line="3"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b w:val="1"/>
          <w:bCs w:val="1"/>
          <w:color w:val="auto"/>
        </w:rPr>
        <w:t xml:space="preserve">    NO Employment Agreements </w:t>
      </w:r>
      <w:r>
        <w:rPr>
          <w:rFonts w:ascii="Arial" w:cs="Arial" w:eastAsia="Arial" w:hAnsi="Arial"/>
          <w:sz w:val="18"/>
          <w:szCs w:val="18"/>
          <w:color w:val="auto"/>
        </w:rPr>
        <w:t>for our executives other</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than our Chief Executive Officer</w:t>
      </w:r>
    </w:p>
    <w:p>
      <w:pPr>
        <w:spacing w:after="0" w:line="200" w:lineRule="exact"/>
        <w:rPr>
          <w:sz w:val="20"/>
          <w:szCs w:val="20"/>
          <w:color w:val="auto"/>
        </w:rPr>
      </w:pPr>
    </w:p>
    <w:p>
      <w:pPr>
        <w:sectPr>
          <w:pgSz w:w="11900" w:h="16838" w:orient="portrait"/>
          <w:cols w:equalWidth="0" w:num="2">
            <w:col w:w="5200" w:space="720"/>
            <w:col w:w="5060"/>
          </w:cols>
          <w:pgMar w:left="440" w:top="1440" w:right="479" w:bottom="1440" w:gutter="0" w:footer="0" w:header="0"/>
        </w:sect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Section 2 – How We Determine Pay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0070C0"/>
        </w:rPr>
        <w:t>Our Philosophy</w:t>
      </w:r>
    </w:p>
    <w:p>
      <w:pPr>
        <w:spacing w:after="0" w:line="205"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Our executive compensation philosophy is to provide a competitive compensation package weighted toward Company performance and aligned with our stockholders’ long-term interests. Our executive compensation program is both reflective of the strategic value of the individual’s position and designed to ensure long-term retention and motivation. Our objective is to offer compensation opportunities competitive with our peer companies with respect to overall compensation (cash and equity), allowing for differences in the Company’s size, scale and scope and the individual’s job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69951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70C0"/>
        </w:rPr>
        <w:t>Compensation Discussion and Analysis</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70C0"/>
        </w:rPr>
        <w:t>51</w:t>
      </w:r>
    </w:p>
    <w:p>
      <w:pPr>
        <w:sectPr>
          <w:pgSz w:w="11900" w:h="16838" w:orient="portrait"/>
          <w:cols w:equalWidth="0" w:num="1">
            <w:col w:w="10980"/>
          </w:cols>
          <w:pgMar w:left="440" w:top="1440" w:right="47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20"/>
          <w:szCs w:val="20"/>
          <w:color w:val="2E75B4"/>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Our Goals</w:t>
      </w:r>
    </w:p>
    <w:p>
      <w:pPr>
        <w:spacing w:after="0" w:line="110" w:lineRule="exact"/>
        <w:rPr>
          <w:sz w:val="20"/>
          <w:szCs w:val="20"/>
          <w:color w:val="auto"/>
        </w:rPr>
      </w:pPr>
    </w:p>
    <w:p>
      <w:pPr>
        <w:ind w:left="420" w:right="400" w:hanging="316"/>
        <w:spacing w:after="0" w:line="213" w:lineRule="auto"/>
        <w:tabs>
          <w:tab w:leader="none" w:pos="420" w:val="left"/>
        </w:tabs>
        <w:numPr>
          <w:ilvl w:val="0"/>
          <w:numId w:val="26"/>
        </w:numPr>
        <w:rPr>
          <w:rFonts w:ascii="MS PGothic" w:cs="MS PGothic" w:eastAsia="MS PGothic" w:hAnsi="MS PGothic"/>
          <w:sz w:val="29"/>
          <w:szCs w:val="29"/>
          <w:color w:val="002060"/>
          <w:vertAlign w:val="superscript"/>
        </w:rPr>
      </w:pPr>
      <w:r>
        <w:rPr>
          <w:rFonts w:ascii="Arial" w:cs="Arial" w:eastAsia="Arial" w:hAnsi="Arial"/>
          <w:sz w:val="18"/>
          <w:szCs w:val="18"/>
          <w:color w:val="auto"/>
        </w:rPr>
        <w:t>To attract, motivate and retain exceptional executives who are critical to successful execution of the Company’s growth strategy, long-term Company performance and the creation of stockholder value.</w:t>
      </w:r>
    </w:p>
    <w:p>
      <w:pPr>
        <w:spacing w:after="0" w:line="4" w:lineRule="exact"/>
        <w:rPr>
          <w:rFonts w:ascii="MS PGothic" w:cs="MS PGothic" w:eastAsia="MS PGothic" w:hAnsi="MS PGothic"/>
          <w:sz w:val="29"/>
          <w:szCs w:val="29"/>
          <w:color w:val="002060"/>
          <w:vertAlign w:val="superscript"/>
        </w:rPr>
      </w:pPr>
    </w:p>
    <w:p>
      <w:pPr>
        <w:ind w:left="420" w:right="60" w:hanging="316"/>
        <w:spacing w:after="0" w:line="213" w:lineRule="auto"/>
        <w:tabs>
          <w:tab w:leader="none" w:pos="420" w:val="left"/>
        </w:tabs>
        <w:numPr>
          <w:ilvl w:val="0"/>
          <w:numId w:val="26"/>
        </w:numPr>
        <w:rPr>
          <w:rFonts w:ascii="MS PGothic" w:cs="MS PGothic" w:eastAsia="MS PGothic" w:hAnsi="MS PGothic"/>
          <w:sz w:val="29"/>
          <w:szCs w:val="29"/>
          <w:color w:val="002060"/>
          <w:vertAlign w:val="superscript"/>
        </w:rPr>
      </w:pPr>
      <w:r>
        <w:rPr>
          <w:rFonts w:ascii="Arial" w:cs="Arial" w:eastAsia="Arial" w:hAnsi="Arial"/>
          <w:sz w:val="18"/>
          <w:szCs w:val="18"/>
          <w:color w:val="auto"/>
        </w:rPr>
        <w:t>To align the interests of our executives with those of our stockholders by tying a significant amount of executive compensation to the achievement of performance metrics related to our business strategy and financial performance and to the price of our stock.</w:t>
      </w:r>
    </w:p>
    <w:p>
      <w:pPr>
        <w:spacing w:after="0" w:line="4" w:lineRule="exact"/>
        <w:rPr>
          <w:rFonts w:ascii="MS PGothic" w:cs="MS PGothic" w:eastAsia="MS PGothic" w:hAnsi="MS PGothic"/>
          <w:sz w:val="29"/>
          <w:szCs w:val="29"/>
          <w:color w:val="002060"/>
          <w:vertAlign w:val="superscript"/>
        </w:rPr>
      </w:pPr>
    </w:p>
    <w:p>
      <w:pPr>
        <w:ind w:left="420" w:right="220" w:hanging="316"/>
        <w:spacing w:after="0" w:line="219" w:lineRule="auto"/>
        <w:tabs>
          <w:tab w:leader="none" w:pos="420" w:val="left"/>
        </w:tabs>
        <w:numPr>
          <w:ilvl w:val="0"/>
          <w:numId w:val="26"/>
        </w:numPr>
        <w:rPr>
          <w:rFonts w:ascii="MS PGothic" w:cs="MS PGothic" w:eastAsia="MS PGothic" w:hAnsi="MS PGothic"/>
          <w:sz w:val="29"/>
          <w:szCs w:val="29"/>
          <w:color w:val="002060"/>
          <w:vertAlign w:val="superscript"/>
        </w:rPr>
      </w:pPr>
      <w:r>
        <w:rPr>
          <w:rFonts w:ascii="Arial" w:cs="Arial" w:eastAsia="Arial" w:hAnsi="Arial"/>
          <w:sz w:val="18"/>
          <w:szCs w:val="18"/>
          <w:color w:val="auto"/>
        </w:rPr>
        <w:t>To motivate our executives to perform at the highest level, to achieve our financial, operational and strategic goals and to reinforce our commitment to high-quality service, which is primarily responsible for the strength of our long-standing relationships with our customers and suppliers.</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2E75B4"/>
        </w:rPr>
        <w:t>Our Guiding Principles</w:t>
      </w:r>
    </w:p>
    <w:p>
      <w:pPr>
        <w:spacing w:after="0" w:line="110" w:lineRule="exact"/>
        <w:rPr>
          <w:sz w:val="20"/>
          <w:szCs w:val="20"/>
          <w:color w:val="auto"/>
        </w:rPr>
      </w:pPr>
    </w:p>
    <w:p>
      <w:pPr>
        <w:ind w:left="420" w:hanging="316"/>
        <w:spacing w:after="0" w:line="237" w:lineRule="auto"/>
        <w:tabs>
          <w:tab w:leader="none" w:pos="420" w:val="left"/>
        </w:tabs>
        <w:numPr>
          <w:ilvl w:val="0"/>
          <w:numId w:val="27"/>
        </w:numPr>
        <w:rPr>
          <w:rFonts w:ascii="MS PGothic" w:cs="MS PGothic" w:eastAsia="MS PGothic" w:hAnsi="MS PGothic"/>
          <w:sz w:val="28"/>
          <w:szCs w:val="28"/>
          <w:color w:val="002060"/>
          <w:vertAlign w:val="superscript"/>
        </w:rPr>
      </w:pPr>
      <w:r>
        <w:rPr>
          <w:rFonts w:ascii="Arial" w:cs="Arial" w:eastAsia="Arial" w:hAnsi="Arial"/>
          <w:sz w:val="17"/>
          <w:szCs w:val="17"/>
          <w:u w:val="single" w:color="auto"/>
          <w:color w:val="auto"/>
        </w:rPr>
        <w:t>Pay for Performance</w:t>
      </w:r>
      <w:r>
        <w:rPr>
          <w:rFonts w:ascii="Arial" w:cs="Arial" w:eastAsia="Arial" w:hAnsi="Arial"/>
          <w:sz w:val="17"/>
          <w:szCs w:val="17"/>
          <w:color w:val="auto"/>
        </w:rPr>
        <w:t>. We reward our executives’ achievements by linking a significant portion of their compensation to the Company’s financial and operational performance. Our incentive compensation program is subject to a pre-established objective performance metric that reflects strategic and operational objectives. Incentive compensation varies based on the extent to which the objective is met - if the target is not achieved at a level of at least 50%, then no incentive compensation is payable, while if the target is exceeded, executives have an opportunity to earn above-target incentive compensation, up to a maximum of 200% of target.</w:t>
      </w:r>
    </w:p>
    <w:p>
      <w:pPr>
        <w:spacing w:after="0" w:line="85" w:lineRule="exact"/>
        <w:rPr>
          <w:rFonts w:ascii="MS PGothic" w:cs="MS PGothic" w:eastAsia="MS PGothic" w:hAnsi="MS PGothic"/>
          <w:sz w:val="28"/>
          <w:szCs w:val="28"/>
          <w:color w:val="002060"/>
          <w:vertAlign w:val="superscript"/>
        </w:rPr>
      </w:pPr>
    </w:p>
    <w:p>
      <w:pPr>
        <w:ind w:left="420" w:right="40" w:hanging="316"/>
        <w:spacing w:after="0" w:line="213" w:lineRule="auto"/>
        <w:tabs>
          <w:tab w:leader="none" w:pos="420" w:val="left"/>
        </w:tabs>
        <w:numPr>
          <w:ilvl w:val="0"/>
          <w:numId w:val="27"/>
        </w:numPr>
        <w:rPr>
          <w:rFonts w:ascii="MS PGothic" w:cs="MS PGothic" w:eastAsia="MS PGothic" w:hAnsi="MS PGothic"/>
          <w:sz w:val="29"/>
          <w:szCs w:val="29"/>
          <w:color w:val="002060"/>
          <w:vertAlign w:val="superscript"/>
        </w:rPr>
      </w:pPr>
      <w:r>
        <w:rPr>
          <w:rFonts w:ascii="Arial" w:cs="Arial" w:eastAsia="Arial" w:hAnsi="Arial"/>
          <w:sz w:val="18"/>
          <w:szCs w:val="18"/>
          <w:u w:val="single" w:color="auto"/>
          <w:color w:val="auto"/>
        </w:rPr>
        <w:t>Competitive Pay</w:t>
      </w:r>
      <w:r>
        <w:rPr>
          <w:rFonts w:ascii="Arial" w:cs="Arial" w:eastAsia="Arial" w:hAnsi="Arial"/>
          <w:sz w:val="18"/>
          <w:szCs w:val="18"/>
          <w:color w:val="auto"/>
        </w:rPr>
        <w:t>. Our compensation program is designed to attract, retain, motivate and reward top talent through pay elements that are flexible and competitive with our peers.</w:t>
      </w:r>
    </w:p>
    <w:p>
      <w:pPr>
        <w:spacing w:after="0" w:line="85" w:lineRule="exact"/>
        <w:rPr>
          <w:rFonts w:ascii="MS PGothic" w:cs="MS PGothic" w:eastAsia="MS PGothic" w:hAnsi="MS PGothic"/>
          <w:sz w:val="29"/>
          <w:szCs w:val="29"/>
          <w:color w:val="002060"/>
          <w:vertAlign w:val="superscript"/>
        </w:rPr>
      </w:pPr>
    </w:p>
    <w:p>
      <w:pPr>
        <w:ind w:left="420" w:right="260" w:hanging="316"/>
        <w:spacing w:after="0" w:line="219" w:lineRule="auto"/>
        <w:tabs>
          <w:tab w:leader="none" w:pos="420" w:val="left"/>
        </w:tabs>
        <w:numPr>
          <w:ilvl w:val="0"/>
          <w:numId w:val="27"/>
        </w:numPr>
        <w:rPr>
          <w:rFonts w:ascii="MS PGothic" w:cs="MS PGothic" w:eastAsia="MS PGothic" w:hAnsi="MS PGothic"/>
          <w:sz w:val="29"/>
          <w:szCs w:val="29"/>
          <w:color w:val="002060"/>
          <w:vertAlign w:val="superscript"/>
        </w:rPr>
      </w:pPr>
      <w:r>
        <w:rPr>
          <w:rFonts w:ascii="Arial" w:cs="Arial" w:eastAsia="Arial" w:hAnsi="Arial"/>
          <w:sz w:val="18"/>
          <w:szCs w:val="18"/>
          <w:u w:val="single" w:color="auto"/>
          <w:color w:val="auto"/>
        </w:rPr>
        <w:t>Internal Pay Equity</w:t>
      </w:r>
      <w:r>
        <w:rPr>
          <w:rFonts w:ascii="Arial" w:cs="Arial" w:eastAsia="Arial" w:hAnsi="Arial"/>
          <w:sz w:val="18"/>
          <w:szCs w:val="18"/>
          <w:color w:val="auto"/>
        </w:rPr>
        <w:t>. We believe that internal pay equity is an important factor in ensuring fairness and encouraging a collaborative environment among our executive team. The CHC Committee reviews each NEO’s pay components and levels relative to other NEOs, considering experience, leadership role, seniority and level of responsibility.</w:t>
      </w:r>
    </w:p>
    <w:p>
      <w:pPr>
        <w:spacing w:after="0" w:line="86" w:lineRule="exact"/>
        <w:rPr>
          <w:rFonts w:ascii="MS PGothic" w:cs="MS PGothic" w:eastAsia="MS PGothic" w:hAnsi="MS PGothic"/>
          <w:sz w:val="29"/>
          <w:szCs w:val="29"/>
          <w:color w:val="002060"/>
          <w:vertAlign w:val="superscript"/>
        </w:rPr>
      </w:pPr>
    </w:p>
    <w:p>
      <w:pPr>
        <w:ind w:left="420" w:right="220" w:hanging="316"/>
        <w:spacing w:after="0" w:line="226" w:lineRule="auto"/>
        <w:tabs>
          <w:tab w:leader="none" w:pos="420" w:val="left"/>
        </w:tabs>
        <w:numPr>
          <w:ilvl w:val="0"/>
          <w:numId w:val="27"/>
        </w:numPr>
        <w:rPr>
          <w:rFonts w:ascii="MS PGothic" w:cs="MS PGothic" w:eastAsia="MS PGothic" w:hAnsi="MS PGothic"/>
          <w:sz w:val="29"/>
          <w:szCs w:val="29"/>
          <w:color w:val="002060"/>
          <w:vertAlign w:val="superscript"/>
        </w:rPr>
      </w:pPr>
      <w:r>
        <w:rPr>
          <w:rFonts w:ascii="Arial" w:cs="Arial" w:eastAsia="Arial" w:hAnsi="Arial"/>
          <w:sz w:val="18"/>
          <w:szCs w:val="18"/>
          <w:u w:val="single" w:color="auto"/>
          <w:color w:val="auto"/>
        </w:rPr>
        <w:t>Aligned with Stockholders</w:t>
      </w:r>
      <w:r>
        <w:rPr>
          <w:rFonts w:ascii="Arial" w:cs="Arial" w:eastAsia="Arial" w:hAnsi="Arial"/>
          <w:sz w:val="18"/>
          <w:szCs w:val="18"/>
          <w:color w:val="auto"/>
        </w:rPr>
        <w:t>. A significant portion of our executives’ compensation is in the form of at-risk performance-based cash awards and performance-based equity awards that, if earned, vest over an additional two years after the end of the performance period. We award restricted stock based on a number of shares, rather than a dollar value, so the value of an executive’s equity-based award fluctuates with the price of our common stock during the performance period and the vesting period, which aligns the long-term interests of our executives with those of our stockholders. In furtherance of this principle, our NEOs are required to maintain levels of ownership of our common stock based upon a multiple of their salaries.</w:t>
      </w:r>
    </w:p>
    <w:p>
      <w:pPr>
        <w:spacing w:after="0" w:line="183"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CHC Committee considers the overall mix of cash and equity compensation, annual and long-term incentives and fixed and variable pay in determining our executive compensation program. The CHC Committee does not follow any pre-established policies, guidelines or formulas for allocating compensation mix, instead retaining flexibility by determining annually what it believes is the appropriate mix of compensation elements.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2E75B4"/>
        </w:rPr>
        <w:t>Our Process</w:t>
      </w:r>
    </w:p>
    <w:p>
      <w:pPr>
        <w:spacing w:after="0" w:line="232"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u w:val="single" w:color="auto"/>
          <w:color w:val="auto"/>
        </w:rPr>
        <w:t>Role of the CHC Committee</w:t>
      </w:r>
      <w:r>
        <w:rPr>
          <w:rFonts w:ascii="Arial" w:cs="Arial" w:eastAsia="Arial" w:hAnsi="Arial"/>
          <w:sz w:val="18"/>
          <w:szCs w:val="18"/>
          <w:color w:val="auto"/>
        </w:rPr>
        <w:t>. Our CHC Committee, comprised solely of independent directors, is responsible for the establishment,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implementation, administration and oversight of our executive compensation program. During its regular first quarter meeting, the CHC Committee, in consultation with our Chief Executive Officer and Chief Financial Officer, determines incentive compensation earned by our NEOs based on the prior year’s performance and finalizes base salary, performance metrics and target incentive compensation levels for the current year. Later in the year, the committee reviews materials relating to peer group composition and other information that forms the basis for future decisions. The CHC Committee sets compensation consistent with our compensation philosophy and competitive with our peers, considering a balance of information including the experience, leadership, level of responsibility and performance of the executive team. While the CHC Committee consults with management and its independent compensation consultant in determining our compensation program, final authority rests solely with the committee. For more information regarding the CHC Committee, see </w:t>
      </w:r>
      <w:r>
        <w:rPr>
          <w:rFonts w:ascii="Arial" w:cs="Arial" w:eastAsia="Arial" w:hAnsi="Arial"/>
          <w:sz w:val="18"/>
          <w:szCs w:val="18"/>
          <w:i w:val="1"/>
          <w:iCs w:val="1"/>
          <w:color w:val="auto"/>
        </w:rPr>
        <w:t>Corporate</w:t>
      </w:r>
      <w:r>
        <w:rPr>
          <w:rFonts w:ascii="Arial" w:cs="Arial" w:eastAsia="Arial" w:hAnsi="Arial"/>
          <w:sz w:val="18"/>
          <w:szCs w:val="18"/>
          <w:color w:val="auto"/>
        </w:rPr>
        <w:t xml:space="preserve"> </w:t>
      </w:r>
      <w:r>
        <w:rPr>
          <w:rFonts w:ascii="Arial" w:cs="Arial" w:eastAsia="Arial" w:hAnsi="Arial"/>
          <w:sz w:val="18"/>
          <w:szCs w:val="18"/>
          <w:i w:val="1"/>
          <w:iCs w:val="1"/>
          <w:color w:val="auto"/>
        </w:rPr>
        <w:t>Governance – “Board Committee Oversight – CHC Committee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70C0"/>
        </w:rPr>
        <w:t>Compensation Discussion and Analysis</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70C0"/>
        </w:rPr>
        <w:t>52</w:t>
      </w:r>
    </w:p>
    <w:p>
      <w:pPr>
        <w:sectPr>
          <w:pgSz w:w="11900" w:h="16838" w:orient="portrait"/>
          <w:cols w:equalWidth="0" w:num="1">
            <w:col w:w="10980"/>
          </w:cols>
          <w:pgMar w:left="440" w:top="293" w:right="479" w:bottom="1440" w:gutter="0" w:footer="0" w:header="0"/>
        </w:sectPr>
      </w:pPr>
    </w:p>
    <w:bookmarkStart w:id="60" w:name="page61"/>
    <w:bookmarkEnd w:id="60"/>
    <w:p>
      <w:pPr>
        <w:ind w:right="20"/>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Role of Executives</w:t>
      </w:r>
      <w:r>
        <w:rPr>
          <w:rFonts w:ascii="Arial" w:cs="Arial" w:eastAsia="Arial" w:hAnsi="Arial"/>
          <w:sz w:val="18"/>
          <w:szCs w:val="18"/>
          <w:color w:val="auto"/>
        </w:rPr>
        <w:t>. In the course of determining executive compensation, the CHC Committee solicits input from management.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believes this input is valuable because of the Chief Executive Officer’s and Chief Financial Officer’s comprehensive knowledge of our business, operations and financial and strategic goals. Our Chief Executive Officer and Chief Financial Officer (i) provide data, analysis and recommendations to the CHC Committee regarding the Company’s compensation programs, (ii) annually evaluate the performance of our NEOs (other than themselves) based on each individual’s performance, length of service, experience, level of responsibility and achievement of Company strategic goals, and (iii) propose to the committee the performance metrics for target incentive awards. The CHC Committee from time to time delegates certain administrative duties to management and the human resources department.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Role of Compensation Consultants</w:t>
      </w:r>
      <w:r>
        <w:rPr>
          <w:rFonts w:ascii="Arial" w:cs="Arial" w:eastAsia="Arial" w:hAnsi="Arial"/>
          <w:sz w:val="18"/>
          <w:szCs w:val="18"/>
          <w:color w:val="auto"/>
        </w:rPr>
        <w:t>. The CHC Committee engages Meridian Compensation Partners, LLC, (“Meridian”), as an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consultant to assist the committee with its duties. Meridian reports directly to the committee. In July and November 2023, the CHC Committee engaged Meridian to perform a review of our executive compensation program and non-employee director compensation and to conduct market comparisons with our peer group. The committee considered Meridian’s advice in structuring our compensation program. The CHC Committee intends to engage Meridian or a similar firm to review our executive compensation and non-employee director compensation programs at least biannually. In connection with the engagement of Meridian, the committee considered and assessed all relevant factors, including those set forth in applicable SEC and NYSE rules, that could give rise to a potential conflict of interest. Based upon this review, the CHC Committee determined that engaging Meridian did not raise any conflict of interest.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2E75B4"/>
        </w:rPr>
        <w:t>Competitive Positioning</w:t>
      </w:r>
    </w:p>
    <w:p>
      <w:pPr>
        <w:spacing w:after="0" w:line="20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Meridian, in consultation with our management and CHC Committee, compiles reports of compensation data for executive officers and non-employee directors in our peer group. The data for executives includes base salary, target cash incentive compensation, long-term incentive awards, target total compensation and variable pay mix. Meridian compiles this data from the proxy disclosures of the peer group and from published surveys. Using the information provided by Meridian, the CHC Committee gauges the reasonableness and competitiveness of our executive compensation program. While the CHC Committee does not establish executive pay based solely on peer group data, it believes that our pay levels and practices should be within a range of competitiveness.</w:t>
      </w:r>
    </w:p>
    <w:p>
      <w:pPr>
        <w:spacing w:after="0" w:line="179"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 CHC Committee reviews Meridian’s report summarizing the target total cash compensation (base salary plus target annual incentive) and target total compensation (base salary plus target annual incentive plus long-term incentive) for each of our NEOs against benchmarks at the 25th, median and 75th percentiles of the market for positions comparable to those held by each of our NEOs. For retention, motivation and competitive considerations, the CHC Committee targets each NEO’s total cash compensation and total direct compensation levels at approximately the median of the peer group.</w:t>
      </w:r>
    </w:p>
    <w:p>
      <w:pPr>
        <w:spacing w:after="0" w:line="176"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To determine our peer group, Meridian recommended that the CHC Committee consider a number of factors for each potential peer company, including industry classification and business-specific characteristics (scope and products and services), size (revenue and market capitalization) and frequency of inclusion in the peer groups of other peers of the Company. The committee believes our selected peer group includes an appropriate representation of industry competitors and companies with which we compete for executive talent.</w:t>
      </w:r>
    </w:p>
    <w:p>
      <w:pPr>
        <w:spacing w:after="0" w:line="159"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For 2023, the CHC Committee selected the following 16 companies as our peer group. Peers are periodically added or eliminated due to acquisition or size changes to maintain a balance of appropriate size, market cap, revenue, similar industry and presence as a competitor for executive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69951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Compensation Discussion and Analysis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53</w:t>
      </w:r>
    </w:p>
    <w:p>
      <w:pPr>
        <w:sectPr>
          <w:pgSz w:w="11900" w:h="16838" w:orient="portrait"/>
          <w:cols w:equalWidth="0" w:num="1">
            <w:col w:w="11000"/>
          </w:cols>
          <w:pgMar w:left="440" w:top="296" w:right="459" w:bottom="1440" w:gutter="0" w:footer="0" w:header="0"/>
        </w:sectPr>
      </w:pPr>
    </w:p>
    <w:bookmarkStart w:id="61" w:name="page62"/>
    <w:bookmarkEnd w:id="61"/>
    <w:tbl>
      <w:tblPr>
        <w:tblLayout w:type="fixed"/>
        <w:tblInd w:w="4"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1460" w:type="dxa"/>
            <w:vAlign w:val="bottom"/>
          </w:tcPr>
          <w:p>
            <w:pPr>
              <w:jc w:val="center"/>
              <w:ind w:left="190"/>
              <w:spacing w:after="0"/>
              <w:rPr>
                <w:sz w:val="20"/>
                <w:szCs w:val="20"/>
                <w:color w:val="auto"/>
              </w:rPr>
            </w:pPr>
            <w:r>
              <w:rPr>
                <w:rFonts w:ascii="Arial" w:cs="Arial" w:eastAsia="Arial" w:hAnsi="Arial"/>
                <w:sz w:val="18"/>
                <w:szCs w:val="18"/>
                <w:b w:val="1"/>
                <w:bCs w:val="1"/>
                <w:color w:val="002060"/>
                <w:w w:val="99"/>
              </w:rPr>
              <w:t>Market</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460" w:type="dxa"/>
            <w:vAlign w:val="bottom"/>
          </w:tcPr>
          <w:p>
            <w:pPr>
              <w:jc w:val="center"/>
              <w:ind w:left="190"/>
              <w:spacing w:after="0"/>
              <w:rPr>
                <w:sz w:val="20"/>
                <w:szCs w:val="20"/>
                <w:color w:val="auto"/>
              </w:rPr>
            </w:pPr>
            <w:r>
              <w:rPr>
                <w:rFonts w:ascii="Arial" w:cs="Arial" w:eastAsia="Arial" w:hAnsi="Arial"/>
                <w:sz w:val="18"/>
                <w:szCs w:val="18"/>
                <w:b w:val="1"/>
                <w:bCs w:val="1"/>
                <w:color w:val="002060"/>
                <w:w w:val="91"/>
              </w:rPr>
              <w:t>LTM</w:t>
            </w:r>
          </w:p>
        </w:tc>
      </w:tr>
      <w:tr>
        <w:trPr>
          <w:trHeight w:val="203"/>
        </w:trPr>
        <w:tc>
          <w:tcPr>
            <w:tcW w:w="3620" w:type="dxa"/>
            <w:vAlign w:val="bottom"/>
          </w:tcPr>
          <w:p>
            <w:pPr>
              <w:spacing w:after="0"/>
              <w:rPr>
                <w:sz w:val="17"/>
                <w:szCs w:val="17"/>
                <w:color w:val="auto"/>
              </w:rPr>
            </w:pPr>
          </w:p>
        </w:tc>
        <w:tc>
          <w:tcPr>
            <w:tcW w:w="1460" w:type="dxa"/>
            <w:vAlign w:val="bottom"/>
          </w:tcPr>
          <w:p>
            <w:pPr>
              <w:jc w:val="center"/>
              <w:ind w:left="210"/>
              <w:spacing w:after="0" w:line="202" w:lineRule="exact"/>
              <w:rPr>
                <w:sz w:val="20"/>
                <w:szCs w:val="20"/>
                <w:color w:val="auto"/>
              </w:rPr>
            </w:pPr>
            <w:r>
              <w:rPr>
                <w:rFonts w:ascii="Arial" w:cs="Arial" w:eastAsia="Arial" w:hAnsi="Arial"/>
                <w:sz w:val="18"/>
                <w:szCs w:val="18"/>
                <w:b w:val="1"/>
                <w:bCs w:val="1"/>
                <w:color w:val="002060"/>
                <w:w w:val="99"/>
              </w:rPr>
              <w:t>Cap(1)</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460" w:type="dxa"/>
            <w:vAlign w:val="bottom"/>
          </w:tcPr>
          <w:p>
            <w:pPr>
              <w:jc w:val="center"/>
              <w:ind w:left="190"/>
              <w:spacing w:after="0" w:line="202" w:lineRule="exact"/>
              <w:rPr>
                <w:sz w:val="20"/>
                <w:szCs w:val="20"/>
                <w:color w:val="auto"/>
              </w:rPr>
            </w:pPr>
            <w:r>
              <w:rPr>
                <w:rFonts w:ascii="Arial" w:cs="Arial" w:eastAsia="Arial" w:hAnsi="Arial"/>
                <w:sz w:val="18"/>
                <w:szCs w:val="18"/>
                <w:b w:val="1"/>
                <w:bCs w:val="1"/>
                <w:color w:val="002060"/>
              </w:rPr>
              <w:t>Revenue(2)</w:t>
            </w:r>
          </w:p>
        </w:tc>
      </w:tr>
      <w:tr>
        <w:trPr>
          <w:trHeight w:val="269"/>
        </w:trPr>
        <w:tc>
          <w:tcPr>
            <w:tcW w:w="3620" w:type="dxa"/>
            <w:vAlign w:val="bottom"/>
            <w:tcBorders>
              <w:bottom w:val="single" w:sz="8" w:color="0070C0"/>
            </w:tcBorders>
          </w:tcPr>
          <w:p>
            <w:pPr>
              <w:ind w:left="1320"/>
              <w:spacing w:after="0"/>
              <w:rPr>
                <w:sz w:val="20"/>
                <w:szCs w:val="20"/>
                <w:color w:val="auto"/>
              </w:rPr>
            </w:pPr>
            <w:r>
              <w:rPr>
                <w:rFonts w:ascii="Arial" w:cs="Arial" w:eastAsia="Arial" w:hAnsi="Arial"/>
                <w:sz w:val="18"/>
                <w:szCs w:val="18"/>
                <w:b w:val="1"/>
                <w:bCs w:val="1"/>
                <w:color w:val="002060"/>
              </w:rPr>
              <w:t>Peer Group</w:t>
            </w:r>
          </w:p>
        </w:tc>
        <w:tc>
          <w:tcPr>
            <w:tcW w:w="1460" w:type="dxa"/>
            <w:vAlign w:val="bottom"/>
            <w:tcBorders>
              <w:bottom w:val="single" w:sz="8" w:color="0070C0"/>
            </w:tcBorders>
          </w:tcPr>
          <w:p>
            <w:pPr>
              <w:jc w:val="center"/>
              <w:ind w:left="190"/>
              <w:spacing w:after="0"/>
              <w:rPr>
                <w:sz w:val="20"/>
                <w:szCs w:val="20"/>
                <w:color w:val="auto"/>
              </w:rPr>
            </w:pPr>
            <w:r>
              <w:rPr>
                <w:rFonts w:ascii="Arial" w:cs="Arial" w:eastAsia="Arial" w:hAnsi="Arial"/>
                <w:sz w:val="18"/>
                <w:szCs w:val="18"/>
                <w:b w:val="1"/>
                <w:bCs w:val="1"/>
                <w:color w:val="002060"/>
                <w:w w:val="99"/>
              </w:rPr>
              <w:t>($ in Millions)</w:t>
            </w:r>
          </w:p>
        </w:tc>
        <w:tc>
          <w:tcPr>
            <w:tcW w:w="380" w:type="dxa"/>
            <w:vAlign w:val="bottom"/>
            <w:tcBorders>
              <w:bottom w:val="single" w:sz="8" w:color="0070C0"/>
            </w:tcBorders>
          </w:tcPr>
          <w:p>
            <w:pPr>
              <w:spacing w:after="0"/>
              <w:rPr>
                <w:sz w:val="23"/>
                <w:szCs w:val="23"/>
                <w:color w:val="auto"/>
              </w:rPr>
            </w:pPr>
          </w:p>
        </w:tc>
        <w:tc>
          <w:tcPr>
            <w:tcW w:w="280" w:type="dxa"/>
            <w:vAlign w:val="bottom"/>
            <w:tcBorders>
              <w:bottom w:val="single" w:sz="8" w:color="0070C0"/>
            </w:tcBorders>
          </w:tcPr>
          <w:p>
            <w:pPr>
              <w:spacing w:after="0"/>
              <w:rPr>
                <w:sz w:val="23"/>
                <w:szCs w:val="23"/>
                <w:color w:val="auto"/>
              </w:rPr>
            </w:pPr>
          </w:p>
        </w:tc>
        <w:tc>
          <w:tcPr>
            <w:tcW w:w="3820" w:type="dxa"/>
            <w:vAlign w:val="bottom"/>
            <w:tcBorders>
              <w:bottom w:val="single" w:sz="8" w:color="0070C0"/>
            </w:tcBorders>
          </w:tcPr>
          <w:p>
            <w:pPr>
              <w:ind w:left="1420"/>
              <w:spacing w:after="0"/>
              <w:rPr>
                <w:sz w:val="20"/>
                <w:szCs w:val="20"/>
                <w:color w:val="auto"/>
              </w:rPr>
            </w:pPr>
            <w:r>
              <w:rPr>
                <w:rFonts w:ascii="Arial" w:cs="Arial" w:eastAsia="Arial" w:hAnsi="Arial"/>
                <w:sz w:val="18"/>
                <w:szCs w:val="18"/>
                <w:b w:val="1"/>
                <w:bCs w:val="1"/>
                <w:color w:val="002060"/>
              </w:rPr>
              <w:t>Peer Group</w:t>
            </w:r>
          </w:p>
        </w:tc>
        <w:tc>
          <w:tcPr>
            <w:tcW w:w="1460" w:type="dxa"/>
            <w:vAlign w:val="bottom"/>
            <w:tcBorders>
              <w:bottom w:val="single" w:sz="8" w:color="0070C0"/>
            </w:tcBorders>
          </w:tcPr>
          <w:p>
            <w:pPr>
              <w:jc w:val="center"/>
              <w:ind w:left="190"/>
              <w:spacing w:after="0"/>
              <w:rPr>
                <w:sz w:val="20"/>
                <w:szCs w:val="20"/>
                <w:color w:val="auto"/>
              </w:rPr>
            </w:pPr>
            <w:r>
              <w:rPr>
                <w:rFonts w:ascii="Arial" w:cs="Arial" w:eastAsia="Arial" w:hAnsi="Arial"/>
                <w:sz w:val="18"/>
                <w:szCs w:val="18"/>
                <w:b w:val="1"/>
                <w:bCs w:val="1"/>
                <w:color w:val="002060"/>
                <w:w w:val="99"/>
              </w:rPr>
              <w:t>($ in Millions)</w:t>
            </w:r>
          </w:p>
        </w:tc>
      </w:tr>
      <w:tr>
        <w:trPr>
          <w:trHeight w:val="203"/>
        </w:trPr>
        <w:tc>
          <w:tcPr>
            <w:tcW w:w="3620" w:type="dxa"/>
            <w:vAlign w:val="bottom"/>
            <w:tcBorders>
              <w:bottom w:val="single" w:sz="8" w:color="auto"/>
            </w:tcBorders>
            <w:shd w:val="clear" w:color="auto" w:fill="D5DCE4"/>
          </w:tcPr>
          <w:p>
            <w:pPr>
              <w:spacing w:after="0" w:line="202" w:lineRule="exact"/>
              <w:rPr>
                <w:sz w:val="20"/>
                <w:szCs w:val="20"/>
                <w:color w:val="auto"/>
              </w:rPr>
            </w:pPr>
            <w:r>
              <w:rPr>
                <w:rFonts w:ascii="Arial" w:cs="Arial" w:eastAsia="Arial" w:hAnsi="Arial"/>
                <w:sz w:val="18"/>
                <w:szCs w:val="18"/>
                <w:color w:val="auto"/>
              </w:rPr>
              <w:t>TopBuild Corp.</w:t>
            </w:r>
          </w:p>
        </w:tc>
        <w:tc>
          <w:tcPr>
            <w:tcW w:w="14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$11,892</w:t>
            </w:r>
          </w:p>
        </w:tc>
        <w:tc>
          <w:tcPr>
            <w:tcW w:w="38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w w:val="70"/>
              </w:rPr>
              <w:t> </w:t>
            </w:r>
          </w:p>
        </w:tc>
        <w:tc>
          <w:tcPr>
            <w:tcW w:w="4100" w:type="dxa"/>
            <w:vAlign w:val="bottom"/>
            <w:tcBorders>
              <w:bottom w:val="single" w:sz="8" w:color="auto"/>
            </w:tcBorders>
            <w:gridSpan w:val="2"/>
            <w:shd w:val="clear" w:color="auto" w:fill="D5DCE4"/>
          </w:tcPr>
          <w:p>
            <w:pPr>
              <w:ind w:left="20"/>
              <w:spacing w:after="0" w:line="202" w:lineRule="exact"/>
              <w:rPr>
                <w:sz w:val="20"/>
                <w:szCs w:val="20"/>
                <w:color w:val="auto"/>
              </w:rPr>
            </w:pPr>
            <w:r>
              <w:rPr>
                <w:rFonts w:ascii="Arial" w:cs="Arial" w:eastAsia="Arial" w:hAnsi="Arial"/>
                <w:sz w:val="18"/>
                <w:szCs w:val="18"/>
                <w:color w:val="auto"/>
              </w:rPr>
              <w:t>Meritage Homes Corporation</w:t>
            </w:r>
          </w:p>
        </w:tc>
        <w:tc>
          <w:tcPr>
            <w:tcW w:w="146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$6,138</w:t>
            </w:r>
          </w:p>
        </w:tc>
      </w:tr>
      <w:tr>
        <w:trPr>
          <w:trHeight w:val="196"/>
        </w:trPr>
        <w:tc>
          <w:tcPr>
            <w:tcW w:w="362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Simpson Manufacturing Co., Inc.</w:t>
            </w:r>
          </w:p>
        </w:tc>
        <w:tc>
          <w:tcPr>
            <w:tcW w:w="14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$8,448</w:t>
            </w:r>
          </w:p>
        </w:tc>
        <w:tc>
          <w:tcPr>
            <w:tcW w:w="380" w:type="dxa"/>
            <w:vAlign w:val="bottom"/>
            <w:tcBorders>
              <w:bottom w:val="single" w:sz="8" w:color="auto"/>
            </w:tcBorders>
          </w:tcPr>
          <w:p>
            <w:pPr>
              <w:spacing w:after="0"/>
              <w:rPr>
                <w:sz w:val="17"/>
                <w:szCs w:val="17"/>
                <w:color w:val="auto"/>
              </w:rPr>
            </w:pPr>
          </w:p>
        </w:tc>
        <w:tc>
          <w:tcPr>
            <w:tcW w:w="4100" w:type="dxa"/>
            <w:vAlign w:val="bottom"/>
            <w:tcBorders>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rPr>
              <w:t>TopBuild Corp.</w:t>
            </w:r>
          </w:p>
        </w:tc>
        <w:tc>
          <w:tcPr>
            <w:tcW w:w="14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$5,195</w:t>
            </w:r>
          </w:p>
        </w:tc>
      </w:tr>
      <w:tr>
        <w:trPr>
          <w:trHeight w:val="196"/>
        </w:trPr>
        <w:tc>
          <w:tcPr>
            <w:tcW w:w="362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Eagle Materials Inc.</w:t>
            </w:r>
          </w:p>
        </w:tc>
        <w:tc>
          <w:tcPr>
            <w:tcW w:w="14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$7,076</w:t>
            </w:r>
          </w:p>
        </w:tc>
        <w:tc>
          <w:tcPr>
            <w:tcW w:w="380" w:type="dxa"/>
            <w:vAlign w:val="bottom"/>
            <w:tcBorders>
              <w:bottom w:val="single" w:sz="8" w:color="auto"/>
            </w:tcBorders>
          </w:tcPr>
          <w:p>
            <w:pPr>
              <w:spacing w:after="0"/>
              <w:rPr>
                <w:sz w:val="17"/>
                <w:szCs w:val="17"/>
                <w:color w:val="auto"/>
              </w:rPr>
            </w:pPr>
          </w:p>
        </w:tc>
        <w:tc>
          <w:tcPr>
            <w:tcW w:w="4100" w:type="dxa"/>
            <w:vAlign w:val="bottom"/>
            <w:tcBorders>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rPr>
              <w:t>M.D.C. Holdings, Inc.</w:t>
            </w:r>
          </w:p>
        </w:tc>
        <w:tc>
          <w:tcPr>
            <w:tcW w:w="14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$4,643</w:t>
            </w:r>
          </w:p>
        </w:tc>
      </w:tr>
      <w:tr>
        <w:trPr>
          <w:trHeight w:val="196"/>
        </w:trPr>
        <w:tc>
          <w:tcPr>
            <w:tcW w:w="362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Meritage Homes Corporation</w:t>
            </w:r>
          </w:p>
        </w:tc>
        <w:tc>
          <w:tcPr>
            <w:tcW w:w="14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$6,350</w:t>
            </w:r>
          </w:p>
        </w:tc>
        <w:tc>
          <w:tcPr>
            <w:tcW w:w="380" w:type="dxa"/>
            <w:vAlign w:val="bottom"/>
            <w:tcBorders>
              <w:bottom w:val="single" w:sz="8" w:color="auto"/>
            </w:tcBorders>
          </w:tcPr>
          <w:p>
            <w:pPr>
              <w:spacing w:after="0"/>
              <w:rPr>
                <w:sz w:val="17"/>
                <w:szCs w:val="17"/>
                <w:color w:val="auto"/>
              </w:rPr>
            </w:pPr>
          </w:p>
        </w:tc>
        <w:tc>
          <w:tcPr>
            <w:tcW w:w="4100" w:type="dxa"/>
            <w:vAlign w:val="bottom"/>
            <w:tcBorders>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rPr>
              <w:t>M/I Homes, Inc.</w:t>
            </w:r>
          </w:p>
        </w:tc>
        <w:tc>
          <w:tcPr>
            <w:tcW w:w="14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$4,034</w:t>
            </w:r>
          </w:p>
        </w:tc>
      </w:tr>
      <w:tr>
        <w:trPr>
          <w:trHeight w:val="196"/>
        </w:trPr>
        <w:tc>
          <w:tcPr>
            <w:tcW w:w="3620" w:type="dxa"/>
            <w:vAlign w:val="bottom"/>
            <w:tcBorders>
              <w:bottom w:val="single" w:sz="8" w:color="auto"/>
            </w:tcBorders>
            <w:shd w:val="clear" w:color="auto" w:fill="002060"/>
          </w:tcPr>
          <w:p>
            <w:pPr>
              <w:spacing w:after="0" w:line="196" w:lineRule="exact"/>
              <w:rPr>
                <w:sz w:val="20"/>
                <w:szCs w:val="20"/>
                <w:color w:val="auto"/>
              </w:rPr>
            </w:pPr>
            <w:r>
              <w:rPr>
                <w:rFonts w:ascii="Arial" w:cs="Arial" w:eastAsia="Arial" w:hAnsi="Arial"/>
                <w:sz w:val="18"/>
                <w:szCs w:val="18"/>
                <w:color w:val="FFFFFF"/>
              </w:rPr>
              <w:t>Installed Building Products, Inc.</w:t>
            </w:r>
          </w:p>
        </w:tc>
        <w:tc>
          <w:tcPr>
            <w:tcW w:w="1460" w:type="dxa"/>
            <w:vAlign w:val="bottom"/>
            <w:tcBorders>
              <w:bottom w:val="single" w:sz="8" w:color="auto"/>
            </w:tcBorders>
            <w:shd w:val="clear" w:color="auto" w:fill="002060"/>
          </w:tcPr>
          <w:p>
            <w:pPr>
              <w:jc w:val="right"/>
              <w:ind w:right="10"/>
              <w:spacing w:after="0" w:line="196" w:lineRule="exact"/>
              <w:rPr>
                <w:sz w:val="20"/>
                <w:szCs w:val="20"/>
                <w:color w:val="auto"/>
              </w:rPr>
            </w:pPr>
            <w:r>
              <w:rPr>
                <w:rFonts w:ascii="Arial" w:cs="Arial" w:eastAsia="Arial" w:hAnsi="Arial"/>
                <w:sz w:val="18"/>
                <w:szCs w:val="18"/>
                <w:color w:val="FFFFFF"/>
              </w:rPr>
              <w:t>$5,194</w:t>
            </w:r>
          </w:p>
        </w:tc>
        <w:tc>
          <w:tcPr>
            <w:tcW w:w="380" w:type="dxa"/>
            <w:vAlign w:val="bottom"/>
            <w:tcBorders>
              <w:bottom w:val="single" w:sz="8" w:color="auto"/>
            </w:tcBorders>
          </w:tcPr>
          <w:p>
            <w:pPr>
              <w:spacing w:after="0"/>
              <w:rPr>
                <w:sz w:val="17"/>
                <w:szCs w:val="17"/>
                <w:color w:val="auto"/>
              </w:rPr>
            </w:pPr>
          </w:p>
        </w:tc>
        <w:tc>
          <w:tcPr>
            <w:tcW w:w="4100" w:type="dxa"/>
            <w:vAlign w:val="bottom"/>
            <w:tcBorders>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rPr>
              <w:t>Tri Pointe Homes, Inc.</w:t>
            </w:r>
          </w:p>
        </w:tc>
        <w:tc>
          <w:tcPr>
            <w:tcW w:w="14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$3,715</w:t>
            </w:r>
          </w:p>
        </w:tc>
      </w:tr>
      <w:tr>
        <w:trPr>
          <w:trHeight w:val="196"/>
        </w:trPr>
        <w:tc>
          <w:tcPr>
            <w:tcW w:w="362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Skyline Champion Corporation</w:t>
            </w:r>
          </w:p>
        </w:tc>
        <w:tc>
          <w:tcPr>
            <w:tcW w:w="14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$4,279</w:t>
            </w:r>
          </w:p>
        </w:tc>
        <w:tc>
          <w:tcPr>
            <w:tcW w:w="380" w:type="dxa"/>
            <w:vAlign w:val="bottom"/>
            <w:tcBorders>
              <w:bottom w:val="single" w:sz="8" w:color="auto"/>
            </w:tcBorders>
          </w:tcPr>
          <w:p>
            <w:pPr>
              <w:spacing w:after="0"/>
              <w:rPr>
                <w:sz w:val="17"/>
                <w:szCs w:val="17"/>
                <w:color w:val="auto"/>
              </w:rPr>
            </w:pPr>
          </w:p>
        </w:tc>
        <w:tc>
          <w:tcPr>
            <w:tcW w:w="4100" w:type="dxa"/>
            <w:vAlign w:val="bottom"/>
            <w:tcBorders>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rPr>
              <w:t>Century Communities, Inc.</w:t>
            </w:r>
          </w:p>
        </w:tc>
        <w:tc>
          <w:tcPr>
            <w:tcW w:w="14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$3,692</w:t>
            </w:r>
          </w:p>
        </w:tc>
      </w:tr>
      <w:tr>
        <w:trPr>
          <w:trHeight w:val="196"/>
        </w:trPr>
        <w:tc>
          <w:tcPr>
            <w:tcW w:w="362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M.D.C. Holdings, Inc.</w:t>
            </w:r>
          </w:p>
        </w:tc>
        <w:tc>
          <w:tcPr>
            <w:tcW w:w="14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$4,125</w:t>
            </w:r>
          </w:p>
        </w:tc>
        <w:tc>
          <w:tcPr>
            <w:tcW w:w="380" w:type="dxa"/>
            <w:vAlign w:val="bottom"/>
            <w:tcBorders>
              <w:bottom w:val="single" w:sz="8" w:color="auto"/>
            </w:tcBorders>
          </w:tcPr>
          <w:p>
            <w:pPr>
              <w:spacing w:after="0"/>
              <w:rPr>
                <w:sz w:val="17"/>
                <w:szCs w:val="17"/>
                <w:color w:val="auto"/>
              </w:rPr>
            </w:pPr>
          </w:p>
        </w:tc>
        <w:tc>
          <w:tcPr>
            <w:tcW w:w="4100" w:type="dxa"/>
            <w:vAlign w:val="bottom"/>
            <w:tcBorders>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rPr>
              <w:t>Masonite International Corporation</w:t>
            </w:r>
          </w:p>
        </w:tc>
        <w:tc>
          <w:tcPr>
            <w:tcW w:w="14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$2,831</w:t>
            </w:r>
          </w:p>
        </w:tc>
      </w:tr>
      <w:tr>
        <w:trPr>
          <w:trHeight w:val="196"/>
        </w:trPr>
        <w:tc>
          <w:tcPr>
            <w:tcW w:w="362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M/I Homes, Inc.</w:t>
            </w:r>
          </w:p>
        </w:tc>
        <w:tc>
          <w:tcPr>
            <w:tcW w:w="14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$3,836</w:t>
            </w:r>
          </w:p>
        </w:tc>
        <w:tc>
          <w:tcPr>
            <w:tcW w:w="380" w:type="dxa"/>
            <w:vAlign w:val="bottom"/>
            <w:tcBorders>
              <w:bottom w:val="single" w:sz="8" w:color="auto"/>
            </w:tcBorders>
          </w:tcPr>
          <w:p>
            <w:pPr>
              <w:spacing w:after="0"/>
              <w:rPr>
                <w:sz w:val="17"/>
                <w:szCs w:val="17"/>
                <w:color w:val="auto"/>
              </w:rPr>
            </w:pPr>
          </w:p>
        </w:tc>
        <w:tc>
          <w:tcPr>
            <w:tcW w:w="4100" w:type="dxa"/>
            <w:vAlign w:val="bottom"/>
            <w:tcBorders>
              <w:bottom w:val="single" w:sz="8" w:color="auto"/>
            </w:tcBorders>
            <w:gridSpan w:val="2"/>
            <w:shd w:val="clear" w:color="auto" w:fill="002060"/>
          </w:tcPr>
          <w:p>
            <w:pPr>
              <w:ind w:left="20"/>
              <w:spacing w:after="0" w:line="196" w:lineRule="exact"/>
              <w:rPr>
                <w:sz w:val="20"/>
                <w:szCs w:val="20"/>
                <w:color w:val="auto"/>
              </w:rPr>
            </w:pPr>
            <w:r>
              <w:rPr>
                <w:rFonts w:ascii="Arial" w:cs="Arial" w:eastAsia="Arial" w:hAnsi="Arial"/>
                <w:sz w:val="18"/>
                <w:szCs w:val="18"/>
                <w:color w:val="FFFFFF"/>
              </w:rPr>
              <w:t>Installed Building Products, Inc.</w:t>
            </w:r>
          </w:p>
        </w:tc>
        <w:tc>
          <w:tcPr>
            <w:tcW w:w="1460" w:type="dxa"/>
            <w:vAlign w:val="bottom"/>
            <w:tcBorders>
              <w:bottom w:val="single" w:sz="8" w:color="auto"/>
            </w:tcBorders>
            <w:shd w:val="clear" w:color="auto" w:fill="002060"/>
          </w:tcPr>
          <w:p>
            <w:pPr>
              <w:jc w:val="right"/>
              <w:ind w:right="90"/>
              <w:spacing w:after="0" w:line="196" w:lineRule="exact"/>
              <w:rPr>
                <w:sz w:val="20"/>
                <w:szCs w:val="20"/>
                <w:color w:val="auto"/>
              </w:rPr>
            </w:pPr>
            <w:r>
              <w:rPr>
                <w:rFonts w:ascii="Arial" w:cs="Arial" w:eastAsia="Arial" w:hAnsi="Arial"/>
                <w:sz w:val="18"/>
                <w:szCs w:val="18"/>
                <w:color w:val="FFFFFF"/>
              </w:rPr>
              <w:t>$2,779</w:t>
            </w:r>
          </w:p>
        </w:tc>
      </w:tr>
      <w:tr>
        <w:trPr>
          <w:trHeight w:val="196"/>
        </w:trPr>
        <w:tc>
          <w:tcPr>
            <w:tcW w:w="362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Tri Pointe Homes, Inc.</w:t>
            </w:r>
          </w:p>
        </w:tc>
        <w:tc>
          <w:tcPr>
            <w:tcW w:w="14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$3,436</w:t>
            </w:r>
          </w:p>
        </w:tc>
        <w:tc>
          <w:tcPr>
            <w:tcW w:w="380" w:type="dxa"/>
            <w:vAlign w:val="bottom"/>
            <w:tcBorders>
              <w:bottom w:val="single" w:sz="8" w:color="auto"/>
            </w:tcBorders>
          </w:tcPr>
          <w:p>
            <w:pPr>
              <w:spacing w:after="0"/>
              <w:rPr>
                <w:sz w:val="17"/>
                <w:szCs w:val="17"/>
                <w:color w:val="auto"/>
              </w:rPr>
            </w:pPr>
          </w:p>
        </w:tc>
        <w:tc>
          <w:tcPr>
            <w:tcW w:w="4100" w:type="dxa"/>
            <w:vAlign w:val="bottom"/>
            <w:tcBorders>
              <w:bottom w:val="single" w:sz="8" w:color="auto"/>
            </w:tcBorders>
            <w:gridSpan w:val="2"/>
            <w:shd w:val="clear" w:color="auto" w:fill="D5DCE4"/>
          </w:tcPr>
          <w:p>
            <w:pPr>
              <w:ind w:left="20"/>
              <w:spacing w:after="0" w:line="196" w:lineRule="exact"/>
              <w:rPr>
                <w:sz w:val="20"/>
                <w:szCs w:val="20"/>
                <w:color w:val="auto"/>
              </w:rPr>
            </w:pPr>
            <w:r>
              <w:rPr>
                <w:rFonts w:ascii="Arial" w:cs="Arial" w:eastAsia="Arial" w:hAnsi="Arial"/>
                <w:sz w:val="18"/>
                <w:szCs w:val="18"/>
                <w:color w:val="auto"/>
              </w:rPr>
              <w:t>Griffon Corporation</w:t>
            </w:r>
          </w:p>
        </w:tc>
        <w:tc>
          <w:tcPr>
            <w:tcW w:w="14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$2,679</w:t>
            </w:r>
          </w:p>
        </w:tc>
      </w:tr>
      <w:tr>
        <w:trPr>
          <w:trHeight w:val="196"/>
        </w:trPr>
        <w:tc>
          <w:tcPr>
            <w:tcW w:w="362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Griffon Corporation</w:t>
            </w:r>
          </w:p>
        </w:tc>
        <w:tc>
          <w:tcPr>
            <w:tcW w:w="14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$3,179</w:t>
            </w:r>
          </w:p>
        </w:tc>
        <w:tc>
          <w:tcPr>
            <w:tcW w:w="3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w w:val="82"/>
              </w:rPr>
              <w:t>LGI</w:t>
            </w:r>
          </w:p>
        </w:tc>
        <w:tc>
          <w:tcPr>
            <w:tcW w:w="382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Homes, Inc.</w:t>
            </w:r>
          </w:p>
        </w:tc>
        <w:tc>
          <w:tcPr>
            <w:tcW w:w="14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$2,359</w:t>
            </w:r>
          </w:p>
        </w:tc>
      </w:tr>
      <w:tr>
        <w:trPr>
          <w:trHeight w:val="196"/>
        </w:trPr>
        <w:tc>
          <w:tcPr>
            <w:tcW w:w="362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LGI Homes, Inc.</w:t>
            </w:r>
          </w:p>
        </w:tc>
        <w:tc>
          <w:tcPr>
            <w:tcW w:w="14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$3,138</w:t>
            </w:r>
          </w:p>
        </w:tc>
        <w:tc>
          <w:tcPr>
            <w:tcW w:w="380" w:type="dxa"/>
            <w:vAlign w:val="bottom"/>
            <w:tcBorders>
              <w:bottom w:val="single" w:sz="8" w:color="auto"/>
            </w:tcBorders>
          </w:tcPr>
          <w:p>
            <w:pPr>
              <w:spacing w:after="0"/>
              <w:rPr>
                <w:sz w:val="17"/>
                <w:szCs w:val="17"/>
                <w:color w:val="auto"/>
              </w:rPr>
            </w:pPr>
          </w:p>
        </w:tc>
        <w:tc>
          <w:tcPr>
            <w:tcW w:w="4100" w:type="dxa"/>
            <w:vAlign w:val="bottom"/>
            <w:tcBorders>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rPr>
              <w:t>Eagle Materials Inc.</w:t>
            </w:r>
          </w:p>
        </w:tc>
        <w:tc>
          <w:tcPr>
            <w:tcW w:w="14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$2,253</w:t>
            </w:r>
          </w:p>
        </w:tc>
      </w:tr>
      <w:tr>
        <w:trPr>
          <w:trHeight w:val="196"/>
        </w:trPr>
        <w:tc>
          <w:tcPr>
            <w:tcW w:w="362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Century Communities, Inc.</w:t>
            </w:r>
          </w:p>
        </w:tc>
        <w:tc>
          <w:tcPr>
            <w:tcW w:w="14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$2,896</w:t>
            </w:r>
          </w:p>
        </w:tc>
        <w:tc>
          <w:tcPr>
            <w:tcW w:w="380" w:type="dxa"/>
            <w:vAlign w:val="bottom"/>
            <w:tcBorders>
              <w:bottom w:val="single" w:sz="8" w:color="auto"/>
            </w:tcBorders>
          </w:tcPr>
          <w:p>
            <w:pPr>
              <w:spacing w:after="0"/>
              <w:rPr>
                <w:sz w:val="17"/>
                <w:szCs w:val="17"/>
                <w:color w:val="auto"/>
              </w:rPr>
            </w:pPr>
          </w:p>
        </w:tc>
        <w:tc>
          <w:tcPr>
            <w:tcW w:w="4100" w:type="dxa"/>
            <w:vAlign w:val="bottom"/>
            <w:tcBorders>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rPr>
              <w:t>Simpson Manufacturing Co., Inc.</w:t>
            </w:r>
          </w:p>
        </w:tc>
        <w:tc>
          <w:tcPr>
            <w:tcW w:w="14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$2,214</w:t>
            </w:r>
          </w:p>
        </w:tc>
      </w:tr>
      <w:tr>
        <w:trPr>
          <w:trHeight w:val="196"/>
        </w:trPr>
        <w:tc>
          <w:tcPr>
            <w:tcW w:w="362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Cavco Industries, Inc.</w:t>
            </w:r>
          </w:p>
        </w:tc>
        <w:tc>
          <w:tcPr>
            <w:tcW w:w="14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$2,886</w:t>
            </w:r>
          </w:p>
        </w:tc>
        <w:tc>
          <w:tcPr>
            <w:tcW w:w="380" w:type="dxa"/>
            <w:vAlign w:val="bottom"/>
            <w:tcBorders>
              <w:bottom w:val="single" w:sz="8" w:color="auto"/>
            </w:tcBorders>
          </w:tcPr>
          <w:p>
            <w:pPr>
              <w:spacing w:after="0"/>
              <w:rPr>
                <w:sz w:val="17"/>
                <w:szCs w:val="17"/>
                <w:color w:val="auto"/>
              </w:rPr>
            </w:pPr>
          </w:p>
        </w:tc>
        <w:tc>
          <w:tcPr>
            <w:tcW w:w="4100" w:type="dxa"/>
            <w:vAlign w:val="bottom"/>
            <w:tcBorders>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rPr>
              <w:t>Skyline Champion Corporation</w:t>
            </w:r>
          </w:p>
        </w:tc>
        <w:tc>
          <w:tcPr>
            <w:tcW w:w="14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$1,980</w:t>
            </w:r>
          </w:p>
        </w:tc>
      </w:tr>
      <w:tr>
        <w:trPr>
          <w:trHeight w:val="196"/>
        </w:trPr>
        <w:tc>
          <w:tcPr>
            <w:tcW w:w="362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Gibraltar Industries, Inc.</w:t>
            </w:r>
          </w:p>
        </w:tc>
        <w:tc>
          <w:tcPr>
            <w:tcW w:w="14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$2,404</w:t>
            </w:r>
          </w:p>
        </w:tc>
        <w:tc>
          <w:tcPr>
            <w:tcW w:w="380" w:type="dxa"/>
            <w:vAlign w:val="bottom"/>
            <w:tcBorders>
              <w:bottom w:val="single" w:sz="8" w:color="auto"/>
            </w:tcBorders>
          </w:tcPr>
          <w:p>
            <w:pPr>
              <w:spacing w:after="0"/>
              <w:rPr>
                <w:sz w:val="17"/>
                <w:szCs w:val="17"/>
                <w:color w:val="auto"/>
              </w:rPr>
            </w:pPr>
          </w:p>
        </w:tc>
        <w:tc>
          <w:tcPr>
            <w:tcW w:w="4100" w:type="dxa"/>
            <w:vAlign w:val="bottom"/>
            <w:tcBorders>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rPr>
              <w:t>Cavco Industries, Inc.</w:t>
            </w:r>
          </w:p>
        </w:tc>
        <w:tc>
          <w:tcPr>
            <w:tcW w:w="14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$1,851</w:t>
            </w:r>
          </w:p>
        </w:tc>
      </w:tr>
      <w:tr>
        <w:trPr>
          <w:trHeight w:val="196"/>
        </w:trPr>
        <w:tc>
          <w:tcPr>
            <w:tcW w:w="362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PGT Innovations, Inc.</w:t>
            </w:r>
          </w:p>
        </w:tc>
        <w:tc>
          <w:tcPr>
            <w:tcW w:w="14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$2,378</w:t>
            </w:r>
          </w:p>
        </w:tc>
        <w:tc>
          <w:tcPr>
            <w:tcW w:w="380" w:type="dxa"/>
            <w:vAlign w:val="bottom"/>
            <w:tcBorders>
              <w:bottom w:val="single" w:sz="8" w:color="auto"/>
            </w:tcBorders>
          </w:tcPr>
          <w:p>
            <w:pPr>
              <w:spacing w:after="0"/>
              <w:rPr>
                <w:sz w:val="17"/>
                <w:szCs w:val="17"/>
                <w:color w:val="auto"/>
              </w:rPr>
            </w:pPr>
          </w:p>
        </w:tc>
        <w:tc>
          <w:tcPr>
            <w:tcW w:w="4100" w:type="dxa"/>
            <w:vAlign w:val="bottom"/>
            <w:tcBorders>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rPr>
              <w:t>PGT Innovations, Inc.</w:t>
            </w:r>
          </w:p>
        </w:tc>
        <w:tc>
          <w:tcPr>
            <w:tcW w:w="14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$1,504</w:t>
            </w:r>
          </w:p>
        </w:tc>
      </w:tr>
      <w:tr>
        <w:trPr>
          <w:trHeight w:val="196"/>
        </w:trPr>
        <w:tc>
          <w:tcPr>
            <w:tcW w:w="362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Masonite International Corporation</w:t>
            </w:r>
          </w:p>
        </w:tc>
        <w:tc>
          <w:tcPr>
            <w:tcW w:w="14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$1,848</w:t>
            </w:r>
          </w:p>
        </w:tc>
        <w:tc>
          <w:tcPr>
            <w:tcW w:w="380" w:type="dxa"/>
            <w:vAlign w:val="bottom"/>
            <w:tcBorders>
              <w:bottom w:val="single" w:sz="8" w:color="auto"/>
            </w:tcBorders>
          </w:tcPr>
          <w:p>
            <w:pPr>
              <w:spacing w:after="0"/>
              <w:rPr>
                <w:sz w:val="17"/>
                <w:szCs w:val="17"/>
                <w:color w:val="auto"/>
              </w:rPr>
            </w:pPr>
          </w:p>
        </w:tc>
        <w:tc>
          <w:tcPr>
            <w:tcW w:w="4100" w:type="dxa"/>
            <w:vAlign w:val="bottom"/>
            <w:tcBorders>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rPr>
              <w:t>Apogee Enterprises, Inc.</w:t>
            </w:r>
          </w:p>
        </w:tc>
        <w:tc>
          <w:tcPr>
            <w:tcW w:w="14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$1,399</w:t>
            </w:r>
          </w:p>
        </w:tc>
      </w:tr>
      <w:tr>
        <w:trPr>
          <w:trHeight w:val="203"/>
        </w:trPr>
        <w:tc>
          <w:tcPr>
            <w:tcW w:w="3620" w:type="dxa"/>
            <w:vAlign w:val="bottom"/>
            <w:tcBorders>
              <w:bottom w:val="single" w:sz="8" w:color="0070C0"/>
            </w:tcBorders>
            <w:shd w:val="clear" w:color="auto" w:fill="D5DCE4"/>
          </w:tcPr>
          <w:p>
            <w:pPr>
              <w:spacing w:after="0" w:line="196" w:lineRule="exact"/>
              <w:rPr>
                <w:sz w:val="20"/>
                <w:szCs w:val="20"/>
                <w:color w:val="auto"/>
              </w:rPr>
            </w:pPr>
            <w:r>
              <w:rPr>
                <w:rFonts w:ascii="Arial" w:cs="Arial" w:eastAsia="Arial" w:hAnsi="Arial"/>
                <w:sz w:val="18"/>
                <w:szCs w:val="18"/>
                <w:color w:val="auto"/>
              </w:rPr>
              <w:t>Apogee Enterprises, Inc.</w:t>
            </w:r>
          </w:p>
        </w:tc>
        <w:tc>
          <w:tcPr>
            <w:tcW w:w="1460" w:type="dxa"/>
            <w:vAlign w:val="bottom"/>
            <w:tcBorders>
              <w:bottom w:val="single" w:sz="8" w:color="0070C0"/>
            </w:tcBorders>
          </w:tcPr>
          <w:p>
            <w:pPr>
              <w:jc w:val="right"/>
              <w:ind w:right="10"/>
              <w:spacing w:after="0" w:line="196" w:lineRule="exact"/>
              <w:rPr>
                <w:sz w:val="20"/>
                <w:szCs w:val="20"/>
                <w:color w:val="auto"/>
              </w:rPr>
            </w:pPr>
            <w:r>
              <w:rPr>
                <w:rFonts w:ascii="Arial" w:cs="Arial" w:eastAsia="Arial" w:hAnsi="Arial"/>
                <w:sz w:val="18"/>
                <w:szCs w:val="18"/>
                <w:color w:val="auto"/>
              </w:rPr>
              <w:t>$1,179</w:t>
            </w:r>
          </w:p>
        </w:tc>
        <w:tc>
          <w:tcPr>
            <w:tcW w:w="380" w:type="dxa"/>
            <w:vAlign w:val="bottom"/>
            <w:tcBorders>
              <w:bottom w:val="single" w:sz="8" w:color="0070C0"/>
            </w:tcBorders>
          </w:tcPr>
          <w:p>
            <w:pPr>
              <w:spacing w:after="0"/>
              <w:rPr>
                <w:sz w:val="17"/>
                <w:szCs w:val="17"/>
                <w:color w:val="auto"/>
              </w:rPr>
            </w:pPr>
          </w:p>
        </w:tc>
        <w:tc>
          <w:tcPr>
            <w:tcW w:w="4100" w:type="dxa"/>
            <w:vAlign w:val="bottom"/>
            <w:tcBorders>
              <w:bottom w:val="single" w:sz="8" w:color="0070C0"/>
            </w:tcBorders>
            <w:gridSpan w:val="2"/>
          </w:tcPr>
          <w:p>
            <w:pPr>
              <w:ind w:left="20"/>
              <w:spacing w:after="0" w:line="196" w:lineRule="exact"/>
              <w:rPr>
                <w:sz w:val="20"/>
                <w:szCs w:val="20"/>
                <w:color w:val="auto"/>
              </w:rPr>
            </w:pPr>
            <w:r>
              <w:rPr>
                <w:rFonts w:ascii="Arial" w:cs="Arial" w:eastAsia="Arial" w:hAnsi="Arial"/>
                <w:sz w:val="18"/>
                <w:szCs w:val="18"/>
                <w:color w:val="auto"/>
              </w:rPr>
              <w:t>Gibraltar Industries, Inc.</w:t>
            </w:r>
          </w:p>
        </w:tc>
        <w:tc>
          <w:tcPr>
            <w:tcW w:w="1460" w:type="dxa"/>
            <w:vAlign w:val="bottom"/>
            <w:tcBorders>
              <w:bottom w:val="single" w:sz="8" w:color="0070C0"/>
            </w:tcBorders>
          </w:tcPr>
          <w:p>
            <w:pPr>
              <w:jc w:val="right"/>
              <w:ind w:right="90"/>
              <w:spacing w:after="0" w:line="196" w:lineRule="exact"/>
              <w:rPr>
                <w:sz w:val="20"/>
                <w:szCs w:val="20"/>
                <w:color w:val="auto"/>
              </w:rPr>
            </w:pPr>
            <w:r>
              <w:rPr>
                <w:rFonts w:ascii="Arial" w:cs="Arial" w:eastAsia="Arial" w:hAnsi="Arial"/>
                <w:sz w:val="18"/>
                <w:szCs w:val="18"/>
                <w:color w:val="auto"/>
              </w:rPr>
              <w:t>$1,378</w:t>
            </w:r>
          </w:p>
        </w:tc>
      </w:tr>
      <w:tr>
        <w:trPr>
          <w:trHeight w:val="203"/>
        </w:trPr>
        <w:tc>
          <w:tcPr>
            <w:tcW w:w="3620" w:type="dxa"/>
            <w:vAlign w:val="bottom"/>
            <w:tcBorders>
              <w:bottom w:val="single" w:sz="8" w:color="auto"/>
            </w:tcBorders>
            <w:shd w:val="clear" w:color="auto" w:fill="D5DCE4"/>
          </w:tcPr>
          <w:p>
            <w:pPr>
              <w:spacing w:after="0" w:line="202" w:lineRule="exact"/>
              <w:rPr>
                <w:sz w:val="20"/>
                <w:szCs w:val="20"/>
                <w:color w:val="auto"/>
              </w:rPr>
            </w:pPr>
            <w:r>
              <w:rPr>
                <w:rFonts w:ascii="Arial" w:cs="Arial" w:eastAsia="Arial" w:hAnsi="Arial"/>
                <w:sz w:val="18"/>
                <w:szCs w:val="18"/>
                <w:color w:val="auto"/>
              </w:rPr>
              <w:t>Peer Group Median</w:t>
            </w:r>
          </w:p>
        </w:tc>
        <w:tc>
          <w:tcPr>
            <w:tcW w:w="14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$3,436</w:t>
            </w:r>
          </w:p>
        </w:tc>
        <w:tc>
          <w:tcPr>
            <w:tcW w:w="380" w:type="dxa"/>
            <w:vAlign w:val="bottom"/>
            <w:tcBorders>
              <w:bottom w:val="single" w:sz="8" w:color="auto"/>
            </w:tcBorders>
          </w:tcPr>
          <w:p>
            <w:pPr>
              <w:spacing w:after="0"/>
              <w:rPr>
                <w:sz w:val="17"/>
                <w:szCs w:val="17"/>
                <w:color w:val="auto"/>
              </w:rPr>
            </w:pPr>
          </w:p>
        </w:tc>
        <w:tc>
          <w:tcPr>
            <w:tcW w:w="4100" w:type="dxa"/>
            <w:vAlign w:val="bottom"/>
            <w:tcBorders>
              <w:bottom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Peer Group Median</w:t>
            </w:r>
          </w:p>
        </w:tc>
        <w:tc>
          <w:tcPr>
            <w:tcW w:w="146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$2,679</w:t>
            </w:r>
          </w:p>
        </w:tc>
      </w:tr>
      <w:tr>
        <w:trPr>
          <w:trHeight w:val="203"/>
        </w:trPr>
        <w:tc>
          <w:tcPr>
            <w:tcW w:w="3620" w:type="dxa"/>
            <w:vAlign w:val="bottom"/>
            <w:tcBorders>
              <w:bottom w:val="single" w:sz="8" w:color="0070C0"/>
            </w:tcBorders>
            <w:shd w:val="clear" w:color="auto" w:fill="D5DCE4"/>
          </w:tcPr>
          <w:p>
            <w:pPr>
              <w:spacing w:after="0" w:line="196" w:lineRule="exact"/>
              <w:rPr>
                <w:sz w:val="20"/>
                <w:szCs w:val="20"/>
                <w:color w:val="auto"/>
              </w:rPr>
            </w:pPr>
            <w:r>
              <w:rPr>
                <w:rFonts w:ascii="Arial" w:cs="Arial" w:eastAsia="Arial" w:hAnsi="Arial"/>
                <w:sz w:val="18"/>
                <w:szCs w:val="18"/>
                <w:color w:val="auto"/>
              </w:rPr>
              <w:t>Peer Group 75th Percentile</w:t>
            </w:r>
          </w:p>
        </w:tc>
        <w:tc>
          <w:tcPr>
            <w:tcW w:w="1460" w:type="dxa"/>
            <w:vAlign w:val="bottom"/>
            <w:tcBorders>
              <w:bottom w:val="single" w:sz="8" w:color="0070C0"/>
            </w:tcBorders>
          </w:tcPr>
          <w:p>
            <w:pPr>
              <w:jc w:val="right"/>
              <w:ind w:right="10"/>
              <w:spacing w:after="0" w:line="196" w:lineRule="exact"/>
              <w:rPr>
                <w:sz w:val="20"/>
                <w:szCs w:val="20"/>
                <w:color w:val="auto"/>
              </w:rPr>
            </w:pPr>
            <w:r>
              <w:rPr>
                <w:rFonts w:ascii="Arial" w:cs="Arial" w:eastAsia="Arial" w:hAnsi="Arial"/>
                <w:sz w:val="18"/>
                <w:szCs w:val="18"/>
                <w:color w:val="auto"/>
              </w:rPr>
              <w:t>$5,194</w:t>
            </w:r>
          </w:p>
        </w:tc>
        <w:tc>
          <w:tcPr>
            <w:tcW w:w="380" w:type="dxa"/>
            <w:vAlign w:val="bottom"/>
            <w:tcBorders>
              <w:bottom w:val="single" w:sz="8" w:color="0070C0"/>
            </w:tcBorders>
          </w:tcPr>
          <w:p>
            <w:pPr>
              <w:spacing w:after="0"/>
              <w:rPr>
                <w:sz w:val="17"/>
                <w:szCs w:val="17"/>
                <w:color w:val="auto"/>
              </w:rPr>
            </w:pPr>
          </w:p>
        </w:tc>
        <w:tc>
          <w:tcPr>
            <w:tcW w:w="4100" w:type="dxa"/>
            <w:vAlign w:val="bottom"/>
            <w:tcBorders>
              <w:bottom w:val="single" w:sz="8" w:color="0070C0"/>
            </w:tcBorders>
            <w:gridSpan w:val="2"/>
          </w:tcPr>
          <w:p>
            <w:pPr>
              <w:ind w:left="20"/>
              <w:spacing w:after="0" w:line="196" w:lineRule="exact"/>
              <w:rPr>
                <w:sz w:val="20"/>
                <w:szCs w:val="20"/>
                <w:color w:val="auto"/>
              </w:rPr>
            </w:pPr>
            <w:r>
              <w:rPr>
                <w:rFonts w:ascii="Arial" w:cs="Arial" w:eastAsia="Arial" w:hAnsi="Arial"/>
                <w:sz w:val="18"/>
                <w:szCs w:val="18"/>
                <w:color w:val="auto"/>
              </w:rPr>
              <w:t>Peer Group 75th Percentile</w:t>
            </w:r>
          </w:p>
        </w:tc>
        <w:tc>
          <w:tcPr>
            <w:tcW w:w="1460" w:type="dxa"/>
            <w:vAlign w:val="bottom"/>
            <w:tcBorders>
              <w:bottom w:val="single" w:sz="8" w:color="0070C0"/>
            </w:tcBorders>
          </w:tcPr>
          <w:p>
            <w:pPr>
              <w:jc w:val="right"/>
              <w:ind w:right="90"/>
              <w:spacing w:after="0" w:line="196" w:lineRule="exact"/>
              <w:rPr>
                <w:sz w:val="20"/>
                <w:szCs w:val="20"/>
                <w:color w:val="auto"/>
              </w:rPr>
            </w:pPr>
            <w:r>
              <w:rPr>
                <w:rFonts w:ascii="Arial" w:cs="Arial" w:eastAsia="Arial" w:hAnsi="Arial"/>
                <w:sz w:val="18"/>
                <w:szCs w:val="18"/>
                <w:color w:val="auto"/>
              </w:rPr>
              <w:t>$3,715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3471545</wp:posOffset>
            </wp:positionH>
            <wp:positionV relativeFrom="paragraph">
              <wp:posOffset>-2630805</wp:posOffset>
            </wp:positionV>
            <wp:extent cx="2606040" cy="26231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606040" cy="2623185"/>
                    </a:xfrm>
                    <a:prstGeom prst="rect">
                      <a:avLst/>
                    </a:prstGeom>
                    <a:noFill/>
                  </pic:spPr>
                </pic:pic>
              </a:graphicData>
            </a:graphic>
          </wp:anchor>
        </w:drawing>
      </w:r>
    </w:p>
    <w:p>
      <w:pPr>
        <w:spacing w:after="0" w:line="83" w:lineRule="exact"/>
        <w:rPr>
          <w:sz w:val="20"/>
          <w:szCs w:val="20"/>
          <w:color w:val="auto"/>
        </w:rPr>
      </w:pPr>
    </w:p>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of December 31, 2023.</w:t>
      </w:r>
    </w:p>
    <w:p>
      <w:pPr>
        <w:spacing w:after="0" w:line="13" w:lineRule="exact"/>
        <w:rPr>
          <w:rFonts w:ascii="Arial" w:cs="Arial" w:eastAsia="Arial" w:hAnsi="Arial"/>
          <w:sz w:val="18"/>
          <w:szCs w:val="18"/>
          <w:color w:val="auto"/>
        </w:rPr>
      </w:pPr>
    </w:p>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of December 31, 2023 or the most recently reported period as of March 2024.</w:t>
      </w:r>
    </w:p>
    <w:p>
      <w:pPr>
        <w:spacing w:after="0" w:line="299" w:lineRule="exact"/>
        <w:rPr>
          <w:sz w:val="20"/>
          <w:szCs w:val="20"/>
          <w:color w:val="auto"/>
        </w:rPr>
      </w:pPr>
    </w:p>
    <w:p>
      <w:pPr>
        <w:ind w:left="4"/>
        <w:spacing w:after="0"/>
        <w:rPr>
          <w:sz w:val="20"/>
          <w:szCs w:val="20"/>
          <w:color w:val="auto"/>
        </w:rPr>
      </w:pPr>
      <w:r>
        <w:rPr>
          <w:rFonts w:ascii="Arial" w:cs="Arial" w:eastAsia="Arial" w:hAnsi="Arial"/>
          <w:sz w:val="20"/>
          <w:szCs w:val="20"/>
          <w:color w:val="2E75B4"/>
        </w:rPr>
        <w:t>Advisory Stockholder Vote</w:t>
      </w:r>
    </w:p>
    <w:p>
      <w:pPr>
        <w:spacing w:after="0" w:line="205" w:lineRule="exact"/>
        <w:rPr>
          <w:sz w:val="20"/>
          <w:szCs w:val="20"/>
          <w:color w:val="auto"/>
        </w:rPr>
      </w:pPr>
    </w:p>
    <w:p>
      <w:pPr>
        <w:ind w:left="4" w:right="60"/>
        <w:spacing w:after="0" w:line="242" w:lineRule="auto"/>
        <w:rPr>
          <w:sz w:val="20"/>
          <w:szCs w:val="20"/>
          <w:color w:val="auto"/>
        </w:rPr>
      </w:pPr>
      <w:r>
        <w:rPr>
          <w:rFonts w:ascii="Arial" w:cs="Arial" w:eastAsia="Arial" w:hAnsi="Arial"/>
          <w:sz w:val="18"/>
          <w:szCs w:val="18"/>
          <w:color w:val="auto"/>
        </w:rPr>
        <w:t>Our executive compensation program received substantial stockholder support at the 2023 Annual Meeting of Stockholders, with more than 95% of the votes cast by our stockholders voting in favor. The CHC Committee believes that this level of support is indicative of our stockholders’ strong support of our executive compensation philosophy and goals. Say-on-pay votes provide valuable information regarding stockholder sentiment about our compensation program, which the CHC Committee considers when making future decisions. In accordance with the preference expressed by our stockholders in our most recent say-on-frequency vote in 2023 and as a matter of good corporate governance, our Board has committed to having an annual say-on-pay vote.</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20"/>
          <w:szCs w:val="20"/>
          <w:color w:val="2E75B4"/>
        </w:rPr>
        <w:t>Risk Management</w:t>
      </w:r>
    </w:p>
    <w:p>
      <w:pPr>
        <w:spacing w:after="0" w:line="205" w:lineRule="exact"/>
        <w:rPr>
          <w:sz w:val="20"/>
          <w:szCs w:val="20"/>
          <w:color w:val="auto"/>
        </w:rPr>
      </w:pPr>
    </w:p>
    <w:p>
      <w:pPr>
        <w:ind w:left="4" w:right="20"/>
        <w:spacing w:after="0" w:line="244" w:lineRule="auto"/>
        <w:rPr>
          <w:sz w:val="20"/>
          <w:szCs w:val="20"/>
          <w:color w:val="auto"/>
        </w:rPr>
      </w:pPr>
      <w:r>
        <w:rPr>
          <w:rFonts w:ascii="Arial" w:cs="Arial" w:eastAsia="Arial" w:hAnsi="Arial"/>
          <w:sz w:val="18"/>
          <w:szCs w:val="18"/>
          <w:color w:val="auto"/>
        </w:rPr>
        <w:t>The CHC Committee annually undertakes a risk assessment of our compensation programs with the aid of a risk analysis performed by Meridian, to determine whether our programs are appropriately designed to mitigate incentive for short-term risk-taking by executives that could be detrimental to the long-term best interests of the Company and its stockholders. The CHC Committee believes that any risks arising from our compensation programs are not reasonably likely to have a material adverse effect on the Company. The CHC Committee believes that the following features of our executive compensation program appropriately mitigate potential risks:</w:t>
      </w:r>
    </w:p>
    <w:p>
      <w:pPr>
        <w:spacing w:after="0" w:line="31" w:lineRule="exact"/>
        <w:rPr>
          <w:sz w:val="20"/>
          <w:szCs w:val="20"/>
          <w:color w:val="auto"/>
        </w:rPr>
      </w:pPr>
    </w:p>
    <w:p>
      <w:pPr>
        <w:ind w:left="424" w:hanging="316"/>
        <w:spacing w:after="0"/>
        <w:tabs>
          <w:tab w:leader="none" w:pos="424" w:val="left"/>
        </w:tabs>
        <w:numPr>
          <w:ilvl w:val="0"/>
          <w:numId w:val="29"/>
        </w:numPr>
        <w:rPr>
          <w:rFonts w:ascii="MS PGothic" w:cs="MS PGothic" w:eastAsia="MS PGothic" w:hAnsi="MS PGothic"/>
          <w:sz w:val="29"/>
          <w:szCs w:val="29"/>
          <w:color w:val="002060"/>
          <w:vertAlign w:val="superscript"/>
        </w:rPr>
      </w:pPr>
      <w:r>
        <w:rPr>
          <w:rFonts w:ascii="Arial" w:cs="Arial" w:eastAsia="Arial" w:hAnsi="Arial"/>
          <w:sz w:val="18"/>
          <w:szCs w:val="18"/>
          <w:u w:val="single" w:color="auto"/>
          <w:color w:val="auto"/>
        </w:rPr>
        <w:t>Performance Metrics</w:t>
      </w:r>
      <w:r>
        <w:rPr>
          <w:rFonts w:ascii="Arial" w:cs="Arial" w:eastAsia="Arial" w:hAnsi="Arial"/>
          <w:sz w:val="18"/>
          <w:szCs w:val="18"/>
          <w:color w:val="auto"/>
        </w:rPr>
        <w:t>. Pre-established performance metrics designed to reward success without encouraging excessive risk taking.</w:t>
      </w:r>
    </w:p>
    <w:p>
      <w:pPr>
        <w:spacing w:after="0" w:line="103" w:lineRule="exact"/>
        <w:rPr>
          <w:rFonts w:ascii="MS PGothic" w:cs="MS PGothic" w:eastAsia="MS PGothic" w:hAnsi="MS PGothic"/>
          <w:sz w:val="29"/>
          <w:szCs w:val="29"/>
          <w:color w:val="002060"/>
          <w:vertAlign w:val="superscript"/>
        </w:rPr>
      </w:pPr>
    </w:p>
    <w:p>
      <w:pPr>
        <w:ind w:left="424" w:right="320" w:hanging="316"/>
        <w:spacing w:after="0" w:line="204" w:lineRule="auto"/>
        <w:tabs>
          <w:tab w:leader="none" w:pos="424" w:val="left"/>
        </w:tabs>
        <w:numPr>
          <w:ilvl w:val="0"/>
          <w:numId w:val="29"/>
        </w:numPr>
        <w:rPr>
          <w:rFonts w:ascii="MS PGothic" w:cs="MS PGothic" w:eastAsia="MS PGothic" w:hAnsi="MS PGothic"/>
          <w:sz w:val="29"/>
          <w:szCs w:val="29"/>
          <w:color w:val="002060"/>
          <w:vertAlign w:val="superscript"/>
        </w:rPr>
      </w:pPr>
      <w:r>
        <w:rPr>
          <w:rFonts w:ascii="Arial" w:cs="Arial" w:eastAsia="Arial" w:hAnsi="Arial"/>
          <w:sz w:val="18"/>
          <w:szCs w:val="18"/>
          <w:u w:val="single" w:color="auto"/>
          <w:color w:val="auto"/>
        </w:rPr>
        <w:t>Equity Vesting</w:t>
      </w:r>
      <w:r>
        <w:rPr>
          <w:rFonts w:ascii="Arial" w:cs="Arial" w:eastAsia="Arial" w:hAnsi="Arial"/>
          <w:sz w:val="18"/>
          <w:szCs w:val="18"/>
          <w:color w:val="auto"/>
        </w:rPr>
        <w:t>. Our executives are awarded performance-based restricted stock that, if earned, vests over two years of continued service, rewarding stability and sustained performance.</w:t>
      </w:r>
    </w:p>
    <w:p>
      <w:pPr>
        <w:spacing w:after="0" w:line="86" w:lineRule="exact"/>
        <w:rPr>
          <w:rFonts w:ascii="MS PGothic" w:cs="MS PGothic" w:eastAsia="MS PGothic" w:hAnsi="MS PGothic"/>
          <w:sz w:val="29"/>
          <w:szCs w:val="29"/>
          <w:color w:val="002060"/>
          <w:vertAlign w:val="superscript"/>
        </w:rPr>
      </w:pPr>
    </w:p>
    <w:p>
      <w:pPr>
        <w:ind w:left="424" w:right="300" w:hanging="316"/>
        <w:spacing w:after="0" w:line="213" w:lineRule="auto"/>
        <w:tabs>
          <w:tab w:leader="none" w:pos="424" w:val="left"/>
        </w:tabs>
        <w:numPr>
          <w:ilvl w:val="0"/>
          <w:numId w:val="29"/>
        </w:numPr>
        <w:rPr>
          <w:rFonts w:ascii="MS PGothic" w:cs="MS PGothic" w:eastAsia="MS PGothic" w:hAnsi="MS PGothic"/>
          <w:sz w:val="29"/>
          <w:szCs w:val="29"/>
          <w:color w:val="002060"/>
          <w:vertAlign w:val="superscript"/>
        </w:rPr>
      </w:pPr>
      <w:r>
        <w:rPr>
          <w:rFonts w:ascii="Arial" w:cs="Arial" w:eastAsia="Arial" w:hAnsi="Arial"/>
          <w:sz w:val="18"/>
          <w:szCs w:val="18"/>
          <w:u w:val="single" w:color="auto"/>
          <w:color w:val="auto"/>
        </w:rPr>
        <w:t>Equity Retention</w:t>
      </w:r>
      <w:r>
        <w:rPr>
          <w:rFonts w:ascii="Arial" w:cs="Arial" w:eastAsia="Arial" w:hAnsi="Arial"/>
          <w:sz w:val="18"/>
          <w:szCs w:val="18"/>
          <w:color w:val="auto"/>
        </w:rPr>
        <w:t>. Our stock ownership policy requires our executives to own prescribed levels of Company common stock, linking their interests with those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699516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0070C0"/>
        </w:rPr>
        <w:t>Compensation Discussion and Analysis</w:t>
      </w:r>
    </w:p>
    <w:p>
      <w:pPr>
        <w:spacing w:after="0" w:line="5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0070C0"/>
        </w:rPr>
        <w:t>54</w:t>
      </w:r>
    </w:p>
    <w:p>
      <w:pPr>
        <w:sectPr>
          <w:pgSz w:w="11900" w:h="16838" w:orient="portrait"/>
          <w:cols w:equalWidth="0" w:num="1">
            <w:col w:w="11024"/>
          </w:cols>
          <w:pgMar w:left="436" w:top="292" w:right="439" w:bottom="1440" w:gutter="0" w:footer="0" w:header="0"/>
        </w:sectPr>
      </w:pPr>
    </w:p>
    <w:bookmarkStart w:id="62" w:name="page63"/>
    <w:bookmarkEnd w:id="62"/>
    <w:p>
      <w:pPr>
        <w:ind w:left="420" w:right="340" w:hanging="316"/>
        <w:spacing w:after="0" w:line="222" w:lineRule="auto"/>
        <w:tabs>
          <w:tab w:leader="none" w:pos="420" w:val="left"/>
        </w:tabs>
        <w:numPr>
          <w:ilvl w:val="0"/>
          <w:numId w:val="30"/>
        </w:numPr>
        <w:rPr>
          <w:rFonts w:ascii="MS PGothic" w:cs="MS PGothic" w:eastAsia="MS PGothic" w:hAnsi="MS PGothic"/>
          <w:sz w:val="29"/>
          <w:szCs w:val="29"/>
          <w:color w:val="002060"/>
          <w:vertAlign w:val="superscript"/>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 Hedging or Pledging</w:t>
      </w:r>
      <w:r>
        <w:rPr>
          <w:rFonts w:ascii="Arial" w:cs="Arial" w:eastAsia="Arial" w:hAnsi="Arial"/>
          <w:sz w:val="18"/>
          <w:szCs w:val="18"/>
          <w:color w:val="auto"/>
        </w:rPr>
        <w:t>. Our executives are prohibited from engaging in hedging or other monetization transactions involving Company securities, pledging Company securities as collateral and holding Company securities as collateral in a margin account (the Board has made an exception to the policy for our Chief Executive Officer, see Footnote 2 in the “</w:t>
      </w:r>
      <w:r>
        <w:rPr>
          <w:rFonts w:ascii="Arial" w:cs="Arial" w:eastAsia="Arial" w:hAnsi="Arial"/>
          <w:sz w:val="18"/>
          <w:szCs w:val="18"/>
          <w:i w:val="1"/>
          <w:iCs w:val="1"/>
          <w:color w:val="auto"/>
        </w:rPr>
        <w:t>Stock Ownership Table”</w:t>
      </w:r>
      <w:r>
        <w:rPr>
          <w:rFonts w:ascii="Arial" w:cs="Arial" w:eastAsia="Arial" w:hAnsi="Arial"/>
          <w:sz w:val="18"/>
          <w:szCs w:val="18"/>
          <w:color w:val="auto"/>
        </w:rPr>
        <w:t xml:space="preserve"> beginning on page 73).</w:t>
      </w:r>
    </w:p>
    <w:p>
      <w:pPr>
        <w:spacing w:after="0" w:line="88" w:lineRule="exact"/>
        <w:rPr>
          <w:rFonts w:ascii="MS PGothic" w:cs="MS PGothic" w:eastAsia="MS PGothic" w:hAnsi="MS PGothic"/>
          <w:sz w:val="29"/>
          <w:szCs w:val="29"/>
          <w:color w:val="002060"/>
          <w:vertAlign w:val="superscript"/>
        </w:rPr>
      </w:pPr>
    </w:p>
    <w:p>
      <w:pPr>
        <w:ind w:left="420" w:right="80" w:hanging="316"/>
        <w:spacing w:after="0" w:line="222" w:lineRule="auto"/>
        <w:tabs>
          <w:tab w:leader="none" w:pos="420" w:val="left"/>
        </w:tabs>
        <w:numPr>
          <w:ilvl w:val="0"/>
          <w:numId w:val="30"/>
        </w:numPr>
        <w:rPr>
          <w:rFonts w:ascii="MS PGothic" w:cs="MS PGothic" w:eastAsia="MS PGothic" w:hAnsi="MS PGothic"/>
          <w:sz w:val="29"/>
          <w:szCs w:val="29"/>
          <w:color w:val="002060"/>
          <w:vertAlign w:val="superscript"/>
        </w:rPr>
      </w:pPr>
      <w:r>
        <w:rPr>
          <w:rFonts w:ascii="Arial" w:cs="Arial" w:eastAsia="Arial" w:hAnsi="Arial"/>
          <w:sz w:val="18"/>
          <w:szCs w:val="18"/>
          <w:u w:val="single" w:color="auto"/>
          <w:color w:val="auto"/>
        </w:rPr>
        <w:t>Clawback Policy</w:t>
      </w:r>
      <w:r>
        <w:rPr>
          <w:rFonts w:ascii="Arial" w:cs="Arial" w:eastAsia="Arial" w:hAnsi="Arial"/>
          <w:sz w:val="18"/>
          <w:szCs w:val="18"/>
          <w:color w:val="auto"/>
        </w:rPr>
        <w:t>. The CHC Committee will recoup excess incentive compensation paid to an executive in the event of a restatement of our financial statements, and may recoup such compensation if an executive has engaged in grossly negligent or intentional misconduct that is a significant contributing factor to an accounting restatement, a significant increase in the value of such executive’s incentive compensation or substantial financial or reputational harm to the Company.</w:t>
      </w:r>
    </w:p>
    <w:p>
      <w:pPr>
        <w:spacing w:after="0" w:line="88" w:lineRule="exact"/>
        <w:rPr>
          <w:rFonts w:ascii="MS PGothic" w:cs="MS PGothic" w:eastAsia="MS PGothic" w:hAnsi="MS PGothic"/>
          <w:sz w:val="29"/>
          <w:szCs w:val="29"/>
          <w:color w:val="002060"/>
          <w:vertAlign w:val="superscript"/>
        </w:rPr>
      </w:pPr>
    </w:p>
    <w:p>
      <w:pPr>
        <w:ind w:left="420" w:right="40" w:hanging="316"/>
        <w:spacing w:after="0" w:line="213" w:lineRule="auto"/>
        <w:tabs>
          <w:tab w:leader="none" w:pos="420" w:val="left"/>
        </w:tabs>
        <w:numPr>
          <w:ilvl w:val="0"/>
          <w:numId w:val="30"/>
        </w:numPr>
        <w:rPr>
          <w:rFonts w:ascii="MS PGothic" w:cs="MS PGothic" w:eastAsia="MS PGothic" w:hAnsi="MS PGothic"/>
          <w:sz w:val="29"/>
          <w:szCs w:val="29"/>
          <w:color w:val="002060"/>
          <w:vertAlign w:val="superscript"/>
        </w:rPr>
      </w:pPr>
      <w:r>
        <w:rPr>
          <w:rFonts w:ascii="Arial" w:cs="Arial" w:eastAsia="Arial" w:hAnsi="Arial"/>
          <w:sz w:val="18"/>
          <w:szCs w:val="18"/>
          <w:u w:val="single" w:color="auto"/>
          <w:color w:val="auto"/>
        </w:rPr>
        <w:t>Other Factors</w:t>
      </w:r>
      <w:r>
        <w:rPr>
          <w:rFonts w:ascii="Arial" w:cs="Arial" w:eastAsia="Arial" w:hAnsi="Arial"/>
          <w:sz w:val="18"/>
          <w:szCs w:val="18"/>
          <w:color w:val="auto"/>
        </w:rPr>
        <w:t>. Other mitigating factors include benchmarking practices, oversight by a committee of independent directors and a mix of fixed and variable incentive compensation.</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Section 3 – Elements of our Compensation Program</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2E75B4"/>
        </w:rPr>
        <w:t>Compensation Components</w:t>
      </w:r>
    </w:p>
    <w:p>
      <w:pPr>
        <w:spacing w:after="0" w:line="164"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Our executive compensation program is designed to be simple, competitive and link pay to performance. We design our executive compensation program to reward financial and operational performance and to promote effective strategic leadership. Our approach to executive compensation for the 2023 fiscal year was substantially the same as the approach approved by our stockholders at the 2023 Annual Meeting of Stockholders.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program includes the following three key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163195</wp:posOffset>
            </wp:positionV>
            <wp:extent cx="6720840" cy="2228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720840" cy="222885"/>
                    </a:xfrm>
                    <a:prstGeom prst="rect">
                      <a:avLst/>
                    </a:prstGeom>
                    <a:noFill/>
                  </pic:spPr>
                </pic:pic>
              </a:graphicData>
            </a:graphic>
          </wp:anchor>
        </w:drawing>
      </w:r>
    </w:p>
    <w:p>
      <w:pPr>
        <w:sectPr>
          <w:pgSz w:w="11900" w:h="16838" w:orient="portrait"/>
          <w:cols w:equalWidth="0" w:num="1">
            <w:col w:w="11000"/>
          </w:cols>
          <w:pgMar w:left="440" w:top="296" w:right="459" w:bottom="1440" w:gutter="0" w:footer="0" w:header="0"/>
        </w:sectPr>
      </w:pPr>
    </w:p>
    <w:p>
      <w:pPr>
        <w:spacing w:after="0" w:line="306" w:lineRule="exact"/>
        <w:rPr>
          <w:sz w:val="20"/>
          <w:szCs w:val="20"/>
          <w:color w:val="auto"/>
        </w:rPr>
      </w:pPr>
    </w:p>
    <w:tbl>
      <w:tblPr>
        <w:tblLayout w:type="fixed"/>
        <w:tblInd w:w="420" w:type="dxa"/>
        <w:tblCellMar>
          <w:top w:w="0" w:type="dxa"/>
          <w:left w:w="0" w:type="dxa"/>
          <w:bottom w:w="0" w:type="dxa"/>
          <w:right w:w="0" w:type="dxa"/>
        </w:tblCellMar>
      </w:tblPr>
      <w:tr>
        <w:trPr>
          <w:trHeight w:val="247"/>
        </w:trPr>
        <w:tc>
          <w:tcPr>
            <w:tcW w:w="3740" w:type="dxa"/>
            <w:vAlign w:val="bottom"/>
          </w:tcPr>
          <w:p>
            <w:pPr>
              <w:ind w:left="1580"/>
              <w:spacing w:after="0"/>
              <w:rPr>
                <w:sz w:val="20"/>
                <w:szCs w:val="20"/>
                <w:color w:val="auto"/>
              </w:rPr>
            </w:pPr>
            <w:r>
              <w:rPr>
                <w:rFonts w:ascii="Arial" w:cs="Arial" w:eastAsia="Arial" w:hAnsi="Arial"/>
                <w:sz w:val="18"/>
                <w:szCs w:val="18"/>
                <w:b w:val="1"/>
                <w:bCs w:val="1"/>
                <w:color w:val="FFFFFF"/>
              </w:rPr>
              <w:t>Element</w:t>
            </w:r>
          </w:p>
        </w:tc>
        <w:tc>
          <w:tcPr>
            <w:tcW w:w="3200" w:type="dxa"/>
            <w:vAlign w:val="bottom"/>
          </w:tcPr>
          <w:p>
            <w:pPr>
              <w:ind w:left="1520"/>
              <w:spacing w:after="0"/>
              <w:rPr>
                <w:sz w:val="20"/>
                <w:szCs w:val="20"/>
                <w:color w:val="auto"/>
              </w:rPr>
            </w:pPr>
            <w:r>
              <w:rPr>
                <w:rFonts w:ascii="Arial" w:cs="Arial" w:eastAsia="Arial" w:hAnsi="Arial"/>
                <w:sz w:val="18"/>
                <w:szCs w:val="18"/>
                <w:b w:val="1"/>
                <w:bCs w:val="1"/>
                <w:color w:val="FFFFFF"/>
              </w:rPr>
              <w:t>Design</w:t>
            </w:r>
          </w:p>
        </w:tc>
        <w:tc>
          <w:tcPr>
            <w:tcW w:w="0" w:type="dxa"/>
            <w:vAlign w:val="bottom"/>
          </w:tcPr>
          <w:p>
            <w:pPr>
              <w:spacing w:after="0"/>
              <w:rPr>
                <w:sz w:val="1"/>
                <w:szCs w:val="1"/>
                <w:color w:val="auto"/>
              </w:rPr>
            </w:pPr>
          </w:p>
        </w:tc>
      </w:tr>
      <w:tr>
        <w:trPr>
          <w:trHeight w:val="56"/>
        </w:trPr>
        <w:tc>
          <w:tcPr>
            <w:tcW w:w="3740" w:type="dxa"/>
            <w:vAlign w:val="bottom"/>
          </w:tcPr>
          <w:p>
            <w:pPr>
              <w:spacing w:after="0"/>
              <w:rPr>
                <w:sz w:val="4"/>
                <w:szCs w:val="4"/>
                <w:color w:val="auto"/>
              </w:rPr>
            </w:pPr>
          </w:p>
        </w:tc>
        <w:tc>
          <w:tcPr>
            <w:tcW w:w="3200" w:type="dxa"/>
            <w:vAlign w:val="bottom"/>
            <w:vMerge w:val="restart"/>
          </w:tcPr>
          <w:p>
            <w:pPr>
              <w:ind w:left="180"/>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Fixed cash compensation.</w:t>
            </w:r>
          </w:p>
        </w:tc>
        <w:tc>
          <w:tcPr>
            <w:tcW w:w="0" w:type="dxa"/>
            <w:vAlign w:val="bottom"/>
          </w:tcPr>
          <w:p>
            <w:pPr>
              <w:spacing w:after="0"/>
              <w:rPr>
                <w:sz w:val="1"/>
                <w:szCs w:val="1"/>
                <w:color w:val="auto"/>
              </w:rPr>
            </w:pPr>
          </w:p>
        </w:tc>
      </w:tr>
      <w:tr>
        <w:trPr>
          <w:trHeight w:val="224"/>
        </w:trPr>
        <w:tc>
          <w:tcPr>
            <w:tcW w:w="3740" w:type="dxa"/>
            <w:vAlign w:val="bottom"/>
            <w:shd w:val="clear" w:color="auto" w:fill="D5DCE4"/>
          </w:tcPr>
          <w:p>
            <w:pPr>
              <w:ind w:left="120"/>
              <w:spacing w:after="0"/>
              <w:rPr>
                <w:sz w:val="20"/>
                <w:szCs w:val="20"/>
                <w:color w:val="auto"/>
              </w:rPr>
            </w:pPr>
            <w:r>
              <w:rPr>
                <w:rFonts w:ascii="Arial" w:cs="Arial" w:eastAsia="Arial" w:hAnsi="Arial"/>
                <w:sz w:val="18"/>
                <w:szCs w:val="18"/>
                <w:color w:val="auto"/>
              </w:rPr>
              <w:t>Base Salary</w:t>
            </w:r>
          </w:p>
        </w:tc>
        <w:tc>
          <w:tcPr>
            <w:tcW w:w="3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D5DCE4"/>
          </w:tcPr>
          <w:p>
            <w:pPr>
              <w:spacing w:after="0"/>
              <w:rPr>
                <w:sz w:val="17"/>
                <w:szCs w:val="17"/>
                <w:color w:val="auto"/>
              </w:rPr>
            </w:pPr>
          </w:p>
        </w:tc>
        <w:tc>
          <w:tcPr>
            <w:tcW w:w="3200" w:type="dxa"/>
            <w:vAlign w:val="bottom"/>
          </w:tcPr>
          <w:p>
            <w:pPr>
              <w:ind w:left="180"/>
              <w:spacing w:after="0" w:line="202"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Reviewed annually and adjusted as</w:t>
            </w:r>
          </w:p>
        </w:tc>
        <w:tc>
          <w:tcPr>
            <w:tcW w:w="0" w:type="dxa"/>
            <w:vAlign w:val="bottom"/>
          </w:tcPr>
          <w:p>
            <w:pPr>
              <w:spacing w:after="0"/>
              <w:rPr>
                <w:sz w:val="1"/>
                <w:szCs w:val="1"/>
                <w:color w:val="auto"/>
              </w:rPr>
            </w:pPr>
          </w:p>
        </w:tc>
      </w:tr>
      <w:tr>
        <w:trPr>
          <w:trHeight w:val="203"/>
        </w:trPr>
        <w:tc>
          <w:tcPr>
            <w:tcW w:w="3740" w:type="dxa"/>
            <w:vAlign w:val="bottom"/>
            <w:shd w:val="clear" w:color="auto" w:fill="D5DCE4"/>
          </w:tcPr>
          <w:p>
            <w:pPr>
              <w:spacing w:after="0"/>
              <w:rPr>
                <w:sz w:val="17"/>
                <w:szCs w:val="17"/>
                <w:color w:val="auto"/>
              </w:rPr>
            </w:pPr>
          </w:p>
        </w:tc>
        <w:tc>
          <w:tcPr>
            <w:tcW w:w="3200" w:type="dxa"/>
            <w:vAlign w:val="bottom"/>
          </w:tcPr>
          <w:p>
            <w:pPr>
              <w:ind w:left="360"/>
              <w:spacing w:after="0" w:line="202" w:lineRule="exact"/>
              <w:rPr>
                <w:sz w:val="20"/>
                <w:szCs w:val="20"/>
                <w:color w:val="auto"/>
              </w:rPr>
            </w:pPr>
            <w:r>
              <w:rPr>
                <w:rFonts w:ascii="Arial" w:cs="Arial" w:eastAsia="Arial" w:hAnsi="Arial"/>
                <w:sz w:val="18"/>
                <w:szCs w:val="18"/>
                <w:color w:val="auto"/>
              </w:rPr>
              <w:t>appropriate, based on level of</w:t>
            </w:r>
          </w:p>
        </w:tc>
        <w:tc>
          <w:tcPr>
            <w:tcW w:w="0" w:type="dxa"/>
            <w:vAlign w:val="bottom"/>
          </w:tcPr>
          <w:p>
            <w:pPr>
              <w:spacing w:after="0"/>
              <w:rPr>
                <w:sz w:val="1"/>
                <w:szCs w:val="1"/>
                <w:color w:val="auto"/>
              </w:rPr>
            </w:pPr>
          </w:p>
        </w:tc>
      </w:tr>
      <w:tr>
        <w:trPr>
          <w:trHeight w:val="203"/>
        </w:trPr>
        <w:tc>
          <w:tcPr>
            <w:tcW w:w="3740" w:type="dxa"/>
            <w:vAlign w:val="bottom"/>
            <w:shd w:val="clear" w:color="auto" w:fill="D5DCE4"/>
          </w:tcPr>
          <w:p>
            <w:pPr>
              <w:spacing w:after="0"/>
              <w:rPr>
                <w:sz w:val="17"/>
                <w:szCs w:val="17"/>
                <w:color w:val="auto"/>
              </w:rPr>
            </w:pPr>
          </w:p>
        </w:tc>
        <w:tc>
          <w:tcPr>
            <w:tcW w:w="3200" w:type="dxa"/>
            <w:vAlign w:val="bottom"/>
          </w:tcPr>
          <w:p>
            <w:pPr>
              <w:ind w:left="360"/>
              <w:spacing w:after="0" w:line="202" w:lineRule="exact"/>
              <w:rPr>
                <w:sz w:val="20"/>
                <w:szCs w:val="20"/>
                <w:color w:val="auto"/>
              </w:rPr>
            </w:pPr>
            <w:r>
              <w:rPr>
                <w:rFonts w:ascii="Arial" w:cs="Arial" w:eastAsia="Arial" w:hAnsi="Arial"/>
                <w:sz w:val="18"/>
                <w:szCs w:val="18"/>
                <w:color w:val="auto"/>
                <w:w w:val="99"/>
              </w:rPr>
              <w:t>responsibility, performance, internal</w:t>
            </w:r>
          </w:p>
        </w:tc>
        <w:tc>
          <w:tcPr>
            <w:tcW w:w="0" w:type="dxa"/>
            <w:vAlign w:val="bottom"/>
          </w:tcPr>
          <w:p>
            <w:pPr>
              <w:spacing w:after="0"/>
              <w:rPr>
                <w:sz w:val="1"/>
                <w:szCs w:val="1"/>
                <w:color w:val="auto"/>
              </w:rPr>
            </w:pPr>
          </w:p>
        </w:tc>
      </w:tr>
      <w:tr>
        <w:trPr>
          <w:trHeight w:val="239"/>
        </w:trPr>
        <w:tc>
          <w:tcPr>
            <w:tcW w:w="3740" w:type="dxa"/>
            <w:vAlign w:val="bottom"/>
            <w:shd w:val="clear" w:color="auto" w:fill="D5DCE4"/>
          </w:tcPr>
          <w:p>
            <w:pPr>
              <w:spacing w:after="0"/>
              <w:rPr>
                <w:sz w:val="20"/>
                <w:szCs w:val="20"/>
                <w:color w:val="auto"/>
              </w:rPr>
            </w:pPr>
          </w:p>
        </w:tc>
        <w:tc>
          <w:tcPr>
            <w:tcW w:w="3200" w:type="dxa"/>
            <w:vAlign w:val="bottom"/>
          </w:tcPr>
          <w:p>
            <w:pPr>
              <w:ind w:left="360"/>
              <w:spacing w:after="0"/>
              <w:rPr>
                <w:sz w:val="20"/>
                <w:szCs w:val="20"/>
                <w:color w:val="auto"/>
              </w:rPr>
            </w:pPr>
            <w:r>
              <w:rPr>
                <w:rFonts w:ascii="Arial" w:cs="Arial" w:eastAsia="Arial" w:hAnsi="Arial"/>
                <w:sz w:val="18"/>
                <w:szCs w:val="18"/>
                <w:color w:val="auto"/>
              </w:rPr>
              <w:t>pay equity and competitiveness.</w:t>
            </w:r>
          </w:p>
        </w:tc>
        <w:tc>
          <w:tcPr>
            <w:tcW w:w="0" w:type="dxa"/>
            <w:vAlign w:val="bottom"/>
          </w:tcPr>
          <w:p>
            <w:pPr>
              <w:spacing w:after="0"/>
              <w:rPr>
                <w:sz w:val="1"/>
                <w:szCs w:val="1"/>
                <w:color w:val="auto"/>
              </w:rPr>
            </w:pPr>
          </w:p>
        </w:tc>
      </w:tr>
      <w:tr>
        <w:trPr>
          <w:trHeight w:val="252"/>
        </w:trPr>
        <w:tc>
          <w:tcPr>
            <w:tcW w:w="3740" w:type="dxa"/>
            <w:vAlign w:val="bottom"/>
            <w:shd w:val="clear" w:color="auto" w:fill="D5DCE4"/>
          </w:tcPr>
          <w:p>
            <w:pPr>
              <w:spacing w:after="0"/>
              <w:rPr>
                <w:sz w:val="21"/>
                <w:szCs w:val="21"/>
                <w:color w:val="auto"/>
              </w:rPr>
            </w:pPr>
          </w:p>
        </w:tc>
        <w:tc>
          <w:tcPr>
            <w:tcW w:w="3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-839470</wp:posOffset>
            </wp:positionV>
            <wp:extent cx="6995160" cy="33686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33686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FFFFFF"/>
        </w:rPr>
        <w:t>Purpose</w:t>
      </w:r>
    </w:p>
    <w:p>
      <w:pPr>
        <w:spacing w:after="0" w:line="77" w:lineRule="exact"/>
        <w:rPr>
          <w:sz w:val="20"/>
          <w:szCs w:val="20"/>
          <w:color w:val="auto"/>
        </w:rPr>
      </w:pPr>
    </w:p>
    <w:p>
      <w:pPr>
        <w:ind w:left="180" w:hanging="179"/>
        <w:spacing w:after="0" w:line="215" w:lineRule="exact"/>
        <w:rPr>
          <w:sz w:val="20"/>
          <w:szCs w:val="20"/>
          <w:color w:val="auto"/>
        </w:rPr>
      </w:pPr>
      <w:r>
        <w:rPr>
          <w:rFonts w:ascii="MS PGothic" w:cs="MS PGothic" w:eastAsia="MS PGothic" w:hAnsi="MS PGothic"/>
          <w:sz w:val="13"/>
          <w:szCs w:val="13"/>
          <w:color w:val="002060"/>
        </w:rPr>
        <w:t>∎</w:t>
      </w:r>
      <w:r>
        <w:rPr>
          <w:rFonts w:ascii="Arial" w:cs="Arial" w:eastAsia="Arial" w:hAnsi="Arial"/>
          <w:sz w:val="17"/>
          <w:szCs w:val="17"/>
          <w:color w:val="auto"/>
        </w:rPr>
        <w:t>  Provides a fixed source of income to attract and retain executives with proven skills and leadership abilities.</w:t>
      </w:r>
    </w:p>
    <w:p>
      <w:pPr>
        <w:spacing w:after="0" w:line="5" w:lineRule="exact"/>
        <w:rPr>
          <w:sz w:val="20"/>
          <w:szCs w:val="20"/>
          <w:color w:val="auto"/>
        </w:rPr>
      </w:pPr>
    </w:p>
    <w:p>
      <w:pPr>
        <w:ind w:left="180" w:right="360" w:hanging="179"/>
        <w:spacing w:after="0" w:line="214"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Rewards scope of responsibility, experience and individual performance.</w:t>
      </w:r>
    </w:p>
    <w:p>
      <w:pPr>
        <w:spacing w:after="0" w:line="53" w:lineRule="exact"/>
        <w:rPr>
          <w:sz w:val="20"/>
          <w:szCs w:val="20"/>
          <w:color w:val="auto"/>
        </w:rPr>
      </w:pPr>
    </w:p>
    <w:p>
      <w:pPr>
        <w:sectPr>
          <w:pgSz w:w="11900" w:h="16838" w:orient="portrait"/>
          <w:cols w:equalWidth="0" w:num="2">
            <w:col w:w="7360" w:space="540"/>
            <w:col w:w="3100"/>
          </w:cols>
          <w:pgMar w:left="440" w:top="296" w:right="459" w:bottom="1440" w:gutter="0" w:footer="0" w:header="0"/>
          <w:type w:val="continuous"/>
        </w:sectPr>
      </w:pPr>
    </w:p>
    <w:p>
      <w:pPr>
        <w:ind w:left="540"/>
        <w:spacing w:after="0" w:line="207" w:lineRule="exact"/>
        <w:tabs>
          <w:tab w:leader="none" w:pos="4320" w:val="left"/>
        </w:tabs>
        <w:rPr>
          <w:sz w:val="20"/>
          <w:szCs w:val="20"/>
          <w:color w:val="auto"/>
        </w:rPr>
      </w:pPr>
      <w:r>
        <w:rPr>
          <w:rFonts w:ascii="Arial" w:cs="Arial" w:eastAsia="Arial" w:hAnsi="Arial"/>
          <w:sz w:val="18"/>
          <w:szCs w:val="18"/>
          <w:color w:val="auto"/>
        </w:rPr>
        <w:t>Performance-Based Cash Incentives</w:t>
      </w:r>
      <w:r>
        <w:rPr>
          <w:sz w:val="20"/>
          <w:szCs w:val="20"/>
          <w:color w:val="auto"/>
        </w:rPr>
        <w:tab/>
      </w:r>
      <w:r>
        <w:rPr>
          <w:rFonts w:ascii="MS PGothic" w:cs="MS PGothic" w:eastAsia="MS PGothic" w:hAnsi="MS PGothic"/>
          <w:sz w:val="14"/>
          <w:szCs w:val="14"/>
          <w:color w:val="002060"/>
        </w:rPr>
        <w:t>∎</w:t>
      </w:r>
      <w:r>
        <w:rPr>
          <w:rFonts w:ascii="Arial" w:cs="Arial" w:eastAsia="Arial" w:hAnsi="Arial"/>
          <w:sz w:val="17"/>
          <w:szCs w:val="17"/>
          <w:color w:val="000000"/>
        </w:rPr>
        <w:t>  At-risk cash compensation based on</w:t>
      </w:r>
    </w:p>
    <w:p>
      <w:pPr>
        <w:spacing w:after="0" w:line="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achievement of objective</w:t>
      </w:r>
    </w:p>
    <w:p>
      <w:pPr>
        <w:ind w:left="4520"/>
        <w:spacing w:after="0" w:line="234" w:lineRule="auto"/>
        <w:rPr>
          <w:sz w:val="20"/>
          <w:szCs w:val="20"/>
          <w:color w:val="auto"/>
        </w:rPr>
      </w:pPr>
      <w:r>
        <w:rPr>
          <w:rFonts w:ascii="Arial" w:cs="Arial" w:eastAsia="Arial" w:hAnsi="Arial"/>
          <w:sz w:val="18"/>
          <w:szCs w:val="18"/>
          <w:color w:val="auto"/>
        </w:rPr>
        <w:t>pre-established corporate financial</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performance goals.</w:t>
      </w:r>
    </w:p>
    <w:p>
      <w:pPr>
        <w:spacing w:after="0" w:line="18" w:lineRule="exact"/>
        <w:rPr>
          <w:sz w:val="20"/>
          <w:szCs w:val="20"/>
          <w:color w:val="auto"/>
        </w:rPr>
      </w:pPr>
    </w:p>
    <w:p>
      <w:pPr>
        <w:ind w:left="4340"/>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Earned only if at least 50% of target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goal is achieved; capped at 200% of</w:t>
      </w:r>
    </w:p>
    <w:p>
      <w:pPr>
        <w:ind w:left="4520"/>
        <w:spacing w:after="0"/>
        <w:rPr>
          <w:sz w:val="20"/>
          <w:szCs w:val="20"/>
          <w:color w:val="auto"/>
        </w:rPr>
      </w:pPr>
      <w:r>
        <w:rPr>
          <w:rFonts w:ascii="Arial" w:cs="Arial" w:eastAsia="Arial" w:hAnsi="Arial"/>
          <w:sz w:val="18"/>
          <w:szCs w:val="18"/>
          <w:color w:val="auto"/>
        </w:rPr>
        <w:t>target.</w:t>
      </w:r>
    </w:p>
    <w:p>
      <w:pPr>
        <w:spacing w:after="0" w:line="20" w:lineRule="exact"/>
        <w:rPr>
          <w:sz w:val="20"/>
          <w:szCs w:val="20"/>
          <w:color w:val="auto"/>
        </w:rPr>
      </w:pPr>
      <w:r>
        <w:rPr>
          <w:sz w:val="20"/>
          <w:szCs w:val="20"/>
          <w:color w:val="auto"/>
        </w:rPr>
        <w:br w:type="column"/>
      </w:r>
    </w:p>
    <w:p>
      <w:pPr>
        <w:ind w:right="40" w:hanging="179"/>
        <w:spacing w:after="0" w:line="186"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To motivate and reward executives to achieve short term performance objectives that are key to our annual financial and strategic goals, without creating an incentive to take excessive risk.</w:t>
      </w:r>
    </w:p>
    <w:p>
      <w:pPr>
        <w:spacing w:after="0" w:line="292" w:lineRule="exact"/>
        <w:rPr>
          <w:sz w:val="20"/>
          <w:szCs w:val="20"/>
          <w:color w:val="auto"/>
        </w:rPr>
      </w:pPr>
    </w:p>
    <w:p>
      <w:pPr>
        <w:sectPr>
          <w:pgSz w:w="11900" w:h="16838" w:orient="portrait"/>
          <w:cols w:equalWidth="0" w:num="2">
            <w:col w:w="7420" w:space="660"/>
            <w:col w:w="2920"/>
          </w:cols>
          <w:pgMar w:left="440" w:top="296" w:right="459" w:bottom="1440" w:gutter="0" w:footer="0" w:header="0"/>
          <w:type w:val="continuous"/>
        </w:sectPr>
      </w:pPr>
    </w:p>
    <w:p>
      <w:pPr>
        <w:ind w:left="540"/>
        <w:spacing w:after="0" w:line="207" w:lineRule="exact"/>
        <w:tabs>
          <w:tab w:leader="none" w:pos="4320" w:val="left"/>
        </w:tabs>
        <w:rPr>
          <w:sz w:val="20"/>
          <w:szCs w:val="20"/>
          <w:color w:val="auto"/>
        </w:rPr>
      </w:pPr>
      <w:r>
        <w:rPr>
          <w:rFonts w:ascii="Arial" w:cs="Arial" w:eastAsia="Arial" w:hAnsi="Arial"/>
          <w:sz w:val="18"/>
          <w:szCs w:val="18"/>
          <w:color w:val="auto"/>
        </w:rPr>
        <w:t>Performance-Based Equity Incentives</w:t>
      </w:r>
      <w:r>
        <w:rPr>
          <w:sz w:val="20"/>
          <w:szCs w:val="20"/>
          <w:color w:val="auto"/>
        </w:rPr>
        <w:tab/>
      </w:r>
      <w:r>
        <w:rPr>
          <w:rFonts w:ascii="MS PGothic" w:cs="MS PGothic" w:eastAsia="MS PGothic" w:hAnsi="MS PGothic"/>
          <w:sz w:val="14"/>
          <w:szCs w:val="14"/>
          <w:color w:val="002060"/>
        </w:rPr>
        <w:t>∎</w:t>
      </w:r>
      <w:r>
        <w:rPr>
          <w:rFonts w:ascii="Arial" w:cs="Arial" w:eastAsia="Arial" w:hAnsi="Arial"/>
          <w:sz w:val="17"/>
          <w:szCs w:val="17"/>
          <w:color w:val="000000"/>
        </w:rPr>
        <w:t>  At-risk equity compensation based 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achievement of objective,</w:t>
      </w:r>
    </w:p>
    <w:p>
      <w:pPr>
        <w:ind w:left="4520"/>
        <w:spacing w:after="0" w:line="234" w:lineRule="auto"/>
        <w:rPr>
          <w:sz w:val="20"/>
          <w:szCs w:val="20"/>
          <w:color w:val="auto"/>
        </w:rPr>
      </w:pPr>
      <w:r>
        <w:rPr>
          <w:rFonts w:ascii="Arial" w:cs="Arial" w:eastAsia="Arial" w:hAnsi="Arial"/>
          <w:sz w:val="18"/>
          <w:szCs w:val="18"/>
          <w:color w:val="auto"/>
        </w:rPr>
        <w:t>pre-established corporate financial</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performance goals.</w:t>
      </w:r>
    </w:p>
    <w:p>
      <w:pPr>
        <w:spacing w:after="0" w:line="18" w:lineRule="exact"/>
        <w:rPr>
          <w:sz w:val="20"/>
          <w:szCs w:val="20"/>
          <w:color w:val="auto"/>
        </w:rPr>
      </w:pPr>
    </w:p>
    <w:p>
      <w:pPr>
        <w:ind w:left="4340"/>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Granted as shares of restricted stock.</w:t>
      </w:r>
    </w:p>
    <w:p>
      <w:pPr>
        <w:spacing w:after="0" w:line="40" w:lineRule="exact"/>
        <w:rPr>
          <w:sz w:val="20"/>
          <w:szCs w:val="20"/>
          <w:color w:val="auto"/>
        </w:rPr>
      </w:pPr>
    </w:p>
    <w:p>
      <w:pPr>
        <w:ind w:left="4340"/>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Earned only if at least 50% of target</w:t>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goal is achieved; capped at 200% of</w:t>
      </w:r>
    </w:p>
    <w:p>
      <w:pPr>
        <w:ind w:left="4520"/>
        <w:spacing w:after="0"/>
        <w:rPr>
          <w:sz w:val="20"/>
          <w:szCs w:val="20"/>
          <w:color w:val="auto"/>
        </w:rPr>
      </w:pPr>
      <w:r>
        <w:rPr>
          <w:rFonts w:ascii="Arial" w:cs="Arial" w:eastAsia="Arial" w:hAnsi="Arial"/>
          <w:sz w:val="18"/>
          <w:szCs w:val="18"/>
          <w:color w:val="auto"/>
        </w:rPr>
        <w:t>target.</w:t>
      </w:r>
    </w:p>
    <w:p>
      <w:pPr>
        <w:spacing w:after="0" w:line="18" w:lineRule="exact"/>
        <w:rPr>
          <w:sz w:val="20"/>
          <w:szCs w:val="20"/>
          <w:color w:val="auto"/>
        </w:rPr>
      </w:pPr>
    </w:p>
    <w:p>
      <w:pPr>
        <w:ind w:left="4340"/>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Vests over two years of continued</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service after satisfaction of</w:t>
      </w:r>
    </w:p>
    <w:p>
      <w:pPr>
        <w:ind w:left="4520"/>
        <w:spacing w:after="0"/>
        <w:rPr>
          <w:sz w:val="20"/>
          <w:szCs w:val="20"/>
          <w:color w:val="auto"/>
        </w:rPr>
      </w:pPr>
      <w:r>
        <w:rPr>
          <w:rFonts w:ascii="Arial" w:cs="Arial" w:eastAsia="Arial" w:hAnsi="Arial"/>
          <w:sz w:val="18"/>
          <w:szCs w:val="18"/>
          <w:color w:val="auto"/>
        </w:rPr>
        <w:t>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80" w:right="120" w:hanging="179"/>
        <w:spacing w:after="0" w:line="192"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To motivate and reward executives for focusing on sustained long-term growth and financial success, aligned with stockholder value.</w:t>
      </w:r>
    </w:p>
    <w:p>
      <w:pPr>
        <w:spacing w:after="0" w:line="5" w:lineRule="exact"/>
        <w:rPr>
          <w:sz w:val="20"/>
          <w:szCs w:val="20"/>
          <w:color w:val="auto"/>
        </w:rPr>
      </w:pPr>
    </w:p>
    <w:p>
      <w:pPr>
        <w:spacing w:after="0" w:line="207"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Enhances retention of key talent.</w:t>
      </w:r>
    </w:p>
    <w:p>
      <w:pPr>
        <w:spacing w:after="0" w:line="40" w:lineRule="exact"/>
        <w:rPr>
          <w:sz w:val="20"/>
          <w:szCs w:val="20"/>
          <w:color w:val="auto"/>
        </w:rPr>
      </w:pPr>
    </w:p>
    <w:p>
      <w:pPr>
        <w:ind w:left="180" w:right="920" w:hanging="179"/>
        <w:spacing w:after="0" w:line="219" w:lineRule="exact"/>
        <w:rPr>
          <w:sz w:val="20"/>
          <w:szCs w:val="20"/>
          <w:color w:val="auto"/>
        </w:rPr>
      </w:pPr>
      <w:r>
        <w:rPr>
          <w:rFonts w:ascii="MS PGothic" w:cs="MS PGothic" w:eastAsia="MS PGothic" w:hAnsi="MS PGothic"/>
          <w:sz w:val="14"/>
          <w:szCs w:val="14"/>
          <w:color w:val="002060"/>
        </w:rPr>
        <w:t>∎</w:t>
      </w:r>
      <w:r>
        <w:rPr>
          <w:rFonts w:ascii="Arial" w:cs="Arial" w:eastAsia="Arial" w:hAnsi="Arial"/>
          <w:sz w:val="18"/>
          <w:szCs w:val="18"/>
          <w:color w:val="auto"/>
        </w:rPr>
        <w:t>  Aligns compensation with stockholder value.</w:t>
      </w:r>
    </w:p>
    <w:p>
      <w:pPr>
        <w:spacing w:after="0" w:line="1037" w:lineRule="exact"/>
        <w:rPr>
          <w:sz w:val="20"/>
          <w:szCs w:val="20"/>
          <w:color w:val="auto"/>
        </w:rPr>
      </w:pPr>
    </w:p>
    <w:p>
      <w:pPr>
        <w:sectPr>
          <w:pgSz w:w="11900" w:h="16838" w:orient="portrait"/>
          <w:cols w:equalWidth="0" w:num="2">
            <w:col w:w="7520" w:space="380"/>
            <w:col w:w="3100"/>
          </w:cols>
          <w:pgMar w:left="440" w:top="296" w:right="459" w:bottom="1440" w:gutter="0" w:footer="0" w:header="0"/>
          <w:type w:val="continuous"/>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Compensation Discussion and Analysis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55</w:t>
      </w:r>
    </w:p>
    <w:p>
      <w:pPr>
        <w:sectPr>
          <w:pgSz w:w="11900" w:h="16838" w:orient="portrait"/>
          <w:cols w:equalWidth="0" w:num="1">
            <w:col w:w="11000"/>
          </w:cols>
          <w:pgMar w:left="440" w:top="296" w:right="459" w:bottom="1440" w:gutter="0" w:footer="0" w:header="0"/>
          <w:type w:val="continuous"/>
        </w:sectPr>
      </w:pPr>
    </w:p>
    <w:bookmarkStart w:id="63" w:name="page64"/>
    <w:bookmarkEnd w:id="63"/>
    <w:p>
      <w:pPr>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Our executive compensation program includes both fixed components (base salary and benefits) and variable components (short- and long-term incentive awards) that are directly tied to our financial and operational performance. The CHC Committee annually considers the mix of compensation and may make adjustments after giving consideration to evolving circumstances, the individuals involved and their responsibilities and performance. The CHC Committee believes this mix of components is appropriate because it incentivizes our NEOs to focus on both short- and long-term success, aligns their interests with those of our stockholders and is consistent with peer group practices. The CHC Committee strives to achieve an appropriate balance among the elements of our compensation program, but does not apply any set formula in allocating the components. We do not provide perquisites or other special benefits to our executive officers that are not generally available to our salaried employees, other than auto leases or allowances (including insurance) and cell phones. We provide no pension plans or other retirement benefits to our executive officers other than our 401(k) plan, which is available to all of our eligible employees, and our non-qualified deferred compensation plan, which allows our executive officers and other highly compensated employees to defer a portion of their eligible compensation above 401(k) plan limits.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2E75B4"/>
        </w:rPr>
        <w:t>Base Salary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provide base salaries to our NEOs to compensate them for performing day-to-day responsibilities and to provide competitive fixed pay to balance at-risk compensation. Base salary is intended to provide a fundamental level of compensation so that our executives do not feel pressured to take unnecessary or excessive risks or to focus on the price of our common stock. The CHC Committee reviews base salaries annually, in the first quarter of each year, and takes into consideration comparative peer group data, the scope of the executive’s responsibilities, skills, tenure, experience, individual contribution, retention objectives, internal pay equity and overall mix and aggregate amount of compensation elements. Salary adjustments, if any, typically become effective on April 1 of each year. Our Chief Executive Officer’s employment agreement provides for a minimum annual base salary of $600,000, but does not provide for guaranteed salary increases. See “</w:t>
      </w:r>
      <w:r>
        <w:rPr>
          <w:rFonts w:ascii="Arial" w:cs="Arial" w:eastAsia="Arial" w:hAnsi="Arial"/>
          <w:sz w:val="18"/>
          <w:szCs w:val="18"/>
          <w:i w:val="1"/>
          <w:iCs w:val="1"/>
          <w:color w:val="auto"/>
        </w:rPr>
        <w:t>Employment Agreement with Jeffrey W. Edwards</w:t>
      </w:r>
      <w:r>
        <w:rPr>
          <w:rFonts w:ascii="Arial" w:cs="Arial" w:eastAsia="Arial" w:hAnsi="Arial"/>
          <w:sz w:val="18"/>
          <w:szCs w:val="18"/>
          <w:color w:val="auto"/>
        </w:rPr>
        <w:t>” below for more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2E75B4"/>
        </w:rPr>
        <w:t>Performance-Based Cash Incentives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provide our NEOs with annual performance-based cash incentive opportunities, which are designed to reward achievement of short-term performance goals. Incentive award opportunities are tied to the achievement of an objective pre-determined performance metric that is directly related to our financial performance for the year. In February of each year, the CHC Committee, after considering the recommendations of management, sets an annual financial performance target for the year based primarily on the Board-approved budget for the year and establishes for each NEO a target cash bonus expressed as a fixed dollar amount. The cash bonus earned may be above or below target, based on the degree to which the performance metric is met. If the performance metric is achieved at a minimum of 50%, at least some portion of the cash award is earned. Awards are capped at 200% of target. The executive generally must remain employed through the end of the performance period to be eligible for any cash bonus.</w:t>
      </w:r>
    </w:p>
    <w:p>
      <w:pPr>
        <w:spacing w:after="0" w:line="180"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In setting performance goals each year, the CHC Committee uses a one-year performance metric so that performance targets reflect current industry conditions, upon which the Company is heavily dependent. This approach takes into account that the Company operates in the residential and commercial construction industry, which is cyclical, seasonal and highly sensitive to macroeconomic and housing market factors over which our executives have no control, including interest rates; inflation; employment levels; housing demand; affordability; material prices; availability and pricing of mortgage financing; financial, political system and credit market stability; consumer confidence and general economic conditions.</w:t>
      </w:r>
    </w:p>
    <w:p>
      <w:pPr>
        <w:spacing w:after="0" w:line="17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CHC Committee currently uses Adjusted EBITDA as our performance metric because the committee believes that it serves as the best measure of the success of our growth strategies, provides an effective incentive to maximize operating profitability and aligns management awards with the financial interests of our stockholders. The CHC Committee believes Adjusted EBITDA is the most useful measure of profitability and operating performance as it measures changes in pricing decisions, cost controls and other factors that impact operating performance and removes the effect of our capital structure, asset base, items outside our control and volatility related to the timing and extent of activities such as asset impairments and non-core income and expenses. The annual performance target set by the CHC Committee is based on the budget approved by the Board and the annual and long-term business plan established at the beginning of each fiscal year and is intended to be challenging but fair. The budget and business plan are based upon certain assumptions and estimates of the housing and commercial markets, Company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699516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Compensation Discussion and Analysis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56</w:t>
      </w:r>
    </w:p>
    <w:p>
      <w:pPr>
        <w:sectPr>
          <w:pgSz w:w="11900" w:h="16838" w:orient="portrait"/>
          <w:cols w:equalWidth="0" w:num="1">
            <w:col w:w="11000"/>
          </w:cols>
          <w:pgMar w:left="440" w:top="296" w:right="45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objectives and macroeconomic conditions. The performance target established by the CHC Committee in the first quarter is periodically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adjusted throughout the year to account for the impact of completed acquisitions. The CHC Committee expects to continue to re-assess</w:t>
      </w:r>
    </w:p>
    <w:p>
      <w:pPr>
        <w:spacing w:after="0" w:line="234" w:lineRule="auto"/>
        <w:rPr>
          <w:sz w:val="20"/>
          <w:szCs w:val="20"/>
          <w:color w:val="auto"/>
        </w:rPr>
      </w:pPr>
      <w:r>
        <w:rPr>
          <w:rFonts w:ascii="Arial" w:cs="Arial" w:eastAsia="Arial" w:hAnsi="Arial"/>
          <w:sz w:val="18"/>
          <w:szCs w:val="18"/>
          <w:color w:val="auto"/>
        </w:rPr>
        <w:t>the performance metric selection and goal setting processes annually, including the potential addition of DEI&amp;B and ESG factors. See</w:t>
      </w:r>
    </w:p>
    <w:p>
      <w:pPr>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Information – Use of Non-GAAP Financial Measures</w:t>
      </w:r>
      <w:r>
        <w:rPr>
          <w:rFonts w:ascii="Arial" w:cs="Arial" w:eastAsia="Arial" w:hAnsi="Arial"/>
          <w:sz w:val="18"/>
          <w:szCs w:val="18"/>
          <w:color w:val="auto"/>
        </w:rPr>
        <w:t>” for a reconciliation of Adjusted EBITDA to the most directly comparable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GAAP measure.</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2E75B4"/>
        </w:rPr>
        <w:t>Performance-Based Equity Incentives</w:t>
      </w:r>
    </w:p>
    <w:p>
      <w:pPr>
        <w:spacing w:after="0" w:line="205"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A substantial component of our executive compensation program consists of rewards for long-term growth and enhancement of stockholder value through the use of performance-based incentive equity awards. The award represents an opportunity, with the ultimate realized value of the award determined by our stock performance over the long term. The CHC Committee believes that long-term incentive compensation is an effective way to retain a strong executive team and provide them with incentives to focus on the Company’s long-term success.</w:t>
      </w:r>
    </w:p>
    <w:p>
      <w:pPr>
        <w:spacing w:after="0" w:line="17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CHC Committee grants target incentive awards of restricted stock to our NEOs that are performance-based over a one year performance period and which, if earned, vest over two years of continued service after the performance goal is met. The CHC Committee has determined to use a one-year performance metric of Adjusted EBITDA for the reasons outlined in “</w:t>
      </w:r>
      <w:r>
        <w:rPr>
          <w:rFonts w:ascii="Arial" w:cs="Arial" w:eastAsia="Arial" w:hAnsi="Arial"/>
          <w:sz w:val="18"/>
          <w:szCs w:val="18"/>
          <w:i w:val="1"/>
          <w:iCs w:val="1"/>
          <w:color w:val="auto"/>
        </w:rPr>
        <w:t>Performance-Based Cash</w:t>
      </w:r>
      <w:r>
        <w:rPr>
          <w:rFonts w:ascii="Arial" w:cs="Arial" w:eastAsia="Arial" w:hAnsi="Arial"/>
          <w:sz w:val="18"/>
          <w:szCs w:val="18"/>
          <w:color w:val="auto"/>
        </w:rPr>
        <w:t xml:space="preserve"> </w:t>
      </w:r>
      <w:r>
        <w:rPr>
          <w:rFonts w:ascii="Arial" w:cs="Arial" w:eastAsia="Arial" w:hAnsi="Arial"/>
          <w:sz w:val="18"/>
          <w:szCs w:val="18"/>
          <w:i w:val="1"/>
          <w:iCs w:val="1"/>
          <w:color w:val="auto"/>
        </w:rPr>
        <w:t>Incentives</w:t>
      </w:r>
      <w:r>
        <w:rPr>
          <w:rFonts w:ascii="Arial" w:cs="Arial" w:eastAsia="Arial" w:hAnsi="Arial"/>
          <w:sz w:val="18"/>
          <w:szCs w:val="18"/>
          <w:color w:val="auto"/>
        </w:rPr>
        <w:t>” above. In order to achieve a balance between the advisability of setting an annual performance metric and our desire to align</w:t>
      </w:r>
      <w:r>
        <w:rPr>
          <w:rFonts w:ascii="Arial" w:cs="Arial" w:eastAsia="Arial" w:hAnsi="Arial"/>
          <w:sz w:val="18"/>
          <w:szCs w:val="18"/>
          <w:i w:val="1"/>
          <w:iCs w:val="1"/>
          <w:color w:val="auto"/>
        </w:rPr>
        <w:t xml:space="preserve"> </w:t>
      </w:r>
      <w:r>
        <w:rPr>
          <w:rFonts w:ascii="Arial" w:cs="Arial" w:eastAsia="Arial" w:hAnsi="Arial"/>
          <w:sz w:val="18"/>
          <w:szCs w:val="18"/>
          <w:color w:val="auto"/>
        </w:rPr>
        <w:t>the interests of our NEOs with the long-term interests of our stockholders, the CHC Committee added the time-vesting component to the performance-based awards. Performance-based restricted stock target awards are based on a fixed number of shares, rather than a dollar amount, so that the value of the executive’s award fluctuates with the price of our common stock during the performance period, the vesting period and thereafter. Performance-based restricted stock awards actually earned may be above or below the target award, based on the degree to which the performance metric is met. If the performance metric is achieved at a minimum of 50%, at least a portion of the restricted stock is earned and vests in equal installments over the next two years, generally subject to the NEO’s continued employment on the applicable vesting date. Awards are capped at 200% of target.</w:t>
      </w:r>
    </w:p>
    <w:p>
      <w:pPr>
        <w:spacing w:after="0" w:line="186"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The CHC Committee believes that the additional two-year vesting period serves as a valuable retention incentive for our NEOs, whose skills and experience are sought after within the industry. The committee also believes that granting long-term restricted stock awards aligns the executive officers’ interests directly with those of our stockholders, as the executive officers will realize greater or lesser value based on our stock price during the performance and vesting period, which will parallel that of our stockholders over the same period. The CHC Committee further believes the restricted stock awards focus our NEOs on our long-term performance and discourages excessive risk-taking in the short-term.</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Section 4 – What We Paid in 2023</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2E75B4"/>
        </w:rPr>
        <w:t>2023 Base Salary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base salaries for our NEOs as of December 31, 2023.</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880" w:type="dxa"/>
            <w:vAlign w:val="bottom"/>
          </w:tcPr>
          <w:p>
            <w:pPr>
              <w:jc w:val="center"/>
              <w:ind w:left="234"/>
              <w:spacing w:after="0"/>
              <w:rPr>
                <w:sz w:val="20"/>
                <w:szCs w:val="20"/>
                <w:color w:val="auto"/>
              </w:rPr>
            </w:pPr>
            <w:r>
              <w:rPr>
                <w:rFonts w:ascii="Arial" w:cs="Arial" w:eastAsia="Arial" w:hAnsi="Arial"/>
                <w:sz w:val="16"/>
                <w:szCs w:val="16"/>
                <w:b w:val="1"/>
                <w:bCs w:val="1"/>
                <w:color w:val="002060"/>
              </w:rPr>
              <w:t>2023 Base Salary as</w:t>
            </w:r>
          </w:p>
        </w:tc>
      </w:tr>
      <w:tr>
        <w:trPr>
          <w:trHeight w:val="189"/>
        </w:trPr>
        <w:tc>
          <w:tcPr>
            <w:tcW w:w="2460" w:type="dxa"/>
            <w:vAlign w:val="bottom"/>
          </w:tcPr>
          <w:p>
            <w:pPr>
              <w:spacing w:after="0"/>
              <w:rPr>
                <w:sz w:val="16"/>
                <w:szCs w:val="16"/>
                <w:color w:val="auto"/>
              </w:rPr>
            </w:pPr>
          </w:p>
        </w:tc>
        <w:tc>
          <w:tcPr>
            <w:tcW w:w="2340" w:type="dxa"/>
            <w:vAlign w:val="bottom"/>
          </w:tcPr>
          <w:p>
            <w:pPr>
              <w:jc w:val="center"/>
              <w:ind w:left="113"/>
              <w:spacing w:after="0"/>
              <w:rPr>
                <w:sz w:val="20"/>
                <w:szCs w:val="20"/>
                <w:color w:val="auto"/>
              </w:rPr>
            </w:pPr>
            <w:r>
              <w:rPr>
                <w:rFonts w:ascii="Arial" w:cs="Arial" w:eastAsia="Arial" w:hAnsi="Arial"/>
                <w:sz w:val="16"/>
                <w:szCs w:val="16"/>
                <w:b w:val="1"/>
                <w:bCs w:val="1"/>
                <w:color w:val="002060"/>
                <w:w w:val="99"/>
              </w:rPr>
              <w:t>2022 Base</w:t>
            </w:r>
          </w:p>
        </w:tc>
        <w:tc>
          <w:tcPr>
            <w:tcW w:w="1960" w:type="dxa"/>
            <w:vAlign w:val="bottom"/>
          </w:tcPr>
          <w:p>
            <w:pPr>
              <w:jc w:val="center"/>
              <w:ind w:left="73"/>
              <w:spacing w:after="0"/>
              <w:rPr>
                <w:sz w:val="20"/>
                <w:szCs w:val="20"/>
                <w:color w:val="auto"/>
              </w:rPr>
            </w:pPr>
            <w:r>
              <w:rPr>
                <w:rFonts w:ascii="Arial" w:cs="Arial" w:eastAsia="Arial" w:hAnsi="Arial"/>
                <w:sz w:val="16"/>
                <w:szCs w:val="16"/>
                <w:b w:val="1"/>
                <w:bCs w:val="1"/>
                <w:color w:val="002060"/>
              </w:rPr>
              <w:t>2023 Base</w:t>
            </w:r>
          </w:p>
        </w:tc>
        <w:tc>
          <w:tcPr>
            <w:tcW w:w="2380" w:type="dxa"/>
            <w:vAlign w:val="bottom"/>
          </w:tcPr>
          <w:p>
            <w:pPr>
              <w:jc w:val="center"/>
              <w:ind w:left="73"/>
              <w:spacing w:after="0"/>
              <w:rPr>
                <w:sz w:val="20"/>
                <w:szCs w:val="20"/>
                <w:color w:val="auto"/>
              </w:rPr>
            </w:pPr>
            <w:r>
              <w:rPr>
                <w:rFonts w:ascii="Arial" w:cs="Arial" w:eastAsia="Arial" w:hAnsi="Arial"/>
                <w:sz w:val="16"/>
                <w:szCs w:val="16"/>
                <w:b w:val="1"/>
                <w:bCs w:val="1"/>
                <w:color w:val="002060"/>
              </w:rPr>
              <w:t>Percentage Increase</w:t>
            </w:r>
          </w:p>
        </w:tc>
        <w:tc>
          <w:tcPr>
            <w:tcW w:w="1880" w:type="dxa"/>
            <w:vAlign w:val="bottom"/>
          </w:tcPr>
          <w:p>
            <w:pPr>
              <w:jc w:val="center"/>
              <w:ind w:left="234"/>
              <w:spacing w:after="0"/>
              <w:rPr>
                <w:sz w:val="20"/>
                <w:szCs w:val="20"/>
                <w:color w:val="auto"/>
              </w:rPr>
            </w:pPr>
            <w:r>
              <w:rPr>
                <w:rFonts w:ascii="Arial" w:cs="Arial" w:eastAsia="Arial" w:hAnsi="Arial"/>
                <w:sz w:val="16"/>
                <w:szCs w:val="16"/>
                <w:b w:val="1"/>
                <w:bCs w:val="1"/>
                <w:color w:val="002060"/>
                <w:w w:val="99"/>
              </w:rPr>
              <w:t>Percentage of Total</w:t>
            </w:r>
          </w:p>
        </w:tc>
      </w:tr>
      <w:tr>
        <w:trPr>
          <w:trHeight w:val="189"/>
        </w:trPr>
        <w:tc>
          <w:tcPr>
            <w:tcW w:w="2460" w:type="dxa"/>
            <w:vAlign w:val="bottom"/>
          </w:tcPr>
          <w:p>
            <w:pPr>
              <w:spacing w:after="0"/>
              <w:rPr>
                <w:sz w:val="16"/>
                <w:szCs w:val="16"/>
                <w:color w:val="auto"/>
              </w:rPr>
            </w:pPr>
          </w:p>
        </w:tc>
        <w:tc>
          <w:tcPr>
            <w:tcW w:w="2340" w:type="dxa"/>
            <w:vAlign w:val="bottom"/>
          </w:tcPr>
          <w:p>
            <w:pPr>
              <w:jc w:val="center"/>
              <w:ind w:left="113"/>
              <w:spacing w:after="0"/>
              <w:rPr>
                <w:sz w:val="20"/>
                <w:szCs w:val="20"/>
                <w:color w:val="auto"/>
              </w:rPr>
            </w:pPr>
            <w:r>
              <w:rPr>
                <w:rFonts w:ascii="Arial" w:cs="Arial" w:eastAsia="Arial" w:hAnsi="Arial"/>
                <w:sz w:val="16"/>
                <w:szCs w:val="16"/>
                <w:b w:val="1"/>
                <w:bCs w:val="1"/>
                <w:color w:val="002060"/>
              </w:rPr>
              <w:t>Salary</w:t>
            </w:r>
          </w:p>
        </w:tc>
        <w:tc>
          <w:tcPr>
            <w:tcW w:w="1960" w:type="dxa"/>
            <w:vAlign w:val="bottom"/>
          </w:tcPr>
          <w:p>
            <w:pPr>
              <w:jc w:val="center"/>
              <w:ind w:left="73"/>
              <w:spacing w:after="0"/>
              <w:rPr>
                <w:sz w:val="20"/>
                <w:szCs w:val="20"/>
                <w:color w:val="auto"/>
              </w:rPr>
            </w:pPr>
            <w:r>
              <w:rPr>
                <w:rFonts w:ascii="Arial" w:cs="Arial" w:eastAsia="Arial" w:hAnsi="Arial"/>
                <w:sz w:val="16"/>
                <w:szCs w:val="16"/>
                <w:b w:val="1"/>
                <w:bCs w:val="1"/>
                <w:color w:val="002060"/>
                <w:w w:val="99"/>
              </w:rPr>
              <w:t>Salary</w:t>
            </w:r>
          </w:p>
        </w:tc>
        <w:tc>
          <w:tcPr>
            <w:tcW w:w="2380" w:type="dxa"/>
            <w:vAlign w:val="bottom"/>
          </w:tcPr>
          <w:p>
            <w:pPr>
              <w:jc w:val="center"/>
              <w:ind w:left="73"/>
              <w:spacing w:after="0"/>
              <w:rPr>
                <w:sz w:val="20"/>
                <w:szCs w:val="20"/>
                <w:color w:val="auto"/>
              </w:rPr>
            </w:pPr>
            <w:r>
              <w:rPr>
                <w:rFonts w:ascii="Arial" w:cs="Arial" w:eastAsia="Arial" w:hAnsi="Arial"/>
                <w:sz w:val="16"/>
                <w:szCs w:val="16"/>
                <w:b w:val="1"/>
                <w:bCs w:val="1"/>
                <w:color w:val="002060"/>
              </w:rPr>
              <w:t>in Base Salary</w:t>
            </w:r>
          </w:p>
        </w:tc>
        <w:tc>
          <w:tcPr>
            <w:tcW w:w="1880" w:type="dxa"/>
            <w:vAlign w:val="bottom"/>
          </w:tcPr>
          <w:p>
            <w:pPr>
              <w:jc w:val="center"/>
              <w:ind w:left="234"/>
              <w:spacing w:after="0"/>
              <w:rPr>
                <w:sz w:val="20"/>
                <w:szCs w:val="20"/>
                <w:color w:val="auto"/>
              </w:rPr>
            </w:pPr>
            <w:r>
              <w:rPr>
                <w:rFonts w:ascii="Arial" w:cs="Arial" w:eastAsia="Arial" w:hAnsi="Arial"/>
                <w:sz w:val="16"/>
                <w:szCs w:val="16"/>
                <w:b w:val="1"/>
                <w:bCs w:val="1"/>
                <w:color w:val="002060"/>
              </w:rPr>
              <w:t>Compensation</w:t>
            </w:r>
          </w:p>
        </w:tc>
      </w:tr>
      <w:tr>
        <w:trPr>
          <w:trHeight w:val="237"/>
        </w:trPr>
        <w:tc>
          <w:tcPr>
            <w:tcW w:w="2460" w:type="dxa"/>
            <w:vAlign w:val="bottom"/>
            <w:tcBorders>
              <w:bottom w:val="single" w:sz="8" w:color="0070C0"/>
            </w:tcBorders>
          </w:tcPr>
          <w:p>
            <w:pPr>
              <w:spacing w:after="0"/>
              <w:rPr>
                <w:sz w:val="20"/>
                <w:szCs w:val="20"/>
                <w:color w:val="auto"/>
              </w:rPr>
            </w:pPr>
            <w:r>
              <w:rPr>
                <w:rFonts w:ascii="Arial" w:cs="Arial" w:eastAsia="Arial" w:hAnsi="Arial"/>
                <w:sz w:val="16"/>
                <w:szCs w:val="16"/>
                <w:b w:val="1"/>
                <w:bCs w:val="1"/>
                <w:color w:val="002060"/>
              </w:rPr>
              <w:t>Name</w:t>
            </w:r>
          </w:p>
        </w:tc>
        <w:tc>
          <w:tcPr>
            <w:tcW w:w="2340" w:type="dxa"/>
            <w:vAlign w:val="bottom"/>
            <w:tcBorders>
              <w:bottom w:val="single" w:sz="8" w:color="0070C0"/>
            </w:tcBorders>
          </w:tcPr>
          <w:p>
            <w:pPr>
              <w:jc w:val="center"/>
              <w:ind w:left="93"/>
              <w:spacing w:after="0"/>
              <w:rPr>
                <w:sz w:val="20"/>
                <w:szCs w:val="20"/>
                <w:color w:val="auto"/>
              </w:rPr>
            </w:pPr>
            <w:r>
              <w:rPr>
                <w:rFonts w:ascii="Arial" w:cs="Arial" w:eastAsia="Arial" w:hAnsi="Arial"/>
                <w:sz w:val="16"/>
                <w:szCs w:val="16"/>
                <w:b w:val="1"/>
                <w:bCs w:val="1"/>
                <w:color w:val="002060"/>
              </w:rPr>
              <w:t>($)</w:t>
            </w:r>
          </w:p>
        </w:tc>
        <w:tc>
          <w:tcPr>
            <w:tcW w:w="1960" w:type="dxa"/>
            <w:vAlign w:val="bottom"/>
            <w:tcBorders>
              <w:bottom w:val="single" w:sz="8" w:color="0070C0"/>
            </w:tcBorders>
          </w:tcPr>
          <w:p>
            <w:pPr>
              <w:jc w:val="center"/>
              <w:ind w:left="73"/>
              <w:spacing w:after="0"/>
              <w:rPr>
                <w:sz w:val="20"/>
                <w:szCs w:val="20"/>
                <w:color w:val="auto"/>
              </w:rPr>
            </w:pPr>
            <w:r>
              <w:rPr>
                <w:rFonts w:ascii="Arial" w:cs="Arial" w:eastAsia="Arial" w:hAnsi="Arial"/>
                <w:sz w:val="16"/>
                <w:szCs w:val="16"/>
                <w:b w:val="1"/>
                <w:bCs w:val="1"/>
                <w:color w:val="002060"/>
              </w:rPr>
              <w:t>($)</w:t>
            </w:r>
          </w:p>
        </w:tc>
        <w:tc>
          <w:tcPr>
            <w:tcW w:w="2380" w:type="dxa"/>
            <w:vAlign w:val="bottom"/>
            <w:tcBorders>
              <w:bottom w:val="single" w:sz="8" w:color="0070C0"/>
            </w:tcBorders>
          </w:tcPr>
          <w:p>
            <w:pPr>
              <w:jc w:val="center"/>
              <w:ind w:left="73"/>
              <w:spacing w:after="0"/>
              <w:rPr>
                <w:sz w:val="20"/>
                <w:szCs w:val="20"/>
                <w:color w:val="auto"/>
              </w:rPr>
            </w:pPr>
            <w:r>
              <w:rPr>
                <w:rFonts w:ascii="Arial" w:cs="Arial" w:eastAsia="Arial" w:hAnsi="Arial"/>
                <w:sz w:val="16"/>
                <w:szCs w:val="16"/>
                <w:b w:val="1"/>
                <w:bCs w:val="1"/>
                <w:color w:val="002060"/>
              </w:rPr>
              <w:t>(%)</w:t>
            </w:r>
          </w:p>
        </w:tc>
        <w:tc>
          <w:tcPr>
            <w:tcW w:w="1880" w:type="dxa"/>
            <w:vAlign w:val="bottom"/>
            <w:tcBorders>
              <w:bottom w:val="single" w:sz="8" w:color="0070C0"/>
            </w:tcBorders>
          </w:tcPr>
          <w:p>
            <w:pPr>
              <w:jc w:val="center"/>
              <w:ind w:left="214"/>
              <w:spacing w:after="0"/>
              <w:rPr>
                <w:sz w:val="20"/>
                <w:szCs w:val="20"/>
                <w:color w:val="auto"/>
              </w:rPr>
            </w:pPr>
            <w:r>
              <w:rPr>
                <w:rFonts w:ascii="Arial" w:cs="Arial" w:eastAsia="Arial" w:hAnsi="Arial"/>
                <w:sz w:val="16"/>
                <w:szCs w:val="16"/>
                <w:b w:val="1"/>
                <w:bCs w:val="1"/>
                <w:color w:val="002060"/>
              </w:rPr>
              <w:t>(%)</w:t>
            </w:r>
          </w:p>
        </w:tc>
      </w:tr>
      <w:tr>
        <w:trPr>
          <w:trHeight w:val="203"/>
        </w:trPr>
        <w:tc>
          <w:tcPr>
            <w:tcW w:w="2460" w:type="dxa"/>
            <w:vAlign w:val="bottom"/>
            <w:tcBorders>
              <w:bottom w:val="single" w:sz="8" w:color="auto"/>
            </w:tcBorders>
            <w:shd w:val="clear" w:color="auto" w:fill="D5DCE4"/>
          </w:tcPr>
          <w:p>
            <w:pPr>
              <w:spacing w:after="0" w:line="202" w:lineRule="exact"/>
              <w:rPr>
                <w:sz w:val="20"/>
                <w:szCs w:val="20"/>
                <w:color w:val="auto"/>
              </w:rPr>
            </w:pPr>
            <w:r>
              <w:rPr>
                <w:rFonts w:ascii="Arial" w:cs="Arial" w:eastAsia="Arial" w:hAnsi="Arial"/>
                <w:sz w:val="18"/>
                <w:szCs w:val="18"/>
                <w:color w:val="auto"/>
              </w:rPr>
              <w:t>  Jeffrey W. Edwards</w:t>
            </w:r>
          </w:p>
        </w:tc>
        <w:tc>
          <w:tcPr>
            <w:tcW w:w="2340" w:type="dxa"/>
            <w:vAlign w:val="bottom"/>
            <w:tcBorders>
              <w:bottom w:val="single" w:sz="8" w:color="auto"/>
            </w:tcBorders>
          </w:tcPr>
          <w:p>
            <w:pPr>
              <w:jc w:val="right"/>
              <w:ind w:right="633"/>
              <w:spacing w:after="0" w:line="202" w:lineRule="exact"/>
              <w:rPr>
                <w:sz w:val="20"/>
                <w:szCs w:val="20"/>
                <w:color w:val="auto"/>
              </w:rPr>
            </w:pPr>
            <w:r>
              <w:rPr>
                <w:rFonts w:ascii="Arial" w:cs="Arial" w:eastAsia="Arial" w:hAnsi="Arial"/>
                <w:sz w:val="18"/>
                <w:szCs w:val="18"/>
                <w:color w:val="auto"/>
              </w:rPr>
              <w:t>800,000</w:t>
            </w:r>
          </w:p>
        </w:tc>
        <w:tc>
          <w:tcPr>
            <w:tcW w:w="1960" w:type="dxa"/>
            <w:vAlign w:val="bottom"/>
            <w:tcBorders>
              <w:bottom w:val="single" w:sz="8" w:color="auto"/>
            </w:tcBorders>
          </w:tcPr>
          <w:p>
            <w:pPr>
              <w:jc w:val="right"/>
              <w:ind w:right="453"/>
              <w:spacing w:after="0" w:line="202" w:lineRule="exact"/>
              <w:rPr>
                <w:sz w:val="20"/>
                <w:szCs w:val="20"/>
                <w:color w:val="auto"/>
              </w:rPr>
            </w:pPr>
            <w:r>
              <w:rPr>
                <w:rFonts w:ascii="Arial" w:cs="Arial" w:eastAsia="Arial" w:hAnsi="Arial"/>
                <w:sz w:val="18"/>
                <w:szCs w:val="18"/>
                <w:color w:val="auto"/>
              </w:rPr>
              <w:t>840,000</w:t>
            </w:r>
          </w:p>
        </w:tc>
        <w:tc>
          <w:tcPr>
            <w:tcW w:w="2380" w:type="dxa"/>
            <w:vAlign w:val="bottom"/>
            <w:tcBorders>
              <w:bottom w:val="single" w:sz="8" w:color="auto"/>
            </w:tcBorders>
          </w:tcPr>
          <w:p>
            <w:pPr>
              <w:jc w:val="right"/>
              <w:ind w:right="793"/>
              <w:spacing w:after="0" w:line="202" w:lineRule="exact"/>
              <w:rPr>
                <w:sz w:val="20"/>
                <w:szCs w:val="20"/>
                <w:color w:val="auto"/>
              </w:rPr>
            </w:pPr>
            <w:r>
              <w:rPr>
                <w:rFonts w:ascii="Arial" w:cs="Arial" w:eastAsia="Arial" w:hAnsi="Arial"/>
                <w:sz w:val="18"/>
                <w:szCs w:val="18"/>
                <w:color w:val="auto"/>
              </w:rPr>
              <w:t>5.0</w:t>
            </w:r>
          </w:p>
        </w:tc>
        <w:tc>
          <w:tcPr>
            <w:tcW w:w="1880" w:type="dxa"/>
            <w:vAlign w:val="bottom"/>
            <w:tcBorders>
              <w:bottom w:val="single" w:sz="8" w:color="auto"/>
            </w:tcBorders>
          </w:tcPr>
          <w:p>
            <w:pPr>
              <w:jc w:val="right"/>
              <w:ind w:right="394"/>
              <w:spacing w:after="0" w:line="202" w:lineRule="exact"/>
              <w:rPr>
                <w:sz w:val="20"/>
                <w:szCs w:val="20"/>
                <w:color w:val="auto"/>
              </w:rPr>
            </w:pPr>
            <w:r>
              <w:rPr>
                <w:rFonts w:ascii="Arial" w:cs="Arial" w:eastAsia="Arial" w:hAnsi="Arial"/>
                <w:sz w:val="18"/>
                <w:szCs w:val="18"/>
                <w:color w:val="auto"/>
              </w:rPr>
              <w:t>14.2</w:t>
            </w:r>
          </w:p>
        </w:tc>
      </w:tr>
      <w:tr>
        <w:trPr>
          <w:trHeight w:val="196"/>
        </w:trPr>
        <w:tc>
          <w:tcPr>
            <w:tcW w:w="246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  Michael T. Miller</w:t>
            </w:r>
          </w:p>
        </w:tc>
        <w:tc>
          <w:tcPr>
            <w:tcW w:w="2340" w:type="dxa"/>
            <w:vAlign w:val="bottom"/>
            <w:tcBorders>
              <w:bottom w:val="single" w:sz="8" w:color="auto"/>
            </w:tcBorders>
          </w:tcPr>
          <w:p>
            <w:pPr>
              <w:jc w:val="right"/>
              <w:ind w:right="633"/>
              <w:spacing w:after="0" w:line="196" w:lineRule="exact"/>
              <w:rPr>
                <w:sz w:val="20"/>
                <w:szCs w:val="20"/>
                <w:color w:val="auto"/>
              </w:rPr>
            </w:pPr>
            <w:r>
              <w:rPr>
                <w:rFonts w:ascii="Arial" w:cs="Arial" w:eastAsia="Arial" w:hAnsi="Arial"/>
                <w:sz w:val="18"/>
                <w:szCs w:val="18"/>
                <w:color w:val="auto"/>
              </w:rPr>
              <w:t>425,000</w:t>
            </w:r>
          </w:p>
        </w:tc>
        <w:tc>
          <w:tcPr>
            <w:tcW w:w="1960" w:type="dxa"/>
            <w:vAlign w:val="bottom"/>
            <w:tcBorders>
              <w:bottom w:val="single" w:sz="8" w:color="auto"/>
            </w:tcBorders>
          </w:tcPr>
          <w:p>
            <w:pPr>
              <w:jc w:val="right"/>
              <w:ind w:right="453"/>
              <w:spacing w:after="0" w:line="196" w:lineRule="exact"/>
              <w:rPr>
                <w:sz w:val="20"/>
                <w:szCs w:val="20"/>
                <w:color w:val="auto"/>
              </w:rPr>
            </w:pPr>
            <w:r>
              <w:rPr>
                <w:rFonts w:ascii="Arial" w:cs="Arial" w:eastAsia="Arial" w:hAnsi="Arial"/>
                <w:sz w:val="18"/>
                <w:szCs w:val="18"/>
                <w:color w:val="auto"/>
              </w:rPr>
              <w:t>445,000</w:t>
            </w:r>
          </w:p>
        </w:tc>
        <w:tc>
          <w:tcPr>
            <w:tcW w:w="2380" w:type="dxa"/>
            <w:vAlign w:val="bottom"/>
            <w:tcBorders>
              <w:bottom w:val="single" w:sz="8" w:color="auto"/>
            </w:tcBorders>
          </w:tcPr>
          <w:p>
            <w:pPr>
              <w:jc w:val="right"/>
              <w:ind w:right="793"/>
              <w:spacing w:after="0" w:line="196" w:lineRule="exact"/>
              <w:rPr>
                <w:sz w:val="20"/>
                <w:szCs w:val="20"/>
                <w:color w:val="auto"/>
              </w:rPr>
            </w:pPr>
            <w:r>
              <w:rPr>
                <w:rFonts w:ascii="Arial" w:cs="Arial" w:eastAsia="Arial" w:hAnsi="Arial"/>
                <w:sz w:val="18"/>
                <w:szCs w:val="18"/>
                <w:color w:val="auto"/>
              </w:rPr>
              <w:t>4.7</w:t>
            </w:r>
          </w:p>
        </w:tc>
        <w:tc>
          <w:tcPr>
            <w:tcW w:w="1880" w:type="dxa"/>
            <w:vAlign w:val="bottom"/>
            <w:tcBorders>
              <w:bottom w:val="single" w:sz="8" w:color="auto"/>
            </w:tcBorders>
          </w:tcPr>
          <w:p>
            <w:pPr>
              <w:jc w:val="right"/>
              <w:ind w:right="394"/>
              <w:spacing w:after="0" w:line="196" w:lineRule="exact"/>
              <w:rPr>
                <w:sz w:val="20"/>
                <w:szCs w:val="20"/>
                <w:color w:val="auto"/>
              </w:rPr>
            </w:pPr>
            <w:r>
              <w:rPr>
                <w:rFonts w:ascii="Arial" w:cs="Arial" w:eastAsia="Arial" w:hAnsi="Arial"/>
                <w:sz w:val="18"/>
                <w:szCs w:val="18"/>
                <w:color w:val="auto"/>
              </w:rPr>
              <w:t>20.6</w:t>
            </w:r>
          </w:p>
        </w:tc>
      </w:tr>
      <w:tr>
        <w:trPr>
          <w:trHeight w:val="196"/>
        </w:trPr>
        <w:tc>
          <w:tcPr>
            <w:tcW w:w="246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  Jay P. Elliott</w:t>
            </w:r>
          </w:p>
        </w:tc>
        <w:tc>
          <w:tcPr>
            <w:tcW w:w="2340" w:type="dxa"/>
            <w:vAlign w:val="bottom"/>
            <w:tcBorders>
              <w:bottom w:val="single" w:sz="8" w:color="auto"/>
            </w:tcBorders>
          </w:tcPr>
          <w:p>
            <w:pPr>
              <w:jc w:val="right"/>
              <w:ind w:right="633"/>
              <w:spacing w:after="0" w:line="196" w:lineRule="exact"/>
              <w:rPr>
                <w:sz w:val="20"/>
                <w:szCs w:val="20"/>
                <w:color w:val="auto"/>
              </w:rPr>
            </w:pPr>
            <w:r>
              <w:rPr>
                <w:rFonts w:ascii="Arial" w:cs="Arial" w:eastAsia="Arial" w:hAnsi="Arial"/>
                <w:sz w:val="18"/>
                <w:szCs w:val="18"/>
                <w:color w:val="auto"/>
              </w:rPr>
              <w:t>462,000</w:t>
            </w:r>
          </w:p>
        </w:tc>
        <w:tc>
          <w:tcPr>
            <w:tcW w:w="1960" w:type="dxa"/>
            <w:vAlign w:val="bottom"/>
            <w:tcBorders>
              <w:bottom w:val="single" w:sz="8" w:color="auto"/>
            </w:tcBorders>
          </w:tcPr>
          <w:p>
            <w:pPr>
              <w:jc w:val="right"/>
              <w:ind w:right="453"/>
              <w:spacing w:after="0" w:line="196" w:lineRule="exact"/>
              <w:rPr>
                <w:sz w:val="20"/>
                <w:szCs w:val="20"/>
                <w:color w:val="auto"/>
              </w:rPr>
            </w:pPr>
            <w:r>
              <w:rPr>
                <w:rFonts w:ascii="Arial" w:cs="Arial" w:eastAsia="Arial" w:hAnsi="Arial"/>
                <w:sz w:val="18"/>
                <w:szCs w:val="18"/>
                <w:color w:val="auto"/>
              </w:rPr>
              <w:t>485,000</w:t>
            </w:r>
          </w:p>
        </w:tc>
        <w:tc>
          <w:tcPr>
            <w:tcW w:w="2380" w:type="dxa"/>
            <w:vAlign w:val="bottom"/>
            <w:tcBorders>
              <w:bottom w:val="single" w:sz="8" w:color="auto"/>
            </w:tcBorders>
          </w:tcPr>
          <w:p>
            <w:pPr>
              <w:jc w:val="right"/>
              <w:ind w:right="793"/>
              <w:spacing w:after="0" w:line="196" w:lineRule="exact"/>
              <w:rPr>
                <w:sz w:val="20"/>
                <w:szCs w:val="20"/>
                <w:color w:val="auto"/>
              </w:rPr>
            </w:pPr>
            <w:r>
              <w:rPr>
                <w:rFonts w:ascii="Arial" w:cs="Arial" w:eastAsia="Arial" w:hAnsi="Arial"/>
                <w:sz w:val="18"/>
                <w:szCs w:val="18"/>
                <w:color w:val="auto"/>
              </w:rPr>
              <w:t>5.0</w:t>
            </w:r>
          </w:p>
        </w:tc>
        <w:tc>
          <w:tcPr>
            <w:tcW w:w="1880" w:type="dxa"/>
            <w:vAlign w:val="bottom"/>
            <w:tcBorders>
              <w:bottom w:val="single" w:sz="8" w:color="auto"/>
            </w:tcBorders>
          </w:tcPr>
          <w:p>
            <w:pPr>
              <w:jc w:val="right"/>
              <w:ind w:right="394"/>
              <w:spacing w:after="0" w:line="196" w:lineRule="exact"/>
              <w:rPr>
                <w:sz w:val="20"/>
                <w:szCs w:val="20"/>
                <w:color w:val="auto"/>
              </w:rPr>
            </w:pPr>
            <w:r>
              <w:rPr>
                <w:rFonts w:ascii="Arial" w:cs="Arial" w:eastAsia="Arial" w:hAnsi="Arial"/>
                <w:sz w:val="18"/>
                <w:szCs w:val="18"/>
                <w:color w:val="auto"/>
              </w:rPr>
              <w:t>22.8</w:t>
            </w:r>
          </w:p>
        </w:tc>
      </w:tr>
      <w:tr>
        <w:trPr>
          <w:trHeight w:val="196"/>
        </w:trPr>
        <w:tc>
          <w:tcPr>
            <w:tcW w:w="246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  W. Jeffrey Hire</w:t>
            </w:r>
          </w:p>
        </w:tc>
        <w:tc>
          <w:tcPr>
            <w:tcW w:w="2340" w:type="dxa"/>
            <w:vAlign w:val="bottom"/>
            <w:tcBorders>
              <w:bottom w:val="single" w:sz="8" w:color="auto"/>
            </w:tcBorders>
          </w:tcPr>
          <w:p>
            <w:pPr>
              <w:jc w:val="right"/>
              <w:ind w:right="633"/>
              <w:spacing w:after="0" w:line="196" w:lineRule="exact"/>
              <w:rPr>
                <w:sz w:val="20"/>
                <w:szCs w:val="20"/>
                <w:color w:val="auto"/>
              </w:rPr>
            </w:pPr>
            <w:r>
              <w:rPr>
                <w:rFonts w:ascii="Arial" w:cs="Arial" w:eastAsia="Arial" w:hAnsi="Arial"/>
                <w:sz w:val="18"/>
                <w:szCs w:val="18"/>
                <w:color w:val="auto"/>
              </w:rPr>
              <w:t>400,000</w:t>
            </w:r>
          </w:p>
        </w:tc>
        <w:tc>
          <w:tcPr>
            <w:tcW w:w="1960" w:type="dxa"/>
            <w:vAlign w:val="bottom"/>
            <w:tcBorders>
              <w:bottom w:val="single" w:sz="8" w:color="auto"/>
            </w:tcBorders>
          </w:tcPr>
          <w:p>
            <w:pPr>
              <w:jc w:val="right"/>
              <w:ind w:right="453"/>
              <w:spacing w:after="0" w:line="196" w:lineRule="exact"/>
              <w:rPr>
                <w:sz w:val="20"/>
                <w:szCs w:val="20"/>
                <w:color w:val="auto"/>
              </w:rPr>
            </w:pPr>
            <w:r>
              <w:rPr>
                <w:rFonts w:ascii="Arial" w:cs="Arial" w:eastAsia="Arial" w:hAnsi="Arial"/>
                <w:sz w:val="18"/>
                <w:szCs w:val="18"/>
                <w:color w:val="auto"/>
              </w:rPr>
              <w:t>420,000</w:t>
            </w:r>
          </w:p>
        </w:tc>
        <w:tc>
          <w:tcPr>
            <w:tcW w:w="2380" w:type="dxa"/>
            <w:vAlign w:val="bottom"/>
            <w:tcBorders>
              <w:bottom w:val="single" w:sz="8" w:color="auto"/>
            </w:tcBorders>
          </w:tcPr>
          <w:p>
            <w:pPr>
              <w:jc w:val="right"/>
              <w:ind w:right="793"/>
              <w:spacing w:after="0" w:line="196" w:lineRule="exact"/>
              <w:rPr>
                <w:sz w:val="20"/>
                <w:szCs w:val="20"/>
                <w:color w:val="auto"/>
              </w:rPr>
            </w:pPr>
            <w:r>
              <w:rPr>
                <w:rFonts w:ascii="Arial" w:cs="Arial" w:eastAsia="Arial" w:hAnsi="Arial"/>
                <w:sz w:val="18"/>
                <w:szCs w:val="18"/>
                <w:color w:val="auto"/>
              </w:rPr>
              <w:t>5.0</w:t>
            </w:r>
          </w:p>
        </w:tc>
        <w:tc>
          <w:tcPr>
            <w:tcW w:w="1880" w:type="dxa"/>
            <w:vAlign w:val="bottom"/>
            <w:tcBorders>
              <w:bottom w:val="single" w:sz="8" w:color="auto"/>
            </w:tcBorders>
          </w:tcPr>
          <w:p>
            <w:pPr>
              <w:jc w:val="right"/>
              <w:ind w:right="394"/>
              <w:spacing w:after="0" w:line="196" w:lineRule="exact"/>
              <w:rPr>
                <w:sz w:val="20"/>
                <w:szCs w:val="20"/>
                <w:color w:val="auto"/>
              </w:rPr>
            </w:pPr>
            <w:r>
              <w:rPr>
                <w:rFonts w:ascii="Arial" w:cs="Arial" w:eastAsia="Arial" w:hAnsi="Arial"/>
                <w:sz w:val="18"/>
                <w:szCs w:val="18"/>
                <w:color w:val="auto"/>
              </w:rPr>
              <w:t>45.3</w:t>
            </w:r>
          </w:p>
        </w:tc>
      </w:tr>
      <w:tr>
        <w:trPr>
          <w:trHeight w:val="203"/>
        </w:trPr>
        <w:tc>
          <w:tcPr>
            <w:tcW w:w="2460" w:type="dxa"/>
            <w:vAlign w:val="bottom"/>
            <w:tcBorders>
              <w:bottom w:val="single" w:sz="8" w:color="0070C0"/>
            </w:tcBorders>
            <w:shd w:val="clear" w:color="auto" w:fill="D5DCE4"/>
          </w:tcPr>
          <w:p>
            <w:pPr>
              <w:spacing w:after="0" w:line="196" w:lineRule="exact"/>
              <w:rPr>
                <w:sz w:val="20"/>
                <w:szCs w:val="20"/>
                <w:color w:val="auto"/>
              </w:rPr>
            </w:pPr>
            <w:r>
              <w:rPr>
                <w:rFonts w:ascii="Arial" w:cs="Arial" w:eastAsia="Arial" w:hAnsi="Arial"/>
                <w:sz w:val="18"/>
                <w:szCs w:val="18"/>
                <w:color w:val="auto"/>
              </w:rPr>
              <w:t>  Jason R. Niswonger</w:t>
            </w:r>
          </w:p>
        </w:tc>
        <w:tc>
          <w:tcPr>
            <w:tcW w:w="2340" w:type="dxa"/>
            <w:vAlign w:val="bottom"/>
            <w:tcBorders>
              <w:bottom w:val="single" w:sz="8" w:color="0070C0"/>
            </w:tcBorders>
          </w:tcPr>
          <w:p>
            <w:pPr>
              <w:jc w:val="right"/>
              <w:ind w:right="633"/>
              <w:spacing w:after="0" w:line="196" w:lineRule="exact"/>
              <w:rPr>
                <w:sz w:val="20"/>
                <w:szCs w:val="20"/>
                <w:color w:val="auto"/>
              </w:rPr>
            </w:pPr>
            <w:r>
              <w:rPr>
                <w:rFonts w:ascii="Arial" w:cs="Arial" w:eastAsia="Arial" w:hAnsi="Arial"/>
                <w:sz w:val="18"/>
                <w:szCs w:val="18"/>
                <w:color w:val="auto"/>
              </w:rPr>
              <w:t>395,000</w:t>
            </w:r>
          </w:p>
        </w:tc>
        <w:tc>
          <w:tcPr>
            <w:tcW w:w="1960" w:type="dxa"/>
            <w:vAlign w:val="bottom"/>
            <w:tcBorders>
              <w:bottom w:val="single" w:sz="8" w:color="0070C0"/>
            </w:tcBorders>
          </w:tcPr>
          <w:p>
            <w:pPr>
              <w:jc w:val="right"/>
              <w:ind w:right="453"/>
              <w:spacing w:after="0" w:line="196" w:lineRule="exact"/>
              <w:rPr>
                <w:sz w:val="20"/>
                <w:szCs w:val="20"/>
                <w:color w:val="auto"/>
              </w:rPr>
            </w:pPr>
            <w:r>
              <w:rPr>
                <w:rFonts w:ascii="Arial" w:cs="Arial" w:eastAsia="Arial" w:hAnsi="Arial"/>
                <w:sz w:val="18"/>
                <w:szCs w:val="18"/>
                <w:color w:val="auto"/>
              </w:rPr>
              <w:t>425,000</w:t>
            </w:r>
          </w:p>
        </w:tc>
        <w:tc>
          <w:tcPr>
            <w:tcW w:w="2380" w:type="dxa"/>
            <w:vAlign w:val="bottom"/>
            <w:tcBorders>
              <w:bottom w:val="single" w:sz="8" w:color="0070C0"/>
            </w:tcBorders>
          </w:tcPr>
          <w:p>
            <w:pPr>
              <w:jc w:val="right"/>
              <w:ind w:right="793"/>
              <w:spacing w:after="0" w:line="196" w:lineRule="exact"/>
              <w:rPr>
                <w:sz w:val="20"/>
                <w:szCs w:val="20"/>
                <w:color w:val="auto"/>
              </w:rPr>
            </w:pPr>
            <w:r>
              <w:rPr>
                <w:rFonts w:ascii="Arial" w:cs="Arial" w:eastAsia="Arial" w:hAnsi="Arial"/>
                <w:sz w:val="18"/>
                <w:szCs w:val="18"/>
                <w:color w:val="auto"/>
              </w:rPr>
              <w:t>7.6</w:t>
            </w:r>
          </w:p>
        </w:tc>
        <w:tc>
          <w:tcPr>
            <w:tcW w:w="1880" w:type="dxa"/>
            <w:vAlign w:val="bottom"/>
            <w:tcBorders>
              <w:bottom w:val="single" w:sz="8" w:color="0070C0"/>
            </w:tcBorders>
          </w:tcPr>
          <w:p>
            <w:pPr>
              <w:jc w:val="right"/>
              <w:ind w:right="394"/>
              <w:spacing w:after="0" w:line="196" w:lineRule="exact"/>
              <w:rPr>
                <w:sz w:val="20"/>
                <w:szCs w:val="20"/>
                <w:color w:val="auto"/>
              </w:rPr>
            </w:pPr>
            <w:r>
              <w:rPr>
                <w:rFonts w:ascii="Arial" w:cs="Arial" w:eastAsia="Arial" w:hAnsi="Arial"/>
                <w:sz w:val="18"/>
                <w:szCs w:val="18"/>
                <w:color w:val="auto"/>
              </w:rPr>
              <w:t>36.6</w:t>
            </w:r>
          </w:p>
        </w:tc>
      </w:tr>
    </w:tbl>
    <w:p>
      <w:pPr>
        <w:spacing w:after="0" w:line="197" w:lineRule="exact"/>
        <w:rPr>
          <w:sz w:val="20"/>
          <w:szCs w:val="20"/>
          <w:color w:val="auto"/>
        </w:rPr>
      </w:pPr>
    </w:p>
    <w:p>
      <w:pPr>
        <w:jc w:val="both"/>
        <w:ind w:right="600"/>
        <w:spacing w:after="0" w:line="253" w:lineRule="auto"/>
        <w:rPr>
          <w:sz w:val="20"/>
          <w:szCs w:val="20"/>
          <w:color w:val="auto"/>
        </w:rPr>
      </w:pPr>
      <w:r>
        <w:rPr>
          <w:rFonts w:ascii="Arial" w:cs="Arial" w:eastAsia="Arial" w:hAnsi="Arial"/>
          <w:sz w:val="18"/>
          <w:szCs w:val="18"/>
          <w:color w:val="auto"/>
        </w:rPr>
        <w:t>The CHC Committee determined to increase the base salaries of our NEOs as a result of their increased responsibilities due to the increased size and complexity of the Company’s business, reorganized responsibilities within the executive group, strong individual performance and peer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69951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Compensation Discussion and Analysis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57</w:t>
      </w:r>
    </w:p>
    <w:p>
      <w:pPr>
        <w:sectPr>
          <w:pgSz w:w="11900" w:h="16838" w:orient="portrait"/>
          <w:cols w:equalWidth="0" w:num="1">
            <w:col w:w="11020"/>
          </w:cols>
          <w:pgMar w:left="440" w:top="296" w:right="439" w:bottom="1440" w:gutter="0" w:footer="0" w:header="0"/>
        </w:sectPr>
      </w:pPr>
    </w:p>
    <w:bookmarkStart w:id="65" w:name="page66"/>
    <w:bookmarkEnd w:id="65"/>
    <w:p>
      <w:pPr>
        <w:spacing w:after="0"/>
        <w:rPr>
          <w:sz w:val="20"/>
          <w:szCs w:val="20"/>
          <w:color w:val="auto"/>
        </w:rPr>
      </w:pPr>
      <w:r>
        <w:rPr>
          <w:rFonts w:ascii="Arial" w:cs="Arial" w:eastAsia="Arial" w:hAnsi="Arial"/>
          <w:sz w:val="20"/>
          <w:szCs w:val="20"/>
          <w:color w:val="2E75B4"/>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2023 Performance-Based Incentive Cash Awards</w:t>
      </w:r>
    </w:p>
    <w:p>
      <w:pPr>
        <w:spacing w:after="0" w:line="205"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In consultation with our Chief Executive Officer and Chief Financial Officer, in February 2023, the CHC Committee considered corporate goals and objectives for our named executive officers for the 2023 fiscal year. Based on management’s strategic and operational goals and considering management’s short- and long-term budgets and projections, the CHC Committee established an Adjusted EBITDA target of $ 450 million as the 2023 performance metric for our NEOs’ performance-based incentive awards, to be adjusted throughout the year for the impact of acquisitions. The committee determined that the performance goal was reasonable, but would be challenging given macroeconomic uncertainty and projections for our industry.</w:t>
      </w:r>
    </w:p>
    <w:p>
      <w:pPr>
        <w:spacing w:after="0" w:line="17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CHC Committee set target performance-based incentive cash awards for each NEO as set forth in the table below. The target awards were increased for 2023 to bring compensation levels into better alignment with the Company’s peers, to compensate our officers based on their increasing responsibilities due to Company growth and to encourage our executive team to continue to focus its efforts on further increasing Company growth and creating stockholder value. Thresholds were reduced to more closely align with peer group practices. The amount of each NEO’s earned incentive cash award was equal to the NEO’s target award multiplied by the percentage of the Adjusted EBITDA target achieved. No incentive award would be earned if the Company’s actual Adjusted EBITDA during 2023 was less than 50% of the target, as adjusted for acquisitions, and awards were capped at 200% of target. Unless otherwise determined by the CHC Committee, payment of any incentive cash award is generally subject to the NEO remaining employed through the payment date. Incentive cash awards are subject to clawback under the terms of our recoupment policy.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2024, the CHC Committee met to review the results of the Company’s performance against the target Adjusted EBITDA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performance metric. The Company’s final Adjusted EBITDA target, as adjusted for the impact of acquisitions during the year, was</w:t>
      </w:r>
    </w:p>
    <w:p>
      <w:pPr>
        <w:spacing w:after="0" w:line="234" w:lineRule="auto"/>
        <w:rPr>
          <w:sz w:val="20"/>
          <w:szCs w:val="20"/>
          <w:color w:val="auto"/>
        </w:rPr>
      </w:pPr>
      <w:r>
        <w:rPr>
          <w:rFonts w:ascii="Arial" w:cs="Arial" w:eastAsia="Arial" w:hAnsi="Arial"/>
          <w:sz w:val="18"/>
          <w:szCs w:val="18"/>
          <w:color w:val="auto"/>
        </w:rPr>
        <w:t>$455.9 million. Actual Adjusted EBITDA was $485.9 million, or approximately 106.6% of target, demonstrating our NEOs’ successful</w:t>
      </w:r>
    </w:p>
    <w:p>
      <w:pPr>
        <w:spacing w:after="0" w:line="235" w:lineRule="auto"/>
        <w:rPr>
          <w:sz w:val="20"/>
          <w:szCs w:val="20"/>
          <w:color w:val="auto"/>
        </w:rPr>
      </w:pPr>
      <w:r>
        <w:rPr>
          <w:rFonts w:ascii="Arial" w:cs="Arial" w:eastAsia="Arial" w:hAnsi="Arial"/>
          <w:sz w:val="18"/>
          <w:szCs w:val="18"/>
          <w:color w:val="auto"/>
        </w:rPr>
        <w:t>execution of our growth, capital allocation and acquisition strategies in the face of general economic uncertainty and challenging industry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conditions.</w:t>
      </w:r>
    </w:p>
    <w:p>
      <w:pPr>
        <w:spacing w:after="0" w:line="194"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following table reflects each NEO’s 2023 target cash incentive award, earned cash incentive award and earned cash incentive award as a percentage of total compensation.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680" w:type="dxa"/>
            <w:vAlign w:val="bottom"/>
          </w:tcPr>
          <w:p>
            <w:pPr>
              <w:jc w:val="center"/>
              <w:ind w:left="474"/>
              <w:spacing w:after="0"/>
              <w:rPr>
                <w:sz w:val="20"/>
                <w:szCs w:val="20"/>
                <w:color w:val="auto"/>
              </w:rPr>
            </w:pPr>
            <w:r>
              <w:rPr>
                <w:rFonts w:ascii="Arial" w:cs="Arial" w:eastAsia="Arial" w:hAnsi="Arial"/>
                <w:sz w:val="16"/>
                <w:szCs w:val="16"/>
                <w:b w:val="1"/>
                <w:bCs w:val="1"/>
                <w:color w:val="002060"/>
              </w:rPr>
              <w:t>Earned Cash Incentive as a</w:t>
            </w:r>
          </w:p>
        </w:tc>
      </w:tr>
      <w:tr>
        <w:trPr>
          <w:trHeight w:val="189"/>
        </w:trPr>
        <w:tc>
          <w:tcPr>
            <w:tcW w:w="3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gridSpan w:val="2"/>
          </w:tcPr>
          <w:p>
            <w:pPr>
              <w:jc w:val="right"/>
              <w:ind w:right="12"/>
              <w:spacing w:after="0"/>
              <w:rPr>
                <w:sz w:val="20"/>
                <w:szCs w:val="20"/>
                <w:color w:val="auto"/>
              </w:rPr>
            </w:pPr>
            <w:r>
              <w:rPr>
                <w:rFonts w:ascii="Arial" w:cs="Arial" w:eastAsia="Arial" w:hAnsi="Arial"/>
                <w:sz w:val="16"/>
                <w:szCs w:val="16"/>
                <w:b w:val="1"/>
                <w:bCs w:val="1"/>
                <w:color w:val="002060"/>
                <w:w w:val="99"/>
              </w:rPr>
              <w:t>Target Cash</w:t>
            </w:r>
          </w:p>
        </w:tc>
        <w:tc>
          <w:tcPr>
            <w:tcW w:w="76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6"/>
                <w:szCs w:val="16"/>
                <w:b w:val="1"/>
                <w:bCs w:val="1"/>
                <w:color w:val="002060"/>
              </w:rPr>
              <w:t>Earned Cash</w:t>
            </w:r>
          </w:p>
        </w:tc>
        <w:tc>
          <w:tcPr>
            <w:tcW w:w="2680" w:type="dxa"/>
            <w:vAlign w:val="bottom"/>
          </w:tcPr>
          <w:p>
            <w:pPr>
              <w:jc w:val="center"/>
              <w:ind w:left="474"/>
              <w:spacing w:after="0"/>
              <w:rPr>
                <w:sz w:val="20"/>
                <w:szCs w:val="20"/>
                <w:color w:val="auto"/>
              </w:rPr>
            </w:pPr>
            <w:r>
              <w:rPr>
                <w:rFonts w:ascii="Arial" w:cs="Arial" w:eastAsia="Arial" w:hAnsi="Arial"/>
                <w:sz w:val="16"/>
                <w:szCs w:val="16"/>
                <w:b w:val="1"/>
                <w:bCs w:val="1"/>
                <w:color w:val="002060"/>
                <w:w w:val="99"/>
              </w:rPr>
              <w:t>Percentage of Total</w:t>
            </w:r>
          </w:p>
        </w:tc>
      </w:tr>
      <w:tr>
        <w:trPr>
          <w:trHeight w:val="189"/>
        </w:trPr>
        <w:tc>
          <w:tcPr>
            <w:tcW w:w="3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b w:val="1"/>
                <w:bCs w:val="1"/>
                <w:color w:val="002060"/>
              </w:rPr>
              <w:t>Incentive</w:t>
            </w:r>
          </w:p>
        </w:tc>
        <w:tc>
          <w:tcPr>
            <w:tcW w:w="76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6"/>
                <w:szCs w:val="16"/>
                <w:b w:val="1"/>
                <w:bCs w:val="1"/>
                <w:color w:val="002060"/>
              </w:rPr>
              <w:t>Incentive</w:t>
            </w:r>
          </w:p>
        </w:tc>
        <w:tc>
          <w:tcPr>
            <w:tcW w:w="2680" w:type="dxa"/>
            <w:vAlign w:val="bottom"/>
          </w:tcPr>
          <w:p>
            <w:pPr>
              <w:jc w:val="center"/>
              <w:ind w:left="474"/>
              <w:spacing w:after="0"/>
              <w:rPr>
                <w:sz w:val="20"/>
                <w:szCs w:val="20"/>
                <w:color w:val="auto"/>
              </w:rPr>
            </w:pPr>
            <w:r>
              <w:rPr>
                <w:rFonts w:ascii="Arial" w:cs="Arial" w:eastAsia="Arial" w:hAnsi="Arial"/>
                <w:sz w:val="16"/>
                <w:szCs w:val="16"/>
                <w:b w:val="1"/>
                <w:bCs w:val="1"/>
                <w:color w:val="002060"/>
              </w:rPr>
              <w:t>Compensation</w:t>
            </w:r>
          </w:p>
        </w:tc>
      </w:tr>
      <w:tr>
        <w:trPr>
          <w:trHeight w:val="237"/>
        </w:trPr>
        <w:tc>
          <w:tcPr>
            <w:tcW w:w="3380" w:type="dxa"/>
            <w:vAlign w:val="bottom"/>
            <w:tcBorders>
              <w:bottom w:val="single" w:sz="8" w:color="0070C0"/>
            </w:tcBorders>
          </w:tcPr>
          <w:p>
            <w:pPr>
              <w:spacing w:after="0"/>
              <w:rPr>
                <w:sz w:val="20"/>
                <w:szCs w:val="20"/>
                <w:color w:val="auto"/>
              </w:rPr>
            </w:pPr>
            <w:r>
              <w:rPr>
                <w:rFonts w:ascii="Arial" w:cs="Arial" w:eastAsia="Arial" w:hAnsi="Arial"/>
                <w:sz w:val="16"/>
                <w:szCs w:val="16"/>
                <w:b w:val="1"/>
                <w:bCs w:val="1"/>
                <w:color w:val="002060"/>
              </w:rPr>
              <w:t>Name</w:t>
            </w:r>
          </w:p>
        </w:tc>
        <w:tc>
          <w:tcPr>
            <w:tcW w:w="940" w:type="dxa"/>
            <w:vAlign w:val="bottom"/>
            <w:tcBorders>
              <w:bottom w:val="single" w:sz="8" w:color="0070C0"/>
            </w:tcBorders>
          </w:tcPr>
          <w:p>
            <w:pPr>
              <w:spacing w:after="0"/>
              <w:rPr>
                <w:sz w:val="20"/>
                <w:szCs w:val="20"/>
                <w:color w:val="auto"/>
              </w:rPr>
            </w:pPr>
          </w:p>
        </w:tc>
        <w:tc>
          <w:tcPr>
            <w:tcW w:w="220" w:type="dxa"/>
            <w:vAlign w:val="bottom"/>
            <w:tcBorders>
              <w:bottom w:val="single" w:sz="8" w:color="0070C0"/>
            </w:tcBorders>
          </w:tcPr>
          <w:p>
            <w:pPr>
              <w:spacing w:after="0"/>
              <w:rPr>
                <w:sz w:val="20"/>
                <w:szCs w:val="20"/>
                <w:color w:val="auto"/>
              </w:rPr>
            </w:pPr>
          </w:p>
        </w:tc>
        <w:tc>
          <w:tcPr>
            <w:tcW w:w="820" w:type="dxa"/>
            <w:vAlign w:val="bottom"/>
            <w:tcBorders>
              <w:bottom w:val="single" w:sz="8" w:color="0070C0"/>
            </w:tcBorders>
          </w:tcPr>
          <w:p>
            <w:pPr>
              <w:jc w:val="right"/>
              <w:ind w:right="372"/>
              <w:spacing w:after="0"/>
              <w:rPr>
                <w:sz w:val="20"/>
                <w:szCs w:val="20"/>
                <w:color w:val="auto"/>
              </w:rPr>
            </w:pPr>
            <w:r>
              <w:rPr>
                <w:rFonts w:ascii="Arial" w:cs="Arial" w:eastAsia="Arial" w:hAnsi="Arial"/>
                <w:sz w:val="16"/>
                <w:szCs w:val="16"/>
                <w:b w:val="1"/>
                <w:bCs w:val="1"/>
                <w:color w:val="002060"/>
              </w:rPr>
              <w:t>($)</w:t>
            </w:r>
          </w:p>
        </w:tc>
        <w:tc>
          <w:tcPr>
            <w:tcW w:w="760" w:type="dxa"/>
            <w:vAlign w:val="bottom"/>
            <w:tcBorders>
              <w:bottom w:val="single" w:sz="8" w:color="0070C0"/>
            </w:tcBorders>
          </w:tcPr>
          <w:p>
            <w:pPr>
              <w:spacing w:after="0"/>
              <w:rPr>
                <w:sz w:val="20"/>
                <w:szCs w:val="20"/>
                <w:color w:val="auto"/>
              </w:rPr>
            </w:pPr>
          </w:p>
        </w:tc>
        <w:tc>
          <w:tcPr>
            <w:tcW w:w="2220" w:type="dxa"/>
            <w:vAlign w:val="bottom"/>
            <w:tcBorders>
              <w:bottom w:val="single" w:sz="8" w:color="0070C0"/>
            </w:tcBorders>
          </w:tcPr>
          <w:p>
            <w:pPr>
              <w:jc w:val="center"/>
              <w:spacing w:after="0"/>
              <w:rPr>
                <w:sz w:val="20"/>
                <w:szCs w:val="20"/>
                <w:color w:val="auto"/>
              </w:rPr>
            </w:pPr>
            <w:r>
              <w:rPr>
                <w:rFonts w:ascii="Arial" w:cs="Arial" w:eastAsia="Arial" w:hAnsi="Arial"/>
                <w:sz w:val="16"/>
                <w:szCs w:val="16"/>
                <w:b w:val="1"/>
                <w:bCs w:val="1"/>
                <w:color w:val="002060"/>
              </w:rPr>
              <w:t>($)</w:t>
            </w:r>
          </w:p>
        </w:tc>
        <w:tc>
          <w:tcPr>
            <w:tcW w:w="2680" w:type="dxa"/>
            <w:vAlign w:val="bottom"/>
            <w:tcBorders>
              <w:bottom w:val="single" w:sz="8" w:color="0070C0"/>
            </w:tcBorders>
          </w:tcPr>
          <w:p>
            <w:pPr>
              <w:jc w:val="center"/>
              <w:ind w:left="474"/>
              <w:spacing w:after="0"/>
              <w:rPr>
                <w:sz w:val="20"/>
                <w:szCs w:val="20"/>
                <w:color w:val="auto"/>
              </w:rPr>
            </w:pPr>
            <w:r>
              <w:rPr>
                <w:rFonts w:ascii="Arial" w:cs="Arial" w:eastAsia="Arial" w:hAnsi="Arial"/>
                <w:sz w:val="16"/>
                <w:szCs w:val="16"/>
                <w:b w:val="1"/>
                <w:bCs w:val="1"/>
                <w:color w:val="002060"/>
                <w:w w:val="96"/>
              </w:rPr>
              <w:t>(%)</w:t>
            </w:r>
          </w:p>
        </w:tc>
      </w:tr>
      <w:tr>
        <w:trPr>
          <w:trHeight w:val="203"/>
        </w:trPr>
        <w:tc>
          <w:tcPr>
            <w:tcW w:w="3380" w:type="dxa"/>
            <w:vAlign w:val="bottom"/>
            <w:tcBorders>
              <w:bottom w:val="single" w:sz="8" w:color="auto"/>
            </w:tcBorders>
            <w:shd w:val="clear" w:color="auto" w:fill="D5DCE4"/>
          </w:tcPr>
          <w:p>
            <w:pPr>
              <w:spacing w:after="0" w:line="202" w:lineRule="exact"/>
              <w:rPr>
                <w:sz w:val="20"/>
                <w:szCs w:val="20"/>
                <w:color w:val="auto"/>
              </w:rPr>
            </w:pPr>
            <w:r>
              <w:rPr>
                <w:rFonts w:ascii="Arial" w:cs="Arial" w:eastAsia="Arial" w:hAnsi="Arial"/>
                <w:sz w:val="18"/>
                <w:szCs w:val="18"/>
                <w:color w:val="auto"/>
              </w:rPr>
              <w:t>  Jeffrey W. Edwards</w:t>
            </w:r>
          </w:p>
        </w:tc>
        <w:tc>
          <w:tcPr>
            <w:tcW w:w="940" w:type="dxa"/>
            <w:vAlign w:val="bottom"/>
            <w:tcBorders>
              <w:bottom w:val="single" w:sz="8" w:color="auto"/>
            </w:tcBorders>
          </w:tcPr>
          <w:p>
            <w:pPr>
              <w:ind w:left="600"/>
              <w:spacing w:after="0" w:line="202" w:lineRule="exact"/>
              <w:rPr>
                <w:sz w:val="20"/>
                <w:szCs w:val="20"/>
                <w:color w:val="auto"/>
              </w:rPr>
            </w:pPr>
            <w:r>
              <w:rPr>
                <w:rFonts w:ascii="Arial" w:cs="Arial" w:eastAsia="Arial" w:hAnsi="Arial"/>
                <w:sz w:val="18"/>
                <w:szCs w:val="18"/>
                <w:color w:val="auto"/>
              </w:rPr>
              <w:t xml:space="preserve">      </w:t>
            </w:r>
          </w:p>
        </w:tc>
        <w:tc>
          <w:tcPr>
            <w:tcW w:w="10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w w:val="97"/>
              </w:rPr>
              <w:t>1,150,000 </w:t>
            </w:r>
          </w:p>
        </w:tc>
        <w:tc>
          <w:tcPr>
            <w:tcW w:w="760" w:type="dxa"/>
            <w:vAlign w:val="bottom"/>
            <w:tcBorders>
              <w:bottom w:val="single" w:sz="8" w:color="auto"/>
            </w:tcBorders>
          </w:tcPr>
          <w:p>
            <w:pPr>
              <w:ind w:left="80"/>
              <w:spacing w:after="0" w:line="202" w:lineRule="exact"/>
              <w:rPr>
                <w:sz w:val="20"/>
                <w:szCs w:val="20"/>
                <w:color w:val="auto"/>
              </w:rPr>
            </w:pPr>
            <w:r>
              <w:rPr>
                <w:rFonts w:ascii="Arial" w:cs="Arial" w:eastAsia="Arial" w:hAnsi="Arial"/>
                <w:sz w:val="18"/>
                <w:szCs w:val="18"/>
                <w:color w:val="auto"/>
              </w:rPr>
              <w:t> </w:t>
            </w:r>
          </w:p>
        </w:tc>
        <w:tc>
          <w:tcPr>
            <w:tcW w:w="2220" w:type="dxa"/>
            <w:vAlign w:val="bottom"/>
            <w:tcBorders>
              <w:bottom w:val="single" w:sz="8" w:color="auto"/>
            </w:tcBorders>
          </w:tcPr>
          <w:p>
            <w:pPr>
              <w:jc w:val="right"/>
              <w:ind w:right="553"/>
              <w:spacing w:after="0" w:line="202" w:lineRule="exact"/>
              <w:rPr>
                <w:sz w:val="20"/>
                <w:szCs w:val="20"/>
                <w:color w:val="auto"/>
              </w:rPr>
            </w:pPr>
            <w:r>
              <w:rPr>
                <w:rFonts w:ascii="Arial" w:cs="Arial" w:eastAsia="Arial" w:hAnsi="Arial"/>
                <w:sz w:val="18"/>
                <w:szCs w:val="18"/>
                <w:color w:val="auto"/>
              </w:rPr>
              <w:t>1,225,900</w:t>
            </w:r>
          </w:p>
        </w:tc>
        <w:tc>
          <w:tcPr>
            <w:tcW w:w="2680" w:type="dxa"/>
            <w:vAlign w:val="bottom"/>
            <w:tcBorders>
              <w:bottom w:val="single" w:sz="8" w:color="auto"/>
            </w:tcBorders>
          </w:tcPr>
          <w:p>
            <w:pPr>
              <w:jc w:val="right"/>
              <w:ind w:right="654"/>
              <w:spacing w:after="0" w:line="202" w:lineRule="exact"/>
              <w:rPr>
                <w:sz w:val="20"/>
                <w:szCs w:val="20"/>
                <w:color w:val="auto"/>
              </w:rPr>
            </w:pPr>
            <w:r>
              <w:rPr>
                <w:rFonts w:ascii="Arial" w:cs="Arial" w:eastAsia="Arial" w:hAnsi="Arial"/>
                <w:sz w:val="18"/>
                <w:szCs w:val="18"/>
                <w:color w:val="auto"/>
              </w:rPr>
              <w:t>20.7</w:t>
            </w:r>
          </w:p>
        </w:tc>
      </w:tr>
      <w:tr>
        <w:trPr>
          <w:trHeight w:val="196"/>
        </w:trPr>
        <w:tc>
          <w:tcPr>
            <w:tcW w:w="338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  Michael T. Miller</w:t>
            </w:r>
          </w:p>
        </w:tc>
        <w:tc>
          <w:tcPr>
            <w:tcW w:w="9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430,000 </w:t>
            </w:r>
          </w:p>
        </w:tc>
        <w:tc>
          <w:tcPr>
            <w:tcW w:w="76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 </w:t>
            </w:r>
          </w:p>
        </w:tc>
        <w:tc>
          <w:tcPr>
            <w:tcW w:w="2220" w:type="dxa"/>
            <w:vAlign w:val="bottom"/>
            <w:tcBorders>
              <w:bottom w:val="single" w:sz="8" w:color="auto"/>
            </w:tcBorders>
          </w:tcPr>
          <w:p>
            <w:pPr>
              <w:jc w:val="right"/>
              <w:ind w:right="553"/>
              <w:spacing w:after="0" w:line="196" w:lineRule="exact"/>
              <w:rPr>
                <w:sz w:val="20"/>
                <w:szCs w:val="20"/>
                <w:color w:val="auto"/>
              </w:rPr>
            </w:pPr>
            <w:r>
              <w:rPr>
                <w:rFonts w:ascii="Arial" w:cs="Arial" w:eastAsia="Arial" w:hAnsi="Arial"/>
                <w:sz w:val="18"/>
                <w:szCs w:val="18"/>
                <w:color w:val="auto"/>
              </w:rPr>
              <w:t>458,380</w:t>
            </w:r>
          </w:p>
        </w:tc>
        <w:tc>
          <w:tcPr>
            <w:tcW w:w="2680" w:type="dxa"/>
            <w:vAlign w:val="bottom"/>
            <w:tcBorders>
              <w:bottom w:val="single" w:sz="8" w:color="auto"/>
            </w:tcBorders>
          </w:tcPr>
          <w:p>
            <w:pPr>
              <w:jc w:val="right"/>
              <w:ind w:right="654"/>
              <w:spacing w:after="0" w:line="196" w:lineRule="exact"/>
              <w:rPr>
                <w:sz w:val="20"/>
                <w:szCs w:val="20"/>
                <w:color w:val="auto"/>
              </w:rPr>
            </w:pPr>
            <w:r>
              <w:rPr>
                <w:rFonts w:ascii="Arial" w:cs="Arial" w:eastAsia="Arial" w:hAnsi="Arial"/>
                <w:sz w:val="18"/>
                <w:szCs w:val="18"/>
                <w:color w:val="auto"/>
              </w:rPr>
              <w:t>21.2</w:t>
            </w:r>
          </w:p>
        </w:tc>
      </w:tr>
      <w:tr>
        <w:trPr>
          <w:trHeight w:val="196"/>
        </w:trPr>
        <w:tc>
          <w:tcPr>
            <w:tcW w:w="338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  Jay P. Elliott</w:t>
            </w:r>
          </w:p>
        </w:tc>
        <w:tc>
          <w:tcPr>
            <w:tcW w:w="940" w:type="dxa"/>
            <w:vAlign w:val="bottom"/>
            <w:tcBorders>
              <w:bottom w:val="single" w:sz="8" w:color="auto"/>
            </w:tcBorders>
          </w:tcPr>
          <w:p>
            <w:pPr>
              <w:ind w:left="860"/>
              <w:spacing w:after="0"/>
              <w:rPr>
                <w:sz w:val="20"/>
                <w:szCs w:val="20"/>
                <w:color w:val="auto"/>
              </w:rPr>
            </w:pPr>
            <w:r>
              <w:rPr>
                <w:rFonts w:ascii="Arial" w:cs="Arial" w:eastAsia="Arial" w:hAnsi="Arial"/>
                <w:sz w:val="8"/>
                <w:szCs w:val="8"/>
                <w:color w:val="auto"/>
                <w:w w:val="74"/>
              </w:rPr>
              <w:t> </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w w:val="76"/>
              </w:rPr>
              <w:t> </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325,000 </w:t>
            </w:r>
          </w:p>
        </w:tc>
        <w:tc>
          <w:tcPr>
            <w:tcW w:w="76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 </w:t>
            </w:r>
          </w:p>
        </w:tc>
        <w:tc>
          <w:tcPr>
            <w:tcW w:w="2220" w:type="dxa"/>
            <w:vAlign w:val="bottom"/>
            <w:tcBorders>
              <w:bottom w:val="single" w:sz="8" w:color="auto"/>
            </w:tcBorders>
          </w:tcPr>
          <w:p>
            <w:pPr>
              <w:jc w:val="right"/>
              <w:ind w:right="553"/>
              <w:spacing w:after="0" w:line="196" w:lineRule="exact"/>
              <w:rPr>
                <w:sz w:val="20"/>
                <w:szCs w:val="20"/>
                <w:color w:val="auto"/>
              </w:rPr>
            </w:pPr>
            <w:r>
              <w:rPr>
                <w:rFonts w:ascii="Arial" w:cs="Arial" w:eastAsia="Arial" w:hAnsi="Arial"/>
                <w:sz w:val="18"/>
                <w:szCs w:val="18"/>
                <w:color w:val="auto"/>
              </w:rPr>
              <w:t>346,450</w:t>
            </w:r>
          </w:p>
        </w:tc>
        <w:tc>
          <w:tcPr>
            <w:tcW w:w="2680" w:type="dxa"/>
            <w:vAlign w:val="bottom"/>
            <w:tcBorders>
              <w:bottom w:val="single" w:sz="8" w:color="auto"/>
            </w:tcBorders>
          </w:tcPr>
          <w:p>
            <w:pPr>
              <w:jc w:val="right"/>
              <w:ind w:right="654"/>
              <w:spacing w:after="0" w:line="196" w:lineRule="exact"/>
              <w:rPr>
                <w:sz w:val="20"/>
                <w:szCs w:val="20"/>
                <w:color w:val="auto"/>
              </w:rPr>
            </w:pPr>
            <w:r>
              <w:rPr>
                <w:rFonts w:ascii="Arial" w:cs="Arial" w:eastAsia="Arial" w:hAnsi="Arial"/>
                <w:sz w:val="18"/>
                <w:szCs w:val="18"/>
                <w:color w:val="auto"/>
              </w:rPr>
              <w:t>16.3</w:t>
            </w:r>
          </w:p>
        </w:tc>
      </w:tr>
      <w:tr>
        <w:trPr>
          <w:trHeight w:val="196"/>
        </w:trPr>
        <w:tc>
          <w:tcPr>
            <w:tcW w:w="338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  W. Jeffrey Hire</w:t>
            </w:r>
          </w:p>
        </w:tc>
        <w:tc>
          <w:tcPr>
            <w:tcW w:w="940" w:type="dxa"/>
            <w:vAlign w:val="bottom"/>
            <w:tcBorders>
              <w:bottom w:val="single" w:sz="8" w:color="auto"/>
            </w:tcBorders>
          </w:tcPr>
          <w:p>
            <w:pPr>
              <w:ind w:left="860"/>
              <w:spacing w:after="0"/>
              <w:rPr>
                <w:sz w:val="20"/>
                <w:szCs w:val="20"/>
                <w:color w:val="auto"/>
              </w:rPr>
            </w:pPr>
            <w:r>
              <w:rPr>
                <w:rFonts w:ascii="Arial" w:cs="Arial" w:eastAsia="Arial" w:hAnsi="Arial"/>
                <w:sz w:val="8"/>
                <w:szCs w:val="8"/>
                <w:color w:val="auto"/>
                <w:w w:val="74"/>
              </w:rPr>
              <w:t> </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w w:val="76"/>
              </w:rPr>
              <w:t> </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200,000 </w:t>
            </w:r>
          </w:p>
        </w:tc>
        <w:tc>
          <w:tcPr>
            <w:tcW w:w="76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 </w:t>
            </w:r>
          </w:p>
        </w:tc>
        <w:tc>
          <w:tcPr>
            <w:tcW w:w="2220" w:type="dxa"/>
            <w:vAlign w:val="bottom"/>
            <w:tcBorders>
              <w:bottom w:val="single" w:sz="8" w:color="auto"/>
            </w:tcBorders>
          </w:tcPr>
          <w:p>
            <w:pPr>
              <w:jc w:val="right"/>
              <w:ind w:right="553"/>
              <w:spacing w:after="0" w:line="196" w:lineRule="exact"/>
              <w:rPr>
                <w:sz w:val="20"/>
                <w:szCs w:val="20"/>
                <w:color w:val="auto"/>
              </w:rPr>
            </w:pPr>
            <w:r>
              <w:rPr>
                <w:rFonts w:ascii="Arial" w:cs="Arial" w:eastAsia="Arial" w:hAnsi="Arial"/>
                <w:sz w:val="18"/>
                <w:szCs w:val="18"/>
                <w:color w:val="auto"/>
              </w:rPr>
              <w:t>213,200</w:t>
            </w:r>
          </w:p>
        </w:tc>
        <w:tc>
          <w:tcPr>
            <w:tcW w:w="2680" w:type="dxa"/>
            <w:vAlign w:val="bottom"/>
            <w:tcBorders>
              <w:bottom w:val="single" w:sz="8" w:color="auto"/>
            </w:tcBorders>
          </w:tcPr>
          <w:p>
            <w:pPr>
              <w:jc w:val="right"/>
              <w:ind w:right="654"/>
              <w:spacing w:after="0" w:line="196" w:lineRule="exact"/>
              <w:rPr>
                <w:sz w:val="20"/>
                <w:szCs w:val="20"/>
                <w:color w:val="auto"/>
              </w:rPr>
            </w:pPr>
            <w:r>
              <w:rPr>
                <w:rFonts w:ascii="Arial" w:cs="Arial" w:eastAsia="Arial" w:hAnsi="Arial"/>
                <w:sz w:val="18"/>
                <w:szCs w:val="18"/>
                <w:color w:val="auto"/>
              </w:rPr>
              <w:t>23.0</w:t>
            </w:r>
          </w:p>
        </w:tc>
      </w:tr>
      <w:tr>
        <w:trPr>
          <w:trHeight w:val="203"/>
        </w:trPr>
        <w:tc>
          <w:tcPr>
            <w:tcW w:w="3380" w:type="dxa"/>
            <w:vAlign w:val="bottom"/>
            <w:tcBorders>
              <w:bottom w:val="single" w:sz="8" w:color="0070C0"/>
            </w:tcBorders>
            <w:shd w:val="clear" w:color="auto" w:fill="D5DCE4"/>
          </w:tcPr>
          <w:p>
            <w:pPr>
              <w:spacing w:after="0" w:line="196" w:lineRule="exact"/>
              <w:rPr>
                <w:sz w:val="20"/>
                <w:szCs w:val="20"/>
                <w:color w:val="auto"/>
              </w:rPr>
            </w:pPr>
            <w:r>
              <w:rPr>
                <w:rFonts w:ascii="Arial" w:cs="Arial" w:eastAsia="Arial" w:hAnsi="Arial"/>
                <w:sz w:val="18"/>
                <w:szCs w:val="18"/>
                <w:color w:val="auto"/>
              </w:rPr>
              <w:t>  Jason R. Niswonger</w:t>
            </w:r>
          </w:p>
        </w:tc>
        <w:tc>
          <w:tcPr>
            <w:tcW w:w="940" w:type="dxa"/>
            <w:vAlign w:val="bottom"/>
            <w:tcBorders>
              <w:bottom w:val="single" w:sz="8" w:color="0070C0"/>
            </w:tcBorders>
          </w:tcPr>
          <w:p>
            <w:pPr>
              <w:ind w:left="860"/>
              <w:spacing w:after="0"/>
              <w:rPr>
                <w:sz w:val="20"/>
                <w:szCs w:val="20"/>
                <w:color w:val="auto"/>
              </w:rPr>
            </w:pPr>
            <w:r>
              <w:rPr>
                <w:rFonts w:ascii="Arial" w:cs="Arial" w:eastAsia="Arial" w:hAnsi="Arial"/>
                <w:sz w:val="8"/>
                <w:szCs w:val="8"/>
                <w:color w:val="auto"/>
                <w:w w:val="74"/>
              </w:rPr>
              <w:t> </w:t>
            </w:r>
          </w:p>
        </w:tc>
        <w:tc>
          <w:tcPr>
            <w:tcW w:w="220" w:type="dxa"/>
            <w:vAlign w:val="bottom"/>
            <w:tcBorders>
              <w:bottom w:val="single" w:sz="8" w:color="0070C0"/>
            </w:tcBorders>
          </w:tcPr>
          <w:p>
            <w:pPr>
              <w:ind w:left="100"/>
              <w:spacing w:after="0"/>
              <w:rPr>
                <w:sz w:val="20"/>
                <w:szCs w:val="20"/>
                <w:color w:val="auto"/>
              </w:rPr>
            </w:pPr>
            <w:r>
              <w:rPr>
                <w:rFonts w:ascii="Arial" w:cs="Arial" w:eastAsia="Arial" w:hAnsi="Arial"/>
                <w:sz w:val="13"/>
                <w:szCs w:val="13"/>
                <w:color w:val="auto"/>
                <w:w w:val="76"/>
              </w:rPr>
              <w:t> </w:t>
            </w:r>
          </w:p>
        </w:tc>
        <w:tc>
          <w:tcPr>
            <w:tcW w:w="820" w:type="dxa"/>
            <w:vAlign w:val="bottom"/>
            <w:tcBorders>
              <w:bottom w:val="single" w:sz="8" w:color="0070C0"/>
            </w:tcBorders>
          </w:tcPr>
          <w:p>
            <w:pPr>
              <w:jc w:val="right"/>
              <w:spacing w:after="0" w:line="196" w:lineRule="exact"/>
              <w:rPr>
                <w:sz w:val="20"/>
                <w:szCs w:val="20"/>
                <w:color w:val="auto"/>
              </w:rPr>
            </w:pPr>
            <w:r>
              <w:rPr>
                <w:rFonts w:ascii="Arial" w:cs="Arial" w:eastAsia="Arial" w:hAnsi="Arial"/>
                <w:sz w:val="18"/>
                <w:szCs w:val="18"/>
                <w:color w:val="auto"/>
                <w:w w:val="89"/>
              </w:rPr>
              <w:t>265,000 </w:t>
            </w:r>
          </w:p>
        </w:tc>
        <w:tc>
          <w:tcPr>
            <w:tcW w:w="760" w:type="dxa"/>
            <w:vAlign w:val="bottom"/>
            <w:tcBorders>
              <w:bottom w:val="single" w:sz="8" w:color="0070C0"/>
            </w:tcBorders>
          </w:tcPr>
          <w:p>
            <w:pPr>
              <w:ind w:left="80"/>
              <w:spacing w:after="0" w:line="196" w:lineRule="exact"/>
              <w:rPr>
                <w:sz w:val="20"/>
                <w:szCs w:val="20"/>
                <w:color w:val="auto"/>
              </w:rPr>
            </w:pPr>
            <w:r>
              <w:rPr>
                <w:rFonts w:ascii="Arial" w:cs="Arial" w:eastAsia="Arial" w:hAnsi="Arial"/>
                <w:sz w:val="18"/>
                <w:szCs w:val="18"/>
                <w:color w:val="auto"/>
              </w:rPr>
              <w:t> </w:t>
            </w:r>
          </w:p>
        </w:tc>
        <w:tc>
          <w:tcPr>
            <w:tcW w:w="2220" w:type="dxa"/>
            <w:vAlign w:val="bottom"/>
            <w:tcBorders>
              <w:bottom w:val="single" w:sz="8" w:color="0070C0"/>
            </w:tcBorders>
          </w:tcPr>
          <w:p>
            <w:pPr>
              <w:jc w:val="right"/>
              <w:ind w:right="553"/>
              <w:spacing w:after="0" w:line="196" w:lineRule="exact"/>
              <w:rPr>
                <w:sz w:val="20"/>
                <w:szCs w:val="20"/>
                <w:color w:val="auto"/>
              </w:rPr>
            </w:pPr>
            <w:r>
              <w:rPr>
                <w:rFonts w:ascii="Arial" w:cs="Arial" w:eastAsia="Arial" w:hAnsi="Arial"/>
                <w:sz w:val="18"/>
                <w:szCs w:val="18"/>
                <w:color w:val="auto"/>
              </w:rPr>
              <w:t>282,490</w:t>
            </w:r>
          </w:p>
        </w:tc>
        <w:tc>
          <w:tcPr>
            <w:tcW w:w="2680" w:type="dxa"/>
            <w:vAlign w:val="bottom"/>
            <w:tcBorders>
              <w:bottom w:val="single" w:sz="8" w:color="0070C0"/>
            </w:tcBorders>
          </w:tcPr>
          <w:p>
            <w:pPr>
              <w:jc w:val="right"/>
              <w:ind w:right="654"/>
              <w:spacing w:after="0" w:line="196" w:lineRule="exact"/>
              <w:rPr>
                <w:sz w:val="20"/>
                <w:szCs w:val="20"/>
                <w:color w:val="auto"/>
              </w:rPr>
            </w:pPr>
            <w:r>
              <w:rPr>
                <w:rFonts w:ascii="Arial" w:cs="Arial" w:eastAsia="Arial" w:hAnsi="Arial"/>
                <w:sz w:val="18"/>
                <w:szCs w:val="18"/>
                <w:color w:val="auto"/>
              </w:rPr>
              <w:t>24.3</w:t>
            </w:r>
          </w:p>
        </w:tc>
      </w:tr>
    </w:tbl>
    <w:p>
      <w:pPr>
        <w:spacing w:after="0" w:line="197" w:lineRule="exact"/>
        <w:rPr>
          <w:sz w:val="20"/>
          <w:szCs w:val="20"/>
          <w:color w:val="auto"/>
        </w:rPr>
      </w:pPr>
    </w:p>
    <w:p>
      <w:pPr>
        <w:ind w:right="1180"/>
        <w:spacing w:after="0" w:line="271" w:lineRule="auto"/>
        <w:rPr>
          <w:sz w:val="20"/>
          <w:szCs w:val="20"/>
          <w:color w:val="auto"/>
        </w:rPr>
      </w:pPr>
      <w:r>
        <w:rPr>
          <w:rFonts w:ascii="Arial" w:cs="Arial" w:eastAsia="Arial" w:hAnsi="Arial"/>
          <w:sz w:val="18"/>
          <w:szCs w:val="18"/>
          <w:color w:val="auto"/>
        </w:rPr>
        <w:t xml:space="preserve">The performance-based incentive cash awards earned by our NEOs for 2023 are included in the “Non-Equity Incentive Plan Compensation” column of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xml:space="preserve"> below.</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color w:val="2E75B4"/>
        </w:rPr>
        <w:t>2023 Performance-Based Incentive Equity Awards</w:t>
      </w:r>
    </w:p>
    <w:p>
      <w:pPr>
        <w:spacing w:after="0" w:line="20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February 2023, the CHC Committee met to consider and finalize the performance metric for our 2023 performance-based incentive equity awards. The committee determined, for the reasons outlined in “</w:t>
      </w:r>
      <w:r>
        <w:rPr>
          <w:rFonts w:ascii="Arial" w:cs="Arial" w:eastAsia="Arial" w:hAnsi="Arial"/>
          <w:sz w:val="18"/>
          <w:szCs w:val="18"/>
          <w:i w:val="1"/>
          <w:iCs w:val="1"/>
          <w:color w:val="auto"/>
        </w:rPr>
        <w:t>Section 3 – Elements of Our Compensation Program –</w:t>
      </w:r>
      <w:r>
        <w:rPr>
          <w:rFonts w:ascii="Arial" w:cs="Arial" w:eastAsia="Arial" w:hAnsi="Arial"/>
          <w:sz w:val="18"/>
          <w:szCs w:val="18"/>
          <w:color w:val="auto"/>
        </w:rPr>
        <w:t xml:space="preserve"> </w:t>
      </w:r>
      <w:r>
        <w:rPr>
          <w:rFonts w:ascii="Arial" w:cs="Arial" w:eastAsia="Arial" w:hAnsi="Arial"/>
          <w:sz w:val="18"/>
          <w:szCs w:val="18"/>
          <w:i w:val="1"/>
          <w:iCs w:val="1"/>
          <w:color w:val="auto"/>
        </w:rPr>
        <w:t>Performance-Based Cash Incentives</w:t>
      </w:r>
      <w:r>
        <w:rPr>
          <w:rFonts w:ascii="Arial" w:cs="Arial" w:eastAsia="Arial" w:hAnsi="Arial"/>
          <w:sz w:val="18"/>
          <w:szCs w:val="18"/>
          <w:color w:val="auto"/>
        </w:rPr>
        <w:t>” above, to use a one-year performance metric of Adjusted EBITDA. The target chosen by the CHC</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for the incentive equity award program was the same as that chosen for the incentive cash award program. In order to achieve a balance between setting an annual performance metric and its desire to align the interests of our NEOs with the long-term interests of our stockholders, the CHC Committee adds a time-vesting component to the performance-based equity awards. The performance-based restricted stock awards actually earned by an executive may be above or below the target award, based on the degree to which the performance metric is met. Similar to performance-based cash awards, no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Compensation Discussion and Analysis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58</w:t>
      </w:r>
    </w:p>
    <w:p>
      <w:pPr>
        <w:sectPr>
          <w:pgSz w:w="11900" w:h="16838" w:orient="portrait"/>
          <w:cols w:equalWidth="0" w:num="1">
            <w:col w:w="11020"/>
          </w:cols>
          <w:pgMar w:left="440" w:top="293" w:right="439" w:bottom="1440" w:gutter="0" w:footer="0" w:header="0"/>
        </w:sectPr>
      </w:pPr>
    </w:p>
    <w:bookmarkStart w:id="66" w:name="page67"/>
    <w:bookmarkEnd w:id="66"/>
    <w:p>
      <w:pPr>
        <w:ind w:right="120"/>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award would be earned if the Company’s actual Adjusted EBITDA during 2023 was less than 50% of the target, as adjusted for acquisitions, and awards were capped at 200% of target. Target awards are based on a number of shares rather than a dollar amount, so that the potential value of the award fluctuates with the price of our common stock during both the performance period and the vesting period, aligning executive compensation with stockholder value.</w:t>
      </w:r>
    </w:p>
    <w:p>
      <w:pPr>
        <w:spacing w:after="0" w:line="174"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In February 2024, the CHC Committee met to review the results of the Company’s financial performance against the target performance metric. Consistent with the incentive cash award program, the Company’s final Adjusted EBITDA target, as adjusted for the impact of acquisitions during the year, was $455.9 million. Actual Adjusted EBITDA was $485.9 million, or approximately 106.6% of target. Due to the significant increase in the price of our common stock between the grant date ($ 109.76) and the date upon which the award was earned ($205.96), the value of the NEOs equity awards correspondingly increased in alignment with stockholder value.</w:t>
      </w:r>
    </w:p>
    <w:p>
      <w:pPr>
        <w:spacing w:after="0" w:line="176"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 following table reflects each NEO’s 2023 target incentive restricted stock award, earned incentive restricted stock award and the fair value of the awards at the grant date and the date upon which the award was earned.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60" w:type="dxa"/>
            <w:vAlign w:val="bottom"/>
          </w:tcPr>
          <w:p>
            <w:pPr>
              <w:spacing w:after="0"/>
              <w:rPr>
                <w:sz w:val="16"/>
                <w:szCs w:val="16"/>
                <w:color w:val="auto"/>
              </w:rPr>
            </w:pPr>
          </w:p>
        </w:tc>
        <w:tc>
          <w:tcPr>
            <w:tcW w:w="1520" w:type="dxa"/>
            <w:vAlign w:val="bottom"/>
          </w:tcPr>
          <w:p>
            <w:pPr>
              <w:jc w:val="center"/>
              <w:ind w:left="114"/>
              <w:spacing w:after="0"/>
              <w:rPr>
                <w:sz w:val="20"/>
                <w:szCs w:val="20"/>
                <w:color w:val="auto"/>
              </w:rPr>
            </w:pPr>
            <w:r>
              <w:rPr>
                <w:rFonts w:ascii="Arial" w:cs="Arial" w:eastAsia="Arial" w:hAnsi="Arial"/>
                <w:sz w:val="16"/>
                <w:szCs w:val="16"/>
                <w:b w:val="1"/>
                <w:bCs w:val="1"/>
                <w:color w:val="1F4E79"/>
                <w:w w:val="98"/>
              </w:rPr>
              <w:t>Target</w:t>
            </w:r>
          </w:p>
        </w:tc>
        <w:tc>
          <w:tcPr>
            <w:tcW w:w="2500" w:type="dxa"/>
            <w:vAlign w:val="bottom"/>
          </w:tcPr>
          <w:p>
            <w:pPr>
              <w:jc w:val="center"/>
              <w:ind w:right="54"/>
              <w:spacing w:after="0"/>
              <w:rPr>
                <w:sz w:val="20"/>
                <w:szCs w:val="20"/>
                <w:color w:val="auto"/>
              </w:rPr>
            </w:pPr>
            <w:r>
              <w:rPr>
                <w:rFonts w:ascii="Arial" w:cs="Arial" w:eastAsia="Arial" w:hAnsi="Arial"/>
                <w:sz w:val="16"/>
                <w:szCs w:val="16"/>
                <w:b w:val="1"/>
                <w:bCs w:val="1"/>
                <w:color w:val="1F4E79"/>
              </w:rPr>
              <w:t>Target Restricted Stock</w:t>
            </w:r>
          </w:p>
        </w:tc>
        <w:tc>
          <w:tcPr>
            <w:tcW w:w="2420" w:type="dxa"/>
            <w:vAlign w:val="bottom"/>
          </w:tcPr>
          <w:p>
            <w:pPr>
              <w:spacing w:after="0"/>
              <w:rPr>
                <w:sz w:val="16"/>
                <w:szCs w:val="16"/>
                <w:color w:val="auto"/>
              </w:rPr>
            </w:pPr>
          </w:p>
        </w:tc>
        <w:tc>
          <w:tcPr>
            <w:tcW w:w="2420" w:type="dxa"/>
            <w:vAlign w:val="bottom"/>
          </w:tcPr>
          <w:p>
            <w:pPr>
              <w:jc w:val="center"/>
              <w:ind w:left="114"/>
              <w:spacing w:after="0"/>
              <w:rPr>
                <w:sz w:val="20"/>
                <w:szCs w:val="20"/>
                <w:color w:val="auto"/>
              </w:rPr>
            </w:pPr>
            <w:r>
              <w:rPr>
                <w:rFonts w:ascii="Arial" w:cs="Arial" w:eastAsia="Arial" w:hAnsi="Arial"/>
                <w:sz w:val="16"/>
                <w:szCs w:val="16"/>
                <w:b w:val="1"/>
                <w:bCs w:val="1"/>
                <w:color w:val="1F4E79"/>
              </w:rPr>
              <w:t>Earned Restricted</w:t>
            </w:r>
          </w:p>
        </w:tc>
      </w:tr>
      <w:tr>
        <w:trPr>
          <w:trHeight w:val="189"/>
        </w:trPr>
        <w:tc>
          <w:tcPr>
            <w:tcW w:w="2160" w:type="dxa"/>
            <w:vAlign w:val="bottom"/>
          </w:tcPr>
          <w:p>
            <w:pPr>
              <w:spacing w:after="0"/>
              <w:rPr>
                <w:sz w:val="16"/>
                <w:szCs w:val="16"/>
                <w:color w:val="auto"/>
              </w:rPr>
            </w:pPr>
          </w:p>
        </w:tc>
        <w:tc>
          <w:tcPr>
            <w:tcW w:w="1520" w:type="dxa"/>
            <w:vAlign w:val="bottom"/>
          </w:tcPr>
          <w:p>
            <w:pPr>
              <w:jc w:val="center"/>
              <w:ind w:left="94"/>
              <w:spacing w:after="0"/>
              <w:rPr>
                <w:sz w:val="20"/>
                <w:szCs w:val="20"/>
                <w:color w:val="auto"/>
              </w:rPr>
            </w:pPr>
            <w:r>
              <w:rPr>
                <w:rFonts w:ascii="Arial" w:cs="Arial" w:eastAsia="Arial" w:hAnsi="Arial"/>
                <w:sz w:val="16"/>
                <w:szCs w:val="16"/>
                <w:b w:val="1"/>
                <w:bCs w:val="1"/>
                <w:color w:val="1F4E79"/>
                <w:w w:val="99"/>
              </w:rPr>
              <w:t>Restricted</w:t>
            </w:r>
          </w:p>
        </w:tc>
        <w:tc>
          <w:tcPr>
            <w:tcW w:w="2500" w:type="dxa"/>
            <w:vAlign w:val="bottom"/>
          </w:tcPr>
          <w:p>
            <w:pPr>
              <w:jc w:val="center"/>
              <w:ind w:right="74"/>
              <w:spacing w:after="0"/>
              <w:rPr>
                <w:sz w:val="20"/>
                <w:szCs w:val="20"/>
                <w:color w:val="auto"/>
              </w:rPr>
            </w:pPr>
            <w:r>
              <w:rPr>
                <w:rFonts w:ascii="Arial" w:cs="Arial" w:eastAsia="Arial" w:hAnsi="Arial"/>
                <w:sz w:val="16"/>
                <w:szCs w:val="16"/>
                <w:b w:val="1"/>
                <w:bCs w:val="1"/>
                <w:color w:val="1F4E79"/>
              </w:rPr>
              <w:t>Potential Payout Grant</w:t>
            </w:r>
          </w:p>
        </w:tc>
        <w:tc>
          <w:tcPr>
            <w:tcW w:w="2420" w:type="dxa"/>
            <w:vAlign w:val="bottom"/>
          </w:tcPr>
          <w:p>
            <w:pPr>
              <w:jc w:val="center"/>
              <w:ind w:right="133"/>
              <w:spacing w:after="0"/>
              <w:rPr>
                <w:sz w:val="20"/>
                <w:szCs w:val="20"/>
                <w:color w:val="auto"/>
              </w:rPr>
            </w:pPr>
            <w:r>
              <w:rPr>
                <w:rFonts w:ascii="Arial" w:cs="Arial" w:eastAsia="Arial" w:hAnsi="Arial"/>
                <w:sz w:val="16"/>
                <w:szCs w:val="16"/>
                <w:b w:val="1"/>
                <w:bCs w:val="1"/>
                <w:color w:val="1F4E79"/>
              </w:rPr>
              <w:t>Earned Restricted</w:t>
            </w:r>
          </w:p>
        </w:tc>
        <w:tc>
          <w:tcPr>
            <w:tcW w:w="2420" w:type="dxa"/>
            <w:vAlign w:val="bottom"/>
          </w:tcPr>
          <w:p>
            <w:pPr>
              <w:jc w:val="center"/>
              <w:ind w:left="94"/>
              <w:spacing w:after="0"/>
              <w:rPr>
                <w:sz w:val="20"/>
                <w:szCs w:val="20"/>
                <w:color w:val="auto"/>
              </w:rPr>
            </w:pPr>
            <w:r>
              <w:rPr>
                <w:rFonts w:ascii="Arial" w:cs="Arial" w:eastAsia="Arial" w:hAnsi="Arial"/>
                <w:sz w:val="16"/>
                <w:szCs w:val="16"/>
                <w:b w:val="1"/>
                <w:bCs w:val="1"/>
                <w:color w:val="1F4E79"/>
              </w:rPr>
              <w:t>Stock</w:t>
            </w:r>
          </w:p>
        </w:tc>
      </w:tr>
      <w:tr>
        <w:trPr>
          <w:trHeight w:val="189"/>
        </w:trPr>
        <w:tc>
          <w:tcPr>
            <w:tcW w:w="2160" w:type="dxa"/>
            <w:vAlign w:val="bottom"/>
          </w:tcPr>
          <w:p>
            <w:pPr>
              <w:spacing w:after="0"/>
              <w:rPr>
                <w:sz w:val="16"/>
                <w:szCs w:val="16"/>
                <w:color w:val="auto"/>
              </w:rPr>
            </w:pPr>
          </w:p>
        </w:tc>
        <w:tc>
          <w:tcPr>
            <w:tcW w:w="1520" w:type="dxa"/>
            <w:vAlign w:val="bottom"/>
          </w:tcPr>
          <w:p>
            <w:pPr>
              <w:jc w:val="center"/>
              <w:ind w:left="114"/>
              <w:spacing w:after="0"/>
              <w:rPr>
                <w:sz w:val="20"/>
                <w:szCs w:val="20"/>
                <w:color w:val="auto"/>
              </w:rPr>
            </w:pPr>
            <w:r>
              <w:rPr>
                <w:rFonts w:ascii="Arial" w:cs="Arial" w:eastAsia="Arial" w:hAnsi="Arial"/>
                <w:sz w:val="16"/>
                <w:szCs w:val="16"/>
                <w:b w:val="1"/>
                <w:bCs w:val="1"/>
                <w:color w:val="1F4E79"/>
              </w:rPr>
              <w:t>Stock</w:t>
            </w:r>
          </w:p>
        </w:tc>
        <w:tc>
          <w:tcPr>
            <w:tcW w:w="2500" w:type="dxa"/>
            <w:vAlign w:val="bottom"/>
          </w:tcPr>
          <w:p>
            <w:pPr>
              <w:jc w:val="center"/>
              <w:ind w:right="54"/>
              <w:spacing w:after="0"/>
              <w:rPr>
                <w:sz w:val="20"/>
                <w:szCs w:val="20"/>
                <w:color w:val="auto"/>
              </w:rPr>
            </w:pPr>
            <w:r>
              <w:rPr>
                <w:rFonts w:ascii="Arial" w:cs="Arial" w:eastAsia="Arial" w:hAnsi="Arial"/>
                <w:sz w:val="16"/>
                <w:szCs w:val="16"/>
                <w:b w:val="1"/>
                <w:bCs w:val="1"/>
                <w:color w:val="1F4E79"/>
              </w:rPr>
              <w:t>Date Fair Value</w:t>
            </w:r>
          </w:p>
        </w:tc>
        <w:tc>
          <w:tcPr>
            <w:tcW w:w="2420" w:type="dxa"/>
            <w:vAlign w:val="bottom"/>
          </w:tcPr>
          <w:p>
            <w:pPr>
              <w:jc w:val="center"/>
              <w:ind w:right="133"/>
              <w:spacing w:after="0"/>
              <w:rPr>
                <w:sz w:val="20"/>
                <w:szCs w:val="20"/>
                <w:color w:val="auto"/>
              </w:rPr>
            </w:pPr>
            <w:r>
              <w:rPr>
                <w:rFonts w:ascii="Arial" w:cs="Arial" w:eastAsia="Arial" w:hAnsi="Arial"/>
                <w:sz w:val="16"/>
                <w:szCs w:val="16"/>
                <w:b w:val="1"/>
                <w:bCs w:val="1"/>
                <w:color w:val="1F4E79"/>
              </w:rPr>
              <w:t>Stock</w:t>
            </w:r>
          </w:p>
        </w:tc>
        <w:tc>
          <w:tcPr>
            <w:tcW w:w="2420" w:type="dxa"/>
            <w:vAlign w:val="bottom"/>
          </w:tcPr>
          <w:p>
            <w:pPr>
              <w:jc w:val="center"/>
              <w:ind w:left="94"/>
              <w:spacing w:after="0"/>
              <w:rPr>
                <w:sz w:val="20"/>
                <w:szCs w:val="20"/>
                <w:color w:val="auto"/>
              </w:rPr>
            </w:pPr>
            <w:r>
              <w:rPr>
                <w:rFonts w:ascii="Arial" w:cs="Arial" w:eastAsia="Arial" w:hAnsi="Arial"/>
                <w:sz w:val="16"/>
                <w:szCs w:val="16"/>
                <w:b w:val="1"/>
                <w:bCs w:val="1"/>
                <w:color w:val="1F4E79"/>
                <w:w w:val="99"/>
              </w:rPr>
              <w:t>Fair Value</w:t>
            </w:r>
          </w:p>
        </w:tc>
      </w:tr>
      <w:tr>
        <w:trPr>
          <w:trHeight w:val="251"/>
        </w:trPr>
        <w:tc>
          <w:tcPr>
            <w:tcW w:w="2160" w:type="dxa"/>
            <w:vAlign w:val="bottom"/>
            <w:tcBorders>
              <w:bottom w:val="single" w:sz="8" w:color="0070C0"/>
            </w:tcBorders>
          </w:tcPr>
          <w:p>
            <w:pPr>
              <w:spacing w:after="0"/>
              <w:rPr>
                <w:sz w:val="20"/>
                <w:szCs w:val="20"/>
                <w:color w:val="auto"/>
              </w:rPr>
            </w:pPr>
            <w:r>
              <w:rPr>
                <w:rFonts w:ascii="Arial" w:cs="Arial" w:eastAsia="Arial" w:hAnsi="Arial"/>
                <w:sz w:val="16"/>
                <w:szCs w:val="16"/>
                <w:b w:val="1"/>
                <w:bCs w:val="1"/>
                <w:color w:val="1F4E79"/>
              </w:rPr>
              <w:t>Name</w:t>
            </w:r>
          </w:p>
        </w:tc>
        <w:tc>
          <w:tcPr>
            <w:tcW w:w="1520" w:type="dxa"/>
            <w:vAlign w:val="bottom"/>
            <w:tcBorders>
              <w:bottom w:val="single" w:sz="8" w:color="0070C0"/>
            </w:tcBorders>
          </w:tcPr>
          <w:p>
            <w:pPr>
              <w:jc w:val="center"/>
              <w:ind w:left="114"/>
              <w:spacing w:after="0"/>
              <w:rPr>
                <w:sz w:val="20"/>
                <w:szCs w:val="20"/>
                <w:color w:val="auto"/>
              </w:rPr>
            </w:pPr>
            <w:r>
              <w:rPr>
                <w:rFonts w:ascii="Arial" w:cs="Arial" w:eastAsia="Arial" w:hAnsi="Arial"/>
                <w:sz w:val="16"/>
                <w:szCs w:val="16"/>
                <w:b w:val="1"/>
                <w:bCs w:val="1"/>
                <w:color w:val="1F4E79"/>
              </w:rPr>
              <w:t>(#)</w:t>
            </w:r>
          </w:p>
        </w:tc>
        <w:tc>
          <w:tcPr>
            <w:tcW w:w="2500" w:type="dxa"/>
            <w:vAlign w:val="bottom"/>
            <w:tcBorders>
              <w:bottom w:val="single" w:sz="8" w:color="0070C0"/>
            </w:tcBorders>
          </w:tcPr>
          <w:p>
            <w:pPr>
              <w:jc w:val="center"/>
              <w:ind w:right="54"/>
              <w:spacing w:after="0"/>
              <w:rPr>
                <w:sz w:val="20"/>
                <w:szCs w:val="20"/>
                <w:color w:val="auto"/>
              </w:rPr>
            </w:pPr>
            <w:r>
              <w:rPr>
                <w:rFonts w:ascii="Arial" w:cs="Arial" w:eastAsia="Arial" w:hAnsi="Arial"/>
                <w:sz w:val="16"/>
                <w:szCs w:val="16"/>
                <w:b w:val="1"/>
                <w:bCs w:val="1"/>
                <w:color w:val="1F4E79"/>
              </w:rPr>
              <w:t>($)(1)</w:t>
            </w:r>
          </w:p>
        </w:tc>
        <w:tc>
          <w:tcPr>
            <w:tcW w:w="2420" w:type="dxa"/>
            <w:vAlign w:val="bottom"/>
            <w:tcBorders>
              <w:bottom w:val="single" w:sz="8" w:color="0070C0"/>
            </w:tcBorders>
          </w:tcPr>
          <w:p>
            <w:pPr>
              <w:jc w:val="center"/>
              <w:ind w:right="133"/>
              <w:spacing w:after="0"/>
              <w:rPr>
                <w:sz w:val="20"/>
                <w:szCs w:val="20"/>
                <w:color w:val="auto"/>
              </w:rPr>
            </w:pPr>
            <w:r>
              <w:rPr>
                <w:rFonts w:ascii="Arial" w:cs="Arial" w:eastAsia="Arial" w:hAnsi="Arial"/>
                <w:sz w:val="16"/>
                <w:szCs w:val="16"/>
                <w:b w:val="1"/>
                <w:bCs w:val="1"/>
                <w:color w:val="1F4E79"/>
              </w:rPr>
              <w:t>(#)</w:t>
            </w:r>
          </w:p>
        </w:tc>
        <w:tc>
          <w:tcPr>
            <w:tcW w:w="2420" w:type="dxa"/>
            <w:vAlign w:val="bottom"/>
            <w:tcBorders>
              <w:bottom w:val="single" w:sz="8" w:color="0070C0"/>
            </w:tcBorders>
          </w:tcPr>
          <w:p>
            <w:pPr>
              <w:jc w:val="center"/>
              <w:ind w:left="94"/>
              <w:spacing w:after="0"/>
              <w:rPr>
                <w:sz w:val="20"/>
                <w:szCs w:val="20"/>
                <w:color w:val="auto"/>
              </w:rPr>
            </w:pPr>
            <w:r>
              <w:rPr>
                <w:rFonts w:ascii="Arial" w:cs="Arial" w:eastAsia="Arial" w:hAnsi="Arial"/>
                <w:sz w:val="16"/>
                <w:szCs w:val="16"/>
                <w:b w:val="1"/>
                <w:bCs w:val="1"/>
                <w:color w:val="1F4E79"/>
              </w:rPr>
              <w:t>($)(2)</w:t>
            </w:r>
          </w:p>
        </w:tc>
      </w:tr>
      <w:tr>
        <w:trPr>
          <w:trHeight w:val="203"/>
        </w:trPr>
        <w:tc>
          <w:tcPr>
            <w:tcW w:w="2160" w:type="dxa"/>
            <w:vAlign w:val="bottom"/>
            <w:tcBorders>
              <w:bottom w:val="single" w:sz="8" w:color="auto"/>
            </w:tcBorders>
            <w:shd w:val="clear" w:color="auto" w:fill="D5DCE4"/>
          </w:tcPr>
          <w:p>
            <w:pPr>
              <w:spacing w:after="0" w:line="202" w:lineRule="exact"/>
              <w:rPr>
                <w:sz w:val="20"/>
                <w:szCs w:val="20"/>
                <w:color w:val="auto"/>
              </w:rPr>
            </w:pPr>
            <w:r>
              <w:rPr>
                <w:rFonts w:ascii="Arial" w:cs="Arial" w:eastAsia="Arial" w:hAnsi="Arial"/>
                <w:sz w:val="18"/>
                <w:szCs w:val="18"/>
                <w:color w:val="auto"/>
              </w:rPr>
              <w:t>  Jeffrey W. Edwards</w:t>
            </w:r>
          </w:p>
        </w:tc>
        <w:tc>
          <w:tcPr>
            <w:tcW w:w="1520" w:type="dxa"/>
            <w:vAlign w:val="bottom"/>
            <w:tcBorders>
              <w:bottom w:val="single" w:sz="8" w:color="auto"/>
            </w:tcBorders>
          </w:tcPr>
          <w:p>
            <w:pPr>
              <w:jc w:val="right"/>
              <w:ind w:right="174"/>
              <w:spacing w:after="0" w:line="202" w:lineRule="exact"/>
              <w:rPr>
                <w:sz w:val="20"/>
                <w:szCs w:val="20"/>
                <w:color w:val="auto"/>
              </w:rPr>
            </w:pPr>
            <w:r>
              <w:rPr>
                <w:rFonts w:ascii="Arial" w:cs="Arial" w:eastAsia="Arial" w:hAnsi="Arial"/>
                <w:sz w:val="18"/>
                <w:szCs w:val="18"/>
                <w:color w:val="auto"/>
              </w:rPr>
              <w:t>32,798</w:t>
            </w:r>
          </w:p>
        </w:tc>
        <w:tc>
          <w:tcPr>
            <w:tcW w:w="2500" w:type="dxa"/>
            <w:vAlign w:val="bottom"/>
            <w:tcBorders>
              <w:bottom w:val="single" w:sz="8" w:color="auto"/>
            </w:tcBorders>
          </w:tcPr>
          <w:p>
            <w:pPr>
              <w:jc w:val="right"/>
              <w:ind w:right="514"/>
              <w:spacing w:after="0" w:line="202" w:lineRule="exact"/>
              <w:rPr>
                <w:sz w:val="20"/>
                <w:szCs w:val="20"/>
                <w:color w:val="auto"/>
              </w:rPr>
            </w:pPr>
            <w:r>
              <w:rPr>
                <w:rFonts w:ascii="Arial" w:cs="Arial" w:eastAsia="Arial" w:hAnsi="Arial"/>
                <w:sz w:val="18"/>
                <w:szCs w:val="18"/>
                <w:color w:val="auto"/>
              </w:rPr>
              <w:t>3,599,908</w:t>
            </w:r>
          </w:p>
        </w:tc>
        <w:tc>
          <w:tcPr>
            <w:tcW w:w="2420" w:type="dxa"/>
            <w:vAlign w:val="bottom"/>
            <w:tcBorders>
              <w:bottom w:val="single" w:sz="8" w:color="auto"/>
            </w:tcBorders>
          </w:tcPr>
          <w:p>
            <w:pPr>
              <w:jc w:val="right"/>
              <w:ind w:right="933"/>
              <w:spacing w:after="0" w:line="202" w:lineRule="exact"/>
              <w:rPr>
                <w:sz w:val="20"/>
                <w:szCs w:val="20"/>
                <w:color w:val="auto"/>
              </w:rPr>
            </w:pPr>
            <w:r>
              <w:rPr>
                <w:rFonts w:ascii="Arial" w:cs="Arial" w:eastAsia="Arial" w:hAnsi="Arial"/>
                <w:sz w:val="18"/>
                <w:szCs w:val="18"/>
                <w:color w:val="auto"/>
              </w:rPr>
              <w:t>34,963</w:t>
            </w:r>
          </w:p>
        </w:tc>
        <w:tc>
          <w:tcPr>
            <w:tcW w:w="2420" w:type="dxa"/>
            <w:vAlign w:val="bottom"/>
            <w:tcBorders>
              <w:bottom w:val="single" w:sz="8" w:color="auto"/>
            </w:tcBorders>
          </w:tcPr>
          <w:p>
            <w:pPr>
              <w:jc w:val="right"/>
              <w:ind w:right="594"/>
              <w:spacing w:after="0" w:line="202" w:lineRule="exact"/>
              <w:rPr>
                <w:sz w:val="20"/>
                <w:szCs w:val="20"/>
                <w:color w:val="auto"/>
              </w:rPr>
            </w:pPr>
            <w:r>
              <w:rPr>
                <w:rFonts w:ascii="Arial" w:cs="Arial" w:eastAsia="Arial" w:hAnsi="Arial"/>
                <w:sz w:val="18"/>
                <w:szCs w:val="18"/>
                <w:color w:val="auto"/>
              </w:rPr>
              <w:t>7,200,911</w:t>
            </w:r>
          </w:p>
        </w:tc>
      </w:tr>
      <w:tr>
        <w:trPr>
          <w:trHeight w:val="196"/>
        </w:trPr>
        <w:tc>
          <w:tcPr>
            <w:tcW w:w="216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  Michael T. Miller</w:t>
            </w:r>
          </w:p>
        </w:tc>
        <w:tc>
          <w:tcPr>
            <w:tcW w:w="1520" w:type="dxa"/>
            <w:vAlign w:val="bottom"/>
            <w:tcBorders>
              <w:bottom w:val="single" w:sz="8" w:color="auto"/>
            </w:tcBorders>
          </w:tcPr>
          <w:p>
            <w:pPr>
              <w:jc w:val="right"/>
              <w:ind w:right="174"/>
              <w:spacing w:after="0" w:line="196" w:lineRule="exact"/>
              <w:rPr>
                <w:sz w:val="20"/>
                <w:szCs w:val="20"/>
                <w:color w:val="auto"/>
              </w:rPr>
            </w:pPr>
            <w:r>
              <w:rPr>
                <w:rFonts w:ascii="Arial" w:cs="Arial" w:eastAsia="Arial" w:hAnsi="Arial"/>
                <w:sz w:val="18"/>
                <w:szCs w:val="18"/>
                <w:color w:val="auto"/>
              </w:rPr>
              <w:t>10,568</w:t>
            </w:r>
          </w:p>
        </w:tc>
        <w:tc>
          <w:tcPr>
            <w:tcW w:w="2500" w:type="dxa"/>
            <w:vAlign w:val="bottom"/>
            <w:tcBorders>
              <w:bottom w:val="single" w:sz="8" w:color="auto"/>
            </w:tcBorders>
          </w:tcPr>
          <w:p>
            <w:pPr>
              <w:jc w:val="right"/>
              <w:ind w:right="514"/>
              <w:spacing w:after="0" w:line="196" w:lineRule="exact"/>
              <w:rPr>
                <w:sz w:val="20"/>
                <w:szCs w:val="20"/>
                <w:color w:val="auto"/>
              </w:rPr>
            </w:pPr>
            <w:r>
              <w:rPr>
                <w:rFonts w:ascii="Arial" w:cs="Arial" w:eastAsia="Arial" w:hAnsi="Arial"/>
                <w:sz w:val="18"/>
                <w:szCs w:val="18"/>
                <w:color w:val="auto"/>
              </w:rPr>
              <w:t>1,159,944</w:t>
            </w:r>
          </w:p>
        </w:tc>
        <w:tc>
          <w:tcPr>
            <w:tcW w:w="2420" w:type="dxa"/>
            <w:vAlign w:val="bottom"/>
            <w:tcBorders>
              <w:bottom w:val="single" w:sz="8" w:color="auto"/>
            </w:tcBorders>
          </w:tcPr>
          <w:p>
            <w:pPr>
              <w:jc w:val="right"/>
              <w:ind w:right="933"/>
              <w:spacing w:after="0" w:line="196" w:lineRule="exact"/>
              <w:rPr>
                <w:sz w:val="20"/>
                <w:szCs w:val="20"/>
                <w:color w:val="auto"/>
              </w:rPr>
            </w:pPr>
            <w:r>
              <w:rPr>
                <w:rFonts w:ascii="Arial" w:cs="Arial" w:eastAsia="Arial" w:hAnsi="Arial"/>
                <w:sz w:val="18"/>
                <w:szCs w:val="18"/>
                <w:color w:val="auto"/>
              </w:rPr>
              <w:t>11,265</w:t>
            </w:r>
          </w:p>
        </w:tc>
        <w:tc>
          <w:tcPr>
            <w:tcW w:w="2420" w:type="dxa"/>
            <w:vAlign w:val="bottom"/>
            <w:tcBorders>
              <w:bottom w:val="single" w:sz="8" w:color="auto"/>
            </w:tcBorders>
          </w:tcPr>
          <w:p>
            <w:pPr>
              <w:jc w:val="right"/>
              <w:ind w:right="594"/>
              <w:spacing w:after="0" w:line="196" w:lineRule="exact"/>
              <w:rPr>
                <w:sz w:val="20"/>
                <w:szCs w:val="20"/>
                <w:color w:val="auto"/>
              </w:rPr>
            </w:pPr>
            <w:r>
              <w:rPr>
                <w:rFonts w:ascii="Arial" w:cs="Arial" w:eastAsia="Arial" w:hAnsi="Arial"/>
                <w:sz w:val="18"/>
                <w:szCs w:val="18"/>
                <w:color w:val="auto"/>
              </w:rPr>
              <w:t>2,320,240</w:t>
            </w:r>
          </w:p>
        </w:tc>
      </w:tr>
      <w:tr>
        <w:trPr>
          <w:trHeight w:val="196"/>
        </w:trPr>
        <w:tc>
          <w:tcPr>
            <w:tcW w:w="216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  Jay P. Elliott</w:t>
            </w:r>
          </w:p>
        </w:tc>
        <w:tc>
          <w:tcPr>
            <w:tcW w:w="1520" w:type="dxa"/>
            <w:vAlign w:val="bottom"/>
            <w:tcBorders>
              <w:bottom w:val="single" w:sz="8" w:color="auto"/>
            </w:tcBorders>
          </w:tcPr>
          <w:p>
            <w:pPr>
              <w:jc w:val="right"/>
              <w:ind w:right="174"/>
              <w:spacing w:after="0" w:line="196" w:lineRule="exact"/>
              <w:rPr>
                <w:sz w:val="20"/>
                <w:szCs w:val="20"/>
                <w:color w:val="auto"/>
              </w:rPr>
            </w:pPr>
            <w:r>
              <w:rPr>
                <w:rFonts w:ascii="Arial" w:cs="Arial" w:eastAsia="Arial" w:hAnsi="Arial"/>
                <w:sz w:val="18"/>
                <w:szCs w:val="18"/>
                <w:color w:val="auto"/>
              </w:rPr>
              <w:t>10,932</w:t>
            </w:r>
          </w:p>
        </w:tc>
        <w:tc>
          <w:tcPr>
            <w:tcW w:w="2500" w:type="dxa"/>
            <w:vAlign w:val="bottom"/>
            <w:tcBorders>
              <w:bottom w:val="single" w:sz="8" w:color="auto"/>
            </w:tcBorders>
          </w:tcPr>
          <w:p>
            <w:pPr>
              <w:jc w:val="right"/>
              <w:ind w:right="514"/>
              <w:spacing w:after="0" w:line="196" w:lineRule="exact"/>
              <w:rPr>
                <w:sz w:val="20"/>
                <w:szCs w:val="20"/>
                <w:color w:val="auto"/>
              </w:rPr>
            </w:pPr>
            <w:r>
              <w:rPr>
                <w:rFonts w:ascii="Arial" w:cs="Arial" w:eastAsia="Arial" w:hAnsi="Arial"/>
                <w:sz w:val="18"/>
                <w:szCs w:val="18"/>
                <w:color w:val="auto"/>
              </w:rPr>
              <w:t>1,199,896</w:t>
            </w:r>
          </w:p>
        </w:tc>
        <w:tc>
          <w:tcPr>
            <w:tcW w:w="2420" w:type="dxa"/>
            <w:vAlign w:val="bottom"/>
            <w:tcBorders>
              <w:bottom w:val="single" w:sz="8" w:color="auto"/>
            </w:tcBorders>
          </w:tcPr>
          <w:p>
            <w:pPr>
              <w:jc w:val="right"/>
              <w:ind w:right="933"/>
              <w:spacing w:after="0" w:line="196" w:lineRule="exact"/>
              <w:rPr>
                <w:sz w:val="20"/>
                <w:szCs w:val="20"/>
                <w:color w:val="auto"/>
              </w:rPr>
            </w:pPr>
            <w:r>
              <w:rPr>
                <w:rFonts w:ascii="Arial" w:cs="Arial" w:eastAsia="Arial" w:hAnsi="Arial"/>
                <w:sz w:val="18"/>
                <w:szCs w:val="18"/>
                <w:color w:val="auto"/>
              </w:rPr>
              <w:t>11,654</w:t>
            </w:r>
          </w:p>
        </w:tc>
        <w:tc>
          <w:tcPr>
            <w:tcW w:w="2420" w:type="dxa"/>
            <w:vAlign w:val="bottom"/>
            <w:tcBorders>
              <w:bottom w:val="single" w:sz="8" w:color="auto"/>
            </w:tcBorders>
          </w:tcPr>
          <w:p>
            <w:pPr>
              <w:jc w:val="right"/>
              <w:ind w:right="594"/>
              <w:spacing w:after="0" w:line="196" w:lineRule="exact"/>
              <w:rPr>
                <w:sz w:val="20"/>
                <w:szCs w:val="20"/>
                <w:color w:val="auto"/>
              </w:rPr>
            </w:pPr>
            <w:r>
              <w:rPr>
                <w:rFonts w:ascii="Arial" w:cs="Arial" w:eastAsia="Arial" w:hAnsi="Arial"/>
                <w:sz w:val="18"/>
                <w:szCs w:val="18"/>
                <w:color w:val="auto"/>
              </w:rPr>
              <w:t>2,400,157</w:t>
            </w:r>
          </w:p>
        </w:tc>
      </w:tr>
      <w:tr>
        <w:trPr>
          <w:trHeight w:val="196"/>
        </w:trPr>
        <w:tc>
          <w:tcPr>
            <w:tcW w:w="216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  W. Jeffrey Hire</w:t>
            </w:r>
          </w:p>
        </w:tc>
        <w:tc>
          <w:tcPr>
            <w:tcW w:w="1520" w:type="dxa"/>
            <w:vAlign w:val="bottom"/>
            <w:tcBorders>
              <w:bottom w:val="single" w:sz="8" w:color="auto"/>
            </w:tcBorders>
          </w:tcPr>
          <w:p>
            <w:pPr>
              <w:jc w:val="right"/>
              <w:ind w:right="174"/>
              <w:spacing w:after="0" w:line="196" w:lineRule="exact"/>
              <w:rPr>
                <w:sz w:val="20"/>
                <w:szCs w:val="20"/>
                <w:color w:val="auto"/>
              </w:rPr>
            </w:pPr>
            <w:r>
              <w:rPr>
                <w:rFonts w:ascii="Arial" w:cs="Arial" w:eastAsia="Arial" w:hAnsi="Arial"/>
                <w:sz w:val="18"/>
                <w:szCs w:val="18"/>
                <w:color w:val="auto"/>
              </w:rPr>
              <w:t>2,277</w:t>
            </w:r>
          </w:p>
        </w:tc>
        <w:tc>
          <w:tcPr>
            <w:tcW w:w="2500" w:type="dxa"/>
            <w:vAlign w:val="bottom"/>
            <w:tcBorders>
              <w:bottom w:val="single" w:sz="8" w:color="auto"/>
            </w:tcBorders>
          </w:tcPr>
          <w:p>
            <w:pPr>
              <w:jc w:val="right"/>
              <w:ind w:right="514"/>
              <w:spacing w:after="0" w:line="196" w:lineRule="exact"/>
              <w:rPr>
                <w:sz w:val="20"/>
                <w:szCs w:val="20"/>
                <w:color w:val="auto"/>
              </w:rPr>
            </w:pPr>
            <w:r>
              <w:rPr>
                <w:rFonts w:ascii="Arial" w:cs="Arial" w:eastAsia="Arial" w:hAnsi="Arial"/>
                <w:sz w:val="18"/>
                <w:szCs w:val="18"/>
                <w:color w:val="auto"/>
              </w:rPr>
              <w:t>249,924</w:t>
            </w:r>
          </w:p>
        </w:tc>
        <w:tc>
          <w:tcPr>
            <w:tcW w:w="2420" w:type="dxa"/>
            <w:vAlign w:val="bottom"/>
            <w:tcBorders>
              <w:bottom w:val="single" w:sz="8" w:color="auto"/>
            </w:tcBorders>
          </w:tcPr>
          <w:p>
            <w:pPr>
              <w:jc w:val="right"/>
              <w:ind w:right="933"/>
              <w:spacing w:after="0" w:line="196" w:lineRule="exact"/>
              <w:rPr>
                <w:sz w:val="20"/>
                <w:szCs w:val="20"/>
                <w:color w:val="auto"/>
              </w:rPr>
            </w:pPr>
            <w:r>
              <w:rPr>
                <w:rFonts w:ascii="Arial" w:cs="Arial" w:eastAsia="Arial" w:hAnsi="Arial"/>
                <w:sz w:val="18"/>
                <w:szCs w:val="18"/>
                <w:color w:val="auto"/>
              </w:rPr>
              <w:t>2,427</w:t>
            </w:r>
          </w:p>
        </w:tc>
        <w:tc>
          <w:tcPr>
            <w:tcW w:w="2420" w:type="dxa"/>
            <w:vAlign w:val="bottom"/>
            <w:tcBorders>
              <w:bottom w:val="single" w:sz="8" w:color="auto"/>
            </w:tcBorders>
          </w:tcPr>
          <w:p>
            <w:pPr>
              <w:jc w:val="right"/>
              <w:ind w:right="594"/>
              <w:spacing w:after="0" w:line="196" w:lineRule="exact"/>
              <w:rPr>
                <w:sz w:val="20"/>
                <w:szCs w:val="20"/>
                <w:color w:val="auto"/>
              </w:rPr>
            </w:pPr>
            <w:r>
              <w:rPr>
                <w:rFonts w:ascii="Arial" w:cs="Arial" w:eastAsia="Arial" w:hAnsi="Arial"/>
                <w:sz w:val="18"/>
                <w:szCs w:val="18"/>
                <w:color w:val="auto"/>
              </w:rPr>
              <w:t>499,923</w:t>
            </w:r>
          </w:p>
        </w:tc>
      </w:tr>
      <w:tr>
        <w:trPr>
          <w:trHeight w:val="203"/>
        </w:trPr>
        <w:tc>
          <w:tcPr>
            <w:tcW w:w="2160" w:type="dxa"/>
            <w:vAlign w:val="bottom"/>
            <w:tcBorders>
              <w:bottom w:val="single" w:sz="8" w:color="0070C0"/>
            </w:tcBorders>
            <w:shd w:val="clear" w:color="auto" w:fill="D5DCE4"/>
          </w:tcPr>
          <w:p>
            <w:pPr>
              <w:spacing w:after="0" w:line="196" w:lineRule="exact"/>
              <w:rPr>
                <w:sz w:val="20"/>
                <w:szCs w:val="20"/>
                <w:color w:val="auto"/>
              </w:rPr>
            </w:pPr>
            <w:r>
              <w:rPr>
                <w:rFonts w:ascii="Arial" w:cs="Arial" w:eastAsia="Arial" w:hAnsi="Arial"/>
                <w:sz w:val="18"/>
                <w:szCs w:val="18"/>
                <w:color w:val="auto"/>
              </w:rPr>
              <w:t>  Jason R. Niswonger</w:t>
            </w:r>
          </w:p>
        </w:tc>
        <w:tc>
          <w:tcPr>
            <w:tcW w:w="1520" w:type="dxa"/>
            <w:vAlign w:val="bottom"/>
            <w:tcBorders>
              <w:bottom w:val="single" w:sz="8" w:color="0070C0"/>
            </w:tcBorders>
          </w:tcPr>
          <w:p>
            <w:pPr>
              <w:jc w:val="right"/>
              <w:ind w:right="174"/>
              <w:spacing w:after="0" w:line="196" w:lineRule="exact"/>
              <w:rPr>
                <w:sz w:val="20"/>
                <w:szCs w:val="20"/>
                <w:color w:val="auto"/>
              </w:rPr>
            </w:pPr>
            <w:r>
              <w:rPr>
                <w:rFonts w:ascii="Arial" w:cs="Arial" w:eastAsia="Arial" w:hAnsi="Arial"/>
                <w:sz w:val="18"/>
                <w:szCs w:val="18"/>
                <w:color w:val="auto"/>
              </w:rPr>
              <w:t>3,735</w:t>
            </w:r>
          </w:p>
        </w:tc>
        <w:tc>
          <w:tcPr>
            <w:tcW w:w="2500" w:type="dxa"/>
            <w:vAlign w:val="bottom"/>
            <w:tcBorders>
              <w:bottom w:val="single" w:sz="8" w:color="0070C0"/>
            </w:tcBorders>
          </w:tcPr>
          <w:p>
            <w:pPr>
              <w:jc w:val="right"/>
              <w:ind w:right="514"/>
              <w:spacing w:after="0" w:line="196" w:lineRule="exact"/>
              <w:rPr>
                <w:sz w:val="20"/>
                <w:szCs w:val="20"/>
                <w:color w:val="auto"/>
              </w:rPr>
            </w:pPr>
            <w:r>
              <w:rPr>
                <w:rFonts w:ascii="Arial" w:cs="Arial" w:eastAsia="Arial" w:hAnsi="Arial"/>
                <w:sz w:val="18"/>
                <w:szCs w:val="18"/>
                <w:color w:val="auto"/>
              </w:rPr>
              <w:t>409,954</w:t>
            </w:r>
          </w:p>
        </w:tc>
        <w:tc>
          <w:tcPr>
            <w:tcW w:w="2420" w:type="dxa"/>
            <w:vAlign w:val="bottom"/>
            <w:tcBorders>
              <w:bottom w:val="single" w:sz="8" w:color="0070C0"/>
            </w:tcBorders>
          </w:tcPr>
          <w:p>
            <w:pPr>
              <w:jc w:val="right"/>
              <w:ind w:right="933"/>
              <w:spacing w:after="0" w:line="196" w:lineRule="exact"/>
              <w:rPr>
                <w:sz w:val="20"/>
                <w:szCs w:val="20"/>
                <w:color w:val="auto"/>
              </w:rPr>
            </w:pPr>
            <w:r>
              <w:rPr>
                <w:rFonts w:ascii="Arial" w:cs="Arial" w:eastAsia="Arial" w:hAnsi="Arial"/>
                <w:sz w:val="18"/>
                <w:szCs w:val="18"/>
                <w:color w:val="auto"/>
              </w:rPr>
              <w:t>3,982</w:t>
            </w:r>
          </w:p>
        </w:tc>
        <w:tc>
          <w:tcPr>
            <w:tcW w:w="2420" w:type="dxa"/>
            <w:vAlign w:val="bottom"/>
            <w:tcBorders>
              <w:bottom w:val="single" w:sz="8" w:color="0070C0"/>
            </w:tcBorders>
          </w:tcPr>
          <w:p>
            <w:pPr>
              <w:jc w:val="right"/>
              <w:ind w:right="594"/>
              <w:spacing w:after="0" w:line="196" w:lineRule="exact"/>
              <w:rPr>
                <w:sz w:val="20"/>
                <w:szCs w:val="20"/>
                <w:color w:val="auto"/>
              </w:rPr>
            </w:pPr>
            <w:r>
              <w:rPr>
                <w:rFonts w:ascii="Arial" w:cs="Arial" w:eastAsia="Arial" w:hAnsi="Arial"/>
                <w:sz w:val="18"/>
                <w:szCs w:val="18"/>
                <w:color w:val="auto"/>
              </w:rPr>
              <w:t>820,032</w:t>
            </w:r>
          </w:p>
        </w:tc>
      </w:tr>
    </w:tbl>
    <w:p>
      <w:pPr>
        <w:spacing w:after="0" w:line="103" w:lineRule="exact"/>
        <w:rPr>
          <w:sz w:val="20"/>
          <w:szCs w:val="20"/>
          <w:color w:val="auto"/>
        </w:rPr>
      </w:pPr>
    </w:p>
    <w:p>
      <w:pPr>
        <w:ind w:left="760" w:right="80" w:hanging="548"/>
        <w:spacing w:after="0" w:line="271"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grant date fair value was determined by multiplying the closing price of the Company’s common stock on February 17, 2023 ($109.76) by the number of target shares.</w:t>
      </w:r>
    </w:p>
    <w:p>
      <w:pPr>
        <w:spacing w:after="0" w:line="59" w:lineRule="exact"/>
        <w:rPr>
          <w:rFonts w:ascii="Arial" w:cs="Arial" w:eastAsia="Arial" w:hAnsi="Arial"/>
          <w:sz w:val="18"/>
          <w:szCs w:val="18"/>
          <w:color w:val="auto"/>
        </w:rPr>
      </w:pPr>
    </w:p>
    <w:p>
      <w:pPr>
        <w:ind w:left="760" w:right="300" w:hanging="548"/>
        <w:spacing w:after="0" w:line="24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earned fair value was determined by multiplying the closing price of the Company’s common stock on February 20, 2024 ($205.96) (the date of certification of the achievement of the performance metric) by the number of shares awarded. The restricted stock vests in equal installments over two years (subject to continued employment). The actual value on the vesting date will be based on the closing price of the Company’s common stock on that date.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2E75B4"/>
        </w:rPr>
        <w:t>Compensation Changes after December 31, 2023</w:t>
      </w:r>
    </w:p>
    <w:p>
      <w:pPr>
        <w:spacing w:after="0" w:line="205" w:lineRule="exact"/>
        <w:rPr>
          <w:sz w:val="20"/>
          <w:szCs w:val="20"/>
          <w:color w:val="auto"/>
        </w:rPr>
      </w:pPr>
    </w:p>
    <w:p>
      <w:pPr>
        <w:jc w:val="both"/>
        <w:ind w:right="540"/>
        <w:spacing w:after="0" w:line="253" w:lineRule="auto"/>
        <w:rPr>
          <w:sz w:val="20"/>
          <w:szCs w:val="20"/>
          <w:color w:val="auto"/>
        </w:rPr>
      </w:pPr>
      <w:r>
        <w:rPr>
          <w:rFonts w:ascii="Arial" w:cs="Arial" w:eastAsia="Arial" w:hAnsi="Arial"/>
          <w:sz w:val="18"/>
          <w:szCs w:val="18"/>
          <w:color w:val="auto"/>
        </w:rPr>
        <w:t>In September 2023, Jay P. Elliott advised the Company that he wished to retire from his position as Chief Operating Officer effective December 31, 2023. Beginning in January 2024, Mr. Elliott continues to serve the Company as Executive Vice President – Business Strategy and Development, but is no longer an executive officer.</w:t>
      </w:r>
    </w:p>
    <w:p>
      <w:pPr>
        <w:spacing w:after="0" w:line="169"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i w:val="1"/>
          <w:iCs w:val="1"/>
          <w:u w:val="single" w:color="auto"/>
          <w:color w:val="auto"/>
        </w:rPr>
        <w:t>Base Salary</w:t>
      </w:r>
      <w:r>
        <w:rPr>
          <w:rFonts w:ascii="Arial" w:cs="Arial" w:eastAsia="Arial" w:hAnsi="Arial"/>
          <w:sz w:val="18"/>
          <w:szCs w:val="18"/>
          <w:color w:val="auto"/>
        </w:rPr>
        <w:t>. Effective April 1, 2024, the CHC Committee adjusted the base salaries of our NEOs to align the compensation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with our peer group and taking into account a reorganization of responsibilities within the NEO group.</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2840" w:type="dxa"/>
            <w:vAlign w:val="bottom"/>
          </w:tcPr>
          <w:p>
            <w:pPr>
              <w:jc w:val="right"/>
              <w:ind w:right="573"/>
              <w:spacing w:after="0"/>
              <w:rPr>
                <w:sz w:val="20"/>
                <w:szCs w:val="20"/>
                <w:color w:val="auto"/>
              </w:rPr>
            </w:pPr>
            <w:r>
              <w:rPr>
                <w:rFonts w:ascii="Arial" w:cs="Arial" w:eastAsia="Arial" w:hAnsi="Arial"/>
                <w:sz w:val="16"/>
                <w:szCs w:val="16"/>
                <w:b w:val="1"/>
                <w:bCs w:val="1"/>
                <w:color w:val="002060"/>
              </w:rPr>
              <w:t>2023 Base Salary</w:t>
            </w:r>
          </w:p>
        </w:tc>
        <w:tc>
          <w:tcPr>
            <w:tcW w:w="2560" w:type="dxa"/>
            <w:vAlign w:val="bottom"/>
          </w:tcPr>
          <w:p>
            <w:pPr>
              <w:jc w:val="right"/>
              <w:ind w:right="493"/>
              <w:spacing w:after="0"/>
              <w:rPr>
                <w:sz w:val="20"/>
                <w:szCs w:val="20"/>
                <w:color w:val="auto"/>
              </w:rPr>
            </w:pPr>
            <w:r>
              <w:rPr>
                <w:rFonts w:ascii="Arial" w:cs="Arial" w:eastAsia="Arial" w:hAnsi="Arial"/>
                <w:sz w:val="16"/>
                <w:szCs w:val="16"/>
                <w:b w:val="1"/>
                <w:bCs w:val="1"/>
                <w:color w:val="002060"/>
              </w:rPr>
              <w:t>2024 Base Salary</w:t>
            </w:r>
          </w:p>
        </w:tc>
        <w:tc>
          <w:tcPr>
            <w:tcW w:w="1380" w:type="dxa"/>
            <w:vAlign w:val="bottom"/>
          </w:tcPr>
          <w:p>
            <w:pPr>
              <w:jc w:val="right"/>
              <w:ind w:right="73"/>
              <w:spacing w:after="0"/>
              <w:rPr>
                <w:sz w:val="20"/>
                <w:szCs w:val="20"/>
                <w:color w:val="auto"/>
              </w:rPr>
            </w:pPr>
            <w:r>
              <w:rPr>
                <w:rFonts w:ascii="Arial" w:cs="Arial" w:eastAsia="Arial" w:hAnsi="Arial"/>
                <w:sz w:val="16"/>
                <w:szCs w:val="16"/>
                <w:b w:val="1"/>
                <w:bCs w:val="1"/>
                <w:color w:val="002060"/>
              </w:rPr>
              <w:t>Increase</w:t>
            </w:r>
          </w:p>
        </w:tc>
      </w:tr>
      <w:tr>
        <w:trPr>
          <w:trHeight w:val="251"/>
        </w:trPr>
        <w:tc>
          <w:tcPr>
            <w:tcW w:w="4240" w:type="dxa"/>
            <w:vAlign w:val="bottom"/>
            <w:tcBorders>
              <w:bottom w:val="single" w:sz="8" w:color="0070C0"/>
            </w:tcBorders>
          </w:tcPr>
          <w:p>
            <w:pPr>
              <w:spacing w:after="0"/>
              <w:rPr>
                <w:sz w:val="20"/>
                <w:szCs w:val="20"/>
                <w:color w:val="auto"/>
              </w:rPr>
            </w:pPr>
            <w:r>
              <w:rPr>
                <w:rFonts w:ascii="Arial" w:cs="Arial" w:eastAsia="Arial" w:hAnsi="Arial"/>
                <w:sz w:val="16"/>
                <w:szCs w:val="16"/>
                <w:b w:val="1"/>
                <w:bCs w:val="1"/>
                <w:color w:val="002060"/>
              </w:rPr>
              <w:t>Name</w:t>
            </w:r>
          </w:p>
        </w:tc>
        <w:tc>
          <w:tcPr>
            <w:tcW w:w="2840" w:type="dxa"/>
            <w:vAlign w:val="bottom"/>
            <w:tcBorders>
              <w:bottom w:val="single" w:sz="8" w:color="0070C0"/>
            </w:tcBorders>
          </w:tcPr>
          <w:p>
            <w:pPr>
              <w:jc w:val="right"/>
              <w:ind w:right="1133"/>
              <w:spacing w:after="0"/>
              <w:rPr>
                <w:sz w:val="20"/>
                <w:szCs w:val="20"/>
                <w:color w:val="auto"/>
              </w:rPr>
            </w:pPr>
            <w:r>
              <w:rPr>
                <w:rFonts w:ascii="Arial" w:cs="Arial" w:eastAsia="Arial" w:hAnsi="Arial"/>
                <w:sz w:val="16"/>
                <w:szCs w:val="16"/>
                <w:b w:val="1"/>
                <w:bCs w:val="1"/>
                <w:color w:val="002060"/>
              </w:rPr>
              <w:t>($)</w:t>
            </w:r>
          </w:p>
        </w:tc>
        <w:tc>
          <w:tcPr>
            <w:tcW w:w="2560" w:type="dxa"/>
            <w:vAlign w:val="bottom"/>
            <w:tcBorders>
              <w:bottom w:val="single" w:sz="8" w:color="0070C0"/>
            </w:tcBorders>
          </w:tcPr>
          <w:p>
            <w:pPr>
              <w:jc w:val="right"/>
              <w:ind w:right="1053"/>
              <w:spacing w:after="0"/>
              <w:rPr>
                <w:sz w:val="20"/>
                <w:szCs w:val="20"/>
                <w:color w:val="auto"/>
              </w:rPr>
            </w:pPr>
            <w:r>
              <w:rPr>
                <w:rFonts w:ascii="Arial" w:cs="Arial" w:eastAsia="Arial" w:hAnsi="Arial"/>
                <w:sz w:val="16"/>
                <w:szCs w:val="16"/>
                <w:b w:val="1"/>
                <w:bCs w:val="1"/>
                <w:color w:val="002060"/>
              </w:rPr>
              <w:t>($)</w:t>
            </w:r>
          </w:p>
        </w:tc>
        <w:tc>
          <w:tcPr>
            <w:tcW w:w="1380" w:type="dxa"/>
            <w:vAlign w:val="bottom"/>
            <w:tcBorders>
              <w:bottom w:val="single" w:sz="8" w:color="0070C0"/>
            </w:tcBorders>
          </w:tcPr>
          <w:p>
            <w:pPr>
              <w:jc w:val="right"/>
              <w:ind w:right="273"/>
              <w:spacing w:after="0"/>
              <w:rPr>
                <w:sz w:val="20"/>
                <w:szCs w:val="20"/>
                <w:color w:val="auto"/>
              </w:rPr>
            </w:pPr>
            <w:r>
              <w:rPr>
                <w:rFonts w:ascii="Arial" w:cs="Arial" w:eastAsia="Arial" w:hAnsi="Arial"/>
                <w:sz w:val="16"/>
                <w:szCs w:val="16"/>
                <w:b w:val="1"/>
                <w:bCs w:val="1"/>
                <w:color w:val="002060"/>
              </w:rPr>
              <w:t>(%)</w:t>
            </w:r>
          </w:p>
        </w:tc>
      </w:tr>
      <w:tr>
        <w:trPr>
          <w:trHeight w:val="203"/>
        </w:trPr>
        <w:tc>
          <w:tcPr>
            <w:tcW w:w="4240" w:type="dxa"/>
            <w:vAlign w:val="bottom"/>
            <w:tcBorders>
              <w:bottom w:val="single" w:sz="8" w:color="auto"/>
            </w:tcBorders>
            <w:shd w:val="clear" w:color="auto" w:fill="D5DCE4"/>
          </w:tcPr>
          <w:p>
            <w:pPr>
              <w:spacing w:after="0" w:line="202" w:lineRule="exact"/>
              <w:rPr>
                <w:sz w:val="20"/>
                <w:szCs w:val="20"/>
                <w:color w:val="auto"/>
              </w:rPr>
            </w:pPr>
            <w:r>
              <w:rPr>
                <w:rFonts w:ascii="Arial" w:cs="Arial" w:eastAsia="Arial" w:hAnsi="Arial"/>
                <w:sz w:val="18"/>
                <w:szCs w:val="18"/>
                <w:color w:val="auto"/>
              </w:rPr>
              <w:t>  Jeffrey W. Edwards</w:t>
            </w:r>
          </w:p>
        </w:tc>
        <w:tc>
          <w:tcPr>
            <w:tcW w:w="2840" w:type="dxa"/>
            <w:vAlign w:val="bottom"/>
            <w:tcBorders>
              <w:bottom w:val="single" w:sz="8" w:color="auto"/>
            </w:tcBorders>
          </w:tcPr>
          <w:p>
            <w:pPr>
              <w:jc w:val="right"/>
              <w:ind w:right="873"/>
              <w:spacing w:after="0" w:line="202" w:lineRule="exact"/>
              <w:rPr>
                <w:sz w:val="20"/>
                <w:szCs w:val="20"/>
                <w:color w:val="auto"/>
              </w:rPr>
            </w:pPr>
            <w:r>
              <w:rPr>
                <w:rFonts w:ascii="Arial" w:cs="Arial" w:eastAsia="Arial" w:hAnsi="Arial"/>
                <w:sz w:val="18"/>
                <w:szCs w:val="18"/>
                <w:color w:val="auto"/>
              </w:rPr>
              <w:t>840,000</w:t>
            </w:r>
          </w:p>
        </w:tc>
        <w:tc>
          <w:tcPr>
            <w:tcW w:w="2560" w:type="dxa"/>
            <w:vAlign w:val="bottom"/>
            <w:tcBorders>
              <w:bottom w:val="single" w:sz="8" w:color="auto"/>
            </w:tcBorders>
          </w:tcPr>
          <w:p>
            <w:pPr>
              <w:jc w:val="right"/>
              <w:ind w:right="793"/>
              <w:spacing w:after="0" w:line="202" w:lineRule="exact"/>
              <w:rPr>
                <w:sz w:val="20"/>
                <w:szCs w:val="20"/>
                <w:color w:val="auto"/>
              </w:rPr>
            </w:pPr>
            <w:r>
              <w:rPr>
                <w:rFonts w:ascii="Arial" w:cs="Arial" w:eastAsia="Arial" w:hAnsi="Arial"/>
                <w:sz w:val="18"/>
                <w:szCs w:val="18"/>
                <w:color w:val="auto"/>
              </w:rPr>
              <w:t>900,000</w:t>
            </w:r>
          </w:p>
        </w:tc>
        <w:tc>
          <w:tcPr>
            <w:tcW w:w="1380" w:type="dxa"/>
            <w:vAlign w:val="bottom"/>
            <w:tcBorders>
              <w:bottom w:val="single" w:sz="8" w:color="auto"/>
            </w:tcBorders>
          </w:tcPr>
          <w:p>
            <w:pPr>
              <w:jc w:val="right"/>
              <w:ind w:right="253"/>
              <w:spacing w:after="0" w:line="202" w:lineRule="exact"/>
              <w:rPr>
                <w:sz w:val="20"/>
                <w:szCs w:val="20"/>
                <w:color w:val="auto"/>
              </w:rPr>
            </w:pPr>
            <w:r>
              <w:rPr>
                <w:rFonts w:ascii="Arial" w:cs="Arial" w:eastAsia="Arial" w:hAnsi="Arial"/>
                <w:sz w:val="18"/>
                <w:szCs w:val="18"/>
                <w:color w:val="auto"/>
              </w:rPr>
              <w:t>7.1</w:t>
            </w:r>
          </w:p>
        </w:tc>
      </w:tr>
      <w:tr>
        <w:trPr>
          <w:trHeight w:val="196"/>
        </w:trPr>
        <w:tc>
          <w:tcPr>
            <w:tcW w:w="424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  Michael T. Miller</w:t>
            </w:r>
          </w:p>
        </w:tc>
        <w:tc>
          <w:tcPr>
            <w:tcW w:w="2840" w:type="dxa"/>
            <w:vAlign w:val="bottom"/>
            <w:tcBorders>
              <w:bottom w:val="single" w:sz="8" w:color="auto"/>
            </w:tcBorders>
          </w:tcPr>
          <w:p>
            <w:pPr>
              <w:jc w:val="right"/>
              <w:ind w:right="873"/>
              <w:spacing w:after="0" w:line="196" w:lineRule="exact"/>
              <w:rPr>
                <w:sz w:val="20"/>
                <w:szCs w:val="20"/>
                <w:color w:val="auto"/>
              </w:rPr>
            </w:pPr>
            <w:r>
              <w:rPr>
                <w:rFonts w:ascii="Arial" w:cs="Arial" w:eastAsia="Arial" w:hAnsi="Arial"/>
                <w:sz w:val="18"/>
                <w:szCs w:val="18"/>
                <w:color w:val="auto"/>
              </w:rPr>
              <w:t>445,000</w:t>
            </w:r>
          </w:p>
        </w:tc>
        <w:tc>
          <w:tcPr>
            <w:tcW w:w="2560" w:type="dxa"/>
            <w:vAlign w:val="bottom"/>
            <w:tcBorders>
              <w:bottom w:val="single" w:sz="8" w:color="auto"/>
            </w:tcBorders>
          </w:tcPr>
          <w:p>
            <w:pPr>
              <w:jc w:val="right"/>
              <w:ind w:right="793"/>
              <w:spacing w:after="0" w:line="196" w:lineRule="exact"/>
              <w:rPr>
                <w:sz w:val="20"/>
                <w:szCs w:val="20"/>
                <w:color w:val="auto"/>
              </w:rPr>
            </w:pPr>
            <w:r>
              <w:rPr>
                <w:rFonts w:ascii="Arial" w:cs="Arial" w:eastAsia="Arial" w:hAnsi="Arial"/>
                <w:sz w:val="18"/>
                <w:szCs w:val="18"/>
                <w:color w:val="auto"/>
              </w:rPr>
              <w:t>475,000</w:t>
            </w:r>
          </w:p>
        </w:tc>
        <w:tc>
          <w:tcPr>
            <w:tcW w:w="1380" w:type="dxa"/>
            <w:vAlign w:val="bottom"/>
            <w:tcBorders>
              <w:bottom w:val="single" w:sz="8" w:color="auto"/>
            </w:tcBorders>
          </w:tcPr>
          <w:p>
            <w:pPr>
              <w:jc w:val="right"/>
              <w:ind w:right="253"/>
              <w:spacing w:after="0" w:line="196" w:lineRule="exact"/>
              <w:rPr>
                <w:sz w:val="20"/>
                <w:szCs w:val="20"/>
                <w:color w:val="auto"/>
              </w:rPr>
            </w:pPr>
            <w:r>
              <w:rPr>
                <w:rFonts w:ascii="Arial" w:cs="Arial" w:eastAsia="Arial" w:hAnsi="Arial"/>
                <w:sz w:val="18"/>
                <w:szCs w:val="18"/>
                <w:color w:val="auto"/>
              </w:rPr>
              <w:t>6.7</w:t>
            </w:r>
          </w:p>
        </w:tc>
      </w:tr>
      <w:tr>
        <w:trPr>
          <w:trHeight w:val="196"/>
        </w:trPr>
        <w:tc>
          <w:tcPr>
            <w:tcW w:w="424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  W. Jeffrey Hire</w:t>
            </w:r>
          </w:p>
        </w:tc>
        <w:tc>
          <w:tcPr>
            <w:tcW w:w="2840" w:type="dxa"/>
            <w:vAlign w:val="bottom"/>
            <w:tcBorders>
              <w:bottom w:val="single" w:sz="8" w:color="auto"/>
            </w:tcBorders>
          </w:tcPr>
          <w:p>
            <w:pPr>
              <w:jc w:val="right"/>
              <w:ind w:right="873"/>
              <w:spacing w:after="0" w:line="196" w:lineRule="exact"/>
              <w:rPr>
                <w:sz w:val="20"/>
                <w:szCs w:val="20"/>
                <w:color w:val="auto"/>
              </w:rPr>
            </w:pPr>
            <w:r>
              <w:rPr>
                <w:rFonts w:ascii="Arial" w:cs="Arial" w:eastAsia="Arial" w:hAnsi="Arial"/>
                <w:sz w:val="18"/>
                <w:szCs w:val="18"/>
                <w:color w:val="auto"/>
              </w:rPr>
              <w:t>420,000</w:t>
            </w:r>
          </w:p>
        </w:tc>
        <w:tc>
          <w:tcPr>
            <w:tcW w:w="2560" w:type="dxa"/>
            <w:vAlign w:val="bottom"/>
            <w:tcBorders>
              <w:bottom w:val="single" w:sz="8" w:color="auto"/>
            </w:tcBorders>
          </w:tcPr>
          <w:p>
            <w:pPr>
              <w:jc w:val="right"/>
              <w:ind w:right="793"/>
              <w:spacing w:after="0" w:line="196" w:lineRule="exact"/>
              <w:rPr>
                <w:sz w:val="20"/>
                <w:szCs w:val="20"/>
                <w:color w:val="auto"/>
              </w:rPr>
            </w:pPr>
            <w:r>
              <w:rPr>
                <w:rFonts w:ascii="Arial" w:cs="Arial" w:eastAsia="Arial" w:hAnsi="Arial"/>
                <w:sz w:val="18"/>
                <w:szCs w:val="18"/>
                <w:color w:val="auto"/>
              </w:rPr>
              <w:t>450,000</w:t>
            </w:r>
          </w:p>
        </w:tc>
        <w:tc>
          <w:tcPr>
            <w:tcW w:w="1380" w:type="dxa"/>
            <w:vAlign w:val="bottom"/>
            <w:tcBorders>
              <w:bottom w:val="single" w:sz="8" w:color="auto"/>
            </w:tcBorders>
          </w:tcPr>
          <w:p>
            <w:pPr>
              <w:jc w:val="right"/>
              <w:ind w:right="253"/>
              <w:spacing w:after="0" w:line="196" w:lineRule="exact"/>
              <w:rPr>
                <w:sz w:val="20"/>
                <w:szCs w:val="20"/>
                <w:color w:val="auto"/>
              </w:rPr>
            </w:pPr>
            <w:r>
              <w:rPr>
                <w:rFonts w:ascii="Arial" w:cs="Arial" w:eastAsia="Arial" w:hAnsi="Arial"/>
                <w:sz w:val="18"/>
                <w:szCs w:val="18"/>
                <w:color w:val="auto"/>
              </w:rPr>
              <w:t>7.1</w:t>
            </w:r>
          </w:p>
        </w:tc>
      </w:tr>
      <w:tr>
        <w:trPr>
          <w:trHeight w:val="203"/>
        </w:trPr>
        <w:tc>
          <w:tcPr>
            <w:tcW w:w="4240" w:type="dxa"/>
            <w:vAlign w:val="bottom"/>
            <w:tcBorders>
              <w:bottom w:val="single" w:sz="8" w:color="0070C0"/>
            </w:tcBorders>
            <w:shd w:val="clear" w:color="auto" w:fill="D5DCE4"/>
          </w:tcPr>
          <w:p>
            <w:pPr>
              <w:spacing w:after="0" w:line="196" w:lineRule="exact"/>
              <w:rPr>
                <w:sz w:val="20"/>
                <w:szCs w:val="20"/>
                <w:color w:val="auto"/>
              </w:rPr>
            </w:pPr>
            <w:r>
              <w:rPr>
                <w:rFonts w:ascii="Arial" w:cs="Arial" w:eastAsia="Arial" w:hAnsi="Arial"/>
                <w:sz w:val="18"/>
                <w:szCs w:val="18"/>
                <w:color w:val="auto"/>
              </w:rPr>
              <w:t>  Jason R. Niswonger</w:t>
            </w:r>
          </w:p>
        </w:tc>
        <w:tc>
          <w:tcPr>
            <w:tcW w:w="2840" w:type="dxa"/>
            <w:vAlign w:val="bottom"/>
            <w:tcBorders>
              <w:bottom w:val="single" w:sz="8" w:color="0070C0"/>
            </w:tcBorders>
          </w:tcPr>
          <w:p>
            <w:pPr>
              <w:jc w:val="right"/>
              <w:ind w:right="873"/>
              <w:spacing w:after="0" w:line="196" w:lineRule="exact"/>
              <w:rPr>
                <w:sz w:val="20"/>
                <w:szCs w:val="20"/>
                <w:color w:val="auto"/>
              </w:rPr>
            </w:pPr>
            <w:r>
              <w:rPr>
                <w:rFonts w:ascii="Arial" w:cs="Arial" w:eastAsia="Arial" w:hAnsi="Arial"/>
                <w:sz w:val="18"/>
                <w:szCs w:val="18"/>
                <w:color w:val="auto"/>
              </w:rPr>
              <w:t>425,000</w:t>
            </w:r>
          </w:p>
        </w:tc>
        <w:tc>
          <w:tcPr>
            <w:tcW w:w="2560" w:type="dxa"/>
            <w:vAlign w:val="bottom"/>
            <w:tcBorders>
              <w:bottom w:val="single" w:sz="8" w:color="0070C0"/>
            </w:tcBorders>
          </w:tcPr>
          <w:p>
            <w:pPr>
              <w:jc w:val="right"/>
              <w:ind w:right="793"/>
              <w:spacing w:after="0" w:line="196" w:lineRule="exact"/>
              <w:rPr>
                <w:sz w:val="20"/>
                <w:szCs w:val="20"/>
                <w:color w:val="auto"/>
              </w:rPr>
            </w:pPr>
            <w:r>
              <w:rPr>
                <w:rFonts w:ascii="Arial" w:cs="Arial" w:eastAsia="Arial" w:hAnsi="Arial"/>
                <w:sz w:val="18"/>
                <w:szCs w:val="18"/>
                <w:color w:val="auto"/>
              </w:rPr>
              <w:t>465,000</w:t>
            </w:r>
          </w:p>
        </w:tc>
        <w:tc>
          <w:tcPr>
            <w:tcW w:w="1380" w:type="dxa"/>
            <w:vAlign w:val="bottom"/>
            <w:tcBorders>
              <w:bottom w:val="single" w:sz="8" w:color="0070C0"/>
            </w:tcBorders>
          </w:tcPr>
          <w:p>
            <w:pPr>
              <w:jc w:val="right"/>
              <w:ind w:right="253"/>
              <w:spacing w:after="0" w:line="196" w:lineRule="exact"/>
              <w:rPr>
                <w:sz w:val="20"/>
                <w:szCs w:val="20"/>
                <w:color w:val="auto"/>
              </w:rPr>
            </w:pPr>
            <w:r>
              <w:rPr>
                <w:rFonts w:ascii="Arial" w:cs="Arial" w:eastAsia="Arial" w:hAnsi="Arial"/>
                <w:sz w:val="18"/>
                <w:szCs w:val="18"/>
                <w:color w:val="auto"/>
              </w:rPr>
              <w:t>9.4</w:t>
            </w:r>
          </w:p>
        </w:tc>
      </w:tr>
    </w:tbl>
    <w:p>
      <w:pPr>
        <w:spacing w:after="0" w:line="197"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i w:val="1"/>
          <w:iCs w:val="1"/>
          <w:u w:val="single" w:color="auto"/>
          <w:color w:val="auto"/>
        </w:rPr>
        <w:t>Incentive Cash Compensation</w:t>
      </w:r>
      <w:r>
        <w:rPr>
          <w:rFonts w:ascii="Arial" w:cs="Arial" w:eastAsia="Arial" w:hAnsi="Arial"/>
          <w:sz w:val="18"/>
          <w:szCs w:val="18"/>
          <w:color w:val="auto"/>
        </w:rPr>
        <w:t>. The CHC Committee continued our performance-based incentive cash program for 2024 on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terms as the program approved by our stockholders in 2023. For all incentive-based compensation, the threshold is 50% of target and the maximum is 200% of target. Target awards for 2024 were increased according to market pay practices and to reward our NEOs for the financial and operational success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69951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Compensation Discussion and Analysis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59</w:t>
      </w:r>
    </w:p>
    <w:p>
      <w:pPr>
        <w:sectPr>
          <w:pgSz w:w="11900" w:h="16838" w:orient="portrait"/>
          <w:cols w:equalWidth="0" w:num="1">
            <w:col w:w="11020"/>
          </w:cols>
          <w:pgMar w:left="440" w:top="296" w:right="439" w:bottom="1440" w:gutter="0" w:footer="0" w:header="0"/>
        </w:sectPr>
      </w:pPr>
    </w:p>
    <w:bookmarkStart w:id="67" w:name="page68"/>
    <w:bookmarkEnd w:id="67"/>
    <w:tbl>
      <w:tblPr>
        <w:tblLayout w:type="fixed"/>
        <w:tblInd w:w="4" w:type="dxa"/>
        <w:tblCellMar>
          <w:top w:w="0" w:type="dxa"/>
          <w:left w:w="0" w:type="dxa"/>
          <w:bottom w:w="0" w:type="dxa"/>
          <w:right w:w="0" w:type="dxa"/>
        </w:tblCellMar>
      </w:tblPr>
      <w:tr>
        <w:trPr>
          <w:trHeight w:val="189"/>
        </w:trPr>
        <w:tc>
          <w:tcPr>
            <w:tcW w:w="31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80" w:type="dxa"/>
            <w:vAlign w:val="bottom"/>
          </w:tcPr>
          <w:p>
            <w:pPr>
              <w:jc w:val="center"/>
              <w:ind w:left="275"/>
              <w:spacing w:after="0"/>
              <w:rPr>
                <w:sz w:val="20"/>
                <w:szCs w:val="20"/>
                <w:color w:val="auto"/>
              </w:rPr>
            </w:pPr>
            <w:r>
              <w:rPr>
                <w:rFonts w:ascii="Arial" w:cs="Arial" w:eastAsia="Arial" w:hAnsi="Arial"/>
                <w:sz w:val="16"/>
                <w:szCs w:val="16"/>
                <w:b w:val="1"/>
                <w:bCs w:val="1"/>
                <w:color w:val="1F4E79"/>
              </w:rPr>
              <w:t>2024 Target Cash Bonus</w:t>
            </w:r>
          </w:p>
        </w:tc>
      </w:tr>
      <w:tr>
        <w:trPr>
          <w:trHeight w:val="189"/>
        </w:trPr>
        <w:tc>
          <w:tcPr>
            <w:tcW w:w="3180" w:type="dxa"/>
            <w:vAlign w:val="bottom"/>
          </w:tcPr>
          <w:p>
            <w:pPr>
              <w:spacing w:after="0"/>
              <w:rPr>
                <w:sz w:val="16"/>
                <w:szCs w:val="16"/>
                <w:color w:val="auto"/>
              </w:rPr>
            </w:pPr>
          </w:p>
        </w:tc>
        <w:tc>
          <w:tcPr>
            <w:tcW w:w="2160" w:type="dxa"/>
            <w:vAlign w:val="bottom"/>
          </w:tcPr>
          <w:p>
            <w:pPr>
              <w:jc w:val="center"/>
              <w:ind w:left="194"/>
              <w:spacing w:after="0"/>
              <w:rPr>
                <w:sz w:val="20"/>
                <w:szCs w:val="20"/>
                <w:color w:val="auto"/>
              </w:rPr>
            </w:pPr>
            <w:r>
              <w:rPr>
                <w:rFonts w:ascii="Arial" w:cs="Arial" w:eastAsia="Arial" w:hAnsi="Arial"/>
                <w:sz w:val="16"/>
                <w:szCs w:val="16"/>
                <w:b w:val="1"/>
                <w:bCs w:val="1"/>
                <w:color w:val="1F4E79"/>
                <w:w w:val="99"/>
              </w:rPr>
              <w:t>2023 Target Cash</w:t>
            </w:r>
          </w:p>
        </w:tc>
        <w:tc>
          <w:tcPr>
            <w:tcW w:w="2000" w:type="dxa"/>
            <w:vAlign w:val="bottom"/>
          </w:tcPr>
          <w:p>
            <w:pPr>
              <w:jc w:val="center"/>
              <w:ind w:right="14"/>
              <w:spacing w:after="0"/>
              <w:rPr>
                <w:sz w:val="20"/>
                <w:szCs w:val="20"/>
                <w:color w:val="auto"/>
              </w:rPr>
            </w:pPr>
            <w:r>
              <w:rPr>
                <w:rFonts w:ascii="Arial" w:cs="Arial" w:eastAsia="Arial" w:hAnsi="Arial"/>
                <w:sz w:val="16"/>
                <w:szCs w:val="16"/>
                <w:b w:val="1"/>
                <w:bCs w:val="1"/>
                <w:color w:val="1F4E79"/>
              </w:rPr>
              <w:t>2024 Target Cash</w:t>
            </w:r>
          </w:p>
        </w:tc>
        <w:tc>
          <w:tcPr>
            <w:tcW w:w="1400" w:type="dxa"/>
            <w:vAlign w:val="bottom"/>
          </w:tcPr>
          <w:p>
            <w:pPr>
              <w:spacing w:after="0"/>
              <w:rPr>
                <w:sz w:val="16"/>
                <w:szCs w:val="16"/>
                <w:color w:val="auto"/>
              </w:rPr>
            </w:pPr>
          </w:p>
        </w:tc>
        <w:tc>
          <w:tcPr>
            <w:tcW w:w="2280" w:type="dxa"/>
            <w:vAlign w:val="bottom"/>
          </w:tcPr>
          <w:p>
            <w:pPr>
              <w:jc w:val="center"/>
              <w:ind w:left="295"/>
              <w:spacing w:after="0"/>
              <w:rPr>
                <w:sz w:val="20"/>
                <w:szCs w:val="20"/>
                <w:color w:val="auto"/>
              </w:rPr>
            </w:pPr>
            <w:r>
              <w:rPr>
                <w:rFonts w:ascii="Arial" w:cs="Arial" w:eastAsia="Arial" w:hAnsi="Arial"/>
                <w:sz w:val="16"/>
                <w:szCs w:val="16"/>
                <w:b w:val="1"/>
                <w:bCs w:val="1"/>
                <w:color w:val="1F4E79"/>
              </w:rPr>
              <w:t>as a Percentage of Total</w:t>
            </w:r>
          </w:p>
        </w:tc>
      </w:tr>
      <w:tr>
        <w:trPr>
          <w:trHeight w:val="189"/>
        </w:trPr>
        <w:tc>
          <w:tcPr>
            <w:tcW w:w="3180" w:type="dxa"/>
            <w:vAlign w:val="bottom"/>
          </w:tcPr>
          <w:p>
            <w:pPr>
              <w:spacing w:after="0"/>
              <w:rPr>
                <w:sz w:val="16"/>
                <w:szCs w:val="16"/>
                <w:color w:val="auto"/>
              </w:rPr>
            </w:pPr>
          </w:p>
        </w:tc>
        <w:tc>
          <w:tcPr>
            <w:tcW w:w="2160" w:type="dxa"/>
            <w:vAlign w:val="bottom"/>
          </w:tcPr>
          <w:p>
            <w:pPr>
              <w:jc w:val="center"/>
              <w:ind w:left="214"/>
              <w:spacing w:after="0"/>
              <w:rPr>
                <w:sz w:val="20"/>
                <w:szCs w:val="20"/>
                <w:color w:val="auto"/>
              </w:rPr>
            </w:pPr>
            <w:r>
              <w:rPr>
                <w:rFonts w:ascii="Arial" w:cs="Arial" w:eastAsia="Arial" w:hAnsi="Arial"/>
                <w:sz w:val="16"/>
                <w:szCs w:val="16"/>
                <w:b w:val="1"/>
                <w:bCs w:val="1"/>
                <w:color w:val="1F4E79"/>
              </w:rPr>
              <w:t>Bonus</w:t>
            </w:r>
          </w:p>
        </w:tc>
        <w:tc>
          <w:tcPr>
            <w:tcW w:w="2000" w:type="dxa"/>
            <w:vAlign w:val="bottom"/>
          </w:tcPr>
          <w:p>
            <w:pPr>
              <w:jc w:val="center"/>
              <w:ind w:right="14"/>
              <w:spacing w:after="0"/>
              <w:rPr>
                <w:sz w:val="20"/>
                <w:szCs w:val="20"/>
                <w:color w:val="auto"/>
              </w:rPr>
            </w:pPr>
            <w:r>
              <w:rPr>
                <w:rFonts w:ascii="Arial" w:cs="Arial" w:eastAsia="Arial" w:hAnsi="Arial"/>
                <w:sz w:val="16"/>
                <w:szCs w:val="16"/>
                <w:b w:val="1"/>
                <w:bCs w:val="1"/>
                <w:color w:val="1F4E79"/>
              </w:rPr>
              <w:t>Bonus</w:t>
            </w:r>
          </w:p>
        </w:tc>
        <w:tc>
          <w:tcPr>
            <w:tcW w:w="1400" w:type="dxa"/>
            <w:vAlign w:val="bottom"/>
          </w:tcPr>
          <w:p>
            <w:pPr>
              <w:jc w:val="right"/>
              <w:ind w:right="273"/>
              <w:spacing w:after="0"/>
              <w:rPr>
                <w:sz w:val="20"/>
                <w:szCs w:val="20"/>
                <w:color w:val="auto"/>
              </w:rPr>
            </w:pPr>
            <w:r>
              <w:rPr>
                <w:rFonts w:ascii="Arial" w:cs="Arial" w:eastAsia="Arial" w:hAnsi="Arial"/>
                <w:sz w:val="16"/>
                <w:szCs w:val="16"/>
                <w:b w:val="1"/>
                <w:bCs w:val="1"/>
                <w:color w:val="1F4E79"/>
              </w:rPr>
              <w:t>Increase</w:t>
            </w:r>
          </w:p>
        </w:tc>
        <w:tc>
          <w:tcPr>
            <w:tcW w:w="2280" w:type="dxa"/>
            <w:vAlign w:val="bottom"/>
          </w:tcPr>
          <w:p>
            <w:pPr>
              <w:jc w:val="center"/>
              <w:ind w:left="295"/>
              <w:spacing w:after="0"/>
              <w:rPr>
                <w:sz w:val="20"/>
                <w:szCs w:val="20"/>
                <w:color w:val="auto"/>
              </w:rPr>
            </w:pPr>
            <w:r>
              <w:rPr>
                <w:rFonts w:ascii="Arial" w:cs="Arial" w:eastAsia="Arial" w:hAnsi="Arial"/>
                <w:sz w:val="16"/>
                <w:szCs w:val="16"/>
                <w:b w:val="1"/>
                <w:bCs w:val="1"/>
                <w:color w:val="1F4E79"/>
              </w:rPr>
              <w:t>Target Compensation</w:t>
            </w:r>
          </w:p>
        </w:tc>
      </w:tr>
      <w:tr>
        <w:trPr>
          <w:trHeight w:val="237"/>
        </w:trPr>
        <w:tc>
          <w:tcPr>
            <w:tcW w:w="3180" w:type="dxa"/>
            <w:vAlign w:val="bottom"/>
            <w:tcBorders>
              <w:bottom w:val="single" w:sz="8" w:color="0070C0"/>
            </w:tcBorders>
          </w:tcPr>
          <w:p>
            <w:pPr>
              <w:spacing w:after="0"/>
              <w:rPr>
                <w:sz w:val="20"/>
                <w:szCs w:val="20"/>
                <w:color w:val="auto"/>
              </w:rPr>
            </w:pPr>
            <w:r>
              <w:rPr>
                <w:rFonts w:ascii="Arial" w:cs="Arial" w:eastAsia="Arial" w:hAnsi="Arial"/>
                <w:sz w:val="16"/>
                <w:szCs w:val="16"/>
                <w:b w:val="1"/>
                <w:bCs w:val="1"/>
                <w:color w:val="1F4E79"/>
              </w:rPr>
              <w:t>Name</w:t>
            </w:r>
          </w:p>
        </w:tc>
        <w:tc>
          <w:tcPr>
            <w:tcW w:w="2160" w:type="dxa"/>
            <w:vAlign w:val="bottom"/>
            <w:tcBorders>
              <w:bottom w:val="single" w:sz="8" w:color="0070C0"/>
            </w:tcBorders>
          </w:tcPr>
          <w:p>
            <w:pPr>
              <w:jc w:val="center"/>
              <w:ind w:left="194"/>
              <w:spacing w:after="0"/>
              <w:rPr>
                <w:sz w:val="20"/>
                <w:szCs w:val="20"/>
                <w:color w:val="auto"/>
              </w:rPr>
            </w:pPr>
            <w:r>
              <w:rPr>
                <w:rFonts w:ascii="Arial" w:cs="Arial" w:eastAsia="Arial" w:hAnsi="Arial"/>
                <w:sz w:val="16"/>
                <w:szCs w:val="16"/>
                <w:b w:val="1"/>
                <w:bCs w:val="1"/>
                <w:color w:val="1F4E79"/>
              </w:rPr>
              <w:t>($)</w:t>
            </w:r>
          </w:p>
        </w:tc>
        <w:tc>
          <w:tcPr>
            <w:tcW w:w="2000" w:type="dxa"/>
            <w:vAlign w:val="bottom"/>
            <w:tcBorders>
              <w:bottom w:val="single" w:sz="8" w:color="0070C0"/>
            </w:tcBorders>
          </w:tcPr>
          <w:p>
            <w:pPr>
              <w:jc w:val="center"/>
              <w:spacing w:after="0"/>
              <w:rPr>
                <w:sz w:val="20"/>
                <w:szCs w:val="20"/>
                <w:color w:val="auto"/>
              </w:rPr>
            </w:pPr>
            <w:r>
              <w:rPr>
                <w:rFonts w:ascii="Arial" w:cs="Arial" w:eastAsia="Arial" w:hAnsi="Arial"/>
                <w:sz w:val="16"/>
                <w:szCs w:val="16"/>
                <w:b w:val="1"/>
                <w:bCs w:val="1"/>
                <w:color w:val="1F4E79"/>
              </w:rPr>
              <w:t>($)</w:t>
            </w:r>
          </w:p>
        </w:tc>
        <w:tc>
          <w:tcPr>
            <w:tcW w:w="1400" w:type="dxa"/>
            <w:vAlign w:val="bottom"/>
            <w:tcBorders>
              <w:bottom w:val="single" w:sz="8" w:color="0070C0"/>
            </w:tcBorders>
          </w:tcPr>
          <w:p>
            <w:pPr>
              <w:jc w:val="right"/>
              <w:ind w:right="493"/>
              <w:spacing w:after="0"/>
              <w:rPr>
                <w:sz w:val="20"/>
                <w:szCs w:val="20"/>
                <w:color w:val="auto"/>
              </w:rPr>
            </w:pPr>
            <w:r>
              <w:rPr>
                <w:rFonts w:ascii="Arial" w:cs="Arial" w:eastAsia="Arial" w:hAnsi="Arial"/>
                <w:sz w:val="16"/>
                <w:szCs w:val="16"/>
                <w:b w:val="1"/>
                <w:bCs w:val="1"/>
                <w:color w:val="1F4E79"/>
              </w:rPr>
              <w:t>(%)</w:t>
            </w:r>
          </w:p>
        </w:tc>
        <w:tc>
          <w:tcPr>
            <w:tcW w:w="2280" w:type="dxa"/>
            <w:vAlign w:val="bottom"/>
            <w:tcBorders>
              <w:bottom w:val="single" w:sz="8" w:color="0070C0"/>
            </w:tcBorders>
          </w:tcPr>
          <w:p>
            <w:pPr>
              <w:jc w:val="center"/>
              <w:ind w:left="295"/>
              <w:spacing w:after="0"/>
              <w:rPr>
                <w:sz w:val="20"/>
                <w:szCs w:val="20"/>
                <w:color w:val="auto"/>
              </w:rPr>
            </w:pPr>
            <w:r>
              <w:rPr>
                <w:rFonts w:ascii="Arial" w:cs="Arial" w:eastAsia="Arial" w:hAnsi="Arial"/>
                <w:sz w:val="16"/>
                <w:szCs w:val="16"/>
                <w:b w:val="1"/>
                <w:bCs w:val="1"/>
                <w:color w:val="1F4E79"/>
              </w:rPr>
              <w:t>(%)</w:t>
            </w:r>
          </w:p>
        </w:tc>
      </w:tr>
      <w:tr>
        <w:trPr>
          <w:trHeight w:val="203"/>
        </w:trPr>
        <w:tc>
          <w:tcPr>
            <w:tcW w:w="3180" w:type="dxa"/>
            <w:vAlign w:val="bottom"/>
            <w:tcBorders>
              <w:bottom w:val="single" w:sz="8" w:color="auto"/>
            </w:tcBorders>
            <w:shd w:val="clear" w:color="auto" w:fill="D5DCE4"/>
          </w:tcPr>
          <w:p>
            <w:pPr>
              <w:spacing w:after="0" w:line="202" w:lineRule="exact"/>
              <w:rPr>
                <w:sz w:val="20"/>
                <w:szCs w:val="20"/>
                <w:color w:val="auto"/>
              </w:rPr>
            </w:pPr>
            <w:r>
              <w:rPr>
                <w:rFonts w:ascii="Arial" w:cs="Arial" w:eastAsia="Arial" w:hAnsi="Arial"/>
                <w:sz w:val="18"/>
                <w:szCs w:val="18"/>
                <w:color w:val="auto"/>
              </w:rPr>
              <w:t>  Jeffrey W. Edwards</w:t>
            </w:r>
          </w:p>
        </w:tc>
        <w:tc>
          <w:tcPr>
            <w:tcW w:w="2160" w:type="dxa"/>
            <w:vAlign w:val="bottom"/>
            <w:tcBorders>
              <w:bottom w:val="single" w:sz="8" w:color="auto"/>
            </w:tcBorders>
          </w:tcPr>
          <w:p>
            <w:pPr>
              <w:jc w:val="right"/>
              <w:ind w:right="214"/>
              <w:spacing w:after="0" w:line="202" w:lineRule="exact"/>
              <w:rPr>
                <w:sz w:val="20"/>
                <w:szCs w:val="20"/>
                <w:color w:val="auto"/>
              </w:rPr>
            </w:pPr>
            <w:r>
              <w:rPr>
                <w:rFonts w:ascii="Arial" w:cs="Arial" w:eastAsia="Arial" w:hAnsi="Arial"/>
                <w:sz w:val="18"/>
                <w:szCs w:val="18"/>
                <w:color w:val="auto"/>
              </w:rPr>
              <w:t>1,150,000</w:t>
            </w:r>
          </w:p>
        </w:tc>
        <w:tc>
          <w:tcPr>
            <w:tcW w:w="2000" w:type="dxa"/>
            <w:vAlign w:val="bottom"/>
            <w:tcBorders>
              <w:bottom w:val="single" w:sz="8" w:color="auto"/>
            </w:tcBorders>
          </w:tcPr>
          <w:p>
            <w:pPr>
              <w:jc w:val="right"/>
              <w:ind w:right="314"/>
              <w:spacing w:after="0" w:line="202" w:lineRule="exact"/>
              <w:rPr>
                <w:sz w:val="20"/>
                <w:szCs w:val="20"/>
                <w:color w:val="auto"/>
              </w:rPr>
            </w:pPr>
            <w:r>
              <w:rPr>
                <w:rFonts w:ascii="Arial" w:cs="Arial" w:eastAsia="Arial" w:hAnsi="Arial"/>
                <w:sz w:val="18"/>
                <w:szCs w:val="18"/>
                <w:color w:val="auto"/>
              </w:rPr>
              <w:t>1,300,000</w:t>
            </w:r>
          </w:p>
        </w:tc>
        <w:tc>
          <w:tcPr>
            <w:tcW w:w="1400" w:type="dxa"/>
            <w:vAlign w:val="bottom"/>
            <w:tcBorders>
              <w:bottom w:val="single" w:sz="8" w:color="auto"/>
            </w:tcBorders>
          </w:tcPr>
          <w:p>
            <w:pPr>
              <w:jc w:val="right"/>
              <w:ind w:right="413"/>
              <w:spacing w:after="0" w:line="202" w:lineRule="exact"/>
              <w:rPr>
                <w:sz w:val="20"/>
                <w:szCs w:val="20"/>
                <w:color w:val="auto"/>
              </w:rPr>
            </w:pPr>
            <w:r>
              <w:rPr>
                <w:rFonts w:ascii="Arial" w:cs="Arial" w:eastAsia="Arial" w:hAnsi="Arial"/>
                <w:sz w:val="18"/>
                <w:szCs w:val="18"/>
                <w:color w:val="auto"/>
              </w:rPr>
              <w:t>13.0</w:t>
            </w:r>
          </w:p>
        </w:tc>
        <w:tc>
          <w:tcPr>
            <w:tcW w:w="2280" w:type="dxa"/>
            <w:vAlign w:val="bottom"/>
            <w:tcBorders>
              <w:bottom w:val="single" w:sz="8" w:color="auto"/>
            </w:tcBorders>
          </w:tcPr>
          <w:p>
            <w:pPr>
              <w:jc w:val="right"/>
              <w:ind w:right="535"/>
              <w:spacing w:after="0" w:line="202" w:lineRule="exact"/>
              <w:rPr>
                <w:sz w:val="20"/>
                <w:szCs w:val="20"/>
                <w:color w:val="auto"/>
              </w:rPr>
            </w:pPr>
            <w:r>
              <w:rPr>
                <w:rFonts w:ascii="Arial" w:cs="Arial" w:eastAsia="Arial" w:hAnsi="Arial"/>
                <w:sz w:val="18"/>
                <w:szCs w:val="18"/>
                <w:color w:val="auto"/>
              </w:rPr>
              <w:t>21.0</w:t>
            </w:r>
          </w:p>
        </w:tc>
      </w:tr>
      <w:tr>
        <w:trPr>
          <w:trHeight w:val="196"/>
        </w:trPr>
        <w:tc>
          <w:tcPr>
            <w:tcW w:w="318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  Michael T. Miller</w:t>
            </w:r>
          </w:p>
        </w:tc>
        <w:tc>
          <w:tcPr>
            <w:tcW w:w="2160" w:type="dxa"/>
            <w:vAlign w:val="bottom"/>
            <w:tcBorders>
              <w:bottom w:val="single" w:sz="8" w:color="auto"/>
            </w:tcBorders>
          </w:tcPr>
          <w:p>
            <w:pPr>
              <w:jc w:val="right"/>
              <w:ind w:right="214"/>
              <w:spacing w:after="0" w:line="196" w:lineRule="exact"/>
              <w:rPr>
                <w:sz w:val="20"/>
                <w:szCs w:val="20"/>
                <w:color w:val="auto"/>
              </w:rPr>
            </w:pPr>
            <w:r>
              <w:rPr>
                <w:rFonts w:ascii="Arial" w:cs="Arial" w:eastAsia="Arial" w:hAnsi="Arial"/>
                <w:sz w:val="18"/>
                <w:szCs w:val="18"/>
                <w:color w:val="auto"/>
              </w:rPr>
              <w:t>430,000</w:t>
            </w:r>
          </w:p>
        </w:tc>
        <w:tc>
          <w:tcPr>
            <w:tcW w:w="2000" w:type="dxa"/>
            <w:vAlign w:val="bottom"/>
            <w:tcBorders>
              <w:bottom w:val="single" w:sz="8" w:color="auto"/>
            </w:tcBorders>
          </w:tcPr>
          <w:p>
            <w:pPr>
              <w:jc w:val="right"/>
              <w:ind w:right="314"/>
              <w:spacing w:after="0" w:line="196" w:lineRule="exact"/>
              <w:rPr>
                <w:sz w:val="20"/>
                <w:szCs w:val="20"/>
                <w:color w:val="auto"/>
              </w:rPr>
            </w:pPr>
            <w:r>
              <w:rPr>
                <w:rFonts w:ascii="Arial" w:cs="Arial" w:eastAsia="Arial" w:hAnsi="Arial"/>
                <w:sz w:val="18"/>
                <w:szCs w:val="18"/>
                <w:color w:val="auto"/>
              </w:rPr>
              <w:t>475,000</w:t>
            </w:r>
          </w:p>
        </w:tc>
        <w:tc>
          <w:tcPr>
            <w:tcW w:w="1400" w:type="dxa"/>
            <w:vAlign w:val="bottom"/>
            <w:tcBorders>
              <w:bottom w:val="single" w:sz="8" w:color="auto"/>
            </w:tcBorders>
          </w:tcPr>
          <w:p>
            <w:pPr>
              <w:jc w:val="right"/>
              <w:ind w:right="413"/>
              <w:spacing w:after="0" w:line="196" w:lineRule="exact"/>
              <w:rPr>
                <w:sz w:val="20"/>
                <w:szCs w:val="20"/>
                <w:color w:val="auto"/>
              </w:rPr>
            </w:pPr>
            <w:r>
              <w:rPr>
                <w:rFonts w:ascii="Arial" w:cs="Arial" w:eastAsia="Arial" w:hAnsi="Arial"/>
                <w:sz w:val="18"/>
                <w:szCs w:val="18"/>
                <w:color w:val="auto"/>
              </w:rPr>
              <w:t>10.5</w:t>
            </w:r>
          </w:p>
        </w:tc>
        <w:tc>
          <w:tcPr>
            <w:tcW w:w="2280" w:type="dxa"/>
            <w:vAlign w:val="bottom"/>
            <w:tcBorders>
              <w:bottom w:val="single" w:sz="8" w:color="auto"/>
            </w:tcBorders>
          </w:tcPr>
          <w:p>
            <w:pPr>
              <w:jc w:val="right"/>
              <w:ind w:right="535"/>
              <w:spacing w:after="0" w:line="196" w:lineRule="exact"/>
              <w:rPr>
                <w:sz w:val="20"/>
                <w:szCs w:val="20"/>
                <w:color w:val="auto"/>
              </w:rPr>
            </w:pPr>
            <w:r>
              <w:rPr>
                <w:rFonts w:ascii="Arial" w:cs="Arial" w:eastAsia="Arial" w:hAnsi="Arial"/>
                <w:sz w:val="18"/>
                <w:szCs w:val="18"/>
                <w:color w:val="auto"/>
              </w:rPr>
              <w:t>21.6</w:t>
            </w:r>
          </w:p>
        </w:tc>
      </w:tr>
      <w:tr>
        <w:trPr>
          <w:trHeight w:val="196"/>
        </w:trPr>
        <w:tc>
          <w:tcPr>
            <w:tcW w:w="318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  W. Jeffrey Hire</w:t>
            </w:r>
          </w:p>
        </w:tc>
        <w:tc>
          <w:tcPr>
            <w:tcW w:w="2160" w:type="dxa"/>
            <w:vAlign w:val="bottom"/>
            <w:tcBorders>
              <w:bottom w:val="single" w:sz="8" w:color="auto"/>
            </w:tcBorders>
          </w:tcPr>
          <w:p>
            <w:pPr>
              <w:jc w:val="right"/>
              <w:ind w:right="214"/>
              <w:spacing w:after="0" w:line="196" w:lineRule="exact"/>
              <w:rPr>
                <w:sz w:val="20"/>
                <w:szCs w:val="20"/>
                <w:color w:val="auto"/>
              </w:rPr>
            </w:pPr>
            <w:r>
              <w:rPr>
                <w:rFonts w:ascii="Arial" w:cs="Arial" w:eastAsia="Arial" w:hAnsi="Arial"/>
                <w:sz w:val="18"/>
                <w:szCs w:val="18"/>
                <w:color w:val="auto"/>
              </w:rPr>
              <w:t>200,000</w:t>
            </w:r>
          </w:p>
        </w:tc>
        <w:tc>
          <w:tcPr>
            <w:tcW w:w="2000" w:type="dxa"/>
            <w:vAlign w:val="bottom"/>
            <w:tcBorders>
              <w:bottom w:val="single" w:sz="8" w:color="auto"/>
            </w:tcBorders>
          </w:tcPr>
          <w:p>
            <w:pPr>
              <w:jc w:val="right"/>
              <w:ind w:right="314"/>
              <w:spacing w:after="0" w:line="196" w:lineRule="exact"/>
              <w:rPr>
                <w:sz w:val="20"/>
                <w:szCs w:val="20"/>
                <w:color w:val="auto"/>
              </w:rPr>
            </w:pPr>
            <w:r>
              <w:rPr>
                <w:rFonts w:ascii="Arial" w:cs="Arial" w:eastAsia="Arial" w:hAnsi="Arial"/>
                <w:sz w:val="18"/>
                <w:szCs w:val="18"/>
                <w:color w:val="auto"/>
              </w:rPr>
              <w:t>225,000</w:t>
            </w:r>
          </w:p>
        </w:tc>
        <w:tc>
          <w:tcPr>
            <w:tcW w:w="1400" w:type="dxa"/>
            <w:vAlign w:val="bottom"/>
            <w:tcBorders>
              <w:bottom w:val="single" w:sz="8" w:color="auto"/>
            </w:tcBorders>
          </w:tcPr>
          <w:p>
            <w:pPr>
              <w:jc w:val="right"/>
              <w:ind w:right="413"/>
              <w:spacing w:after="0" w:line="196" w:lineRule="exact"/>
              <w:rPr>
                <w:sz w:val="20"/>
                <w:szCs w:val="20"/>
                <w:color w:val="auto"/>
              </w:rPr>
            </w:pPr>
            <w:r>
              <w:rPr>
                <w:rFonts w:ascii="Arial" w:cs="Arial" w:eastAsia="Arial" w:hAnsi="Arial"/>
                <w:sz w:val="18"/>
                <w:szCs w:val="18"/>
                <w:color w:val="auto"/>
              </w:rPr>
              <w:t>12.5</w:t>
            </w:r>
          </w:p>
        </w:tc>
        <w:tc>
          <w:tcPr>
            <w:tcW w:w="2280" w:type="dxa"/>
            <w:vAlign w:val="bottom"/>
            <w:tcBorders>
              <w:bottom w:val="single" w:sz="8" w:color="auto"/>
            </w:tcBorders>
          </w:tcPr>
          <w:p>
            <w:pPr>
              <w:jc w:val="right"/>
              <w:ind w:right="535"/>
              <w:spacing w:after="0" w:line="196" w:lineRule="exact"/>
              <w:rPr>
                <w:sz w:val="20"/>
                <w:szCs w:val="20"/>
                <w:color w:val="auto"/>
              </w:rPr>
            </w:pPr>
            <w:r>
              <w:rPr>
                <w:rFonts w:ascii="Arial" w:cs="Arial" w:eastAsia="Arial" w:hAnsi="Arial"/>
                <w:sz w:val="18"/>
                <w:szCs w:val="18"/>
                <w:color w:val="auto"/>
              </w:rPr>
              <w:t>23.7</w:t>
            </w:r>
          </w:p>
        </w:tc>
      </w:tr>
      <w:tr>
        <w:trPr>
          <w:trHeight w:val="203"/>
        </w:trPr>
        <w:tc>
          <w:tcPr>
            <w:tcW w:w="3180" w:type="dxa"/>
            <w:vAlign w:val="bottom"/>
            <w:tcBorders>
              <w:bottom w:val="single" w:sz="8" w:color="0070C0"/>
            </w:tcBorders>
            <w:shd w:val="clear" w:color="auto" w:fill="D5DCE4"/>
          </w:tcPr>
          <w:p>
            <w:pPr>
              <w:spacing w:after="0" w:line="196" w:lineRule="exact"/>
              <w:rPr>
                <w:sz w:val="20"/>
                <w:szCs w:val="20"/>
                <w:color w:val="auto"/>
              </w:rPr>
            </w:pPr>
            <w:r>
              <w:rPr>
                <w:rFonts w:ascii="Arial" w:cs="Arial" w:eastAsia="Arial" w:hAnsi="Arial"/>
                <w:sz w:val="18"/>
                <w:szCs w:val="18"/>
                <w:color w:val="auto"/>
              </w:rPr>
              <w:t>  Jason R. Niswonger</w:t>
            </w:r>
          </w:p>
        </w:tc>
        <w:tc>
          <w:tcPr>
            <w:tcW w:w="2160" w:type="dxa"/>
            <w:vAlign w:val="bottom"/>
            <w:tcBorders>
              <w:bottom w:val="single" w:sz="8" w:color="0070C0"/>
            </w:tcBorders>
          </w:tcPr>
          <w:p>
            <w:pPr>
              <w:jc w:val="right"/>
              <w:ind w:right="214"/>
              <w:spacing w:after="0" w:line="196" w:lineRule="exact"/>
              <w:rPr>
                <w:sz w:val="20"/>
                <w:szCs w:val="20"/>
                <w:color w:val="auto"/>
              </w:rPr>
            </w:pPr>
            <w:r>
              <w:rPr>
                <w:rFonts w:ascii="Arial" w:cs="Arial" w:eastAsia="Arial" w:hAnsi="Arial"/>
                <w:sz w:val="18"/>
                <w:szCs w:val="18"/>
                <w:color w:val="auto"/>
              </w:rPr>
              <w:t>265,000</w:t>
            </w:r>
          </w:p>
        </w:tc>
        <w:tc>
          <w:tcPr>
            <w:tcW w:w="2000" w:type="dxa"/>
            <w:vAlign w:val="bottom"/>
            <w:tcBorders>
              <w:bottom w:val="single" w:sz="8" w:color="0070C0"/>
            </w:tcBorders>
          </w:tcPr>
          <w:p>
            <w:pPr>
              <w:jc w:val="right"/>
              <w:ind w:right="314"/>
              <w:spacing w:after="0" w:line="196" w:lineRule="exact"/>
              <w:rPr>
                <w:sz w:val="20"/>
                <w:szCs w:val="20"/>
                <w:color w:val="auto"/>
              </w:rPr>
            </w:pPr>
            <w:r>
              <w:rPr>
                <w:rFonts w:ascii="Arial" w:cs="Arial" w:eastAsia="Arial" w:hAnsi="Arial"/>
                <w:sz w:val="18"/>
                <w:szCs w:val="18"/>
                <w:color w:val="auto"/>
              </w:rPr>
              <w:t>290,000</w:t>
            </w:r>
          </w:p>
        </w:tc>
        <w:tc>
          <w:tcPr>
            <w:tcW w:w="1400" w:type="dxa"/>
            <w:vAlign w:val="bottom"/>
            <w:tcBorders>
              <w:bottom w:val="single" w:sz="8" w:color="0070C0"/>
            </w:tcBorders>
          </w:tcPr>
          <w:p>
            <w:pPr>
              <w:jc w:val="right"/>
              <w:ind w:right="413"/>
              <w:spacing w:after="0" w:line="196" w:lineRule="exact"/>
              <w:rPr>
                <w:sz w:val="20"/>
                <w:szCs w:val="20"/>
                <w:color w:val="auto"/>
              </w:rPr>
            </w:pPr>
            <w:r>
              <w:rPr>
                <w:rFonts w:ascii="Arial" w:cs="Arial" w:eastAsia="Arial" w:hAnsi="Arial"/>
                <w:sz w:val="18"/>
                <w:szCs w:val="18"/>
                <w:color w:val="auto"/>
              </w:rPr>
              <w:t>9.4</w:t>
            </w:r>
          </w:p>
        </w:tc>
        <w:tc>
          <w:tcPr>
            <w:tcW w:w="2280" w:type="dxa"/>
            <w:vAlign w:val="bottom"/>
            <w:tcBorders>
              <w:bottom w:val="single" w:sz="8" w:color="0070C0"/>
            </w:tcBorders>
          </w:tcPr>
          <w:p>
            <w:pPr>
              <w:jc w:val="right"/>
              <w:ind w:right="535"/>
              <w:spacing w:after="0" w:line="196" w:lineRule="exact"/>
              <w:rPr>
                <w:sz w:val="20"/>
                <w:szCs w:val="20"/>
                <w:color w:val="auto"/>
              </w:rPr>
            </w:pPr>
            <w:r>
              <w:rPr>
                <w:rFonts w:ascii="Arial" w:cs="Arial" w:eastAsia="Arial" w:hAnsi="Arial"/>
                <w:sz w:val="18"/>
                <w:szCs w:val="18"/>
                <w:color w:val="auto"/>
              </w:rPr>
              <w:t>23.1</w:t>
            </w:r>
          </w:p>
        </w:tc>
      </w:tr>
    </w:tbl>
    <w:p>
      <w:pPr>
        <w:spacing w:after="0" w:line="1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4" w:right="180"/>
        <w:spacing w:after="0" w:line="244" w:lineRule="auto"/>
        <w:rPr>
          <w:sz w:val="20"/>
          <w:szCs w:val="20"/>
          <w:color w:val="auto"/>
        </w:rPr>
      </w:pPr>
      <w:r>
        <w:rPr>
          <w:rFonts w:ascii="Arial" w:cs="Arial" w:eastAsia="Arial" w:hAnsi="Arial"/>
          <w:sz w:val="18"/>
          <w:szCs w:val="18"/>
          <w:i w:val="1"/>
          <w:iCs w:val="1"/>
          <w:u w:val="single" w:color="auto"/>
          <w:color w:val="auto"/>
        </w:rPr>
        <w:t>Incentive Equity Compensation</w:t>
      </w:r>
      <w:r>
        <w:rPr>
          <w:rFonts w:ascii="Arial" w:cs="Arial" w:eastAsia="Arial" w:hAnsi="Arial"/>
          <w:sz w:val="18"/>
          <w:szCs w:val="18"/>
          <w:color w:val="auto"/>
        </w:rPr>
        <w:t>. The CHC Committee determined that each NEO is eligible to receive the target number of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set forth in the table below, based on the achievement of performance goals. The performance metric and terms of the equity awards are the same as those used for incentive cash awards. If restricted stock is earned, it will vest in two equal installments on April 20, 2026 and April 20, 2027, generally subject to the NEO’s continued employment on each vesting date. The restricted stock vests in full in the event of an NEO’s death. The CHC Committee has discretion to adjust any award, even if fully earned.</w:t>
      </w:r>
    </w:p>
    <w:p>
      <w:pPr>
        <w:spacing w:after="0" w:line="208"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23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20" w:type="dxa"/>
            <w:vAlign w:val="bottom"/>
          </w:tcPr>
          <w:p>
            <w:pPr>
              <w:jc w:val="center"/>
              <w:ind w:left="136"/>
              <w:spacing w:after="0"/>
              <w:rPr>
                <w:sz w:val="20"/>
                <w:szCs w:val="20"/>
                <w:color w:val="auto"/>
              </w:rPr>
            </w:pPr>
            <w:r>
              <w:rPr>
                <w:rFonts w:ascii="Arial" w:cs="Arial" w:eastAsia="Arial" w:hAnsi="Arial"/>
                <w:sz w:val="16"/>
                <w:szCs w:val="16"/>
                <w:b w:val="1"/>
                <w:bCs w:val="1"/>
                <w:color w:val="1F4E79"/>
              </w:rPr>
              <w:t>2024 Target</w:t>
            </w:r>
          </w:p>
        </w:tc>
      </w:tr>
      <w:tr>
        <w:trPr>
          <w:trHeight w:val="189"/>
        </w:trPr>
        <w:tc>
          <w:tcPr>
            <w:tcW w:w="23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20" w:type="dxa"/>
            <w:vAlign w:val="bottom"/>
          </w:tcPr>
          <w:p>
            <w:pPr>
              <w:jc w:val="center"/>
              <w:ind w:left="156"/>
              <w:spacing w:after="0"/>
              <w:rPr>
                <w:sz w:val="20"/>
                <w:szCs w:val="20"/>
                <w:color w:val="auto"/>
              </w:rPr>
            </w:pPr>
            <w:r>
              <w:rPr>
                <w:rFonts w:ascii="Arial" w:cs="Arial" w:eastAsia="Arial" w:hAnsi="Arial"/>
                <w:sz w:val="16"/>
                <w:szCs w:val="16"/>
                <w:b w:val="1"/>
                <w:bCs w:val="1"/>
                <w:color w:val="1F4E79"/>
              </w:rPr>
              <w:t>Restricted Stock</w:t>
            </w:r>
          </w:p>
        </w:tc>
      </w:tr>
      <w:tr>
        <w:trPr>
          <w:trHeight w:val="189"/>
        </w:trPr>
        <w:tc>
          <w:tcPr>
            <w:tcW w:w="23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20" w:type="dxa"/>
            <w:vAlign w:val="bottom"/>
          </w:tcPr>
          <w:p>
            <w:pPr>
              <w:jc w:val="center"/>
              <w:ind w:left="136"/>
              <w:spacing w:after="0"/>
              <w:rPr>
                <w:sz w:val="20"/>
                <w:szCs w:val="20"/>
                <w:color w:val="auto"/>
              </w:rPr>
            </w:pPr>
            <w:r>
              <w:rPr>
                <w:rFonts w:ascii="Arial" w:cs="Arial" w:eastAsia="Arial" w:hAnsi="Arial"/>
                <w:sz w:val="16"/>
                <w:szCs w:val="16"/>
                <w:b w:val="1"/>
                <w:bCs w:val="1"/>
                <w:color w:val="1F4E79"/>
              </w:rPr>
              <w:t>Grant Date Fair</w:t>
            </w:r>
          </w:p>
        </w:tc>
      </w:tr>
      <w:tr>
        <w:trPr>
          <w:trHeight w:val="189"/>
        </w:trPr>
        <w:tc>
          <w:tcPr>
            <w:tcW w:w="23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b w:val="1"/>
                <w:bCs w:val="1"/>
                <w:color w:val="1F4E79"/>
                <w:w w:val="98"/>
              </w:rPr>
              <w:t>2023 Target</w:t>
            </w:r>
          </w:p>
        </w:tc>
        <w:tc>
          <w:tcPr>
            <w:tcW w:w="172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1F4E79"/>
                <w:w w:val="98"/>
              </w:rPr>
              <w:t>2024 Target</w:t>
            </w:r>
          </w:p>
        </w:tc>
        <w:tc>
          <w:tcPr>
            <w:tcW w:w="1520" w:type="dxa"/>
            <w:vAlign w:val="bottom"/>
          </w:tcPr>
          <w:p>
            <w:pPr>
              <w:jc w:val="center"/>
              <w:ind w:left="136"/>
              <w:spacing w:after="0"/>
              <w:rPr>
                <w:sz w:val="20"/>
                <w:szCs w:val="20"/>
                <w:color w:val="auto"/>
              </w:rPr>
            </w:pPr>
            <w:r>
              <w:rPr>
                <w:rFonts w:ascii="Arial" w:cs="Arial" w:eastAsia="Arial" w:hAnsi="Arial"/>
                <w:sz w:val="16"/>
                <w:szCs w:val="16"/>
                <w:b w:val="1"/>
                <w:bCs w:val="1"/>
                <w:color w:val="1F4E79"/>
                <w:w w:val="99"/>
              </w:rPr>
              <w:t>Value as a</w:t>
            </w:r>
          </w:p>
        </w:tc>
      </w:tr>
      <w:tr>
        <w:trPr>
          <w:trHeight w:val="189"/>
        </w:trPr>
        <w:tc>
          <w:tcPr>
            <w:tcW w:w="23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b w:val="1"/>
                <w:bCs w:val="1"/>
                <w:color w:val="1F4E79"/>
              </w:rPr>
              <w:t>Restricted Stock</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1F4E79"/>
                <w:w w:val="98"/>
              </w:rPr>
              <w:t>2024 Target</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1F4E79"/>
              </w:rPr>
              <w:t>Restricted Stock</w:t>
            </w:r>
          </w:p>
        </w:tc>
        <w:tc>
          <w:tcPr>
            <w:tcW w:w="1520" w:type="dxa"/>
            <w:vAlign w:val="bottom"/>
          </w:tcPr>
          <w:p>
            <w:pPr>
              <w:jc w:val="center"/>
              <w:ind w:left="136"/>
              <w:spacing w:after="0"/>
              <w:rPr>
                <w:sz w:val="20"/>
                <w:szCs w:val="20"/>
                <w:color w:val="auto"/>
              </w:rPr>
            </w:pPr>
            <w:r>
              <w:rPr>
                <w:rFonts w:ascii="Arial" w:cs="Arial" w:eastAsia="Arial" w:hAnsi="Arial"/>
                <w:sz w:val="16"/>
                <w:szCs w:val="16"/>
                <w:b w:val="1"/>
                <w:bCs w:val="1"/>
                <w:color w:val="1F4E79"/>
              </w:rPr>
              <w:t>Percentage of</w:t>
            </w:r>
          </w:p>
        </w:tc>
      </w:tr>
      <w:tr>
        <w:trPr>
          <w:trHeight w:val="189"/>
        </w:trPr>
        <w:tc>
          <w:tcPr>
            <w:tcW w:w="2300" w:type="dxa"/>
            <w:vAlign w:val="bottom"/>
          </w:tcPr>
          <w:p>
            <w:pPr>
              <w:spacing w:after="0"/>
              <w:rPr>
                <w:sz w:val="16"/>
                <w:szCs w:val="16"/>
                <w:color w:val="auto"/>
              </w:rPr>
            </w:pPr>
          </w:p>
        </w:tc>
        <w:tc>
          <w:tcPr>
            <w:tcW w:w="1940" w:type="dxa"/>
            <w:vAlign w:val="bottom"/>
          </w:tcPr>
          <w:p>
            <w:pPr>
              <w:jc w:val="center"/>
              <w:ind w:left="134"/>
              <w:spacing w:after="0"/>
              <w:rPr>
                <w:sz w:val="20"/>
                <w:szCs w:val="20"/>
                <w:color w:val="auto"/>
              </w:rPr>
            </w:pPr>
            <w:r>
              <w:rPr>
                <w:rFonts w:ascii="Arial" w:cs="Arial" w:eastAsia="Arial" w:hAnsi="Arial"/>
                <w:sz w:val="16"/>
                <w:szCs w:val="16"/>
                <w:b w:val="1"/>
                <w:bCs w:val="1"/>
                <w:color w:val="1F4E79"/>
                <w:w w:val="98"/>
              </w:rPr>
              <w:t>2023 Target</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1F4E79"/>
                <w:w w:val="99"/>
              </w:rPr>
              <w:t>Fair Market Value</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1F4E79"/>
              </w:rPr>
              <w:t>Restricted Stock</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1F4E79"/>
              </w:rPr>
              <w:t>Fair Market Value</w:t>
            </w:r>
          </w:p>
        </w:tc>
        <w:tc>
          <w:tcPr>
            <w:tcW w:w="1520" w:type="dxa"/>
            <w:vAlign w:val="bottom"/>
          </w:tcPr>
          <w:p>
            <w:pPr>
              <w:jc w:val="center"/>
              <w:ind w:left="136"/>
              <w:spacing w:after="0"/>
              <w:rPr>
                <w:sz w:val="20"/>
                <w:szCs w:val="20"/>
                <w:color w:val="auto"/>
              </w:rPr>
            </w:pPr>
            <w:r>
              <w:rPr>
                <w:rFonts w:ascii="Arial" w:cs="Arial" w:eastAsia="Arial" w:hAnsi="Arial"/>
                <w:sz w:val="16"/>
                <w:szCs w:val="16"/>
                <w:b w:val="1"/>
                <w:bCs w:val="1"/>
                <w:color w:val="1F4E79"/>
                <w:w w:val="98"/>
              </w:rPr>
              <w:t>Total Target</w:t>
            </w:r>
          </w:p>
        </w:tc>
      </w:tr>
      <w:tr>
        <w:trPr>
          <w:trHeight w:val="189"/>
        </w:trPr>
        <w:tc>
          <w:tcPr>
            <w:tcW w:w="2300" w:type="dxa"/>
            <w:vAlign w:val="bottom"/>
          </w:tcPr>
          <w:p>
            <w:pPr>
              <w:spacing w:after="0"/>
              <w:rPr>
                <w:sz w:val="16"/>
                <w:szCs w:val="16"/>
                <w:color w:val="auto"/>
              </w:rPr>
            </w:pPr>
          </w:p>
        </w:tc>
        <w:tc>
          <w:tcPr>
            <w:tcW w:w="1940" w:type="dxa"/>
            <w:vAlign w:val="bottom"/>
          </w:tcPr>
          <w:p>
            <w:pPr>
              <w:jc w:val="center"/>
              <w:ind w:left="134"/>
              <w:spacing w:after="0"/>
              <w:rPr>
                <w:sz w:val="20"/>
                <w:szCs w:val="20"/>
                <w:color w:val="auto"/>
              </w:rPr>
            </w:pPr>
            <w:r>
              <w:rPr>
                <w:rFonts w:ascii="Arial" w:cs="Arial" w:eastAsia="Arial" w:hAnsi="Arial"/>
                <w:sz w:val="16"/>
                <w:szCs w:val="16"/>
                <w:b w:val="1"/>
                <w:bCs w:val="1"/>
                <w:color w:val="1F4E79"/>
              </w:rPr>
              <w:t>Restricted Stock</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1F4E79"/>
              </w:rPr>
              <w:t>on Grant Date</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1F4E79"/>
                <w:w w:val="98"/>
              </w:rPr>
              <w:t>Target</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1F4E79"/>
              </w:rPr>
              <w:t>on Grant Date</w:t>
            </w:r>
          </w:p>
        </w:tc>
        <w:tc>
          <w:tcPr>
            <w:tcW w:w="1520" w:type="dxa"/>
            <w:vAlign w:val="bottom"/>
          </w:tcPr>
          <w:p>
            <w:pPr>
              <w:jc w:val="center"/>
              <w:ind w:left="136"/>
              <w:spacing w:after="0"/>
              <w:rPr>
                <w:sz w:val="20"/>
                <w:szCs w:val="20"/>
                <w:color w:val="auto"/>
              </w:rPr>
            </w:pPr>
            <w:r>
              <w:rPr>
                <w:rFonts w:ascii="Arial" w:cs="Arial" w:eastAsia="Arial" w:hAnsi="Arial"/>
                <w:sz w:val="16"/>
                <w:szCs w:val="16"/>
                <w:b w:val="1"/>
                <w:bCs w:val="1"/>
                <w:color w:val="1F4E79"/>
              </w:rPr>
              <w:t>Compensation</w:t>
            </w:r>
          </w:p>
        </w:tc>
      </w:tr>
      <w:tr>
        <w:trPr>
          <w:trHeight w:val="251"/>
        </w:trPr>
        <w:tc>
          <w:tcPr>
            <w:tcW w:w="2300" w:type="dxa"/>
            <w:vAlign w:val="bottom"/>
            <w:tcBorders>
              <w:bottom w:val="single" w:sz="8" w:color="0070C0"/>
            </w:tcBorders>
          </w:tcPr>
          <w:p>
            <w:pPr>
              <w:spacing w:after="0"/>
              <w:rPr>
                <w:sz w:val="20"/>
                <w:szCs w:val="20"/>
                <w:color w:val="auto"/>
              </w:rPr>
            </w:pPr>
            <w:r>
              <w:rPr>
                <w:rFonts w:ascii="Arial" w:cs="Arial" w:eastAsia="Arial" w:hAnsi="Arial"/>
                <w:sz w:val="16"/>
                <w:szCs w:val="16"/>
                <w:b w:val="1"/>
                <w:bCs w:val="1"/>
                <w:color w:val="1F4E79"/>
              </w:rPr>
              <w:t>Name</w:t>
            </w:r>
          </w:p>
        </w:tc>
        <w:tc>
          <w:tcPr>
            <w:tcW w:w="1940" w:type="dxa"/>
            <w:vAlign w:val="bottom"/>
            <w:tcBorders>
              <w:bottom w:val="single" w:sz="8" w:color="0070C0"/>
            </w:tcBorders>
          </w:tcPr>
          <w:p>
            <w:pPr>
              <w:jc w:val="center"/>
              <w:ind w:left="134"/>
              <w:spacing w:after="0"/>
              <w:rPr>
                <w:sz w:val="20"/>
                <w:szCs w:val="20"/>
                <w:color w:val="auto"/>
              </w:rPr>
            </w:pPr>
            <w:r>
              <w:rPr>
                <w:rFonts w:ascii="Arial" w:cs="Arial" w:eastAsia="Arial" w:hAnsi="Arial"/>
                <w:sz w:val="16"/>
                <w:szCs w:val="16"/>
                <w:b w:val="1"/>
                <w:bCs w:val="1"/>
                <w:color w:val="1F4E79"/>
                <w:w w:val="98"/>
              </w:rPr>
              <w:t>Target (#)</w:t>
            </w:r>
          </w:p>
        </w:tc>
        <w:tc>
          <w:tcPr>
            <w:tcW w:w="1760" w:type="dxa"/>
            <w:vAlign w:val="bottom"/>
            <w:tcBorders>
              <w:bottom w:val="single" w:sz="8" w:color="0070C0"/>
            </w:tcBorders>
          </w:tcPr>
          <w:p>
            <w:pPr>
              <w:jc w:val="center"/>
              <w:spacing w:after="0"/>
              <w:rPr>
                <w:sz w:val="20"/>
                <w:szCs w:val="20"/>
                <w:color w:val="auto"/>
              </w:rPr>
            </w:pPr>
            <w:r>
              <w:rPr>
                <w:rFonts w:ascii="Arial" w:cs="Arial" w:eastAsia="Arial" w:hAnsi="Arial"/>
                <w:sz w:val="16"/>
                <w:szCs w:val="16"/>
                <w:b w:val="1"/>
                <w:bCs w:val="1"/>
                <w:color w:val="1F4E79"/>
              </w:rPr>
              <w:t>($)</w:t>
            </w:r>
          </w:p>
        </w:tc>
        <w:tc>
          <w:tcPr>
            <w:tcW w:w="1720" w:type="dxa"/>
            <w:vAlign w:val="bottom"/>
            <w:tcBorders>
              <w:bottom w:val="single" w:sz="8" w:color="0070C0"/>
            </w:tcBorders>
          </w:tcPr>
          <w:p>
            <w:pPr>
              <w:jc w:val="center"/>
              <w:spacing w:after="0"/>
              <w:rPr>
                <w:sz w:val="20"/>
                <w:szCs w:val="20"/>
                <w:color w:val="auto"/>
              </w:rPr>
            </w:pPr>
            <w:r>
              <w:rPr>
                <w:rFonts w:ascii="Arial" w:cs="Arial" w:eastAsia="Arial" w:hAnsi="Arial"/>
                <w:sz w:val="16"/>
                <w:szCs w:val="16"/>
                <w:b w:val="1"/>
                <w:bCs w:val="1"/>
                <w:color w:val="1F4E79"/>
              </w:rPr>
              <w:t>(#)</w:t>
            </w:r>
          </w:p>
        </w:tc>
        <w:tc>
          <w:tcPr>
            <w:tcW w:w="1780" w:type="dxa"/>
            <w:vAlign w:val="bottom"/>
            <w:tcBorders>
              <w:bottom w:val="single" w:sz="8" w:color="0070C0"/>
            </w:tcBorders>
          </w:tcPr>
          <w:p>
            <w:pPr>
              <w:jc w:val="center"/>
              <w:spacing w:after="0"/>
              <w:rPr>
                <w:sz w:val="20"/>
                <w:szCs w:val="20"/>
                <w:color w:val="auto"/>
              </w:rPr>
            </w:pPr>
            <w:r>
              <w:rPr>
                <w:rFonts w:ascii="Arial" w:cs="Arial" w:eastAsia="Arial" w:hAnsi="Arial"/>
                <w:sz w:val="16"/>
                <w:szCs w:val="16"/>
                <w:b w:val="1"/>
                <w:bCs w:val="1"/>
                <w:color w:val="1F4E79"/>
              </w:rPr>
              <w:t>($)(1)</w:t>
            </w:r>
          </w:p>
        </w:tc>
        <w:tc>
          <w:tcPr>
            <w:tcW w:w="1520" w:type="dxa"/>
            <w:vAlign w:val="bottom"/>
            <w:tcBorders>
              <w:bottom w:val="single" w:sz="8" w:color="0070C0"/>
            </w:tcBorders>
          </w:tcPr>
          <w:p>
            <w:pPr>
              <w:jc w:val="center"/>
              <w:ind w:left="136"/>
              <w:spacing w:after="0"/>
              <w:rPr>
                <w:sz w:val="20"/>
                <w:szCs w:val="20"/>
                <w:color w:val="auto"/>
              </w:rPr>
            </w:pPr>
            <w:r>
              <w:rPr>
                <w:rFonts w:ascii="Arial" w:cs="Arial" w:eastAsia="Arial" w:hAnsi="Arial"/>
                <w:sz w:val="16"/>
                <w:szCs w:val="16"/>
                <w:b w:val="1"/>
                <w:bCs w:val="1"/>
                <w:color w:val="1F4E79"/>
              </w:rPr>
              <w:t>(%)</w:t>
            </w:r>
          </w:p>
        </w:tc>
      </w:tr>
      <w:tr>
        <w:trPr>
          <w:trHeight w:val="203"/>
        </w:trPr>
        <w:tc>
          <w:tcPr>
            <w:tcW w:w="2300" w:type="dxa"/>
            <w:vAlign w:val="bottom"/>
            <w:tcBorders>
              <w:bottom w:val="single" w:sz="8" w:color="auto"/>
            </w:tcBorders>
            <w:shd w:val="clear" w:color="auto" w:fill="D5DCE4"/>
          </w:tcPr>
          <w:p>
            <w:pPr>
              <w:spacing w:after="0" w:line="202" w:lineRule="exact"/>
              <w:rPr>
                <w:sz w:val="20"/>
                <w:szCs w:val="20"/>
                <w:color w:val="auto"/>
              </w:rPr>
            </w:pPr>
            <w:r>
              <w:rPr>
                <w:rFonts w:ascii="Arial" w:cs="Arial" w:eastAsia="Arial" w:hAnsi="Arial"/>
                <w:sz w:val="18"/>
                <w:szCs w:val="18"/>
                <w:color w:val="auto"/>
              </w:rPr>
              <w:t>  Jeffrey W. Edwards</w:t>
            </w:r>
          </w:p>
        </w:tc>
        <w:tc>
          <w:tcPr>
            <w:tcW w:w="1940" w:type="dxa"/>
            <w:vAlign w:val="bottom"/>
            <w:tcBorders>
              <w:bottom w:val="single" w:sz="8" w:color="auto"/>
            </w:tcBorders>
          </w:tcPr>
          <w:p>
            <w:pPr>
              <w:jc w:val="right"/>
              <w:ind w:right="274"/>
              <w:spacing w:after="0" w:line="202" w:lineRule="exact"/>
              <w:rPr>
                <w:sz w:val="20"/>
                <w:szCs w:val="20"/>
                <w:color w:val="auto"/>
              </w:rPr>
            </w:pPr>
            <w:r>
              <w:rPr>
                <w:rFonts w:ascii="Arial" w:cs="Arial" w:eastAsia="Arial" w:hAnsi="Arial"/>
                <w:sz w:val="18"/>
                <w:szCs w:val="18"/>
                <w:color w:val="auto"/>
              </w:rPr>
              <w:t>32,798</w:t>
            </w:r>
          </w:p>
        </w:tc>
        <w:tc>
          <w:tcPr>
            <w:tcW w:w="1760" w:type="dxa"/>
            <w:vAlign w:val="bottom"/>
            <w:tcBorders>
              <w:bottom w:val="single" w:sz="8" w:color="auto"/>
            </w:tcBorders>
          </w:tcPr>
          <w:p>
            <w:pPr>
              <w:jc w:val="right"/>
              <w:ind w:right="135"/>
              <w:spacing w:after="0" w:line="202" w:lineRule="exact"/>
              <w:rPr>
                <w:sz w:val="20"/>
                <w:szCs w:val="20"/>
                <w:color w:val="auto"/>
              </w:rPr>
            </w:pPr>
            <w:r>
              <w:rPr>
                <w:rFonts w:ascii="Arial" w:cs="Arial" w:eastAsia="Arial" w:hAnsi="Arial"/>
                <w:sz w:val="18"/>
                <w:szCs w:val="18"/>
                <w:color w:val="auto"/>
              </w:rPr>
              <w:t>3,599,908</w:t>
            </w:r>
          </w:p>
        </w:tc>
        <w:tc>
          <w:tcPr>
            <w:tcW w:w="1720" w:type="dxa"/>
            <w:vAlign w:val="bottom"/>
            <w:tcBorders>
              <w:bottom w:val="single" w:sz="8" w:color="auto"/>
            </w:tcBorders>
          </w:tcPr>
          <w:p>
            <w:pPr>
              <w:jc w:val="right"/>
              <w:ind w:right="275"/>
              <w:spacing w:after="0" w:line="202" w:lineRule="exact"/>
              <w:rPr>
                <w:sz w:val="20"/>
                <w:szCs w:val="20"/>
                <w:color w:val="auto"/>
              </w:rPr>
            </w:pPr>
            <w:r>
              <w:rPr>
                <w:rFonts w:ascii="Arial" w:cs="Arial" w:eastAsia="Arial" w:hAnsi="Arial"/>
                <w:sz w:val="18"/>
                <w:szCs w:val="18"/>
                <w:color w:val="auto"/>
              </w:rPr>
              <w:t>19,421</w:t>
            </w:r>
          </w:p>
        </w:tc>
        <w:tc>
          <w:tcPr>
            <w:tcW w:w="1780" w:type="dxa"/>
            <w:vAlign w:val="bottom"/>
            <w:tcBorders>
              <w:bottom w:val="single" w:sz="8" w:color="auto"/>
            </w:tcBorders>
          </w:tcPr>
          <w:p>
            <w:pPr>
              <w:jc w:val="right"/>
              <w:ind w:right="135"/>
              <w:spacing w:after="0" w:line="202" w:lineRule="exact"/>
              <w:rPr>
                <w:sz w:val="20"/>
                <w:szCs w:val="20"/>
                <w:color w:val="auto"/>
              </w:rPr>
            </w:pPr>
            <w:r>
              <w:rPr>
                <w:rFonts w:ascii="Arial" w:cs="Arial" w:eastAsia="Arial" w:hAnsi="Arial"/>
                <w:sz w:val="18"/>
                <w:szCs w:val="18"/>
                <w:color w:val="auto"/>
              </w:rPr>
              <w:t>4,000,000</w:t>
            </w:r>
          </w:p>
        </w:tc>
        <w:tc>
          <w:tcPr>
            <w:tcW w:w="1520" w:type="dxa"/>
            <w:vAlign w:val="bottom"/>
            <w:tcBorders>
              <w:bottom w:val="single" w:sz="8" w:color="auto"/>
            </w:tcBorders>
          </w:tcPr>
          <w:p>
            <w:pPr>
              <w:jc w:val="right"/>
              <w:ind w:right="196"/>
              <w:spacing w:after="0" w:line="202" w:lineRule="exact"/>
              <w:rPr>
                <w:sz w:val="20"/>
                <w:szCs w:val="20"/>
                <w:color w:val="auto"/>
              </w:rPr>
            </w:pPr>
            <w:r>
              <w:rPr>
                <w:rFonts w:ascii="Arial" w:cs="Arial" w:eastAsia="Arial" w:hAnsi="Arial"/>
                <w:sz w:val="18"/>
                <w:szCs w:val="18"/>
                <w:color w:val="auto"/>
              </w:rPr>
              <w:t>64.5</w:t>
            </w:r>
          </w:p>
        </w:tc>
      </w:tr>
      <w:tr>
        <w:trPr>
          <w:trHeight w:val="196"/>
        </w:trPr>
        <w:tc>
          <w:tcPr>
            <w:tcW w:w="230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  Michael T. Miller</w:t>
            </w:r>
          </w:p>
        </w:tc>
        <w:tc>
          <w:tcPr>
            <w:tcW w:w="1940" w:type="dxa"/>
            <w:vAlign w:val="bottom"/>
            <w:tcBorders>
              <w:bottom w:val="single" w:sz="8" w:color="auto"/>
            </w:tcBorders>
          </w:tcPr>
          <w:p>
            <w:pPr>
              <w:jc w:val="right"/>
              <w:ind w:right="274"/>
              <w:spacing w:after="0" w:line="196" w:lineRule="exact"/>
              <w:rPr>
                <w:sz w:val="20"/>
                <w:szCs w:val="20"/>
                <w:color w:val="auto"/>
              </w:rPr>
            </w:pPr>
            <w:r>
              <w:rPr>
                <w:rFonts w:ascii="Arial" w:cs="Arial" w:eastAsia="Arial" w:hAnsi="Arial"/>
                <w:sz w:val="18"/>
                <w:szCs w:val="18"/>
                <w:color w:val="auto"/>
              </w:rPr>
              <w:t>10,568</w:t>
            </w:r>
          </w:p>
        </w:tc>
        <w:tc>
          <w:tcPr>
            <w:tcW w:w="1760" w:type="dxa"/>
            <w:vAlign w:val="bottom"/>
            <w:tcBorders>
              <w:bottom w:val="single" w:sz="8" w:color="auto"/>
            </w:tcBorders>
          </w:tcPr>
          <w:p>
            <w:pPr>
              <w:jc w:val="right"/>
              <w:ind w:right="135"/>
              <w:spacing w:after="0" w:line="196" w:lineRule="exact"/>
              <w:rPr>
                <w:sz w:val="20"/>
                <w:szCs w:val="20"/>
                <w:color w:val="auto"/>
              </w:rPr>
            </w:pPr>
            <w:r>
              <w:rPr>
                <w:rFonts w:ascii="Arial" w:cs="Arial" w:eastAsia="Arial" w:hAnsi="Arial"/>
                <w:sz w:val="18"/>
                <w:szCs w:val="18"/>
                <w:color w:val="auto"/>
              </w:rPr>
              <w:t>1,159,944</w:t>
            </w:r>
          </w:p>
        </w:tc>
        <w:tc>
          <w:tcPr>
            <w:tcW w:w="1720" w:type="dxa"/>
            <w:vAlign w:val="bottom"/>
            <w:tcBorders>
              <w:bottom w:val="single" w:sz="8" w:color="auto"/>
            </w:tcBorders>
          </w:tcPr>
          <w:p>
            <w:pPr>
              <w:jc w:val="right"/>
              <w:ind w:right="275"/>
              <w:spacing w:after="0" w:line="196" w:lineRule="exact"/>
              <w:rPr>
                <w:sz w:val="20"/>
                <w:szCs w:val="20"/>
                <w:color w:val="auto"/>
              </w:rPr>
            </w:pPr>
            <w:r>
              <w:rPr>
                <w:rFonts w:ascii="Arial" w:cs="Arial" w:eastAsia="Arial" w:hAnsi="Arial"/>
                <w:sz w:val="18"/>
                <w:szCs w:val="18"/>
                <w:color w:val="auto"/>
              </w:rPr>
              <w:t>6,069</w:t>
            </w:r>
          </w:p>
        </w:tc>
        <w:tc>
          <w:tcPr>
            <w:tcW w:w="1780" w:type="dxa"/>
            <w:vAlign w:val="bottom"/>
            <w:tcBorders>
              <w:bottom w:val="single" w:sz="8" w:color="auto"/>
            </w:tcBorders>
          </w:tcPr>
          <w:p>
            <w:pPr>
              <w:jc w:val="right"/>
              <w:ind w:right="135"/>
              <w:spacing w:after="0" w:line="196" w:lineRule="exact"/>
              <w:rPr>
                <w:sz w:val="20"/>
                <w:szCs w:val="20"/>
                <w:color w:val="auto"/>
              </w:rPr>
            </w:pPr>
            <w:r>
              <w:rPr>
                <w:rFonts w:ascii="Arial" w:cs="Arial" w:eastAsia="Arial" w:hAnsi="Arial"/>
                <w:sz w:val="18"/>
                <w:szCs w:val="18"/>
                <w:color w:val="auto"/>
              </w:rPr>
              <w:t>1,250,000</w:t>
            </w:r>
          </w:p>
        </w:tc>
        <w:tc>
          <w:tcPr>
            <w:tcW w:w="1520" w:type="dxa"/>
            <w:vAlign w:val="bottom"/>
            <w:tcBorders>
              <w:bottom w:val="single" w:sz="8" w:color="auto"/>
            </w:tcBorders>
          </w:tcPr>
          <w:p>
            <w:pPr>
              <w:jc w:val="right"/>
              <w:ind w:right="196"/>
              <w:spacing w:after="0" w:line="196" w:lineRule="exact"/>
              <w:rPr>
                <w:sz w:val="20"/>
                <w:szCs w:val="20"/>
                <w:color w:val="auto"/>
              </w:rPr>
            </w:pPr>
            <w:r>
              <w:rPr>
                <w:rFonts w:ascii="Arial" w:cs="Arial" w:eastAsia="Arial" w:hAnsi="Arial"/>
                <w:sz w:val="18"/>
                <w:szCs w:val="18"/>
                <w:color w:val="auto"/>
              </w:rPr>
              <w:t>56.8</w:t>
            </w:r>
          </w:p>
        </w:tc>
      </w:tr>
      <w:tr>
        <w:trPr>
          <w:trHeight w:val="196"/>
        </w:trPr>
        <w:tc>
          <w:tcPr>
            <w:tcW w:w="230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  W. Jeffrey Hire</w:t>
            </w:r>
          </w:p>
        </w:tc>
        <w:tc>
          <w:tcPr>
            <w:tcW w:w="1940" w:type="dxa"/>
            <w:vAlign w:val="bottom"/>
            <w:tcBorders>
              <w:bottom w:val="single" w:sz="8" w:color="auto"/>
            </w:tcBorders>
          </w:tcPr>
          <w:p>
            <w:pPr>
              <w:jc w:val="right"/>
              <w:ind w:right="274"/>
              <w:spacing w:after="0" w:line="196" w:lineRule="exact"/>
              <w:rPr>
                <w:sz w:val="20"/>
                <w:szCs w:val="20"/>
                <w:color w:val="auto"/>
              </w:rPr>
            </w:pPr>
            <w:r>
              <w:rPr>
                <w:rFonts w:ascii="Arial" w:cs="Arial" w:eastAsia="Arial" w:hAnsi="Arial"/>
                <w:sz w:val="18"/>
                <w:szCs w:val="18"/>
                <w:color w:val="auto"/>
              </w:rPr>
              <w:t>2,277</w:t>
            </w:r>
          </w:p>
        </w:tc>
        <w:tc>
          <w:tcPr>
            <w:tcW w:w="1760" w:type="dxa"/>
            <w:vAlign w:val="bottom"/>
            <w:tcBorders>
              <w:bottom w:val="single" w:sz="8" w:color="auto"/>
            </w:tcBorders>
          </w:tcPr>
          <w:p>
            <w:pPr>
              <w:jc w:val="right"/>
              <w:ind w:right="135"/>
              <w:spacing w:after="0" w:line="196" w:lineRule="exact"/>
              <w:rPr>
                <w:sz w:val="20"/>
                <w:szCs w:val="20"/>
                <w:color w:val="auto"/>
              </w:rPr>
            </w:pPr>
            <w:r>
              <w:rPr>
                <w:rFonts w:ascii="Arial" w:cs="Arial" w:eastAsia="Arial" w:hAnsi="Arial"/>
                <w:sz w:val="18"/>
                <w:szCs w:val="18"/>
                <w:color w:val="auto"/>
              </w:rPr>
              <w:t>249,924</w:t>
            </w:r>
          </w:p>
        </w:tc>
        <w:tc>
          <w:tcPr>
            <w:tcW w:w="1720" w:type="dxa"/>
            <w:vAlign w:val="bottom"/>
            <w:tcBorders>
              <w:bottom w:val="single" w:sz="8" w:color="auto"/>
            </w:tcBorders>
          </w:tcPr>
          <w:p>
            <w:pPr>
              <w:jc w:val="right"/>
              <w:ind w:right="275"/>
              <w:spacing w:after="0" w:line="196" w:lineRule="exact"/>
              <w:rPr>
                <w:sz w:val="20"/>
                <w:szCs w:val="20"/>
                <w:color w:val="auto"/>
              </w:rPr>
            </w:pPr>
            <w:r>
              <w:rPr>
                <w:rFonts w:ascii="Arial" w:cs="Arial" w:eastAsia="Arial" w:hAnsi="Arial"/>
                <w:sz w:val="18"/>
                <w:szCs w:val="18"/>
                <w:color w:val="auto"/>
              </w:rPr>
              <w:t>1,335</w:t>
            </w:r>
          </w:p>
        </w:tc>
        <w:tc>
          <w:tcPr>
            <w:tcW w:w="1780" w:type="dxa"/>
            <w:vAlign w:val="bottom"/>
            <w:tcBorders>
              <w:bottom w:val="single" w:sz="8" w:color="auto"/>
            </w:tcBorders>
          </w:tcPr>
          <w:p>
            <w:pPr>
              <w:jc w:val="right"/>
              <w:ind w:right="135"/>
              <w:spacing w:after="0" w:line="196" w:lineRule="exact"/>
              <w:rPr>
                <w:sz w:val="20"/>
                <w:szCs w:val="20"/>
                <w:color w:val="auto"/>
              </w:rPr>
            </w:pPr>
            <w:r>
              <w:rPr>
                <w:rFonts w:ascii="Arial" w:cs="Arial" w:eastAsia="Arial" w:hAnsi="Arial"/>
                <w:sz w:val="18"/>
                <w:szCs w:val="18"/>
                <w:color w:val="auto"/>
              </w:rPr>
              <w:t>275,000</w:t>
            </w:r>
          </w:p>
        </w:tc>
        <w:tc>
          <w:tcPr>
            <w:tcW w:w="1520" w:type="dxa"/>
            <w:vAlign w:val="bottom"/>
            <w:tcBorders>
              <w:bottom w:val="single" w:sz="8" w:color="auto"/>
            </w:tcBorders>
          </w:tcPr>
          <w:p>
            <w:pPr>
              <w:jc w:val="right"/>
              <w:ind w:right="196"/>
              <w:spacing w:after="0" w:line="196" w:lineRule="exact"/>
              <w:rPr>
                <w:sz w:val="20"/>
                <w:szCs w:val="20"/>
                <w:color w:val="auto"/>
              </w:rPr>
            </w:pPr>
            <w:r>
              <w:rPr>
                <w:rFonts w:ascii="Arial" w:cs="Arial" w:eastAsia="Arial" w:hAnsi="Arial"/>
                <w:sz w:val="18"/>
                <w:szCs w:val="18"/>
                <w:color w:val="auto"/>
              </w:rPr>
              <w:t>28.9</w:t>
            </w:r>
          </w:p>
        </w:tc>
      </w:tr>
      <w:tr>
        <w:trPr>
          <w:trHeight w:val="203"/>
        </w:trPr>
        <w:tc>
          <w:tcPr>
            <w:tcW w:w="2300" w:type="dxa"/>
            <w:vAlign w:val="bottom"/>
            <w:tcBorders>
              <w:bottom w:val="single" w:sz="8" w:color="0070C0"/>
            </w:tcBorders>
            <w:shd w:val="clear" w:color="auto" w:fill="D5DCE4"/>
          </w:tcPr>
          <w:p>
            <w:pPr>
              <w:spacing w:after="0" w:line="196" w:lineRule="exact"/>
              <w:rPr>
                <w:sz w:val="20"/>
                <w:szCs w:val="20"/>
                <w:color w:val="auto"/>
              </w:rPr>
            </w:pPr>
            <w:r>
              <w:rPr>
                <w:rFonts w:ascii="Arial" w:cs="Arial" w:eastAsia="Arial" w:hAnsi="Arial"/>
                <w:sz w:val="18"/>
                <w:szCs w:val="18"/>
                <w:color w:val="auto"/>
              </w:rPr>
              <w:t>  Jason R. Niswonger</w:t>
            </w:r>
          </w:p>
        </w:tc>
        <w:tc>
          <w:tcPr>
            <w:tcW w:w="1940" w:type="dxa"/>
            <w:vAlign w:val="bottom"/>
            <w:tcBorders>
              <w:bottom w:val="single" w:sz="8" w:color="0070C0"/>
            </w:tcBorders>
          </w:tcPr>
          <w:p>
            <w:pPr>
              <w:jc w:val="right"/>
              <w:ind w:right="274"/>
              <w:spacing w:after="0" w:line="196" w:lineRule="exact"/>
              <w:rPr>
                <w:sz w:val="20"/>
                <w:szCs w:val="20"/>
                <w:color w:val="auto"/>
              </w:rPr>
            </w:pPr>
            <w:r>
              <w:rPr>
                <w:rFonts w:ascii="Arial" w:cs="Arial" w:eastAsia="Arial" w:hAnsi="Arial"/>
                <w:sz w:val="18"/>
                <w:szCs w:val="18"/>
                <w:color w:val="auto"/>
              </w:rPr>
              <w:t>3,735</w:t>
            </w:r>
          </w:p>
        </w:tc>
        <w:tc>
          <w:tcPr>
            <w:tcW w:w="1760" w:type="dxa"/>
            <w:vAlign w:val="bottom"/>
            <w:tcBorders>
              <w:bottom w:val="single" w:sz="8" w:color="0070C0"/>
            </w:tcBorders>
          </w:tcPr>
          <w:p>
            <w:pPr>
              <w:jc w:val="right"/>
              <w:ind w:right="135"/>
              <w:spacing w:after="0" w:line="196" w:lineRule="exact"/>
              <w:rPr>
                <w:sz w:val="20"/>
                <w:szCs w:val="20"/>
                <w:color w:val="auto"/>
              </w:rPr>
            </w:pPr>
            <w:r>
              <w:rPr>
                <w:rFonts w:ascii="Arial" w:cs="Arial" w:eastAsia="Arial" w:hAnsi="Arial"/>
                <w:sz w:val="18"/>
                <w:szCs w:val="18"/>
                <w:color w:val="auto"/>
              </w:rPr>
              <w:t>409,954</w:t>
            </w:r>
          </w:p>
        </w:tc>
        <w:tc>
          <w:tcPr>
            <w:tcW w:w="1720" w:type="dxa"/>
            <w:vAlign w:val="bottom"/>
            <w:tcBorders>
              <w:bottom w:val="single" w:sz="8" w:color="0070C0"/>
            </w:tcBorders>
          </w:tcPr>
          <w:p>
            <w:pPr>
              <w:jc w:val="right"/>
              <w:ind w:right="275"/>
              <w:spacing w:after="0" w:line="196" w:lineRule="exact"/>
              <w:rPr>
                <w:sz w:val="20"/>
                <w:szCs w:val="20"/>
                <w:color w:val="auto"/>
              </w:rPr>
            </w:pPr>
            <w:r>
              <w:rPr>
                <w:rFonts w:ascii="Arial" w:cs="Arial" w:eastAsia="Arial" w:hAnsi="Arial"/>
                <w:sz w:val="18"/>
                <w:szCs w:val="18"/>
                <w:color w:val="auto"/>
              </w:rPr>
              <w:t>2427</w:t>
            </w:r>
          </w:p>
        </w:tc>
        <w:tc>
          <w:tcPr>
            <w:tcW w:w="1780" w:type="dxa"/>
            <w:vAlign w:val="bottom"/>
            <w:tcBorders>
              <w:bottom w:val="single" w:sz="8" w:color="0070C0"/>
            </w:tcBorders>
          </w:tcPr>
          <w:p>
            <w:pPr>
              <w:jc w:val="right"/>
              <w:ind w:right="135"/>
              <w:spacing w:after="0" w:line="196" w:lineRule="exact"/>
              <w:rPr>
                <w:sz w:val="20"/>
                <w:szCs w:val="20"/>
                <w:color w:val="auto"/>
              </w:rPr>
            </w:pPr>
            <w:r>
              <w:rPr>
                <w:rFonts w:ascii="Arial" w:cs="Arial" w:eastAsia="Arial" w:hAnsi="Arial"/>
                <w:sz w:val="18"/>
                <w:szCs w:val="18"/>
                <w:color w:val="auto"/>
              </w:rPr>
              <w:t>500,000</w:t>
            </w:r>
          </w:p>
        </w:tc>
        <w:tc>
          <w:tcPr>
            <w:tcW w:w="1520" w:type="dxa"/>
            <w:vAlign w:val="bottom"/>
            <w:tcBorders>
              <w:bottom w:val="single" w:sz="8" w:color="0070C0"/>
            </w:tcBorders>
          </w:tcPr>
          <w:p>
            <w:pPr>
              <w:jc w:val="right"/>
              <w:ind w:right="196"/>
              <w:spacing w:after="0" w:line="196" w:lineRule="exact"/>
              <w:rPr>
                <w:sz w:val="20"/>
                <w:szCs w:val="20"/>
                <w:color w:val="auto"/>
              </w:rPr>
            </w:pPr>
            <w:r>
              <w:rPr>
                <w:rFonts w:ascii="Arial" w:cs="Arial" w:eastAsia="Arial" w:hAnsi="Arial"/>
                <w:sz w:val="18"/>
                <w:szCs w:val="18"/>
                <w:color w:val="auto"/>
              </w:rPr>
              <w:t>39.8</w:t>
            </w:r>
          </w:p>
        </w:tc>
      </w:tr>
    </w:tbl>
    <w:p>
      <w:pPr>
        <w:spacing w:after="0" w:line="224" w:lineRule="exact"/>
        <w:rPr>
          <w:sz w:val="20"/>
          <w:szCs w:val="20"/>
          <w:color w:val="auto"/>
        </w:rPr>
      </w:pPr>
    </w:p>
    <w:p>
      <w:pPr>
        <w:ind w:left="424" w:right="400" w:hanging="424"/>
        <w:spacing w:after="0" w:line="271" w:lineRule="auto"/>
        <w:tabs>
          <w:tab w:leader="none" w:pos="4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grant date fair value was determined by multiplying the closing price of the Company’s common stock on February 20, 2024 ($205.96) by the number of target shares.</w:t>
      </w:r>
    </w:p>
    <w:p>
      <w:pPr>
        <w:spacing w:after="0" w:line="144"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002060"/>
        </w:rPr>
        <w:t>Section 5 – Other Compensation and Policies</w:t>
      </w:r>
    </w:p>
    <w:p>
      <w:pPr>
        <w:spacing w:after="0" w:line="213" w:lineRule="exact"/>
        <w:rPr>
          <w:sz w:val="20"/>
          <w:szCs w:val="20"/>
          <w:color w:val="auto"/>
        </w:rPr>
      </w:pPr>
    </w:p>
    <w:p>
      <w:pPr>
        <w:ind w:left="4"/>
        <w:spacing w:after="0"/>
        <w:rPr>
          <w:sz w:val="20"/>
          <w:szCs w:val="20"/>
          <w:color w:val="auto"/>
        </w:rPr>
      </w:pPr>
      <w:r>
        <w:rPr>
          <w:rFonts w:ascii="Arial" w:cs="Arial" w:eastAsia="Arial" w:hAnsi="Arial"/>
          <w:sz w:val="20"/>
          <w:szCs w:val="20"/>
          <w:color w:val="2E75B4"/>
        </w:rPr>
        <w:t>Perquisites</w:t>
      </w:r>
    </w:p>
    <w:p>
      <w:pPr>
        <w:spacing w:after="0" w:line="205" w:lineRule="exact"/>
        <w:rPr>
          <w:sz w:val="20"/>
          <w:szCs w:val="20"/>
          <w:color w:val="auto"/>
        </w:rPr>
      </w:pPr>
    </w:p>
    <w:p>
      <w:pPr>
        <w:ind w:left="4"/>
        <w:spacing w:after="0" w:line="266" w:lineRule="auto"/>
        <w:rPr>
          <w:sz w:val="20"/>
          <w:szCs w:val="20"/>
          <w:color w:val="auto"/>
        </w:rPr>
      </w:pPr>
      <w:r>
        <w:rPr>
          <w:rFonts w:ascii="Arial" w:cs="Arial" w:eastAsia="Arial" w:hAnsi="Arial"/>
          <w:sz w:val="17"/>
          <w:szCs w:val="17"/>
          <w:color w:val="auto"/>
        </w:rPr>
        <w:t xml:space="preserve">The Company offers no perquisites to our NEOs that are not generally available to salaried employees other than auto leases or allowances (including insurance) and cell phones, which are set forth in the “All Other Compensation” column of the </w:t>
      </w:r>
      <w:r>
        <w:rPr>
          <w:rFonts w:ascii="Arial" w:cs="Arial" w:eastAsia="Arial" w:hAnsi="Arial"/>
          <w:sz w:val="17"/>
          <w:szCs w:val="17"/>
          <w:i w:val="1"/>
          <w:iCs w:val="1"/>
          <w:color w:val="auto"/>
        </w:rPr>
        <w:t>Summary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Table </w:t>
      </w:r>
      <w:r>
        <w:rPr>
          <w:rFonts w:ascii="Arial" w:cs="Arial" w:eastAsia="Arial" w:hAnsi="Arial"/>
          <w:sz w:val="17"/>
          <w:szCs w:val="17"/>
          <w:color w:val="auto"/>
        </w:rPr>
        <w:t>below. These perquisites do not play a significant role in our executive compensation program. From time to time, our</w:t>
      </w:r>
      <w:r>
        <w:rPr>
          <w:rFonts w:ascii="Arial" w:cs="Arial" w:eastAsia="Arial" w:hAnsi="Arial"/>
          <w:sz w:val="17"/>
          <w:szCs w:val="17"/>
          <w:i w:val="1"/>
          <w:iCs w:val="1"/>
          <w:color w:val="auto"/>
        </w:rPr>
        <w:t xml:space="preserve"> </w:t>
      </w:r>
      <w:r>
        <w:rPr>
          <w:rFonts w:ascii="Arial" w:cs="Arial" w:eastAsia="Arial" w:hAnsi="Arial"/>
          <w:sz w:val="17"/>
          <w:szCs w:val="17"/>
          <w:color w:val="auto"/>
        </w:rPr>
        <w:t>NEOs may travel by Company-paid chartered aircraft services to facilitate travel that is directly related to the performance of their duties.</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20"/>
          <w:szCs w:val="20"/>
          <w:color w:val="2E75B4"/>
        </w:rPr>
        <w:t>Post-Termination Compensation</w:t>
      </w:r>
    </w:p>
    <w:p>
      <w:pPr>
        <w:spacing w:after="0" w:line="205" w:lineRule="exact"/>
        <w:rPr>
          <w:sz w:val="20"/>
          <w:szCs w:val="20"/>
          <w:color w:val="auto"/>
        </w:rPr>
      </w:pPr>
    </w:p>
    <w:p>
      <w:pPr>
        <w:ind w:left="4" w:right="40"/>
        <w:spacing w:after="0" w:line="247" w:lineRule="auto"/>
        <w:rPr>
          <w:sz w:val="20"/>
          <w:szCs w:val="20"/>
          <w:color w:val="auto"/>
        </w:rPr>
      </w:pPr>
      <w:r>
        <w:rPr>
          <w:rFonts w:ascii="Arial" w:cs="Arial" w:eastAsia="Arial" w:hAnsi="Arial"/>
          <w:sz w:val="18"/>
          <w:szCs w:val="18"/>
          <w:color w:val="auto"/>
        </w:rPr>
        <w:t>We do not have severance or change-in-control arrangements with our named executive officers, except for Mr. Edwards. If a NEO’s employment is terminated due to retirement or disability, the CHC Committee may, in the exercise of its discretion, determine to accelerate vesting of restricted stock awards and to waive any limitations placed on performance-based incentive cash awards. If an NEO’s employment is terminated due to the executive’s death, all earned but unvested restricted stock awards automatically vest in full.</w:t>
      </w:r>
    </w:p>
    <w:p>
      <w:pPr>
        <w:spacing w:after="0" w:line="174" w:lineRule="exact"/>
        <w:rPr>
          <w:sz w:val="20"/>
          <w:szCs w:val="20"/>
          <w:color w:val="auto"/>
        </w:rPr>
      </w:pPr>
    </w:p>
    <w:p>
      <w:pPr>
        <w:ind w:left="4" w:right="700"/>
        <w:spacing w:after="0" w:line="271" w:lineRule="auto"/>
        <w:rPr>
          <w:sz w:val="20"/>
          <w:szCs w:val="20"/>
          <w:color w:val="auto"/>
        </w:rPr>
      </w:pPr>
      <w:r>
        <w:rPr>
          <w:rFonts w:ascii="Arial" w:cs="Arial" w:eastAsia="Arial" w:hAnsi="Arial"/>
          <w:sz w:val="18"/>
          <w:szCs w:val="18"/>
          <w:color w:val="auto"/>
        </w:rPr>
        <w:t>The Company has entered into an employment agreement with Mr. Edwards, the terms of which are more fully described below in “</w:t>
      </w:r>
      <w:r>
        <w:rPr>
          <w:rFonts w:ascii="Arial" w:cs="Arial" w:eastAsia="Arial" w:hAnsi="Arial"/>
          <w:sz w:val="18"/>
          <w:szCs w:val="18"/>
          <w:i w:val="1"/>
          <w:iCs w:val="1"/>
          <w:color w:val="auto"/>
        </w:rPr>
        <w:t>Employment Agreement with Jeffrey W. Edwards</w:t>
      </w:r>
      <w:r>
        <w:rPr>
          <w:rFonts w:ascii="Arial" w:cs="Arial" w:eastAsia="Arial" w:hAnsi="Arial"/>
          <w:sz w:val="18"/>
          <w:szCs w:val="18"/>
          <w:color w:val="auto"/>
        </w:rPr>
        <w:t>.” Under the terms of his employment agreement, Mr. Edwards is entitled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699516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0070C0"/>
        </w:rPr>
        <w:t>Compensation Discussion and Analysis</w:t>
      </w:r>
    </w:p>
    <w:p>
      <w:pPr>
        <w:spacing w:after="0" w:line="5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0070C0"/>
        </w:rPr>
        <w:t>60</w:t>
      </w:r>
    </w:p>
    <w:p>
      <w:pPr>
        <w:sectPr>
          <w:pgSz w:w="11900" w:h="16838" w:orient="portrait"/>
          <w:cols w:equalWidth="0" w:num="1">
            <w:col w:w="11024"/>
          </w:cols>
          <w:pgMar w:left="436" w:top="301" w:right="439" w:bottom="1440" w:gutter="0" w:footer="0" w:header="0"/>
        </w:sectPr>
      </w:pPr>
    </w:p>
    <w:bookmarkStart w:id="68" w:name="page69"/>
    <w:bookmarkEnd w:id="68"/>
    <w:p>
      <w:pPr>
        <w:ind w:right="40"/>
        <w:spacing w:after="0" w:line="24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certain severance benefits in the event his employment is terminated by the Company without “Cause” or by Mr. Edwards for “Good Reason,” as defined in the employment agreement. These benefits include salary continuation, a lump sum cash payment and payment of earned but unpaid or unissued performance-based incentive awards. Details of the arrangement with Mr. Edwards are described in more detail in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below. We have entered into non-compete agreements with each of our named executive officers, which also contain confidentiality provisions.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2E75B4"/>
        </w:rPr>
        <w:t>Retirement Benefits</w:t>
      </w:r>
    </w:p>
    <w:p>
      <w:pPr>
        <w:spacing w:after="0" w:line="205"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The Company does not provide retirement or similar benefits to its NEOs other than our 401(k) program, which is available to all of our qualifying employees, and our non-qualified deferred compensation plan, which allows our executive officers and other highly compensated employees to defer a portion of their eligible compensation above 401(k) plan limits.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2E75B4"/>
        </w:rPr>
        <w:t>Equity Grant Practices</w:t>
      </w:r>
    </w:p>
    <w:p>
      <w:pPr>
        <w:spacing w:after="0" w:line="20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CHC Committee’s typical practice is to grant equity awards to our NEOs during the first quarter of each year. We do not engage in the practice of timing grants with the release of non-public information. In 2023, we did not grant stock options or other stock-based compensation other than performance-based restricted stock described herein.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2E75B4"/>
        </w:rPr>
        <w:t>Taxes</w:t>
      </w:r>
    </w:p>
    <w:p>
      <w:pPr>
        <w:spacing w:after="0" w:line="205"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We do not provide tax gross-ups for perquisites provided to our NEOs or for excise tax applied pursuant to Section 280G of the Internal Revenue Code. None of our NEOs received a tax gross-up for any benefits in 2023.</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color w:val="2E75B4"/>
        </w:rPr>
        <w:t>Stock Ownership Policy</w:t>
      </w:r>
    </w:p>
    <w:p>
      <w:pPr>
        <w:spacing w:after="0" w:line="20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CHC Committee has established a Stock Ownership Policy for Executive Officers for the purpose of requiring executives to hold our common stock with a value equal to a multiple of base salary to strengthen their alignment with the interests of our stockholders and to promote achievement of long-term business objectives.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6820" w:type="dxa"/>
            <w:vAlign w:val="bottom"/>
            <w:gridSpan w:val="2"/>
            <w:shd w:val="clear" w:color="auto" w:fill="002060"/>
          </w:tcPr>
          <w:p>
            <w:pPr>
              <w:spacing w:after="0"/>
              <w:rPr>
                <w:sz w:val="20"/>
                <w:szCs w:val="20"/>
                <w:color w:val="auto"/>
              </w:rPr>
            </w:pPr>
            <w:r>
              <w:rPr>
                <w:rFonts w:ascii="Arial" w:cs="Arial" w:eastAsia="Arial" w:hAnsi="Arial"/>
                <w:sz w:val="18"/>
                <w:szCs w:val="18"/>
                <w:b w:val="1"/>
                <w:bCs w:val="1"/>
                <w:color w:val="FFFFFF"/>
              </w:rPr>
              <w:t> Position</w:t>
            </w:r>
          </w:p>
        </w:tc>
        <w:tc>
          <w:tcPr>
            <w:tcW w:w="4200" w:type="dxa"/>
            <w:vAlign w:val="bottom"/>
            <w:shd w:val="clear" w:color="auto" w:fill="002060"/>
          </w:tcPr>
          <w:p>
            <w:pPr>
              <w:jc w:val="center"/>
              <w:ind w:left="50"/>
              <w:spacing w:after="0"/>
              <w:rPr>
                <w:sz w:val="20"/>
                <w:szCs w:val="20"/>
                <w:color w:val="auto"/>
              </w:rPr>
            </w:pPr>
            <w:r>
              <w:rPr>
                <w:rFonts w:ascii="Arial" w:cs="Arial" w:eastAsia="Arial" w:hAnsi="Arial"/>
                <w:sz w:val="18"/>
                <w:szCs w:val="18"/>
                <w:b w:val="1"/>
                <w:bCs w:val="1"/>
                <w:color w:val="FFFFFF"/>
                <w:w w:val="99"/>
              </w:rPr>
              <w:t>Stock Ownership Level</w:t>
            </w:r>
          </w:p>
        </w:tc>
      </w:tr>
      <w:tr>
        <w:trPr>
          <w:trHeight w:val="279"/>
        </w:trPr>
        <w:tc>
          <w:tcPr>
            <w:tcW w:w="120" w:type="dxa"/>
            <w:vAlign w:val="bottom"/>
            <w:tcBorders>
              <w:bottom w:val="single" w:sz="8" w:color="auto"/>
            </w:tcBorders>
            <w:shd w:val="clear" w:color="auto" w:fill="D5DCE4"/>
          </w:tcPr>
          <w:p>
            <w:pPr>
              <w:spacing w:after="0"/>
              <w:rPr>
                <w:sz w:val="20"/>
                <w:szCs w:val="20"/>
                <w:color w:val="auto"/>
              </w:rPr>
            </w:pPr>
            <w:r>
              <w:rPr>
                <w:rFonts w:ascii="Arial" w:cs="Arial" w:eastAsia="Arial" w:hAnsi="Arial"/>
                <w:sz w:val="13"/>
                <w:szCs w:val="13"/>
                <w:color w:val="auto"/>
                <w:w w:val="76"/>
              </w:rPr>
              <w:t> </w:t>
            </w:r>
          </w:p>
        </w:tc>
        <w:tc>
          <w:tcPr>
            <w:tcW w:w="6700" w:type="dxa"/>
            <w:vAlign w:val="bottom"/>
            <w:tcBorders>
              <w:bottom w:val="single" w:sz="8" w:color="auto"/>
            </w:tcBorders>
            <w:shd w:val="clear" w:color="auto" w:fill="D5DCE4"/>
          </w:tcPr>
          <w:p>
            <w:pPr>
              <w:ind w:left="60"/>
              <w:spacing w:after="0"/>
              <w:rPr>
                <w:sz w:val="20"/>
                <w:szCs w:val="20"/>
                <w:color w:val="auto"/>
              </w:rPr>
            </w:pPr>
            <w:r>
              <w:rPr>
                <w:rFonts w:ascii="Arial" w:cs="Arial" w:eastAsia="Arial" w:hAnsi="Arial"/>
                <w:sz w:val="18"/>
                <w:szCs w:val="18"/>
                <w:color w:val="auto"/>
              </w:rPr>
              <w:t>Chief Executive Officer</w:t>
            </w:r>
          </w:p>
        </w:tc>
        <w:tc>
          <w:tcPr>
            <w:tcW w:w="42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rPr>
              <w:t>5 times base salary</w:t>
            </w:r>
          </w:p>
        </w:tc>
      </w:tr>
      <w:tr>
        <w:trPr>
          <w:trHeight w:val="263"/>
        </w:trPr>
        <w:tc>
          <w:tcPr>
            <w:tcW w:w="120" w:type="dxa"/>
            <w:vAlign w:val="bottom"/>
            <w:tcBorders>
              <w:bottom w:val="single" w:sz="8" w:color="auto"/>
            </w:tcBorders>
            <w:shd w:val="clear" w:color="auto" w:fill="D5DCE4"/>
          </w:tcPr>
          <w:p>
            <w:pPr>
              <w:spacing w:after="0"/>
              <w:rPr>
                <w:sz w:val="20"/>
                <w:szCs w:val="20"/>
                <w:color w:val="auto"/>
              </w:rPr>
            </w:pPr>
            <w:r>
              <w:rPr>
                <w:rFonts w:ascii="Arial" w:cs="Arial" w:eastAsia="Arial" w:hAnsi="Arial"/>
                <w:sz w:val="13"/>
                <w:szCs w:val="13"/>
                <w:color w:val="auto"/>
                <w:w w:val="76"/>
              </w:rPr>
              <w:t> </w:t>
            </w:r>
          </w:p>
        </w:tc>
        <w:tc>
          <w:tcPr>
            <w:tcW w:w="6700" w:type="dxa"/>
            <w:vAlign w:val="bottom"/>
            <w:tcBorders>
              <w:bottom w:val="single" w:sz="8" w:color="auto"/>
            </w:tcBorders>
            <w:shd w:val="clear" w:color="auto" w:fill="D5DCE4"/>
          </w:tcPr>
          <w:p>
            <w:pPr>
              <w:ind w:left="60"/>
              <w:spacing w:after="0"/>
              <w:rPr>
                <w:sz w:val="20"/>
                <w:szCs w:val="20"/>
                <w:color w:val="auto"/>
              </w:rPr>
            </w:pPr>
            <w:r>
              <w:rPr>
                <w:rFonts w:ascii="Arial" w:cs="Arial" w:eastAsia="Arial" w:hAnsi="Arial"/>
                <w:sz w:val="18"/>
                <w:szCs w:val="18"/>
                <w:color w:val="auto"/>
              </w:rPr>
              <w:t>Chief Financial Officer</w:t>
            </w:r>
          </w:p>
        </w:tc>
        <w:tc>
          <w:tcPr>
            <w:tcW w:w="42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rPr>
              <w:t>3 times base salary</w:t>
            </w:r>
          </w:p>
        </w:tc>
      </w:tr>
      <w:tr>
        <w:trPr>
          <w:trHeight w:val="264"/>
        </w:trPr>
        <w:tc>
          <w:tcPr>
            <w:tcW w:w="120" w:type="dxa"/>
            <w:vAlign w:val="bottom"/>
            <w:tcBorders>
              <w:bottom w:val="single" w:sz="8" w:color="auto"/>
            </w:tcBorders>
            <w:shd w:val="clear" w:color="auto" w:fill="D5DCE4"/>
          </w:tcPr>
          <w:p>
            <w:pPr>
              <w:spacing w:after="0"/>
              <w:rPr>
                <w:sz w:val="20"/>
                <w:szCs w:val="20"/>
                <w:color w:val="auto"/>
              </w:rPr>
            </w:pPr>
            <w:r>
              <w:rPr>
                <w:rFonts w:ascii="Arial" w:cs="Arial" w:eastAsia="Arial" w:hAnsi="Arial"/>
                <w:sz w:val="13"/>
                <w:szCs w:val="13"/>
                <w:color w:val="auto"/>
                <w:w w:val="76"/>
              </w:rPr>
              <w:t> </w:t>
            </w:r>
          </w:p>
        </w:tc>
        <w:tc>
          <w:tcPr>
            <w:tcW w:w="6700" w:type="dxa"/>
            <w:vAlign w:val="bottom"/>
            <w:tcBorders>
              <w:bottom w:val="single" w:sz="8" w:color="auto"/>
            </w:tcBorders>
            <w:shd w:val="clear" w:color="auto" w:fill="D5DCE4"/>
          </w:tcPr>
          <w:p>
            <w:pPr>
              <w:ind w:left="60"/>
              <w:spacing w:after="0"/>
              <w:rPr>
                <w:sz w:val="20"/>
                <w:szCs w:val="20"/>
                <w:color w:val="auto"/>
              </w:rPr>
            </w:pPr>
            <w:r>
              <w:rPr>
                <w:rFonts w:ascii="Arial" w:cs="Arial" w:eastAsia="Arial" w:hAnsi="Arial"/>
                <w:sz w:val="18"/>
                <w:szCs w:val="18"/>
                <w:color w:val="auto"/>
              </w:rPr>
              <w:t>Chief Operating Officer</w:t>
            </w:r>
          </w:p>
        </w:tc>
        <w:tc>
          <w:tcPr>
            <w:tcW w:w="42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rPr>
              <w:t>3 times base salary</w:t>
            </w:r>
          </w:p>
        </w:tc>
      </w:tr>
      <w:tr>
        <w:trPr>
          <w:trHeight w:val="263"/>
        </w:trPr>
        <w:tc>
          <w:tcPr>
            <w:tcW w:w="6820" w:type="dxa"/>
            <w:vAlign w:val="bottom"/>
            <w:tcBorders>
              <w:bottom w:val="single" w:sz="8" w:color="auto"/>
            </w:tcBorders>
            <w:gridSpan w:val="2"/>
            <w:shd w:val="clear" w:color="auto" w:fill="D5DCE4"/>
          </w:tcPr>
          <w:p>
            <w:pPr>
              <w:spacing w:after="0"/>
              <w:rPr>
                <w:sz w:val="20"/>
                <w:szCs w:val="20"/>
                <w:color w:val="auto"/>
              </w:rPr>
            </w:pPr>
            <w:r>
              <w:rPr>
                <w:rFonts w:ascii="Arial" w:cs="Arial" w:eastAsia="Arial" w:hAnsi="Arial"/>
                <w:sz w:val="18"/>
                <w:szCs w:val="18"/>
                <w:color w:val="auto"/>
              </w:rPr>
              <w:t>   Chief Accounting Officer and Treasurer</w:t>
            </w:r>
          </w:p>
        </w:tc>
        <w:tc>
          <w:tcPr>
            <w:tcW w:w="42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rPr>
              <w:t>1 times base salary</w:t>
            </w:r>
          </w:p>
        </w:tc>
      </w:tr>
      <w:tr>
        <w:trPr>
          <w:trHeight w:val="263"/>
        </w:trPr>
        <w:tc>
          <w:tcPr>
            <w:tcW w:w="120" w:type="dxa"/>
            <w:vAlign w:val="bottom"/>
            <w:tcBorders>
              <w:bottom w:val="single" w:sz="8" w:color="auto"/>
            </w:tcBorders>
            <w:shd w:val="clear" w:color="auto" w:fill="D5DCE4"/>
          </w:tcPr>
          <w:p>
            <w:pPr>
              <w:spacing w:after="0"/>
              <w:rPr>
                <w:sz w:val="20"/>
                <w:szCs w:val="20"/>
                <w:color w:val="auto"/>
              </w:rPr>
            </w:pPr>
            <w:r>
              <w:rPr>
                <w:rFonts w:ascii="Arial" w:cs="Arial" w:eastAsia="Arial" w:hAnsi="Arial"/>
                <w:sz w:val="13"/>
                <w:szCs w:val="13"/>
                <w:color w:val="auto"/>
                <w:w w:val="76"/>
              </w:rPr>
              <w:t> </w:t>
            </w:r>
          </w:p>
        </w:tc>
        <w:tc>
          <w:tcPr>
            <w:tcW w:w="6700" w:type="dxa"/>
            <w:vAlign w:val="bottom"/>
            <w:tcBorders>
              <w:bottom w:val="single" w:sz="8" w:color="auto"/>
            </w:tcBorders>
            <w:shd w:val="clear" w:color="auto" w:fill="D5DCE4"/>
          </w:tcPr>
          <w:p>
            <w:pPr>
              <w:ind w:left="60"/>
              <w:spacing w:after="0"/>
              <w:rPr>
                <w:sz w:val="20"/>
                <w:szCs w:val="20"/>
                <w:color w:val="auto"/>
              </w:rPr>
            </w:pPr>
            <w:r>
              <w:rPr>
                <w:rFonts w:ascii="Arial" w:cs="Arial" w:eastAsia="Arial" w:hAnsi="Arial"/>
                <w:sz w:val="18"/>
                <w:szCs w:val="18"/>
                <w:color w:val="auto"/>
              </w:rPr>
              <w:t>President, External Affairs</w:t>
            </w:r>
          </w:p>
        </w:tc>
        <w:tc>
          <w:tcPr>
            <w:tcW w:w="42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rPr>
              <w:t>1 times base salary</w:t>
            </w:r>
          </w:p>
        </w:tc>
      </w:tr>
      <w:tr>
        <w:trPr>
          <w:trHeight w:val="275"/>
        </w:trPr>
        <w:tc>
          <w:tcPr>
            <w:tcW w:w="6820" w:type="dxa"/>
            <w:vAlign w:val="bottom"/>
            <w:tcBorders>
              <w:bottom w:val="single" w:sz="8" w:color="0070C0"/>
            </w:tcBorders>
            <w:gridSpan w:val="2"/>
            <w:shd w:val="clear" w:color="auto" w:fill="D5DCE4"/>
          </w:tcPr>
          <w:p>
            <w:pPr>
              <w:spacing w:after="0"/>
              <w:rPr>
                <w:sz w:val="20"/>
                <w:szCs w:val="20"/>
                <w:color w:val="auto"/>
              </w:rPr>
            </w:pPr>
            <w:r>
              <w:rPr>
                <w:rFonts w:ascii="Arial" w:cs="Arial" w:eastAsia="Arial" w:hAnsi="Arial"/>
                <w:sz w:val="18"/>
                <w:szCs w:val="18"/>
                <w:color w:val="auto"/>
              </w:rPr>
              <w:t>   Chief Administrative and Sustainability Officer</w:t>
            </w:r>
          </w:p>
        </w:tc>
        <w:tc>
          <w:tcPr>
            <w:tcW w:w="4200" w:type="dxa"/>
            <w:vAlign w:val="bottom"/>
            <w:tcBorders>
              <w:bottom w:val="single" w:sz="8" w:color="0070C0"/>
            </w:tcBorders>
          </w:tcPr>
          <w:p>
            <w:pPr>
              <w:jc w:val="center"/>
              <w:ind w:left="30"/>
              <w:spacing w:after="0"/>
              <w:rPr>
                <w:sz w:val="20"/>
                <w:szCs w:val="20"/>
                <w:color w:val="auto"/>
              </w:rPr>
            </w:pPr>
            <w:r>
              <w:rPr>
                <w:rFonts w:ascii="Arial" w:cs="Arial" w:eastAsia="Arial" w:hAnsi="Arial"/>
                <w:sz w:val="18"/>
                <w:szCs w:val="18"/>
                <w:color w:val="auto"/>
              </w:rPr>
              <w:t>1 times base salary</w:t>
            </w:r>
          </w:p>
        </w:tc>
      </w:tr>
    </w:tbl>
    <w:p>
      <w:pPr>
        <w:spacing w:after="0" w:line="19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following shares qualify for purposes of the ownership requirement: shares owned by the executive or held jointly with a spouse; shares held in a trust established for the benefit of the executive or his or her family; and shares of unvested restricted stock, excluding performance-based shares for which the performance metric has not been met. If an executive chooses to meet the ownership requirement using unvested shares of common stock issued under the Company’s incentive plan, the stock is valued for purposes of meeting the requirement at the greater of the closing price on the grant date or the closing price on the date on which ownership is measured (the last trading day of the year of measurement), unless the CHC Committee determines that the closing price on the measurement date is not representative. Once an executive has satisfied the ownership requirement, a decrease in share price absent a sale of shares by the executive will not result in noncompliance with the policy. An executive has five years from the date being named as an executive officer, or if later, the date of an increase in the number of shares required to be held (e.g., due to an increase in salary), to meet this requirement. If an executive officer does not meet the ownership requirement at the measurement date, the executive is prohibited from selling any of our common stock, and fifty percent (50%) of his or her annual incentive bonus will be paid in the form of common stock in lieu of cash. All of our executive officers held shares in excess of the requirements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699516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Compensation Discussion and Analysis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61</w:t>
      </w:r>
    </w:p>
    <w:p>
      <w:pPr>
        <w:sectPr>
          <w:pgSz w:w="11900" w:h="16838" w:orient="portrait"/>
          <w:cols w:equalWidth="0" w:num="1">
            <w:col w:w="11020"/>
          </w:cols>
          <w:pgMar w:left="440" w:top="296" w:right="439" w:bottom="1440" w:gutter="0" w:footer="0" w:header="0"/>
        </w:sectPr>
      </w:pPr>
    </w:p>
    <w:bookmarkStart w:id="69" w:name="page70"/>
    <w:bookmarkEnd w:id="69"/>
    <w:p>
      <w:pPr>
        <w:spacing w:after="0"/>
        <w:rPr>
          <w:sz w:val="20"/>
          <w:szCs w:val="20"/>
          <w:color w:val="auto"/>
        </w:rPr>
      </w:pPr>
      <w:r>
        <w:rPr>
          <w:rFonts w:ascii="Arial" w:cs="Arial" w:eastAsia="Arial" w:hAnsi="Arial"/>
          <w:sz w:val="20"/>
          <w:szCs w:val="20"/>
          <w:color w:val="2E75B4"/>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Clawback Policy</w:t>
      </w:r>
    </w:p>
    <w:p>
      <w:pPr>
        <w:spacing w:after="0" w:line="20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The Board of Directors has adopted an incentive compensation recoupment policy, or “clawback” policy, the purpose of which is to deter our executives from taking actions that could potentially harm the Company and our stockholders. The clawback policy is mandatory and applies to all incentive cash and equity compensation paid to any current or former executive officer. Under the policy, if we are required to restate our financial statements due to material noncompliance with financial reporting requirements under applicable securities laws, the Company will recover from each executive officer the amount of any incentive-based compensation paid during the three-year period preceding the restatement in excess of what would have been paid if calculated under the restated financial statements, without regard to taxes paid by the executive officer or the Company. The Company will not indemnify any executive officer against the loss of any incorrectly awarded or otherwise recouped incentive compensation. The Policy overrides any contrary provisions of any employment agreements, compensation plans or arrangements, or award agreements. The CHC Committee may decline to recoup incentive compensation if the committee determines that recovery is impracticable under limited exceptions. A copy of the policy is posted on our website at </w:t>
      </w:r>
      <w:r>
        <w:rPr>
          <w:rFonts w:ascii="Arial" w:cs="Arial" w:eastAsia="Arial" w:hAnsi="Arial"/>
          <w:sz w:val="18"/>
          <w:szCs w:val="18"/>
          <w:i w:val="1"/>
          <w:iCs w:val="1"/>
          <w:u w:val="single" w:color="auto"/>
          <w:color w:val="2E75B4"/>
        </w:rPr>
        <w:t>https://investors.installedbuildingproducts.com/corporate-governance</w:t>
      </w:r>
      <w:r>
        <w:rPr>
          <w:rFonts w:ascii="Arial" w:cs="Arial" w:eastAsia="Arial" w:hAnsi="Arial"/>
          <w:sz w:val="18"/>
          <w:szCs w:val="18"/>
          <w:color w:val="auto"/>
        </w:rPr>
        <w:t>.</w:t>
      </w:r>
    </w:p>
    <w:p>
      <w:pPr>
        <w:spacing w:after="0" w:line="186"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In addition to our mandatory clawback policy, the Board has adopted a discretionary clawback policy. The discretionary policy provides that if the CHC Committee determines that an executive officer has engaged in grossly negligent or intentional misconduct that was a significant contributing factor to an accounting restatement, any significant increase in the value of such executive’s incentive compensation or any substantial financial or reputational harm to the Company, the committee may (i) recover any incentive-based compensation awards paid prior to the date of determination, (ii) cancel any incentive compensation not paid or otherwise settled prior to the date of the determination, and (iii) withhold or eliminate any incentive compensation that could be paid or awarded after the date of determination. The CHC Committee may also dismiss the executive officer, authorize legal action against the executive for breach of fiduciary duty or other violation of law, and take such other action as the committee may deem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194945</wp:posOffset>
            </wp:positionV>
            <wp:extent cx="6643370" cy="20231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64337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240"/>
        <w:spacing w:after="0"/>
        <w:tabs>
          <w:tab w:leader="none" w:pos="7700" w:val="left"/>
        </w:tabs>
        <w:rPr>
          <w:sz w:val="20"/>
          <w:szCs w:val="20"/>
          <w:color w:val="auto"/>
        </w:rPr>
      </w:pPr>
      <w:r>
        <w:rPr>
          <w:rFonts w:ascii="Arial" w:cs="Arial" w:eastAsia="Arial" w:hAnsi="Arial"/>
          <w:sz w:val="18"/>
          <w:szCs w:val="18"/>
          <w:b w:val="1"/>
          <w:bCs w:val="1"/>
          <w:color w:val="0070C0"/>
        </w:rPr>
        <w:t>Commercial</w:t>
      </w:r>
      <w:r>
        <w:rPr>
          <w:sz w:val="20"/>
          <w:szCs w:val="20"/>
          <w:color w:val="auto"/>
        </w:rPr>
        <w:tab/>
      </w:r>
      <w:r>
        <w:rPr>
          <w:rFonts w:ascii="Arial" w:cs="Arial" w:eastAsia="Arial" w:hAnsi="Arial"/>
          <w:sz w:val="18"/>
          <w:szCs w:val="18"/>
          <w:b w:val="1"/>
          <w:bCs w:val="1"/>
          <w:color w:val="0070C0"/>
        </w:rPr>
        <w:t>Garage Doors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699516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0070C0"/>
        </w:rPr>
        <w:t>Compensation Discussion and Analysis</w:t>
      </w:r>
    </w:p>
    <w:p>
      <w:pPr>
        <w:spacing w:after="0" w:line="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0070C0"/>
        </w:rPr>
        <w:t>62</w:t>
      </w:r>
    </w:p>
    <w:p>
      <w:pPr>
        <w:sectPr>
          <w:pgSz w:w="11900" w:h="16838" w:orient="portrait"/>
          <w:cols w:equalWidth="0" w:num="1">
            <w:col w:w="10980"/>
          </w:cols>
          <w:pgMar w:left="440" w:top="293" w:right="479" w:bottom="1440" w:gutter="0" w:footer="0" w:header="0"/>
        </w:sectPr>
      </w:pPr>
    </w:p>
    <w:bookmarkStart w:id="70" w:name="page71"/>
    <w:bookmarkEnd w:id="70"/>
    <w:p>
      <w:pPr>
        <w:ind w:left="2664"/>
        <w:spacing w:after="0"/>
        <w:rPr>
          <w:sz w:val="20"/>
          <w:szCs w:val="20"/>
          <w:color w:val="auto"/>
        </w:rPr>
      </w:pPr>
      <w:r>
        <w:rPr>
          <w:rFonts w:ascii="Times New Roman" w:cs="Times New Roman" w:eastAsia="Times New Roman" w:hAnsi="Times New Roman"/>
          <w:sz w:val="40"/>
          <w:szCs w:val="40"/>
          <w:b w:val="1"/>
          <w:bCs w:val="1"/>
          <w:color w:val="0070C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699516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88"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002060"/>
        </w:rPr>
        <w:t>Summary Compensation Table</w:t>
      </w:r>
    </w:p>
    <w:p>
      <w:pPr>
        <w:spacing w:after="0" w:line="243" w:lineRule="exact"/>
        <w:rPr>
          <w:sz w:val="20"/>
          <w:szCs w:val="20"/>
          <w:color w:val="auto"/>
        </w:rPr>
      </w:pPr>
    </w:p>
    <w:p>
      <w:pPr>
        <w:ind w:left="4" w:right="380"/>
        <w:spacing w:after="0" w:line="271" w:lineRule="auto"/>
        <w:rPr>
          <w:sz w:val="20"/>
          <w:szCs w:val="20"/>
          <w:color w:val="auto"/>
        </w:rPr>
      </w:pPr>
      <w:r>
        <w:rPr>
          <w:rFonts w:ascii="Arial" w:cs="Arial" w:eastAsia="Arial" w:hAnsi="Arial"/>
          <w:sz w:val="18"/>
          <w:szCs w:val="18"/>
          <w:color w:val="auto"/>
        </w:rPr>
        <w:t>The following table contains information regarding the compensation paid to or earned by each of our named executive officers for the three most recently completed fiscal years.</w:t>
      </w:r>
    </w:p>
    <w:p>
      <w:pPr>
        <w:spacing w:after="0" w:line="185"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4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002060"/>
              </w:rPr>
              <w:t>Non-Equity</w:t>
            </w:r>
          </w:p>
        </w:tc>
        <w:tc>
          <w:tcPr>
            <w:tcW w:w="13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4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002060"/>
              </w:rPr>
              <w:t>Stock</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002060"/>
              </w:rPr>
              <w:t>Incentive Plan</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002060"/>
              </w:rPr>
              <w:t>All Other</w:t>
            </w:r>
          </w:p>
        </w:tc>
        <w:tc>
          <w:tcPr>
            <w:tcW w:w="1000" w:type="dxa"/>
            <w:vAlign w:val="bottom"/>
          </w:tcPr>
          <w:p>
            <w:pPr>
              <w:spacing w:after="0"/>
              <w:rPr>
                <w:sz w:val="16"/>
                <w:szCs w:val="16"/>
                <w:color w:val="auto"/>
              </w:rPr>
            </w:pPr>
          </w:p>
        </w:tc>
      </w:tr>
      <w:tr>
        <w:trPr>
          <w:trHeight w:val="189"/>
        </w:trPr>
        <w:tc>
          <w:tcPr>
            <w:tcW w:w="4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jc w:val="right"/>
              <w:ind w:right="151"/>
              <w:spacing w:after="0"/>
              <w:rPr>
                <w:sz w:val="20"/>
                <w:szCs w:val="20"/>
                <w:color w:val="auto"/>
              </w:rPr>
            </w:pPr>
            <w:r>
              <w:rPr>
                <w:rFonts w:ascii="Arial" w:cs="Arial" w:eastAsia="Arial" w:hAnsi="Arial"/>
                <w:sz w:val="16"/>
                <w:szCs w:val="16"/>
                <w:b w:val="1"/>
                <w:bCs w:val="1"/>
                <w:color w:val="002060"/>
              </w:rPr>
              <w:t>Salary</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002060"/>
              </w:rPr>
              <w:t>Awards</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002060"/>
              </w:rPr>
              <w:t>Compensation</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002060"/>
              </w:rPr>
              <w:t>Compensation</w:t>
            </w:r>
          </w:p>
        </w:tc>
        <w:tc>
          <w:tcPr>
            <w:tcW w:w="1000" w:type="dxa"/>
            <w:vAlign w:val="bottom"/>
          </w:tcPr>
          <w:p>
            <w:pPr>
              <w:jc w:val="right"/>
              <w:ind w:right="211"/>
              <w:spacing w:after="0"/>
              <w:rPr>
                <w:sz w:val="20"/>
                <w:szCs w:val="20"/>
                <w:color w:val="auto"/>
              </w:rPr>
            </w:pPr>
            <w:r>
              <w:rPr>
                <w:rFonts w:ascii="Arial" w:cs="Arial" w:eastAsia="Arial" w:hAnsi="Arial"/>
                <w:sz w:val="16"/>
                <w:szCs w:val="16"/>
                <w:b w:val="1"/>
                <w:bCs w:val="1"/>
                <w:color w:val="002060"/>
              </w:rPr>
              <w:t>Total</w:t>
            </w:r>
          </w:p>
        </w:tc>
      </w:tr>
      <w:tr>
        <w:trPr>
          <w:trHeight w:val="224"/>
        </w:trPr>
        <w:tc>
          <w:tcPr>
            <w:tcW w:w="4600" w:type="dxa"/>
            <w:vAlign w:val="bottom"/>
            <w:tcBorders>
              <w:bottom w:val="single" w:sz="8" w:color="0070C0"/>
            </w:tcBorders>
          </w:tcPr>
          <w:p>
            <w:pPr>
              <w:spacing w:after="0"/>
              <w:rPr>
                <w:sz w:val="20"/>
                <w:szCs w:val="20"/>
                <w:color w:val="auto"/>
              </w:rPr>
            </w:pPr>
            <w:r>
              <w:rPr>
                <w:rFonts w:ascii="Arial" w:cs="Arial" w:eastAsia="Arial" w:hAnsi="Arial"/>
                <w:sz w:val="16"/>
                <w:szCs w:val="16"/>
                <w:b w:val="1"/>
                <w:bCs w:val="1"/>
                <w:color w:val="002060"/>
              </w:rPr>
              <w:t>Name and Principal Position</w:t>
            </w:r>
          </w:p>
        </w:tc>
        <w:tc>
          <w:tcPr>
            <w:tcW w:w="740" w:type="dxa"/>
            <w:vAlign w:val="bottom"/>
            <w:tcBorders>
              <w:bottom w:val="single" w:sz="8" w:color="0070C0"/>
            </w:tcBorders>
          </w:tcPr>
          <w:p>
            <w:pPr>
              <w:ind w:left="200"/>
              <w:spacing w:after="0"/>
              <w:rPr>
                <w:sz w:val="20"/>
                <w:szCs w:val="20"/>
                <w:color w:val="auto"/>
              </w:rPr>
            </w:pPr>
            <w:r>
              <w:rPr>
                <w:rFonts w:ascii="Arial" w:cs="Arial" w:eastAsia="Arial" w:hAnsi="Arial"/>
                <w:sz w:val="16"/>
                <w:szCs w:val="16"/>
                <w:b w:val="1"/>
                <w:bCs w:val="1"/>
                <w:color w:val="002060"/>
              </w:rPr>
              <w:t>Year</w:t>
            </w:r>
          </w:p>
        </w:tc>
        <w:tc>
          <w:tcPr>
            <w:tcW w:w="920" w:type="dxa"/>
            <w:vAlign w:val="bottom"/>
            <w:tcBorders>
              <w:bottom w:val="single" w:sz="8" w:color="0070C0"/>
            </w:tcBorders>
          </w:tcPr>
          <w:p>
            <w:pPr>
              <w:jc w:val="right"/>
              <w:ind w:right="311"/>
              <w:spacing w:after="0"/>
              <w:rPr>
                <w:sz w:val="20"/>
                <w:szCs w:val="20"/>
                <w:color w:val="auto"/>
              </w:rPr>
            </w:pPr>
            <w:r>
              <w:rPr>
                <w:rFonts w:ascii="Arial" w:cs="Arial" w:eastAsia="Arial" w:hAnsi="Arial"/>
                <w:sz w:val="16"/>
                <w:szCs w:val="16"/>
                <w:b w:val="1"/>
                <w:bCs w:val="1"/>
                <w:color w:val="002060"/>
              </w:rPr>
              <w:t>($)</w:t>
            </w:r>
          </w:p>
        </w:tc>
        <w:tc>
          <w:tcPr>
            <w:tcW w:w="1040" w:type="dxa"/>
            <w:vAlign w:val="bottom"/>
            <w:tcBorders>
              <w:bottom w:val="single" w:sz="8" w:color="0070C0"/>
            </w:tcBorders>
          </w:tcPr>
          <w:p>
            <w:pPr>
              <w:jc w:val="center"/>
              <w:spacing w:after="0"/>
              <w:rPr>
                <w:sz w:val="20"/>
                <w:szCs w:val="20"/>
                <w:color w:val="auto"/>
              </w:rPr>
            </w:pPr>
            <w:r>
              <w:rPr>
                <w:rFonts w:ascii="Arial" w:cs="Arial" w:eastAsia="Arial" w:hAnsi="Arial"/>
                <w:sz w:val="16"/>
                <w:szCs w:val="16"/>
                <w:b w:val="1"/>
                <w:bCs w:val="1"/>
                <w:color w:val="002060"/>
              </w:rPr>
              <w:t>($)(1)</w:t>
            </w:r>
          </w:p>
        </w:tc>
        <w:tc>
          <w:tcPr>
            <w:tcW w:w="1340" w:type="dxa"/>
            <w:vAlign w:val="bottom"/>
            <w:tcBorders>
              <w:bottom w:val="single" w:sz="8" w:color="0070C0"/>
            </w:tcBorders>
          </w:tcPr>
          <w:p>
            <w:pPr>
              <w:jc w:val="center"/>
              <w:spacing w:after="0"/>
              <w:rPr>
                <w:sz w:val="20"/>
                <w:szCs w:val="20"/>
                <w:color w:val="auto"/>
              </w:rPr>
            </w:pPr>
            <w:r>
              <w:rPr>
                <w:rFonts w:ascii="Arial" w:cs="Arial" w:eastAsia="Arial" w:hAnsi="Arial"/>
                <w:sz w:val="16"/>
                <w:szCs w:val="16"/>
                <w:b w:val="1"/>
                <w:bCs w:val="1"/>
                <w:color w:val="002060"/>
              </w:rPr>
              <w:t>($)(2)</w:t>
            </w:r>
          </w:p>
        </w:tc>
        <w:tc>
          <w:tcPr>
            <w:tcW w:w="1380" w:type="dxa"/>
            <w:vAlign w:val="bottom"/>
            <w:tcBorders>
              <w:bottom w:val="single" w:sz="8" w:color="0070C0"/>
            </w:tcBorders>
          </w:tcPr>
          <w:p>
            <w:pPr>
              <w:jc w:val="center"/>
              <w:spacing w:after="0"/>
              <w:rPr>
                <w:sz w:val="20"/>
                <w:szCs w:val="20"/>
                <w:color w:val="auto"/>
              </w:rPr>
            </w:pPr>
            <w:r>
              <w:rPr>
                <w:rFonts w:ascii="Arial" w:cs="Arial" w:eastAsia="Arial" w:hAnsi="Arial"/>
                <w:sz w:val="16"/>
                <w:szCs w:val="16"/>
                <w:b w:val="1"/>
                <w:bCs w:val="1"/>
                <w:color w:val="002060"/>
                <w:w w:val="97"/>
              </w:rPr>
              <w:t>($)(3)</w:t>
            </w:r>
          </w:p>
        </w:tc>
        <w:tc>
          <w:tcPr>
            <w:tcW w:w="1000" w:type="dxa"/>
            <w:vAlign w:val="bottom"/>
            <w:tcBorders>
              <w:bottom w:val="single" w:sz="8" w:color="0070C0"/>
            </w:tcBorders>
          </w:tcPr>
          <w:p>
            <w:pPr>
              <w:jc w:val="right"/>
              <w:ind w:right="311"/>
              <w:spacing w:after="0"/>
              <w:rPr>
                <w:sz w:val="20"/>
                <w:szCs w:val="20"/>
                <w:color w:val="auto"/>
              </w:rPr>
            </w:pPr>
            <w:r>
              <w:rPr>
                <w:rFonts w:ascii="Arial" w:cs="Arial" w:eastAsia="Arial" w:hAnsi="Arial"/>
                <w:sz w:val="16"/>
                <w:szCs w:val="16"/>
                <w:b w:val="1"/>
                <w:bCs w:val="1"/>
                <w:color w:val="002060"/>
              </w:rPr>
              <w:t>($)</w:t>
            </w:r>
          </w:p>
        </w:tc>
      </w:tr>
      <w:tr>
        <w:trPr>
          <w:trHeight w:val="203"/>
        </w:trPr>
        <w:tc>
          <w:tcPr>
            <w:tcW w:w="4600" w:type="dxa"/>
            <w:vAlign w:val="bottom"/>
            <w:shd w:val="clear" w:color="auto" w:fill="D5DCE4"/>
          </w:tcPr>
          <w:p>
            <w:pPr>
              <w:spacing w:after="0" w:line="183" w:lineRule="exact"/>
              <w:rPr>
                <w:sz w:val="20"/>
                <w:szCs w:val="20"/>
                <w:color w:val="auto"/>
              </w:rPr>
            </w:pPr>
            <w:r>
              <w:rPr>
                <w:rFonts w:ascii="Arial" w:cs="Arial" w:eastAsia="Arial" w:hAnsi="Arial"/>
                <w:sz w:val="18"/>
                <w:szCs w:val="18"/>
                <w:color w:val="auto"/>
              </w:rPr>
              <w:t>  Jeffrey W. Edwards</w:t>
            </w:r>
          </w:p>
        </w:tc>
        <w:tc>
          <w:tcPr>
            <w:tcW w:w="740" w:type="dxa"/>
            <w:vAlign w:val="bottom"/>
          </w:tcPr>
          <w:p>
            <w:pPr>
              <w:ind w:left="200"/>
              <w:spacing w:after="0" w:line="183" w:lineRule="exact"/>
              <w:rPr>
                <w:sz w:val="20"/>
                <w:szCs w:val="20"/>
                <w:color w:val="auto"/>
              </w:rPr>
            </w:pPr>
            <w:r>
              <w:rPr>
                <w:rFonts w:ascii="Arial" w:cs="Arial" w:eastAsia="Arial" w:hAnsi="Arial"/>
                <w:sz w:val="18"/>
                <w:szCs w:val="18"/>
                <w:color w:val="auto"/>
              </w:rPr>
              <w:t>2023</w:t>
            </w:r>
          </w:p>
        </w:tc>
        <w:tc>
          <w:tcPr>
            <w:tcW w:w="920" w:type="dxa"/>
            <w:vAlign w:val="bottom"/>
          </w:tcPr>
          <w:p>
            <w:pPr>
              <w:jc w:val="right"/>
              <w:ind w:right="51"/>
              <w:spacing w:after="0" w:line="183" w:lineRule="exact"/>
              <w:rPr>
                <w:sz w:val="20"/>
                <w:szCs w:val="20"/>
                <w:color w:val="auto"/>
              </w:rPr>
            </w:pPr>
            <w:r>
              <w:rPr>
                <w:rFonts w:ascii="Arial" w:cs="Arial" w:eastAsia="Arial" w:hAnsi="Arial"/>
                <w:sz w:val="18"/>
                <w:szCs w:val="18"/>
                <w:color w:val="auto"/>
              </w:rPr>
              <w:t>829,231</w:t>
            </w:r>
          </w:p>
        </w:tc>
        <w:tc>
          <w:tcPr>
            <w:tcW w:w="1040" w:type="dxa"/>
            <w:vAlign w:val="bottom"/>
          </w:tcPr>
          <w:p>
            <w:pPr>
              <w:jc w:val="right"/>
              <w:ind w:right="12"/>
              <w:spacing w:after="0" w:line="183" w:lineRule="exact"/>
              <w:rPr>
                <w:sz w:val="20"/>
                <w:szCs w:val="20"/>
                <w:color w:val="auto"/>
              </w:rPr>
            </w:pPr>
            <w:r>
              <w:rPr>
                <w:rFonts w:ascii="Arial" w:cs="Arial" w:eastAsia="Arial" w:hAnsi="Arial"/>
                <w:sz w:val="18"/>
                <w:szCs w:val="18"/>
                <w:color w:val="auto"/>
              </w:rPr>
              <w:t>3,837,502</w:t>
            </w:r>
          </w:p>
        </w:tc>
        <w:tc>
          <w:tcPr>
            <w:tcW w:w="1340" w:type="dxa"/>
            <w:vAlign w:val="bottom"/>
          </w:tcPr>
          <w:p>
            <w:pPr>
              <w:jc w:val="right"/>
              <w:ind w:right="32"/>
              <w:spacing w:after="0" w:line="183" w:lineRule="exact"/>
              <w:rPr>
                <w:sz w:val="20"/>
                <w:szCs w:val="20"/>
                <w:color w:val="auto"/>
              </w:rPr>
            </w:pPr>
            <w:r>
              <w:rPr>
                <w:rFonts w:ascii="Arial" w:cs="Arial" w:eastAsia="Arial" w:hAnsi="Arial"/>
                <w:sz w:val="18"/>
                <w:szCs w:val="18"/>
                <w:color w:val="auto"/>
              </w:rPr>
              <w:t>1,225,900</w:t>
            </w:r>
          </w:p>
        </w:tc>
        <w:tc>
          <w:tcPr>
            <w:tcW w:w="1380" w:type="dxa"/>
            <w:vAlign w:val="bottom"/>
          </w:tcPr>
          <w:p>
            <w:pPr>
              <w:jc w:val="right"/>
              <w:ind w:right="52"/>
              <w:spacing w:after="0" w:line="183" w:lineRule="exact"/>
              <w:rPr>
                <w:sz w:val="20"/>
                <w:szCs w:val="20"/>
                <w:color w:val="auto"/>
              </w:rPr>
            </w:pPr>
            <w:r>
              <w:rPr>
                <w:rFonts w:ascii="Arial" w:cs="Arial" w:eastAsia="Arial" w:hAnsi="Arial"/>
                <w:sz w:val="18"/>
                <w:szCs w:val="18"/>
                <w:color w:val="auto"/>
              </w:rPr>
              <w:t>39,541</w:t>
            </w:r>
          </w:p>
        </w:tc>
        <w:tc>
          <w:tcPr>
            <w:tcW w:w="1000" w:type="dxa"/>
            <w:vAlign w:val="bottom"/>
          </w:tcPr>
          <w:p>
            <w:pPr>
              <w:jc w:val="right"/>
              <w:spacing w:after="0" w:line="183" w:lineRule="exact"/>
              <w:rPr>
                <w:sz w:val="20"/>
                <w:szCs w:val="20"/>
                <w:color w:val="auto"/>
              </w:rPr>
            </w:pPr>
            <w:r>
              <w:rPr>
                <w:rFonts w:ascii="Arial" w:cs="Arial" w:eastAsia="Arial" w:hAnsi="Arial"/>
                <w:sz w:val="18"/>
                <w:szCs w:val="18"/>
                <w:color w:val="auto"/>
              </w:rPr>
              <w:t>5,932,174</w:t>
            </w:r>
          </w:p>
        </w:tc>
      </w:tr>
      <w:tr>
        <w:trPr>
          <w:trHeight w:val="184"/>
        </w:trPr>
        <w:tc>
          <w:tcPr>
            <w:tcW w:w="4600" w:type="dxa"/>
            <w:vAlign w:val="bottom"/>
          </w:tcPr>
          <w:p>
            <w:pPr>
              <w:spacing w:after="0" w:line="183" w:lineRule="exact"/>
              <w:rPr>
                <w:sz w:val="20"/>
                <w:szCs w:val="20"/>
                <w:color w:val="auto"/>
              </w:rPr>
            </w:pPr>
            <w:r>
              <w:rPr>
                <w:rFonts w:ascii="Arial" w:cs="Arial" w:eastAsia="Arial" w:hAnsi="Arial"/>
                <w:sz w:val="18"/>
                <w:szCs w:val="18"/>
                <w:color w:val="auto"/>
              </w:rPr>
              <w:t>  President, Chief Executive Officer and Chairman</w:t>
            </w:r>
          </w:p>
        </w:tc>
        <w:tc>
          <w:tcPr>
            <w:tcW w:w="740" w:type="dxa"/>
            <w:vAlign w:val="bottom"/>
          </w:tcPr>
          <w:p>
            <w:pPr>
              <w:ind w:left="200"/>
              <w:spacing w:after="0" w:line="183" w:lineRule="exact"/>
              <w:rPr>
                <w:sz w:val="20"/>
                <w:szCs w:val="20"/>
                <w:color w:val="auto"/>
              </w:rPr>
            </w:pPr>
            <w:r>
              <w:rPr>
                <w:rFonts w:ascii="Arial" w:cs="Arial" w:eastAsia="Arial" w:hAnsi="Arial"/>
                <w:sz w:val="18"/>
                <w:szCs w:val="18"/>
                <w:color w:val="auto"/>
              </w:rPr>
              <w:t>2022</w:t>
            </w:r>
          </w:p>
        </w:tc>
        <w:tc>
          <w:tcPr>
            <w:tcW w:w="920" w:type="dxa"/>
            <w:vAlign w:val="bottom"/>
          </w:tcPr>
          <w:p>
            <w:pPr>
              <w:jc w:val="right"/>
              <w:ind w:right="51"/>
              <w:spacing w:after="0" w:line="183" w:lineRule="exact"/>
              <w:rPr>
                <w:sz w:val="20"/>
                <w:szCs w:val="20"/>
                <w:color w:val="auto"/>
              </w:rPr>
            </w:pPr>
            <w:r>
              <w:rPr>
                <w:rFonts w:ascii="Arial" w:cs="Arial" w:eastAsia="Arial" w:hAnsi="Arial"/>
                <w:sz w:val="18"/>
                <w:szCs w:val="18"/>
                <w:color w:val="auto"/>
              </w:rPr>
              <w:t>786,731</w:t>
            </w:r>
          </w:p>
        </w:tc>
        <w:tc>
          <w:tcPr>
            <w:tcW w:w="1040" w:type="dxa"/>
            <w:vAlign w:val="bottom"/>
          </w:tcPr>
          <w:p>
            <w:pPr>
              <w:jc w:val="right"/>
              <w:ind w:right="12"/>
              <w:spacing w:after="0" w:line="183" w:lineRule="exact"/>
              <w:rPr>
                <w:sz w:val="20"/>
                <w:szCs w:val="20"/>
                <w:color w:val="auto"/>
              </w:rPr>
            </w:pPr>
            <w:r>
              <w:rPr>
                <w:rFonts w:ascii="Arial" w:cs="Arial" w:eastAsia="Arial" w:hAnsi="Arial"/>
                <w:sz w:val="18"/>
                <w:szCs w:val="18"/>
                <w:color w:val="auto"/>
              </w:rPr>
              <w:t>3,377,950</w:t>
            </w:r>
          </w:p>
        </w:tc>
        <w:tc>
          <w:tcPr>
            <w:tcW w:w="1340" w:type="dxa"/>
            <w:vAlign w:val="bottom"/>
          </w:tcPr>
          <w:p>
            <w:pPr>
              <w:jc w:val="right"/>
              <w:ind w:right="32"/>
              <w:spacing w:after="0" w:line="183" w:lineRule="exact"/>
              <w:rPr>
                <w:sz w:val="20"/>
                <w:szCs w:val="20"/>
                <w:color w:val="auto"/>
              </w:rPr>
            </w:pPr>
            <w:r>
              <w:rPr>
                <w:rFonts w:ascii="Arial" w:cs="Arial" w:eastAsia="Arial" w:hAnsi="Arial"/>
                <w:sz w:val="18"/>
                <w:szCs w:val="18"/>
                <w:color w:val="auto"/>
              </w:rPr>
              <w:t>1,126,000</w:t>
            </w:r>
          </w:p>
        </w:tc>
        <w:tc>
          <w:tcPr>
            <w:tcW w:w="1380" w:type="dxa"/>
            <w:vAlign w:val="bottom"/>
          </w:tcPr>
          <w:p>
            <w:pPr>
              <w:jc w:val="right"/>
              <w:ind w:right="52"/>
              <w:spacing w:after="0" w:line="183" w:lineRule="exact"/>
              <w:rPr>
                <w:sz w:val="20"/>
                <w:szCs w:val="20"/>
                <w:color w:val="auto"/>
              </w:rPr>
            </w:pPr>
            <w:r>
              <w:rPr>
                <w:rFonts w:ascii="Arial" w:cs="Arial" w:eastAsia="Arial" w:hAnsi="Arial"/>
                <w:sz w:val="18"/>
                <w:szCs w:val="18"/>
                <w:color w:val="auto"/>
              </w:rPr>
              <w:t>40,353</w:t>
            </w:r>
          </w:p>
        </w:tc>
        <w:tc>
          <w:tcPr>
            <w:tcW w:w="1000" w:type="dxa"/>
            <w:vAlign w:val="bottom"/>
          </w:tcPr>
          <w:p>
            <w:pPr>
              <w:jc w:val="right"/>
              <w:spacing w:after="0" w:line="183" w:lineRule="exact"/>
              <w:rPr>
                <w:sz w:val="20"/>
                <w:szCs w:val="20"/>
                <w:color w:val="auto"/>
              </w:rPr>
            </w:pPr>
            <w:r>
              <w:rPr>
                <w:rFonts w:ascii="Arial" w:cs="Arial" w:eastAsia="Arial" w:hAnsi="Arial"/>
                <w:sz w:val="18"/>
                <w:szCs w:val="18"/>
                <w:color w:val="auto"/>
              </w:rPr>
              <w:t>5,331,034</w:t>
            </w:r>
          </w:p>
        </w:tc>
      </w:tr>
      <w:tr>
        <w:trPr>
          <w:trHeight w:val="221"/>
        </w:trPr>
        <w:tc>
          <w:tcPr>
            <w:tcW w:w="46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2021</w:t>
            </w: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741,692</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2,703,051</w:t>
            </w: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878,514</w:t>
            </w:r>
          </w:p>
        </w:tc>
        <w:tc>
          <w:tcPr>
            <w:tcW w:w="13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28,020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4,351,277</w:t>
            </w:r>
          </w:p>
        </w:tc>
      </w:tr>
      <w:tr>
        <w:trPr>
          <w:trHeight w:val="196"/>
        </w:trPr>
        <w:tc>
          <w:tcPr>
            <w:tcW w:w="4600" w:type="dxa"/>
            <w:vAlign w:val="bottom"/>
            <w:shd w:val="clear" w:color="auto" w:fill="D5DCE4"/>
          </w:tcPr>
          <w:p>
            <w:pPr>
              <w:spacing w:after="0" w:line="183" w:lineRule="exact"/>
              <w:rPr>
                <w:sz w:val="20"/>
                <w:szCs w:val="20"/>
                <w:color w:val="auto"/>
              </w:rPr>
            </w:pPr>
            <w:r>
              <w:rPr>
                <w:rFonts w:ascii="Arial" w:cs="Arial" w:eastAsia="Arial" w:hAnsi="Arial"/>
                <w:sz w:val="18"/>
                <w:szCs w:val="18"/>
                <w:color w:val="auto"/>
              </w:rPr>
              <w:t>  Michael T. Miller</w:t>
            </w:r>
          </w:p>
        </w:tc>
        <w:tc>
          <w:tcPr>
            <w:tcW w:w="740" w:type="dxa"/>
            <w:vAlign w:val="bottom"/>
          </w:tcPr>
          <w:p>
            <w:pPr>
              <w:ind w:left="200"/>
              <w:spacing w:after="0" w:line="183" w:lineRule="exact"/>
              <w:rPr>
                <w:sz w:val="20"/>
                <w:szCs w:val="20"/>
                <w:color w:val="auto"/>
              </w:rPr>
            </w:pPr>
            <w:r>
              <w:rPr>
                <w:rFonts w:ascii="Arial" w:cs="Arial" w:eastAsia="Arial" w:hAnsi="Arial"/>
                <w:sz w:val="18"/>
                <w:szCs w:val="18"/>
                <w:color w:val="auto"/>
              </w:rPr>
              <w:t>2023</w:t>
            </w:r>
          </w:p>
        </w:tc>
        <w:tc>
          <w:tcPr>
            <w:tcW w:w="920" w:type="dxa"/>
            <w:vAlign w:val="bottom"/>
          </w:tcPr>
          <w:p>
            <w:pPr>
              <w:jc w:val="right"/>
              <w:ind w:right="51"/>
              <w:spacing w:after="0" w:line="183" w:lineRule="exact"/>
              <w:rPr>
                <w:sz w:val="20"/>
                <w:szCs w:val="20"/>
                <w:color w:val="auto"/>
              </w:rPr>
            </w:pPr>
            <w:r>
              <w:rPr>
                <w:rFonts w:ascii="Arial" w:cs="Arial" w:eastAsia="Arial" w:hAnsi="Arial"/>
                <w:sz w:val="18"/>
                <w:szCs w:val="18"/>
                <w:color w:val="auto"/>
              </w:rPr>
              <w:t>439,615</w:t>
            </w:r>
          </w:p>
        </w:tc>
        <w:tc>
          <w:tcPr>
            <w:tcW w:w="1040" w:type="dxa"/>
            <w:vAlign w:val="bottom"/>
          </w:tcPr>
          <w:p>
            <w:pPr>
              <w:jc w:val="right"/>
              <w:ind w:right="12"/>
              <w:spacing w:after="0" w:line="183" w:lineRule="exact"/>
              <w:rPr>
                <w:sz w:val="20"/>
                <w:szCs w:val="20"/>
                <w:color w:val="auto"/>
              </w:rPr>
            </w:pPr>
            <w:r>
              <w:rPr>
                <w:rFonts w:ascii="Arial" w:cs="Arial" w:eastAsia="Arial" w:hAnsi="Arial"/>
                <w:sz w:val="18"/>
                <w:szCs w:val="18"/>
                <w:color w:val="auto"/>
              </w:rPr>
              <w:t>1,236,500</w:t>
            </w:r>
          </w:p>
        </w:tc>
        <w:tc>
          <w:tcPr>
            <w:tcW w:w="1340" w:type="dxa"/>
            <w:vAlign w:val="bottom"/>
          </w:tcPr>
          <w:p>
            <w:pPr>
              <w:jc w:val="right"/>
              <w:ind w:right="32"/>
              <w:spacing w:after="0" w:line="183" w:lineRule="exact"/>
              <w:rPr>
                <w:sz w:val="20"/>
                <w:szCs w:val="20"/>
                <w:color w:val="auto"/>
              </w:rPr>
            </w:pPr>
            <w:r>
              <w:rPr>
                <w:rFonts w:ascii="Arial" w:cs="Arial" w:eastAsia="Arial" w:hAnsi="Arial"/>
                <w:sz w:val="18"/>
                <w:szCs w:val="18"/>
                <w:color w:val="auto"/>
              </w:rPr>
              <w:t>458,380</w:t>
            </w:r>
          </w:p>
        </w:tc>
        <w:tc>
          <w:tcPr>
            <w:tcW w:w="1380" w:type="dxa"/>
            <w:vAlign w:val="bottom"/>
          </w:tcPr>
          <w:p>
            <w:pPr>
              <w:jc w:val="right"/>
              <w:ind w:right="52"/>
              <w:spacing w:after="0" w:line="183" w:lineRule="exact"/>
              <w:rPr>
                <w:sz w:val="20"/>
                <w:szCs w:val="20"/>
                <w:color w:val="auto"/>
              </w:rPr>
            </w:pPr>
            <w:r>
              <w:rPr>
                <w:rFonts w:ascii="Arial" w:cs="Arial" w:eastAsia="Arial" w:hAnsi="Arial"/>
                <w:sz w:val="18"/>
                <w:szCs w:val="18"/>
                <w:color w:val="auto"/>
              </w:rPr>
              <w:t>22,940</w:t>
            </w:r>
          </w:p>
        </w:tc>
        <w:tc>
          <w:tcPr>
            <w:tcW w:w="1000" w:type="dxa"/>
            <w:vAlign w:val="bottom"/>
          </w:tcPr>
          <w:p>
            <w:pPr>
              <w:jc w:val="right"/>
              <w:spacing w:after="0" w:line="183" w:lineRule="exact"/>
              <w:rPr>
                <w:sz w:val="20"/>
                <w:szCs w:val="20"/>
                <w:color w:val="auto"/>
              </w:rPr>
            </w:pPr>
            <w:r>
              <w:rPr>
                <w:rFonts w:ascii="Arial" w:cs="Arial" w:eastAsia="Arial" w:hAnsi="Arial"/>
                <w:sz w:val="18"/>
                <w:szCs w:val="18"/>
                <w:color w:val="auto"/>
              </w:rPr>
              <w:t>2,157,436</w:t>
            </w:r>
          </w:p>
        </w:tc>
      </w:tr>
      <w:tr>
        <w:trPr>
          <w:trHeight w:val="184"/>
        </w:trPr>
        <w:tc>
          <w:tcPr>
            <w:tcW w:w="4600" w:type="dxa"/>
            <w:vAlign w:val="bottom"/>
          </w:tcPr>
          <w:p>
            <w:pPr>
              <w:spacing w:after="0" w:line="183" w:lineRule="exact"/>
              <w:rPr>
                <w:sz w:val="20"/>
                <w:szCs w:val="20"/>
                <w:color w:val="auto"/>
              </w:rPr>
            </w:pPr>
            <w:r>
              <w:rPr>
                <w:rFonts w:ascii="Arial" w:cs="Arial" w:eastAsia="Arial" w:hAnsi="Arial"/>
                <w:sz w:val="18"/>
                <w:szCs w:val="18"/>
                <w:color w:val="auto"/>
              </w:rPr>
              <w:t>  Executive Vice President and Chief Financial Officer</w:t>
            </w:r>
          </w:p>
        </w:tc>
        <w:tc>
          <w:tcPr>
            <w:tcW w:w="740" w:type="dxa"/>
            <w:vAlign w:val="bottom"/>
          </w:tcPr>
          <w:p>
            <w:pPr>
              <w:ind w:left="200"/>
              <w:spacing w:after="0" w:line="183" w:lineRule="exact"/>
              <w:rPr>
                <w:sz w:val="20"/>
                <w:szCs w:val="20"/>
                <w:color w:val="auto"/>
              </w:rPr>
            </w:pPr>
            <w:r>
              <w:rPr>
                <w:rFonts w:ascii="Arial" w:cs="Arial" w:eastAsia="Arial" w:hAnsi="Arial"/>
                <w:sz w:val="18"/>
                <w:szCs w:val="18"/>
                <w:color w:val="auto"/>
              </w:rPr>
              <w:t>2022</w:t>
            </w:r>
          </w:p>
        </w:tc>
        <w:tc>
          <w:tcPr>
            <w:tcW w:w="920" w:type="dxa"/>
            <w:vAlign w:val="bottom"/>
          </w:tcPr>
          <w:p>
            <w:pPr>
              <w:jc w:val="right"/>
              <w:ind w:right="51"/>
              <w:spacing w:after="0" w:line="183" w:lineRule="exact"/>
              <w:rPr>
                <w:sz w:val="20"/>
                <w:szCs w:val="20"/>
                <w:color w:val="auto"/>
              </w:rPr>
            </w:pPr>
            <w:r>
              <w:rPr>
                <w:rFonts w:ascii="Arial" w:cs="Arial" w:eastAsia="Arial" w:hAnsi="Arial"/>
                <w:sz w:val="18"/>
                <w:szCs w:val="18"/>
                <w:color w:val="auto"/>
              </w:rPr>
              <w:t>411,731</w:t>
            </w:r>
          </w:p>
        </w:tc>
        <w:tc>
          <w:tcPr>
            <w:tcW w:w="1040" w:type="dxa"/>
            <w:vAlign w:val="bottom"/>
          </w:tcPr>
          <w:p>
            <w:pPr>
              <w:jc w:val="right"/>
              <w:ind w:right="12"/>
              <w:spacing w:after="0" w:line="183" w:lineRule="exact"/>
              <w:rPr>
                <w:sz w:val="20"/>
                <w:szCs w:val="20"/>
                <w:color w:val="auto"/>
              </w:rPr>
            </w:pPr>
            <w:r>
              <w:rPr>
                <w:rFonts w:ascii="Arial" w:cs="Arial" w:eastAsia="Arial" w:hAnsi="Arial"/>
                <w:sz w:val="18"/>
                <w:szCs w:val="18"/>
                <w:color w:val="auto"/>
              </w:rPr>
              <w:t>1,086,542</w:t>
            </w:r>
          </w:p>
        </w:tc>
        <w:tc>
          <w:tcPr>
            <w:tcW w:w="1340" w:type="dxa"/>
            <w:vAlign w:val="bottom"/>
          </w:tcPr>
          <w:p>
            <w:pPr>
              <w:jc w:val="right"/>
              <w:ind w:right="32"/>
              <w:spacing w:after="0" w:line="183" w:lineRule="exact"/>
              <w:rPr>
                <w:sz w:val="20"/>
                <w:szCs w:val="20"/>
                <w:color w:val="auto"/>
              </w:rPr>
            </w:pPr>
            <w:r>
              <w:rPr>
                <w:rFonts w:ascii="Arial" w:cs="Arial" w:eastAsia="Arial" w:hAnsi="Arial"/>
                <w:sz w:val="18"/>
                <w:szCs w:val="18"/>
                <w:color w:val="auto"/>
              </w:rPr>
              <w:t>427,880</w:t>
            </w:r>
          </w:p>
        </w:tc>
        <w:tc>
          <w:tcPr>
            <w:tcW w:w="1380" w:type="dxa"/>
            <w:vAlign w:val="bottom"/>
          </w:tcPr>
          <w:p>
            <w:pPr>
              <w:jc w:val="right"/>
              <w:ind w:right="52"/>
              <w:spacing w:after="0" w:line="183" w:lineRule="exact"/>
              <w:rPr>
                <w:sz w:val="20"/>
                <w:szCs w:val="20"/>
                <w:color w:val="auto"/>
              </w:rPr>
            </w:pPr>
            <w:r>
              <w:rPr>
                <w:rFonts w:ascii="Arial" w:cs="Arial" w:eastAsia="Arial" w:hAnsi="Arial"/>
                <w:sz w:val="18"/>
                <w:szCs w:val="18"/>
                <w:color w:val="auto"/>
              </w:rPr>
              <w:t>23,111</w:t>
            </w:r>
          </w:p>
        </w:tc>
        <w:tc>
          <w:tcPr>
            <w:tcW w:w="1000" w:type="dxa"/>
            <w:vAlign w:val="bottom"/>
          </w:tcPr>
          <w:p>
            <w:pPr>
              <w:jc w:val="right"/>
              <w:spacing w:after="0" w:line="183" w:lineRule="exact"/>
              <w:rPr>
                <w:sz w:val="20"/>
                <w:szCs w:val="20"/>
                <w:color w:val="auto"/>
              </w:rPr>
            </w:pPr>
            <w:r>
              <w:rPr>
                <w:rFonts w:ascii="Arial" w:cs="Arial" w:eastAsia="Arial" w:hAnsi="Arial"/>
                <w:sz w:val="18"/>
                <w:szCs w:val="18"/>
                <w:color w:val="auto"/>
              </w:rPr>
              <w:t>1,949,264</w:t>
            </w:r>
          </w:p>
        </w:tc>
      </w:tr>
      <w:tr>
        <w:trPr>
          <w:trHeight w:val="221"/>
        </w:trPr>
        <w:tc>
          <w:tcPr>
            <w:tcW w:w="46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2021</w:t>
            </w: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370,500</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931,559</w:t>
            </w: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342,717</w:t>
            </w:r>
          </w:p>
        </w:tc>
        <w:tc>
          <w:tcPr>
            <w:tcW w:w="13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22,693</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1,667,470</w:t>
            </w:r>
          </w:p>
        </w:tc>
      </w:tr>
      <w:tr>
        <w:trPr>
          <w:trHeight w:val="196"/>
        </w:trPr>
        <w:tc>
          <w:tcPr>
            <w:tcW w:w="4600" w:type="dxa"/>
            <w:vAlign w:val="bottom"/>
            <w:shd w:val="clear" w:color="auto" w:fill="D5DCE4"/>
          </w:tcPr>
          <w:p>
            <w:pPr>
              <w:spacing w:after="0" w:line="183" w:lineRule="exact"/>
              <w:rPr>
                <w:sz w:val="20"/>
                <w:szCs w:val="20"/>
                <w:color w:val="auto"/>
              </w:rPr>
            </w:pPr>
            <w:r>
              <w:rPr>
                <w:rFonts w:ascii="Arial" w:cs="Arial" w:eastAsia="Arial" w:hAnsi="Arial"/>
                <w:sz w:val="18"/>
                <w:szCs w:val="18"/>
                <w:color w:val="auto"/>
              </w:rPr>
              <w:t>  Jay P. Elliott</w:t>
            </w:r>
          </w:p>
        </w:tc>
        <w:tc>
          <w:tcPr>
            <w:tcW w:w="740" w:type="dxa"/>
            <w:vAlign w:val="bottom"/>
          </w:tcPr>
          <w:p>
            <w:pPr>
              <w:ind w:left="200"/>
              <w:spacing w:after="0" w:line="183" w:lineRule="exact"/>
              <w:rPr>
                <w:sz w:val="20"/>
                <w:szCs w:val="20"/>
                <w:color w:val="auto"/>
              </w:rPr>
            </w:pPr>
            <w:r>
              <w:rPr>
                <w:rFonts w:ascii="Arial" w:cs="Arial" w:eastAsia="Arial" w:hAnsi="Arial"/>
                <w:sz w:val="18"/>
                <w:szCs w:val="18"/>
                <w:color w:val="auto"/>
              </w:rPr>
              <w:t>2023</w:t>
            </w:r>
          </w:p>
        </w:tc>
        <w:tc>
          <w:tcPr>
            <w:tcW w:w="920" w:type="dxa"/>
            <w:vAlign w:val="bottom"/>
          </w:tcPr>
          <w:p>
            <w:pPr>
              <w:jc w:val="right"/>
              <w:ind w:right="51"/>
              <w:spacing w:after="0" w:line="183" w:lineRule="exact"/>
              <w:rPr>
                <w:sz w:val="20"/>
                <w:szCs w:val="20"/>
                <w:color w:val="auto"/>
              </w:rPr>
            </w:pPr>
            <w:r>
              <w:rPr>
                <w:rFonts w:ascii="Arial" w:cs="Arial" w:eastAsia="Arial" w:hAnsi="Arial"/>
                <w:sz w:val="18"/>
                <w:szCs w:val="18"/>
                <w:color w:val="auto"/>
              </w:rPr>
              <w:t>478,808</w:t>
            </w:r>
          </w:p>
        </w:tc>
        <w:tc>
          <w:tcPr>
            <w:tcW w:w="1040" w:type="dxa"/>
            <w:vAlign w:val="bottom"/>
          </w:tcPr>
          <w:p>
            <w:pPr>
              <w:jc w:val="right"/>
              <w:ind w:right="12"/>
              <w:spacing w:after="0" w:line="183" w:lineRule="exact"/>
              <w:rPr>
                <w:sz w:val="20"/>
                <w:szCs w:val="20"/>
                <w:color w:val="auto"/>
              </w:rPr>
            </w:pPr>
            <w:r>
              <w:rPr>
                <w:rFonts w:ascii="Arial" w:cs="Arial" w:eastAsia="Arial" w:hAnsi="Arial"/>
                <w:sz w:val="18"/>
                <w:szCs w:val="18"/>
                <w:color w:val="auto"/>
              </w:rPr>
              <w:t>1,279,089</w:t>
            </w:r>
          </w:p>
        </w:tc>
        <w:tc>
          <w:tcPr>
            <w:tcW w:w="1340" w:type="dxa"/>
            <w:vAlign w:val="bottom"/>
          </w:tcPr>
          <w:p>
            <w:pPr>
              <w:jc w:val="right"/>
              <w:ind w:right="32"/>
              <w:spacing w:after="0" w:line="183" w:lineRule="exact"/>
              <w:rPr>
                <w:sz w:val="20"/>
                <w:szCs w:val="20"/>
                <w:color w:val="auto"/>
              </w:rPr>
            </w:pPr>
            <w:r>
              <w:rPr>
                <w:rFonts w:ascii="Arial" w:cs="Arial" w:eastAsia="Arial" w:hAnsi="Arial"/>
                <w:sz w:val="18"/>
                <w:szCs w:val="18"/>
                <w:color w:val="auto"/>
              </w:rPr>
              <w:t>346,450</w:t>
            </w:r>
          </w:p>
        </w:tc>
        <w:tc>
          <w:tcPr>
            <w:tcW w:w="1380" w:type="dxa"/>
            <w:vAlign w:val="bottom"/>
          </w:tcPr>
          <w:p>
            <w:pPr>
              <w:jc w:val="right"/>
              <w:ind w:right="52"/>
              <w:spacing w:after="0" w:line="183" w:lineRule="exact"/>
              <w:rPr>
                <w:sz w:val="20"/>
                <w:szCs w:val="20"/>
                <w:color w:val="auto"/>
              </w:rPr>
            </w:pPr>
            <w:r>
              <w:rPr>
                <w:rFonts w:ascii="Arial" w:cs="Arial" w:eastAsia="Arial" w:hAnsi="Arial"/>
                <w:sz w:val="18"/>
                <w:szCs w:val="18"/>
                <w:color w:val="auto"/>
              </w:rPr>
              <w:t>24,256</w:t>
            </w:r>
          </w:p>
        </w:tc>
        <w:tc>
          <w:tcPr>
            <w:tcW w:w="1000" w:type="dxa"/>
            <w:vAlign w:val="bottom"/>
          </w:tcPr>
          <w:p>
            <w:pPr>
              <w:jc w:val="right"/>
              <w:spacing w:after="0" w:line="183" w:lineRule="exact"/>
              <w:rPr>
                <w:sz w:val="20"/>
                <w:szCs w:val="20"/>
                <w:color w:val="auto"/>
              </w:rPr>
            </w:pPr>
            <w:r>
              <w:rPr>
                <w:rFonts w:ascii="Arial" w:cs="Arial" w:eastAsia="Arial" w:hAnsi="Arial"/>
                <w:sz w:val="18"/>
                <w:szCs w:val="18"/>
                <w:color w:val="auto"/>
              </w:rPr>
              <w:t>2,128,604</w:t>
            </w:r>
          </w:p>
        </w:tc>
      </w:tr>
      <w:tr>
        <w:trPr>
          <w:trHeight w:val="184"/>
        </w:trPr>
        <w:tc>
          <w:tcPr>
            <w:tcW w:w="4600" w:type="dxa"/>
            <w:vAlign w:val="bottom"/>
          </w:tcPr>
          <w:p>
            <w:pPr>
              <w:spacing w:after="0" w:line="183" w:lineRule="exact"/>
              <w:rPr>
                <w:sz w:val="20"/>
                <w:szCs w:val="20"/>
                <w:color w:val="auto"/>
              </w:rPr>
            </w:pPr>
            <w:r>
              <w:rPr>
                <w:rFonts w:ascii="Arial" w:cs="Arial" w:eastAsia="Arial" w:hAnsi="Arial"/>
                <w:sz w:val="18"/>
                <w:szCs w:val="18"/>
                <w:color w:val="auto"/>
              </w:rPr>
              <w:t>  Chief Operating Officer</w:t>
            </w:r>
          </w:p>
        </w:tc>
        <w:tc>
          <w:tcPr>
            <w:tcW w:w="740" w:type="dxa"/>
            <w:vAlign w:val="bottom"/>
          </w:tcPr>
          <w:p>
            <w:pPr>
              <w:ind w:left="200"/>
              <w:spacing w:after="0" w:line="183" w:lineRule="exact"/>
              <w:rPr>
                <w:sz w:val="20"/>
                <w:szCs w:val="20"/>
                <w:color w:val="auto"/>
              </w:rPr>
            </w:pPr>
            <w:r>
              <w:rPr>
                <w:rFonts w:ascii="Arial" w:cs="Arial" w:eastAsia="Arial" w:hAnsi="Arial"/>
                <w:sz w:val="18"/>
                <w:szCs w:val="18"/>
                <w:color w:val="auto"/>
              </w:rPr>
              <w:t>2022</w:t>
            </w:r>
          </w:p>
        </w:tc>
        <w:tc>
          <w:tcPr>
            <w:tcW w:w="920" w:type="dxa"/>
            <w:vAlign w:val="bottom"/>
          </w:tcPr>
          <w:p>
            <w:pPr>
              <w:jc w:val="right"/>
              <w:ind w:right="51"/>
              <w:spacing w:after="0" w:line="183" w:lineRule="exact"/>
              <w:rPr>
                <w:sz w:val="20"/>
                <w:szCs w:val="20"/>
                <w:color w:val="auto"/>
              </w:rPr>
            </w:pPr>
            <w:r>
              <w:rPr>
                <w:rFonts w:ascii="Arial" w:cs="Arial" w:eastAsia="Arial" w:hAnsi="Arial"/>
                <w:sz w:val="18"/>
                <w:szCs w:val="18"/>
                <w:color w:val="auto"/>
              </w:rPr>
              <w:t>456,162</w:t>
            </w:r>
          </w:p>
        </w:tc>
        <w:tc>
          <w:tcPr>
            <w:tcW w:w="1040" w:type="dxa"/>
            <w:vAlign w:val="bottom"/>
          </w:tcPr>
          <w:p>
            <w:pPr>
              <w:jc w:val="right"/>
              <w:ind w:right="12"/>
              <w:spacing w:after="0" w:line="183" w:lineRule="exact"/>
              <w:rPr>
                <w:sz w:val="20"/>
                <w:szCs w:val="20"/>
                <w:color w:val="auto"/>
              </w:rPr>
            </w:pPr>
            <w:r>
              <w:rPr>
                <w:rFonts w:ascii="Arial" w:cs="Arial" w:eastAsia="Arial" w:hAnsi="Arial"/>
                <w:sz w:val="18"/>
                <w:szCs w:val="18"/>
                <w:color w:val="auto"/>
              </w:rPr>
              <w:t>1,125,880</w:t>
            </w:r>
          </w:p>
        </w:tc>
        <w:tc>
          <w:tcPr>
            <w:tcW w:w="1340" w:type="dxa"/>
            <w:vAlign w:val="bottom"/>
          </w:tcPr>
          <w:p>
            <w:pPr>
              <w:jc w:val="right"/>
              <w:ind w:right="32"/>
              <w:spacing w:after="0" w:line="183" w:lineRule="exact"/>
              <w:rPr>
                <w:sz w:val="20"/>
                <w:szCs w:val="20"/>
                <w:color w:val="auto"/>
              </w:rPr>
            </w:pPr>
            <w:r>
              <w:rPr>
                <w:rFonts w:ascii="Arial" w:cs="Arial" w:eastAsia="Arial" w:hAnsi="Arial"/>
                <w:sz w:val="18"/>
                <w:szCs w:val="18"/>
                <w:color w:val="auto"/>
              </w:rPr>
              <w:t>315,280</w:t>
            </w:r>
          </w:p>
        </w:tc>
        <w:tc>
          <w:tcPr>
            <w:tcW w:w="1380" w:type="dxa"/>
            <w:vAlign w:val="bottom"/>
          </w:tcPr>
          <w:p>
            <w:pPr>
              <w:jc w:val="right"/>
              <w:ind w:right="52"/>
              <w:spacing w:after="0" w:line="183" w:lineRule="exact"/>
              <w:rPr>
                <w:sz w:val="20"/>
                <w:szCs w:val="20"/>
                <w:color w:val="auto"/>
              </w:rPr>
            </w:pPr>
            <w:r>
              <w:rPr>
                <w:rFonts w:ascii="Arial" w:cs="Arial" w:eastAsia="Arial" w:hAnsi="Arial"/>
                <w:sz w:val="18"/>
                <w:szCs w:val="18"/>
                <w:color w:val="auto"/>
              </w:rPr>
              <w:t>21,901</w:t>
            </w:r>
          </w:p>
        </w:tc>
        <w:tc>
          <w:tcPr>
            <w:tcW w:w="1000" w:type="dxa"/>
            <w:vAlign w:val="bottom"/>
          </w:tcPr>
          <w:p>
            <w:pPr>
              <w:jc w:val="right"/>
              <w:spacing w:after="0" w:line="183" w:lineRule="exact"/>
              <w:rPr>
                <w:sz w:val="20"/>
                <w:szCs w:val="20"/>
                <w:color w:val="auto"/>
              </w:rPr>
            </w:pPr>
            <w:r>
              <w:rPr>
                <w:rFonts w:ascii="Arial" w:cs="Arial" w:eastAsia="Arial" w:hAnsi="Arial"/>
                <w:sz w:val="18"/>
                <w:szCs w:val="18"/>
                <w:color w:val="auto"/>
              </w:rPr>
              <w:t>1,919,223</w:t>
            </w:r>
          </w:p>
        </w:tc>
      </w:tr>
      <w:tr>
        <w:trPr>
          <w:trHeight w:val="221"/>
        </w:trPr>
        <w:tc>
          <w:tcPr>
            <w:tcW w:w="46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2021</w:t>
            </w: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435,385</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1,003,948</w:t>
            </w: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429,603</w:t>
            </w:r>
          </w:p>
        </w:tc>
        <w:tc>
          <w:tcPr>
            <w:tcW w:w="13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15,961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1,884,897</w:t>
            </w:r>
          </w:p>
        </w:tc>
      </w:tr>
      <w:tr>
        <w:trPr>
          <w:trHeight w:val="196"/>
        </w:trPr>
        <w:tc>
          <w:tcPr>
            <w:tcW w:w="4600" w:type="dxa"/>
            <w:vAlign w:val="bottom"/>
            <w:shd w:val="clear" w:color="auto" w:fill="D5DCE4"/>
          </w:tcPr>
          <w:p>
            <w:pPr>
              <w:spacing w:after="0" w:line="183" w:lineRule="exact"/>
              <w:rPr>
                <w:sz w:val="20"/>
                <w:szCs w:val="20"/>
                <w:color w:val="auto"/>
              </w:rPr>
            </w:pPr>
            <w:r>
              <w:rPr>
                <w:rFonts w:ascii="Arial" w:cs="Arial" w:eastAsia="Arial" w:hAnsi="Arial"/>
                <w:sz w:val="18"/>
                <w:szCs w:val="18"/>
                <w:color w:val="auto"/>
              </w:rPr>
              <w:t>  W. Jeffrey Hire</w:t>
            </w:r>
          </w:p>
        </w:tc>
        <w:tc>
          <w:tcPr>
            <w:tcW w:w="740" w:type="dxa"/>
            <w:vAlign w:val="bottom"/>
          </w:tcPr>
          <w:p>
            <w:pPr>
              <w:ind w:left="200"/>
              <w:spacing w:after="0" w:line="183" w:lineRule="exact"/>
              <w:rPr>
                <w:sz w:val="20"/>
                <w:szCs w:val="20"/>
                <w:color w:val="auto"/>
              </w:rPr>
            </w:pPr>
            <w:r>
              <w:rPr>
                <w:rFonts w:ascii="Arial" w:cs="Arial" w:eastAsia="Arial" w:hAnsi="Arial"/>
                <w:sz w:val="18"/>
                <w:szCs w:val="18"/>
                <w:color w:val="auto"/>
              </w:rPr>
              <w:t>2023</w:t>
            </w:r>
          </w:p>
        </w:tc>
        <w:tc>
          <w:tcPr>
            <w:tcW w:w="920" w:type="dxa"/>
            <w:vAlign w:val="bottom"/>
          </w:tcPr>
          <w:p>
            <w:pPr>
              <w:jc w:val="right"/>
              <w:ind w:right="51"/>
              <w:spacing w:after="0" w:line="183" w:lineRule="exact"/>
              <w:rPr>
                <w:sz w:val="20"/>
                <w:szCs w:val="20"/>
                <w:color w:val="auto"/>
              </w:rPr>
            </w:pPr>
            <w:r>
              <w:rPr>
                <w:rFonts w:ascii="Arial" w:cs="Arial" w:eastAsia="Arial" w:hAnsi="Arial"/>
                <w:sz w:val="18"/>
                <w:szCs w:val="18"/>
                <w:color w:val="auto"/>
              </w:rPr>
              <w:t>414,615</w:t>
            </w:r>
          </w:p>
        </w:tc>
        <w:tc>
          <w:tcPr>
            <w:tcW w:w="1040" w:type="dxa"/>
            <w:vAlign w:val="bottom"/>
          </w:tcPr>
          <w:p>
            <w:pPr>
              <w:jc w:val="right"/>
              <w:ind w:right="12"/>
              <w:spacing w:after="0" w:line="183" w:lineRule="exact"/>
              <w:rPr>
                <w:sz w:val="20"/>
                <w:szCs w:val="20"/>
                <w:color w:val="auto"/>
              </w:rPr>
            </w:pPr>
            <w:r>
              <w:rPr>
                <w:rFonts w:ascii="Arial" w:cs="Arial" w:eastAsia="Arial" w:hAnsi="Arial"/>
                <w:sz w:val="18"/>
                <w:szCs w:val="18"/>
                <w:color w:val="auto"/>
              </w:rPr>
              <w:t>266,418</w:t>
            </w:r>
          </w:p>
        </w:tc>
        <w:tc>
          <w:tcPr>
            <w:tcW w:w="1340" w:type="dxa"/>
            <w:vAlign w:val="bottom"/>
          </w:tcPr>
          <w:p>
            <w:pPr>
              <w:jc w:val="right"/>
              <w:ind w:right="32"/>
              <w:spacing w:after="0" w:line="183" w:lineRule="exact"/>
              <w:rPr>
                <w:sz w:val="20"/>
                <w:szCs w:val="20"/>
                <w:color w:val="auto"/>
              </w:rPr>
            </w:pPr>
            <w:r>
              <w:rPr>
                <w:rFonts w:ascii="Arial" w:cs="Arial" w:eastAsia="Arial" w:hAnsi="Arial"/>
                <w:sz w:val="18"/>
                <w:szCs w:val="18"/>
                <w:color w:val="auto"/>
              </w:rPr>
              <w:t>213,200</w:t>
            </w:r>
          </w:p>
        </w:tc>
        <w:tc>
          <w:tcPr>
            <w:tcW w:w="1380" w:type="dxa"/>
            <w:vAlign w:val="bottom"/>
          </w:tcPr>
          <w:p>
            <w:pPr>
              <w:jc w:val="right"/>
              <w:ind w:right="52"/>
              <w:spacing w:after="0" w:line="183" w:lineRule="exact"/>
              <w:rPr>
                <w:sz w:val="20"/>
                <w:szCs w:val="20"/>
                <w:color w:val="auto"/>
              </w:rPr>
            </w:pPr>
            <w:r>
              <w:rPr>
                <w:rFonts w:ascii="Arial" w:cs="Arial" w:eastAsia="Arial" w:hAnsi="Arial"/>
                <w:sz w:val="18"/>
                <w:szCs w:val="18"/>
                <w:color w:val="auto"/>
              </w:rPr>
              <w:t>31,914</w:t>
            </w:r>
          </w:p>
        </w:tc>
        <w:tc>
          <w:tcPr>
            <w:tcW w:w="1000" w:type="dxa"/>
            <w:vAlign w:val="bottom"/>
          </w:tcPr>
          <w:p>
            <w:pPr>
              <w:jc w:val="right"/>
              <w:spacing w:after="0" w:line="183" w:lineRule="exact"/>
              <w:rPr>
                <w:sz w:val="20"/>
                <w:szCs w:val="20"/>
                <w:color w:val="auto"/>
              </w:rPr>
            </w:pPr>
            <w:r>
              <w:rPr>
                <w:rFonts w:ascii="Arial" w:cs="Arial" w:eastAsia="Arial" w:hAnsi="Arial"/>
                <w:sz w:val="18"/>
                <w:szCs w:val="18"/>
                <w:color w:val="auto"/>
              </w:rPr>
              <w:t>926,148</w:t>
            </w:r>
          </w:p>
        </w:tc>
      </w:tr>
      <w:tr>
        <w:trPr>
          <w:trHeight w:val="184"/>
        </w:trPr>
        <w:tc>
          <w:tcPr>
            <w:tcW w:w="4600" w:type="dxa"/>
            <w:vAlign w:val="bottom"/>
          </w:tcPr>
          <w:p>
            <w:pPr>
              <w:spacing w:after="0" w:line="183" w:lineRule="exact"/>
              <w:rPr>
                <w:sz w:val="20"/>
                <w:szCs w:val="20"/>
                <w:color w:val="auto"/>
              </w:rPr>
            </w:pPr>
            <w:r>
              <w:rPr>
                <w:rFonts w:ascii="Arial" w:cs="Arial" w:eastAsia="Arial" w:hAnsi="Arial"/>
                <w:sz w:val="18"/>
                <w:szCs w:val="18"/>
                <w:color w:val="auto"/>
              </w:rPr>
              <w:t>  President, External Affairs</w:t>
            </w:r>
          </w:p>
        </w:tc>
        <w:tc>
          <w:tcPr>
            <w:tcW w:w="740" w:type="dxa"/>
            <w:vAlign w:val="bottom"/>
          </w:tcPr>
          <w:p>
            <w:pPr>
              <w:ind w:left="200"/>
              <w:spacing w:after="0" w:line="183" w:lineRule="exact"/>
              <w:rPr>
                <w:sz w:val="20"/>
                <w:szCs w:val="20"/>
                <w:color w:val="auto"/>
              </w:rPr>
            </w:pPr>
            <w:r>
              <w:rPr>
                <w:rFonts w:ascii="Arial" w:cs="Arial" w:eastAsia="Arial" w:hAnsi="Arial"/>
                <w:sz w:val="18"/>
                <w:szCs w:val="18"/>
                <w:color w:val="auto"/>
              </w:rPr>
              <w:t>2022</w:t>
            </w:r>
          </w:p>
        </w:tc>
        <w:tc>
          <w:tcPr>
            <w:tcW w:w="920" w:type="dxa"/>
            <w:vAlign w:val="bottom"/>
          </w:tcPr>
          <w:p>
            <w:pPr>
              <w:jc w:val="right"/>
              <w:ind w:right="51"/>
              <w:spacing w:after="0" w:line="183" w:lineRule="exact"/>
              <w:rPr>
                <w:sz w:val="20"/>
                <w:szCs w:val="20"/>
                <w:color w:val="auto"/>
              </w:rPr>
            </w:pPr>
            <w:r>
              <w:rPr>
                <w:rFonts w:ascii="Arial" w:cs="Arial" w:eastAsia="Arial" w:hAnsi="Arial"/>
                <w:sz w:val="18"/>
                <w:szCs w:val="18"/>
                <w:color w:val="auto"/>
              </w:rPr>
              <w:t>393,365</w:t>
            </w:r>
          </w:p>
        </w:tc>
        <w:tc>
          <w:tcPr>
            <w:tcW w:w="1040" w:type="dxa"/>
            <w:vAlign w:val="bottom"/>
          </w:tcPr>
          <w:p>
            <w:pPr>
              <w:jc w:val="right"/>
              <w:ind w:right="12"/>
              <w:spacing w:after="0" w:line="183" w:lineRule="exact"/>
              <w:rPr>
                <w:sz w:val="20"/>
                <w:szCs w:val="20"/>
                <w:color w:val="auto"/>
              </w:rPr>
            </w:pPr>
            <w:r>
              <w:rPr>
                <w:rFonts w:ascii="Arial" w:cs="Arial" w:eastAsia="Arial" w:hAnsi="Arial"/>
                <w:sz w:val="18"/>
                <w:szCs w:val="18"/>
                <w:color w:val="auto"/>
              </w:rPr>
              <w:t>225,217</w:t>
            </w:r>
          </w:p>
        </w:tc>
        <w:tc>
          <w:tcPr>
            <w:tcW w:w="1340" w:type="dxa"/>
            <w:vAlign w:val="bottom"/>
          </w:tcPr>
          <w:p>
            <w:pPr>
              <w:jc w:val="right"/>
              <w:ind w:right="32"/>
              <w:spacing w:after="0" w:line="183" w:lineRule="exact"/>
              <w:rPr>
                <w:sz w:val="20"/>
                <w:szCs w:val="20"/>
                <w:color w:val="auto"/>
              </w:rPr>
            </w:pPr>
            <w:r>
              <w:rPr>
                <w:rFonts w:ascii="Arial" w:cs="Arial" w:eastAsia="Arial" w:hAnsi="Arial"/>
                <w:sz w:val="18"/>
                <w:szCs w:val="18"/>
                <w:color w:val="auto"/>
              </w:rPr>
              <w:t>168,900</w:t>
            </w:r>
          </w:p>
        </w:tc>
        <w:tc>
          <w:tcPr>
            <w:tcW w:w="1380" w:type="dxa"/>
            <w:vAlign w:val="bottom"/>
          </w:tcPr>
          <w:p>
            <w:pPr>
              <w:jc w:val="right"/>
              <w:ind w:right="52"/>
              <w:spacing w:after="0" w:line="183" w:lineRule="exact"/>
              <w:rPr>
                <w:sz w:val="20"/>
                <w:szCs w:val="20"/>
                <w:color w:val="auto"/>
              </w:rPr>
            </w:pPr>
            <w:r>
              <w:rPr>
                <w:rFonts w:ascii="Arial" w:cs="Arial" w:eastAsia="Arial" w:hAnsi="Arial"/>
                <w:sz w:val="18"/>
                <w:szCs w:val="18"/>
                <w:color w:val="auto"/>
              </w:rPr>
              <w:t>31,511</w:t>
            </w:r>
          </w:p>
        </w:tc>
        <w:tc>
          <w:tcPr>
            <w:tcW w:w="1000" w:type="dxa"/>
            <w:vAlign w:val="bottom"/>
          </w:tcPr>
          <w:p>
            <w:pPr>
              <w:jc w:val="right"/>
              <w:spacing w:after="0" w:line="183" w:lineRule="exact"/>
              <w:rPr>
                <w:sz w:val="20"/>
                <w:szCs w:val="20"/>
                <w:color w:val="auto"/>
              </w:rPr>
            </w:pPr>
            <w:r>
              <w:rPr>
                <w:rFonts w:ascii="Arial" w:cs="Arial" w:eastAsia="Arial" w:hAnsi="Arial"/>
                <w:sz w:val="18"/>
                <w:szCs w:val="18"/>
                <w:color w:val="auto"/>
              </w:rPr>
              <w:t>818,994</w:t>
            </w:r>
          </w:p>
        </w:tc>
      </w:tr>
      <w:tr>
        <w:trPr>
          <w:trHeight w:val="221"/>
        </w:trPr>
        <w:tc>
          <w:tcPr>
            <w:tcW w:w="46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2021</w:t>
            </w: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367,154</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144,778</w:t>
            </w: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125,502</w:t>
            </w:r>
          </w:p>
        </w:tc>
        <w:tc>
          <w:tcPr>
            <w:tcW w:w="13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31,172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668,605</w:t>
            </w:r>
          </w:p>
        </w:tc>
      </w:tr>
      <w:tr>
        <w:trPr>
          <w:trHeight w:val="196"/>
        </w:trPr>
        <w:tc>
          <w:tcPr>
            <w:tcW w:w="4600" w:type="dxa"/>
            <w:vAlign w:val="bottom"/>
            <w:shd w:val="clear" w:color="auto" w:fill="D5DCE4"/>
          </w:tcPr>
          <w:p>
            <w:pPr>
              <w:spacing w:after="0" w:line="183" w:lineRule="exact"/>
              <w:rPr>
                <w:sz w:val="20"/>
                <w:szCs w:val="20"/>
                <w:color w:val="auto"/>
              </w:rPr>
            </w:pPr>
            <w:r>
              <w:rPr>
                <w:rFonts w:ascii="Arial" w:cs="Arial" w:eastAsia="Arial" w:hAnsi="Arial"/>
                <w:sz w:val="18"/>
                <w:szCs w:val="18"/>
                <w:color w:val="auto"/>
              </w:rPr>
              <w:t>  Jason R. Niswonger</w:t>
            </w:r>
          </w:p>
        </w:tc>
        <w:tc>
          <w:tcPr>
            <w:tcW w:w="740" w:type="dxa"/>
            <w:vAlign w:val="bottom"/>
          </w:tcPr>
          <w:p>
            <w:pPr>
              <w:ind w:left="200"/>
              <w:spacing w:after="0" w:line="183" w:lineRule="exact"/>
              <w:rPr>
                <w:sz w:val="20"/>
                <w:szCs w:val="20"/>
                <w:color w:val="auto"/>
              </w:rPr>
            </w:pPr>
            <w:r>
              <w:rPr>
                <w:rFonts w:ascii="Arial" w:cs="Arial" w:eastAsia="Arial" w:hAnsi="Arial"/>
                <w:sz w:val="18"/>
                <w:szCs w:val="18"/>
                <w:color w:val="auto"/>
              </w:rPr>
              <w:t>2023</w:t>
            </w:r>
          </w:p>
        </w:tc>
        <w:tc>
          <w:tcPr>
            <w:tcW w:w="920" w:type="dxa"/>
            <w:vAlign w:val="bottom"/>
          </w:tcPr>
          <w:p>
            <w:pPr>
              <w:jc w:val="right"/>
              <w:ind w:right="51"/>
              <w:spacing w:after="0" w:line="183" w:lineRule="exact"/>
              <w:rPr>
                <w:sz w:val="20"/>
                <w:szCs w:val="20"/>
                <w:color w:val="auto"/>
              </w:rPr>
            </w:pPr>
            <w:r>
              <w:rPr>
                <w:rFonts w:ascii="Arial" w:cs="Arial" w:eastAsia="Arial" w:hAnsi="Arial"/>
                <w:sz w:val="18"/>
                <w:szCs w:val="18"/>
                <w:color w:val="auto"/>
              </w:rPr>
              <w:t>416,923</w:t>
            </w:r>
          </w:p>
        </w:tc>
        <w:tc>
          <w:tcPr>
            <w:tcW w:w="1040" w:type="dxa"/>
            <w:vAlign w:val="bottom"/>
          </w:tcPr>
          <w:p>
            <w:pPr>
              <w:jc w:val="right"/>
              <w:ind w:right="12"/>
              <w:spacing w:after="0" w:line="183" w:lineRule="exact"/>
              <w:rPr>
                <w:sz w:val="20"/>
                <w:szCs w:val="20"/>
                <w:color w:val="auto"/>
              </w:rPr>
            </w:pPr>
            <w:r>
              <w:rPr>
                <w:rFonts w:ascii="Arial" w:cs="Arial" w:eastAsia="Arial" w:hAnsi="Arial"/>
                <w:sz w:val="18"/>
                <w:szCs w:val="18"/>
                <w:color w:val="auto"/>
              </w:rPr>
              <w:t>437,011</w:t>
            </w:r>
          </w:p>
        </w:tc>
        <w:tc>
          <w:tcPr>
            <w:tcW w:w="1340" w:type="dxa"/>
            <w:vAlign w:val="bottom"/>
          </w:tcPr>
          <w:p>
            <w:pPr>
              <w:jc w:val="right"/>
              <w:ind w:right="32"/>
              <w:spacing w:after="0" w:line="183" w:lineRule="exact"/>
              <w:rPr>
                <w:sz w:val="20"/>
                <w:szCs w:val="20"/>
                <w:color w:val="auto"/>
              </w:rPr>
            </w:pPr>
            <w:r>
              <w:rPr>
                <w:rFonts w:ascii="Arial" w:cs="Arial" w:eastAsia="Arial" w:hAnsi="Arial"/>
                <w:sz w:val="18"/>
                <w:szCs w:val="18"/>
                <w:color w:val="auto"/>
              </w:rPr>
              <w:t>282,490</w:t>
            </w:r>
          </w:p>
        </w:tc>
        <w:tc>
          <w:tcPr>
            <w:tcW w:w="1380" w:type="dxa"/>
            <w:vAlign w:val="bottom"/>
          </w:tcPr>
          <w:p>
            <w:pPr>
              <w:jc w:val="right"/>
              <w:ind w:right="52"/>
              <w:spacing w:after="0" w:line="183" w:lineRule="exact"/>
              <w:rPr>
                <w:sz w:val="20"/>
                <w:szCs w:val="20"/>
                <w:color w:val="auto"/>
              </w:rPr>
            </w:pPr>
            <w:r>
              <w:rPr>
                <w:rFonts w:ascii="Arial" w:cs="Arial" w:eastAsia="Arial" w:hAnsi="Arial"/>
                <w:sz w:val="18"/>
                <w:szCs w:val="18"/>
                <w:color w:val="auto"/>
              </w:rPr>
              <w:t>25,536</w:t>
            </w:r>
          </w:p>
        </w:tc>
        <w:tc>
          <w:tcPr>
            <w:tcW w:w="1000" w:type="dxa"/>
            <w:vAlign w:val="bottom"/>
          </w:tcPr>
          <w:p>
            <w:pPr>
              <w:jc w:val="right"/>
              <w:spacing w:after="0" w:line="183" w:lineRule="exact"/>
              <w:rPr>
                <w:sz w:val="20"/>
                <w:szCs w:val="20"/>
                <w:color w:val="auto"/>
              </w:rPr>
            </w:pPr>
            <w:r>
              <w:rPr>
                <w:rFonts w:ascii="Arial" w:cs="Arial" w:eastAsia="Arial" w:hAnsi="Arial"/>
                <w:sz w:val="18"/>
                <w:szCs w:val="18"/>
                <w:color w:val="auto"/>
              </w:rPr>
              <w:t>1,161,959</w:t>
            </w:r>
          </w:p>
        </w:tc>
      </w:tr>
      <w:tr>
        <w:trPr>
          <w:trHeight w:val="184"/>
        </w:trPr>
        <w:tc>
          <w:tcPr>
            <w:tcW w:w="4600" w:type="dxa"/>
            <w:vAlign w:val="bottom"/>
          </w:tcPr>
          <w:p>
            <w:pPr>
              <w:spacing w:after="0" w:line="183" w:lineRule="exact"/>
              <w:rPr>
                <w:sz w:val="20"/>
                <w:szCs w:val="20"/>
                <w:color w:val="auto"/>
              </w:rPr>
            </w:pPr>
            <w:r>
              <w:rPr>
                <w:rFonts w:ascii="Arial" w:cs="Arial" w:eastAsia="Arial" w:hAnsi="Arial"/>
                <w:sz w:val="18"/>
                <w:szCs w:val="18"/>
                <w:color w:val="auto"/>
              </w:rPr>
              <w:t>  Chief Administrative and Sustainability Officer</w:t>
            </w:r>
          </w:p>
        </w:tc>
        <w:tc>
          <w:tcPr>
            <w:tcW w:w="740" w:type="dxa"/>
            <w:vAlign w:val="bottom"/>
          </w:tcPr>
          <w:p>
            <w:pPr>
              <w:ind w:left="200"/>
              <w:spacing w:after="0" w:line="183" w:lineRule="exact"/>
              <w:rPr>
                <w:sz w:val="20"/>
                <w:szCs w:val="20"/>
                <w:color w:val="auto"/>
              </w:rPr>
            </w:pPr>
            <w:r>
              <w:rPr>
                <w:rFonts w:ascii="Arial" w:cs="Arial" w:eastAsia="Arial" w:hAnsi="Arial"/>
                <w:sz w:val="18"/>
                <w:szCs w:val="18"/>
                <w:color w:val="auto"/>
              </w:rPr>
              <w:t>2022</w:t>
            </w:r>
          </w:p>
        </w:tc>
        <w:tc>
          <w:tcPr>
            <w:tcW w:w="920" w:type="dxa"/>
            <w:vAlign w:val="bottom"/>
          </w:tcPr>
          <w:p>
            <w:pPr>
              <w:jc w:val="right"/>
              <w:ind w:right="51"/>
              <w:spacing w:after="0" w:line="183" w:lineRule="exact"/>
              <w:rPr>
                <w:sz w:val="20"/>
                <w:szCs w:val="20"/>
                <w:color w:val="auto"/>
              </w:rPr>
            </w:pPr>
            <w:r>
              <w:rPr>
                <w:rFonts w:ascii="Arial" w:cs="Arial" w:eastAsia="Arial" w:hAnsi="Arial"/>
                <w:sz w:val="18"/>
                <w:szCs w:val="18"/>
                <w:color w:val="auto"/>
              </w:rPr>
              <w:t>384,385</w:t>
            </w:r>
          </w:p>
        </w:tc>
        <w:tc>
          <w:tcPr>
            <w:tcW w:w="1040" w:type="dxa"/>
            <w:vAlign w:val="bottom"/>
          </w:tcPr>
          <w:p>
            <w:pPr>
              <w:jc w:val="right"/>
              <w:ind w:right="12"/>
              <w:spacing w:after="0" w:line="183" w:lineRule="exact"/>
              <w:rPr>
                <w:sz w:val="20"/>
                <w:szCs w:val="20"/>
                <w:color w:val="auto"/>
              </w:rPr>
            </w:pPr>
            <w:r>
              <w:rPr>
                <w:rFonts w:ascii="Arial" w:cs="Arial" w:eastAsia="Arial" w:hAnsi="Arial"/>
                <w:sz w:val="18"/>
                <w:szCs w:val="18"/>
                <w:color w:val="auto"/>
              </w:rPr>
              <w:t>315,119</w:t>
            </w:r>
          </w:p>
        </w:tc>
        <w:tc>
          <w:tcPr>
            <w:tcW w:w="1340" w:type="dxa"/>
            <w:vAlign w:val="bottom"/>
          </w:tcPr>
          <w:p>
            <w:pPr>
              <w:jc w:val="right"/>
              <w:ind w:right="32"/>
              <w:spacing w:after="0" w:line="183" w:lineRule="exact"/>
              <w:rPr>
                <w:sz w:val="20"/>
                <w:szCs w:val="20"/>
                <w:color w:val="auto"/>
              </w:rPr>
            </w:pPr>
            <w:r>
              <w:rPr>
                <w:rFonts w:ascii="Arial" w:cs="Arial" w:eastAsia="Arial" w:hAnsi="Arial"/>
                <w:sz w:val="18"/>
                <w:szCs w:val="18"/>
                <w:color w:val="auto"/>
              </w:rPr>
              <w:t>197,050</w:t>
            </w:r>
          </w:p>
        </w:tc>
        <w:tc>
          <w:tcPr>
            <w:tcW w:w="1380" w:type="dxa"/>
            <w:vAlign w:val="bottom"/>
          </w:tcPr>
          <w:p>
            <w:pPr>
              <w:jc w:val="right"/>
              <w:ind w:right="52"/>
              <w:spacing w:after="0" w:line="183" w:lineRule="exact"/>
              <w:rPr>
                <w:sz w:val="20"/>
                <w:szCs w:val="20"/>
                <w:color w:val="auto"/>
              </w:rPr>
            </w:pPr>
            <w:r>
              <w:rPr>
                <w:rFonts w:ascii="Arial" w:cs="Arial" w:eastAsia="Arial" w:hAnsi="Arial"/>
                <w:sz w:val="18"/>
                <w:szCs w:val="18"/>
                <w:color w:val="auto"/>
              </w:rPr>
              <w:t>12,153</w:t>
            </w:r>
          </w:p>
        </w:tc>
        <w:tc>
          <w:tcPr>
            <w:tcW w:w="1000" w:type="dxa"/>
            <w:vAlign w:val="bottom"/>
          </w:tcPr>
          <w:p>
            <w:pPr>
              <w:jc w:val="right"/>
              <w:spacing w:after="0" w:line="183" w:lineRule="exact"/>
              <w:rPr>
                <w:sz w:val="20"/>
                <w:szCs w:val="20"/>
                <w:color w:val="auto"/>
              </w:rPr>
            </w:pPr>
            <w:r>
              <w:rPr>
                <w:rFonts w:ascii="Arial" w:cs="Arial" w:eastAsia="Arial" w:hAnsi="Arial"/>
                <w:sz w:val="18"/>
                <w:szCs w:val="18"/>
                <w:color w:val="auto"/>
              </w:rPr>
              <w:t>908,706</w:t>
            </w:r>
          </w:p>
        </w:tc>
      </w:tr>
      <w:tr>
        <w:trPr>
          <w:trHeight w:val="228"/>
        </w:trPr>
        <w:tc>
          <w:tcPr>
            <w:tcW w:w="4600" w:type="dxa"/>
            <w:vAlign w:val="bottom"/>
            <w:tcBorders>
              <w:bottom w:val="single" w:sz="8" w:color="0070C0"/>
            </w:tcBorders>
          </w:tcPr>
          <w:p>
            <w:pPr>
              <w:spacing w:after="0"/>
              <w:rPr>
                <w:sz w:val="19"/>
                <w:szCs w:val="19"/>
                <w:color w:val="auto"/>
              </w:rPr>
            </w:pPr>
          </w:p>
        </w:tc>
        <w:tc>
          <w:tcPr>
            <w:tcW w:w="740" w:type="dxa"/>
            <w:vAlign w:val="bottom"/>
            <w:tcBorders>
              <w:bottom w:val="single" w:sz="8" w:color="0070C0"/>
            </w:tcBorders>
          </w:tcPr>
          <w:p>
            <w:pPr>
              <w:ind w:left="200"/>
              <w:spacing w:after="0"/>
              <w:rPr>
                <w:sz w:val="20"/>
                <w:szCs w:val="20"/>
                <w:color w:val="auto"/>
              </w:rPr>
            </w:pPr>
            <w:r>
              <w:rPr>
                <w:rFonts w:ascii="Arial" w:cs="Arial" w:eastAsia="Arial" w:hAnsi="Arial"/>
                <w:sz w:val="18"/>
                <w:szCs w:val="18"/>
                <w:color w:val="auto"/>
              </w:rPr>
              <w:t>2021</w:t>
            </w:r>
          </w:p>
        </w:tc>
        <w:tc>
          <w:tcPr>
            <w:tcW w:w="920" w:type="dxa"/>
            <w:vAlign w:val="bottom"/>
            <w:tcBorders>
              <w:bottom w:val="single" w:sz="8" w:color="0070C0"/>
            </w:tcBorders>
          </w:tcPr>
          <w:p>
            <w:pPr>
              <w:jc w:val="right"/>
              <w:ind w:right="51"/>
              <w:spacing w:after="0"/>
              <w:rPr>
                <w:sz w:val="20"/>
                <w:szCs w:val="20"/>
                <w:color w:val="auto"/>
              </w:rPr>
            </w:pPr>
            <w:r>
              <w:rPr>
                <w:rFonts w:ascii="Arial" w:cs="Arial" w:eastAsia="Arial" w:hAnsi="Arial"/>
                <w:sz w:val="18"/>
                <w:szCs w:val="18"/>
                <w:color w:val="auto"/>
              </w:rPr>
              <w:t>346,692</w:t>
            </w:r>
          </w:p>
        </w:tc>
        <w:tc>
          <w:tcPr>
            <w:tcW w:w="1040" w:type="dxa"/>
            <w:vAlign w:val="bottom"/>
            <w:tcBorders>
              <w:bottom w:val="single" w:sz="8" w:color="0070C0"/>
            </w:tcBorders>
          </w:tcPr>
          <w:p>
            <w:pPr>
              <w:jc w:val="right"/>
              <w:ind w:right="12"/>
              <w:spacing w:after="0"/>
              <w:rPr>
                <w:sz w:val="20"/>
                <w:szCs w:val="20"/>
                <w:color w:val="auto"/>
              </w:rPr>
            </w:pPr>
            <w:r>
              <w:rPr>
                <w:rFonts w:ascii="Arial" w:cs="Arial" w:eastAsia="Arial" w:hAnsi="Arial"/>
                <w:sz w:val="18"/>
                <w:szCs w:val="18"/>
                <w:color w:val="auto"/>
              </w:rPr>
              <w:t>144,778</w:t>
            </w:r>
          </w:p>
        </w:tc>
        <w:tc>
          <w:tcPr>
            <w:tcW w:w="1340" w:type="dxa"/>
            <w:vAlign w:val="bottom"/>
            <w:tcBorders>
              <w:bottom w:val="single" w:sz="8" w:color="0070C0"/>
            </w:tcBorders>
          </w:tcPr>
          <w:p>
            <w:pPr>
              <w:jc w:val="right"/>
              <w:ind w:right="32"/>
              <w:spacing w:after="0"/>
              <w:rPr>
                <w:sz w:val="20"/>
                <w:szCs w:val="20"/>
                <w:color w:val="auto"/>
              </w:rPr>
            </w:pPr>
            <w:r>
              <w:rPr>
                <w:rFonts w:ascii="Arial" w:cs="Arial" w:eastAsia="Arial" w:hAnsi="Arial"/>
                <w:sz w:val="18"/>
                <w:szCs w:val="18"/>
                <w:color w:val="auto"/>
              </w:rPr>
              <w:t>125,502</w:t>
            </w:r>
          </w:p>
        </w:tc>
        <w:tc>
          <w:tcPr>
            <w:tcW w:w="1380" w:type="dxa"/>
            <w:vAlign w:val="bottom"/>
            <w:tcBorders>
              <w:bottom w:val="single" w:sz="8" w:color="0070C0"/>
            </w:tcBorders>
          </w:tcPr>
          <w:p>
            <w:pPr>
              <w:jc w:val="right"/>
              <w:ind w:right="52"/>
              <w:spacing w:after="0"/>
              <w:rPr>
                <w:sz w:val="20"/>
                <w:szCs w:val="20"/>
                <w:color w:val="auto"/>
              </w:rPr>
            </w:pPr>
            <w:r>
              <w:rPr>
                <w:rFonts w:ascii="Arial" w:cs="Arial" w:eastAsia="Arial" w:hAnsi="Arial"/>
                <w:sz w:val="18"/>
                <w:szCs w:val="18"/>
                <w:color w:val="auto"/>
              </w:rPr>
              <w:t>15,330</w:t>
            </w:r>
          </w:p>
        </w:tc>
        <w:tc>
          <w:tcPr>
            <w:tcW w:w="1000" w:type="dxa"/>
            <w:vAlign w:val="bottom"/>
            <w:tcBorders>
              <w:bottom w:val="single" w:sz="8" w:color="0070C0"/>
            </w:tcBorders>
          </w:tcPr>
          <w:p>
            <w:pPr>
              <w:jc w:val="right"/>
              <w:spacing w:after="0"/>
              <w:rPr>
                <w:sz w:val="20"/>
                <w:szCs w:val="20"/>
                <w:color w:val="auto"/>
              </w:rPr>
            </w:pPr>
            <w:r>
              <w:rPr>
                <w:rFonts w:ascii="Arial" w:cs="Arial" w:eastAsia="Arial" w:hAnsi="Arial"/>
                <w:sz w:val="18"/>
                <w:szCs w:val="18"/>
                <w:color w:val="auto"/>
              </w:rPr>
              <w:t>632,302</w:t>
            </w:r>
          </w:p>
        </w:tc>
      </w:tr>
    </w:tbl>
    <w:p>
      <w:pPr>
        <w:spacing w:after="0" w:line="103" w:lineRule="exact"/>
        <w:rPr>
          <w:sz w:val="20"/>
          <w:szCs w:val="20"/>
          <w:color w:val="auto"/>
        </w:rPr>
      </w:pPr>
    </w:p>
    <w:p>
      <w:pPr>
        <w:ind w:left="424" w:right="40" w:hanging="424"/>
        <w:spacing w:after="0"/>
        <w:tabs>
          <w:tab w:leader="none" w:pos="4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Amounts in this column for 2023 represent the aggregate grant date fair value of performance-based restricted stock awards granted February 20, 2023 based on 2022 performance, computed in accordance with FASB ASC Topic 718. The grant date fair value was determined by multiplying the number of shares of common stock that would be earned based on the probable outcome of the performance conditions by the closing price of $109.76 on the grant date. See </w:t>
      </w:r>
      <w:r>
        <w:rPr>
          <w:rFonts w:ascii="Arial" w:cs="Arial" w:eastAsia="Arial" w:hAnsi="Arial"/>
          <w:sz w:val="18"/>
          <w:szCs w:val="18"/>
          <w:i w:val="1"/>
          <w:iCs w:val="1"/>
          <w:color w:val="auto"/>
        </w:rPr>
        <w:t>Compensation Discussion and Analysis – “Section 4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What We Paid in 2023 – 2023 Performance-Based Incentive Equity Awards,” and </w:t>
      </w:r>
      <w:r>
        <w:rPr>
          <w:rFonts w:ascii="Arial" w:cs="Arial" w:eastAsia="Arial" w:hAnsi="Arial"/>
          <w:sz w:val="18"/>
          <w:szCs w:val="18"/>
          <w:color w:val="auto"/>
        </w:rPr>
        <w:t>“</w:t>
      </w:r>
      <w:r>
        <w:rPr>
          <w:rFonts w:ascii="Arial" w:cs="Arial" w:eastAsia="Arial" w:hAnsi="Arial"/>
          <w:sz w:val="18"/>
          <w:szCs w:val="18"/>
          <w:i w:val="1"/>
          <w:iCs w:val="1"/>
          <w:color w:val="auto"/>
        </w:rPr>
        <w:t>Grants of Plan-Based Awards for 2023</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below for more information concerning the restricted stock awarded in 2023.</w:t>
      </w:r>
    </w:p>
    <w:p>
      <w:pPr>
        <w:spacing w:after="0" w:line="90" w:lineRule="exact"/>
        <w:rPr>
          <w:rFonts w:ascii="Arial" w:cs="Arial" w:eastAsia="Arial" w:hAnsi="Arial"/>
          <w:sz w:val="18"/>
          <w:szCs w:val="18"/>
          <w:color w:val="auto"/>
        </w:rPr>
      </w:pPr>
    </w:p>
    <w:p>
      <w:pPr>
        <w:ind w:left="424" w:hanging="424"/>
        <w:spacing w:after="0"/>
        <w:tabs>
          <w:tab w:leader="none" w:pos="4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in this column represent the performance-based cash incentives earned in the applicable fiscal year.</w:t>
      </w:r>
    </w:p>
    <w:p>
      <w:pPr>
        <w:spacing w:after="0" w:line="238" w:lineRule="exact"/>
        <w:rPr>
          <w:rFonts w:ascii="Arial" w:cs="Arial" w:eastAsia="Arial" w:hAnsi="Arial"/>
          <w:sz w:val="18"/>
          <w:szCs w:val="18"/>
          <w:color w:val="auto"/>
        </w:rPr>
      </w:pPr>
    </w:p>
    <w:p>
      <w:pPr>
        <w:ind w:left="424" w:hanging="424"/>
        <w:spacing w:after="0"/>
        <w:tabs>
          <w:tab w:leader="none" w:pos="4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following table describes each component of the “All Other Compensation” column for 2023.</w:t>
      </w:r>
    </w:p>
    <w:p>
      <w:pPr>
        <w:spacing w:after="0" w:line="243"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3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jc w:val="center"/>
              <w:ind w:right="55"/>
              <w:spacing w:after="0"/>
              <w:rPr>
                <w:sz w:val="20"/>
                <w:szCs w:val="20"/>
                <w:color w:val="auto"/>
              </w:rPr>
            </w:pPr>
            <w:r>
              <w:rPr>
                <w:rFonts w:ascii="Arial" w:cs="Arial" w:eastAsia="Arial" w:hAnsi="Arial"/>
                <w:sz w:val="16"/>
                <w:szCs w:val="16"/>
                <w:b w:val="1"/>
                <w:bCs w:val="1"/>
                <w:color w:val="002060"/>
              </w:rPr>
              <w:t>Company</w:t>
            </w:r>
          </w:p>
        </w:tc>
        <w:tc>
          <w:tcPr>
            <w:tcW w:w="1800" w:type="dxa"/>
            <w:vAlign w:val="bottom"/>
          </w:tcPr>
          <w:p>
            <w:pPr>
              <w:spacing w:after="0"/>
              <w:rPr>
                <w:sz w:val="16"/>
                <w:szCs w:val="16"/>
                <w:color w:val="auto"/>
              </w:rPr>
            </w:pPr>
          </w:p>
        </w:tc>
      </w:tr>
      <w:tr>
        <w:trPr>
          <w:trHeight w:val="189"/>
        </w:trPr>
        <w:tc>
          <w:tcPr>
            <w:tcW w:w="3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002060"/>
                <w:w w:val="98"/>
              </w:rPr>
              <w:t>Company</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002060"/>
              </w:rPr>
              <w:t>Company</w:t>
            </w:r>
          </w:p>
        </w:tc>
        <w:tc>
          <w:tcPr>
            <w:tcW w:w="960" w:type="dxa"/>
            <w:vAlign w:val="bottom"/>
          </w:tcPr>
          <w:p>
            <w:pPr>
              <w:spacing w:after="0"/>
              <w:rPr>
                <w:sz w:val="16"/>
                <w:szCs w:val="16"/>
                <w:color w:val="auto"/>
              </w:rPr>
            </w:pPr>
          </w:p>
        </w:tc>
        <w:tc>
          <w:tcPr>
            <w:tcW w:w="1280" w:type="dxa"/>
            <w:vAlign w:val="bottom"/>
          </w:tcPr>
          <w:p>
            <w:pPr>
              <w:jc w:val="center"/>
              <w:ind w:right="55"/>
              <w:spacing w:after="0"/>
              <w:rPr>
                <w:sz w:val="20"/>
                <w:szCs w:val="20"/>
                <w:color w:val="auto"/>
              </w:rPr>
            </w:pPr>
            <w:r>
              <w:rPr>
                <w:rFonts w:ascii="Arial" w:cs="Arial" w:eastAsia="Arial" w:hAnsi="Arial"/>
                <w:sz w:val="16"/>
                <w:szCs w:val="16"/>
                <w:b w:val="1"/>
                <w:bCs w:val="1"/>
                <w:color w:val="002060"/>
              </w:rPr>
              <w:t>Paid</w:t>
            </w:r>
          </w:p>
        </w:tc>
        <w:tc>
          <w:tcPr>
            <w:tcW w:w="1800" w:type="dxa"/>
            <w:vAlign w:val="bottom"/>
          </w:tcPr>
          <w:p>
            <w:pPr>
              <w:spacing w:after="0"/>
              <w:rPr>
                <w:sz w:val="16"/>
                <w:szCs w:val="16"/>
                <w:color w:val="auto"/>
              </w:rPr>
            </w:pPr>
          </w:p>
        </w:tc>
      </w:tr>
      <w:tr>
        <w:trPr>
          <w:trHeight w:val="189"/>
        </w:trPr>
        <w:tc>
          <w:tcPr>
            <w:tcW w:w="3220" w:type="dxa"/>
            <w:vAlign w:val="bottom"/>
          </w:tcPr>
          <w:p>
            <w:pPr>
              <w:spacing w:after="0"/>
              <w:rPr>
                <w:sz w:val="16"/>
                <w:szCs w:val="16"/>
                <w:color w:val="auto"/>
              </w:rPr>
            </w:pPr>
          </w:p>
        </w:tc>
        <w:tc>
          <w:tcPr>
            <w:tcW w:w="1420" w:type="dxa"/>
            <w:vAlign w:val="bottom"/>
          </w:tcPr>
          <w:p>
            <w:pPr>
              <w:jc w:val="center"/>
              <w:ind w:left="133"/>
              <w:spacing w:after="0"/>
              <w:rPr>
                <w:sz w:val="20"/>
                <w:szCs w:val="20"/>
                <w:color w:val="auto"/>
              </w:rPr>
            </w:pPr>
            <w:r>
              <w:rPr>
                <w:rFonts w:ascii="Arial" w:cs="Arial" w:eastAsia="Arial" w:hAnsi="Arial"/>
                <w:sz w:val="16"/>
                <w:szCs w:val="16"/>
                <w:b w:val="1"/>
                <w:bCs w:val="1"/>
                <w:color w:val="002060"/>
                <w:w w:val="98"/>
              </w:rPr>
              <w:t>Company</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002060"/>
                <w:w w:val="98"/>
              </w:rPr>
              <w:t>Paid Car</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002060"/>
              </w:rPr>
              <w:t>Paid</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002060"/>
              </w:rPr>
              <w:t>401(K)</w:t>
            </w:r>
          </w:p>
        </w:tc>
        <w:tc>
          <w:tcPr>
            <w:tcW w:w="1280" w:type="dxa"/>
            <w:vAlign w:val="bottom"/>
          </w:tcPr>
          <w:p>
            <w:pPr>
              <w:jc w:val="center"/>
              <w:ind w:right="75"/>
              <w:spacing w:after="0"/>
              <w:rPr>
                <w:sz w:val="20"/>
                <w:szCs w:val="20"/>
                <w:color w:val="auto"/>
              </w:rPr>
            </w:pPr>
            <w:r>
              <w:rPr>
                <w:rFonts w:ascii="Arial" w:cs="Arial" w:eastAsia="Arial" w:hAnsi="Arial"/>
                <w:sz w:val="16"/>
                <w:szCs w:val="16"/>
                <w:b w:val="1"/>
                <w:bCs w:val="1"/>
                <w:color w:val="002060"/>
              </w:rPr>
              <w:t>Mobile</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002060"/>
              </w:rPr>
              <w:t>All Other</w:t>
            </w:r>
          </w:p>
        </w:tc>
      </w:tr>
      <w:tr>
        <w:trPr>
          <w:trHeight w:val="189"/>
        </w:trPr>
        <w:tc>
          <w:tcPr>
            <w:tcW w:w="3220" w:type="dxa"/>
            <w:vAlign w:val="bottom"/>
          </w:tcPr>
          <w:p>
            <w:pPr>
              <w:spacing w:after="0"/>
              <w:rPr>
                <w:sz w:val="16"/>
                <w:szCs w:val="16"/>
                <w:color w:val="auto"/>
              </w:rPr>
            </w:pPr>
          </w:p>
        </w:tc>
        <w:tc>
          <w:tcPr>
            <w:tcW w:w="1420" w:type="dxa"/>
            <w:vAlign w:val="bottom"/>
          </w:tcPr>
          <w:p>
            <w:pPr>
              <w:jc w:val="center"/>
              <w:ind w:left="133"/>
              <w:spacing w:after="0"/>
              <w:rPr>
                <w:sz w:val="20"/>
                <w:szCs w:val="20"/>
                <w:color w:val="auto"/>
              </w:rPr>
            </w:pPr>
            <w:r>
              <w:rPr>
                <w:rFonts w:ascii="Arial" w:cs="Arial" w:eastAsia="Arial" w:hAnsi="Arial"/>
                <w:sz w:val="16"/>
                <w:szCs w:val="16"/>
                <w:b w:val="1"/>
                <w:bCs w:val="1"/>
                <w:color w:val="002060"/>
              </w:rPr>
              <w:t>Car</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002060"/>
              </w:rPr>
              <w:t>Insurance</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002060"/>
              </w:rPr>
              <w:t>Parking</w:t>
            </w:r>
          </w:p>
        </w:tc>
        <w:tc>
          <w:tcPr>
            <w:tcW w:w="960" w:type="dxa"/>
            <w:vAlign w:val="bottom"/>
          </w:tcPr>
          <w:p>
            <w:pPr>
              <w:jc w:val="right"/>
              <w:ind w:right="173"/>
              <w:spacing w:after="0"/>
              <w:rPr>
                <w:sz w:val="20"/>
                <w:szCs w:val="20"/>
                <w:color w:val="auto"/>
              </w:rPr>
            </w:pPr>
            <w:r>
              <w:rPr>
                <w:rFonts w:ascii="Arial" w:cs="Arial" w:eastAsia="Arial" w:hAnsi="Arial"/>
                <w:sz w:val="16"/>
                <w:szCs w:val="16"/>
                <w:b w:val="1"/>
                <w:bCs w:val="1"/>
                <w:color w:val="002060"/>
              </w:rPr>
              <w:t>Match</w:t>
            </w:r>
          </w:p>
        </w:tc>
        <w:tc>
          <w:tcPr>
            <w:tcW w:w="1280" w:type="dxa"/>
            <w:vAlign w:val="bottom"/>
          </w:tcPr>
          <w:p>
            <w:pPr>
              <w:jc w:val="center"/>
              <w:ind w:right="75"/>
              <w:spacing w:after="0"/>
              <w:rPr>
                <w:sz w:val="20"/>
                <w:szCs w:val="20"/>
                <w:color w:val="auto"/>
              </w:rPr>
            </w:pPr>
            <w:r>
              <w:rPr>
                <w:rFonts w:ascii="Arial" w:cs="Arial" w:eastAsia="Arial" w:hAnsi="Arial"/>
                <w:sz w:val="16"/>
                <w:szCs w:val="16"/>
                <w:b w:val="1"/>
                <w:bCs w:val="1"/>
                <w:color w:val="002060"/>
                <w:w w:val="98"/>
              </w:rPr>
              <w:t>Phone</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002060"/>
              </w:rPr>
              <w:t>Compensation</w:t>
            </w:r>
          </w:p>
        </w:tc>
      </w:tr>
      <w:tr>
        <w:trPr>
          <w:trHeight w:val="224"/>
        </w:trPr>
        <w:tc>
          <w:tcPr>
            <w:tcW w:w="3220" w:type="dxa"/>
            <w:vAlign w:val="bottom"/>
            <w:tcBorders>
              <w:bottom w:val="single" w:sz="8" w:color="0070C0"/>
            </w:tcBorders>
          </w:tcPr>
          <w:p>
            <w:pPr>
              <w:spacing w:after="0"/>
              <w:rPr>
                <w:sz w:val="20"/>
                <w:szCs w:val="20"/>
                <w:color w:val="auto"/>
              </w:rPr>
            </w:pPr>
            <w:r>
              <w:rPr>
                <w:rFonts w:ascii="Arial" w:cs="Arial" w:eastAsia="Arial" w:hAnsi="Arial"/>
                <w:sz w:val="16"/>
                <w:szCs w:val="16"/>
                <w:b w:val="1"/>
                <w:bCs w:val="1"/>
                <w:color w:val="002060"/>
              </w:rPr>
              <w:t>Name</w:t>
            </w:r>
          </w:p>
        </w:tc>
        <w:tc>
          <w:tcPr>
            <w:tcW w:w="1420" w:type="dxa"/>
            <w:vAlign w:val="bottom"/>
            <w:tcBorders>
              <w:bottom w:val="single" w:sz="8" w:color="0070C0"/>
            </w:tcBorders>
          </w:tcPr>
          <w:p>
            <w:pPr>
              <w:jc w:val="center"/>
              <w:ind w:left="133"/>
              <w:spacing w:after="0"/>
              <w:rPr>
                <w:sz w:val="20"/>
                <w:szCs w:val="20"/>
                <w:color w:val="auto"/>
              </w:rPr>
            </w:pPr>
            <w:r>
              <w:rPr>
                <w:rFonts w:ascii="Arial" w:cs="Arial" w:eastAsia="Arial" w:hAnsi="Arial"/>
                <w:sz w:val="16"/>
                <w:szCs w:val="16"/>
                <w:b w:val="1"/>
                <w:bCs w:val="1"/>
                <w:color w:val="002060"/>
              </w:rPr>
              <w:t>($)</w:t>
            </w:r>
          </w:p>
        </w:tc>
        <w:tc>
          <w:tcPr>
            <w:tcW w:w="1180" w:type="dxa"/>
            <w:vAlign w:val="bottom"/>
            <w:tcBorders>
              <w:bottom w:val="single" w:sz="8" w:color="0070C0"/>
            </w:tcBorders>
          </w:tcPr>
          <w:p>
            <w:pPr>
              <w:ind w:left="500"/>
              <w:spacing w:after="0"/>
              <w:rPr>
                <w:sz w:val="20"/>
                <w:szCs w:val="20"/>
                <w:color w:val="auto"/>
              </w:rPr>
            </w:pPr>
            <w:r>
              <w:rPr>
                <w:rFonts w:ascii="Arial" w:cs="Arial" w:eastAsia="Arial" w:hAnsi="Arial"/>
                <w:sz w:val="16"/>
                <w:szCs w:val="16"/>
                <w:b w:val="1"/>
                <w:bCs w:val="1"/>
                <w:color w:val="002060"/>
              </w:rPr>
              <w:t>($)</w:t>
            </w:r>
          </w:p>
        </w:tc>
        <w:tc>
          <w:tcPr>
            <w:tcW w:w="1160" w:type="dxa"/>
            <w:vAlign w:val="bottom"/>
            <w:tcBorders>
              <w:bottom w:val="single" w:sz="8" w:color="0070C0"/>
            </w:tcBorders>
          </w:tcPr>
          <w:p>
            <w:pPr>
              <w:jc w:val="center"/>
              <w:spacing w:after="0"/>
              <w:rPr>
                <w:sz w:val="20"/>
                <w:szCs w:val="20"/>
                <w:color w:val="auto"/>
              </w:rPr>
            </w:pPr>
            <w:r>
              <w:rPr>
                <w:rFonts w:ascii="Arial" w:cs="Arial" w:eastAsia="Arial" w:hAnsi="Arial"/>
                <w:sz w:val="16"/>
                <w:szCs w:val="16"/>
                <w:b w:val="1"/>
                <w:bCs w:val="1"/>
                <w:color w:val="002060"/>
              </w:rPr>
              <w:t>($)</w:t>
            </w:r>
          </w:p>
        </w:tc>
        <w:tc>
          <w:tcPr>
            <w:tcW w:w="960" w:type="dxa"/>
            <w:vAlign w:val="bottom"/>
            <w:tcBorders>
              <w:bottom w:val="single" w:sz="8" w:color="0070C0"/>
            </w:tcBorders>
          </w:tcPr>
          <w:p>
            <w:pPr>
              <w:jc w:val="right"/>
              <w:ind w:right="313"/>
              <w:spacing w:after="0"/>
              <w:rPr>
                <w:sz w:val="20"/>
                <w:szCs w:val="20"/>
                <w:color w:val="auto"/>
              </w:rPr>
            </w:pPr>
            <w:r>
              <w:rPr>
                <w:rFonts w:ascii="Arial" w:cs="Arial" w:eastAsia="Arial" w:hAnsi="Arial"/>
                <w:sz w:val="16"/>
                <w:szCs w:val="16"/>
                <w:b w:val="1"/>
                <w:bCs w:val="1"/>
                <w:color w:val="002060"/>
              </w:rPr>
              <w:t>($)</w:t>
            </w:r>
          </w:p>
        </w:tc>
        <w:tc>
          <w:tcPr>
            <w:tcW w:w="1280" w:type="dxa"/>
            <w:vAlign w:val="bottom"/>
            <w:tcBorders>
              <w:bottom w:val="single" w:sz="8" w:color="0070C0"/>
            </w:tcBorders>
          </w:tcPr>
          <w:p>
            <w:pPr>
              <w:jc w:val="center"/>
              <w:ind w:right="75"/>
              <w:spacing w:after="0"/>
              <w:rPr>
                <w:sz w:val="20"/>
                <w:szCs w:val="20"/>
                <w:color w:val="auto"/>
              </w:rPr>
            </w:pPr>
            <w:r>
              <w:rPr>
                <w:rFonts w:ascii="Arial" w:cs="Arial" w:eastAsia="Arial" w:hAnsi="Arial"/>
                <w:sz w:val="16"/>
                <w:szCs w:val="16"/>
                <w:b w:val="1"/>
                <w:bCs w:val="1"/>
                <w:color w:val="002060"/>
              </w:rPr>
              <w:t>($)</w:t>
            </w:r>
          </w:p>
        </w:tc>
        <w:tc>
          <w:tcPr>
            <w:tcW w:w="1800" w:type="dxa"/>
            <w:vAlign w:val="bottom"/>
            <w:tcBorders>
              <w:bottom w:val="single" w:sz="8" w:color="0070C0"/>
            </w:tcBorders>
          </w:tcPr>
          <w:p>
            <w:pPr>
              <w:jc w:val="center"/>
              <w:spacing w:after="0"/>
              <w:rPr>
                <w:sz w:val="20"/>
                <w:szCs w:val="20"/>
                <w:color w:val="auto"/>
              </w:rPr>
            </w:pPr>
            <w:r>
              <w:rPr>
                <w:rFonts w:ascii="Arial" w:cs="Arial" w:eastAsia="Arial" w:hAnsi="Arial"/>
                <w:sz w:val="16"/>
                <w:szCs w:val="16"/>
                <w:b w:val="1"/>
                <w:bCs w:val="1"/>
                <w:color w:val="002060"/>
              </w:rPr>
              <w:t>($)</w:t>
            </w:r>
          </w:p>
        </w:tc>
      </w:tr>
      <w:tr>
        <w:trPr>
          <w:trHeight w:val="203"/>
        </w:trPr>
        <w:tc>
          <w:tcPr>
            <w:tcW w:w="3220" w:type="dxa"/>
            <w:vAlign w:val="bottom"/>
            <w:tcBorders>
              <w:bottom w:val="single" w:sz="8" w:color="002060"/>
            </w:tcBorders>
            <w:shd w:val="clear" w:color="auto" w:fill="D5DCE4"/>
          </w:tcPr>
          <w:p>
            <w:pPr>
              <w:spacing w:after="0" w:line="202" w:lineRule="exact"/>
              <w:rPr>
                <w:sz w:val="20"/>
                <w:szCs w:val="20"/>
                <w:color w:val="auto"/>
              </w:rPr>
            </w:pPr>
            <w:r>
              <w:rPr>
                <w:rFonts w:ascii="Arial" w:cs="Arial" w:eastAsia="Arial" w:hAnsi="Arial"/>
                <w:sz w:val="18"/>
                <w:szCs w:val="18"/>
                <w:color w:val="auto"/>
              </w:rPr>
              <w:t>  Jeffrey W. Edwards</w:t>
            </w:r>
          </w:p>
        </w:tc>
        <w:tc>
          <w:tcPr>
            <w:tcW w:w="1420" w:type="dxa"/>
            <w:vAlign w:val="bottom"/>
            <w:tcBorders>
              <w:bottom w:val="single" w:sz="8" w:color="auto"/>
            </w:tcBorders>
          </w:tcPr>
          <w:p>
            <w:pPr>
              <w:jc w:val="right"/>
              <w:ind w:right="213"/>
              <w:spacing w:after="0" w:line="202" w:lineRule="exact"/>
              <w:rPr>
                <w:sz w:val="20"/>
                <w:szCs w:val="20"/>
                <w:color w:val="auto"/>
              </w:rPr>
            </w:pPr>
            <w:r>
              <w:rPr>
                <w:rFonts w:ascii="Arial" w:cs="Arial" w:eastAsia="Arial" w:hAnsi="Arial"/>
                <w:sz w:val="18"/>
                <w:szCs w:val="18"/>
                <w:color w:val="auto"/>
              </w:rPr>
              <w:t>30,399</w:t>
            </w:r>
          </w:p>
        </w:tc>
        <w:tc>
          <w:tcPr>
            <w:tcW w:w="1180" w:type="dxa"/>
            <w:vAlign w:val="bottom"/>
            <w:tcBorders>
              <w:bottom w:val="single" w:sz="8" w:color="auto"/>
            </w:tcBorders>
          </w:tcPr>
          <w:p>
            <w:pPr>
              <w:ind w:left="500"/>
              <w:spacing w:after="0" w:line="202" w:lineRule="exact"/>
              <w:rPr>
                <w:sz w:val="20"/>
                <w:szCs w:val="20"/>
                <w:color w:val="auto"/>
              </w:rPr>
            </w:pPr>
            <w:r>
              <w:rPr>
                <w:rFonts w:ascii="Arial" w:cs="Arial" w:eastAsia="Arial" w:hAnsi="Arial"/>
                <w:sz w:val="18"/>
                <w:szCs w:val="18"/>
                <w:color w:val="auto"/>
              </w:rPr>
              <w:t>2,757</w:t>
            </w:r>
          </w:p>
        </w:tc>
        <w:tc>
          <w:tcPr>
            <w:tcW w:w="1160" w:type="dxa"/>
            <w:vAlign w:val="bottom"/>
            <w:tcBorders>
              <w:bottom w:val="single" w:sz="8" w:color="auto"/>
            </w:tcBorders>
          </w:tcPr>
          <w:p>
            <w:pPr>
              <w:jc w:val="right"/>
              <w:ind w:right="234"/>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13"/>
              <w:spacing w:after="0" w:line="202" w:lineRule="exact"/>
              <w:rPr>
                <w:sz w:val="20"/>
                <w:szCs w:val="20"/>
                <w:color w:val="auto"/>
              </w:rPr>
            </w:pPr>
            <w:r>
              <w:rPr>
                <w:rFonts w:ascii="Arial" w:cs="Arial" w:eastAsia="Arial" w:hAnsi="Arial"/>
                <w:sz w:val="18"/>
                <w:szCs w:val="18"/>
                <w:color w:val="auto"/>
              </w:rPr>
              <w:t>1,477</w:t>
            </w:r>
          </w:p>
        </w:tc>
        <w:tc>
          <w:tcPr>
            <w:tcW w:w="1280" w:type="dxa"/>
            <w:vAlign w:val="bottom"/>
            <w:tcBorders>
              <w:bottom w:val="single" w:sz="8" w:color="auto"/>
            </w:tcBorders>
          </w:tcPr>
          <w:p>
            <w:pPr>
              <w:jc w:val="right"/>
              <w:ind w:right="375"/>
              <w:spacing w:after="0" w:line="202" w:lineRule="exact"/>
              <w:rPr>
                <w:sz w:val="20"/>
                <w:szCs w:val="20"/>
                <w:color w:val="auto"/>
              </w:rPr>
            </w:pPr>
            <w:r>
              <w:rPr>
                <w:rFonts w:ascii="Arial" w:cs="Arial" w:eastAsia="Arial" w:hAnsi="Arial"/>
                <w:sz w:val="18"/>
                <w:szCs w:val="18"/>
                <w:color w:val="auto"/>
              </w:rPr>
              <w:t>4,907</w:t>
            </w:r>
          </w:p>
        </w:tc>
        <w:tc>
          <w:tcPr>
            <w:tcW w:w="1800" w:type="dxa"/>
            <w:vAlign w:val="bottom"/>
            <w:tcBorders>
              <w:bottom w:val="single" w:sz="8" w:color="auto"/>
            </w:tcBorders>
          </w:tcPr>
          <w:p>
            <w:pPr>
              <w:jc w:val="right"/>
              <w:ind w:right="493"/>
              <w:spacing w:after="0" w:line="202" w:lineRule="exact"/>
              <w:rPr>
                <w:sz w:val="20"/>
                <w:szCs w:val="20"/>
                <w:color w:val="auto"/>
              </w:rPr>
            </w:pPr>
            <w:r>
              <w:rPr>
                <w:rFonts w:ascii="Arial" w:cs="Arial" w:eastAsia="Arial" w:hAnsi="Arial"/>
                <w:sz w:val="18"/>
                <w:szCs w:val="18"/>
                <w:color w:val="auto"/>
              </w:rPr>
              <w:t>39,541</w:t>
            </w:r>
          </w:p>
        </w:tc>
      </w:tr>
      <w:tr>
        <w:trPr>
          <w:trHeight w:val="196"/>
        </w:trPr>
        <w:tc>
          <w:tcPr>
            <w:tcW w:w="3220" w:type="dxa"/>
            <w:vAlign w:val="bottom"/>
            <w:tcBorders>
              <w:bottom w:val="single" w:sz="8" w:color="002060"/>
            </w:tcBorders>
            <w:shd w:val="clear" w:color="auto" w:fill="D5DCE4"/>
          </w:tcPr>
          <w:p>
            <w:pPr>
              <w:spacing w:after="0" w:line="196" w:lineRule="exact"/>
              <w:rPr>
                <w:sz w:val="20"/>
                <w:szCs w:val="20"/>
                <w:color w:val="auto"/>
              </w:rPr>
            </w:pPr>
            <w:r>
              <w:rPr>
                <w:rFonts w:ascii="Arial" w:cs="Arial" w:eastAsia="Arial" w:hAnsi="Arial"/>
                <w:sz w:val="18"/>
                <w:szCs w:val="18"/>
                <w:color w:val="auto"/>
              </w:rPr>
              <w:t>  Michael T. Miller</w:t>
            </w:r>
          </w:p>
        </w:tc>
        <w:tc>
          <w:tcPr>
            <w:tcW w:w="1420" w:type="dxa"/>
            <w:vAlign w:val="bottom"/>
            <w:tcBorders>
              <w:bottom w:val="single" w:sz="8" w:color="auto"/>
            </w:tcBorders>
          </w:tcPr>
          <w:p>
            <w:pPr>
              <w:jc w:val="right"/>
              <w:ind w:right="213"/>
              <w:spacing w:after="0" w:line="196" w:lineRule="exact"/>
              <w:rPr>
                <w:sz w:val="20"/>
                <w:szCs w:val="20"/>
                <w:color w:val="auto"/>
              </w:rPr>
            </w:pPr>
            <w:r>
              <w:rPr>
                <w:rFonts w:ascii="Arial" w:cs="Arial" w:eastAsia="Arial" w:hAnsi="Arial"/>
                <w:sz w:val="18"/>
                <w:szCs w:val="18"/>
                <w:color w:val="auto"/>
              </w:rPr>
              <w:t>15,451</w:t>
            </w:r>
          </w:p>
        </w:tc>
        <w:tc>
          <w:tcPr>
            <w:tcW w:w="1180" w:type="dxa"/>
            <w:vAlign w:val="bottom"/>
            <w:tcBorders>
              <w:bottom w:val="single" w:sz="8" w:color="auto"/>
            </w:tcBorders>
          </w:tcPr>
          <w:p>
            <w:pPr>
              <w:ind w:left="500"/>
              <w:spacing w:after="0" w:line="196" w:lineRule="exact"/>
              <w:rPr>
                <w:sz w:val="20"/>
                <w:szCs w:val="20"/>
                <w:color w:val="auto"/>
              </w:rPr>
            </w:pPr>
            <w:r>
              <w:rPr>
                <w:rFonts w:ascii="Arial" w:cs="Arial" w:eastAsia="Arial" w:hAnsi="Arial"/>
                <w:sz w:val="18"/>
                <w:szCs w:val="18"/>
                <w:color w:val="auto"/>
              </w:rPr>
              <w:t>2,757</w:t>
            </w:r>
          </w:p>
        </w:tc>
        <w:tc>
          <w:tcPr>
            <w:tcW w:w="1160" w:type="dxa"/>
            <w:vAlign w:val="bottom"/>
            <w:tcBorders>
              <w:bottom w:val="single" w:sz="8" w:color="auto"/>
            </w:tcBorders>
          </w:tcPr>
          <w:p>
            <w:pPr>
              <w:jc w:val="right"/>
              <w:ind w:right="234"/>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13"/>
              <w:spacing w:after="0" w:line="196" w:lineRule="exact"/>
              <w:rPr>
                <w:sz w:val="20"/>
                <w:szCs w:val="20"/>
                <w:color w:val="auto"/>
              </w:rPr>
            </w:pPr>
            <w:r>
              <w:rPr>
                <w:rFonts w:ascii="Arial" w:cs="Arial" w:eastAsia="Arial" w:hAnsi="Arial"/>
                <w:sz w:val="18"/>
                <w:szCs w:val="18"/>
                <w:color w:val="auto"/>
              </w:rPr>
              <w:t>4,204</w:t>
            </w:r>
          </w:p>
        </w:tc>
        <w:tc>
          <w:tcPr>
            <w:tcW w:w="1280" w:type="dxa"/>
            <w:vAlign w:val="bottom"/>
            <w:tcBorders>
              <w:bottom w:val="single" w:sz="8" w:color="auto"/>
            </w:tcBorders>
          </w:tcPr>
          <w:p>
            <w:pPr>
              <w:jc w:val="right"/>
              <w:ind w:right="375"/>
              <w:spacing w:after="0" w:line="196" w:lineRule="exact"/>
              <w:rPr>
                <w:sz w:val="20"/>
                <w:szCs w:val="20"/>
                <w:color w:val="auto"/>
              </w:rPr>
            </w:pPr>
            <w:r>
              <w:rPr>
                <w:rFonts w:ascii="Arial" w:cs="Arial" w:eastAsia="Arial" w:hAnsi="Arial"/>
                <w:sz w:val="18"/>
                <w:szCs w:val="18"/>
                <w:color w:val="auto"/>
              </w:rPr>
              <w:t>528</w:t>
            </w:r>
          </w:p>
        </w:tc>
        <w:tc>
          <w:tcPr>
            <w:tcW w:w="1800" w:type="dxa"/>
            <w:vAlign w:val="bottom"/>
            <w:tcBorders>
              <w:bottom w:val="single" w:sz="8" w:color="auto"/>
            </w:tcBorders>
          </w:tcPr>
          <w:p>
            <w:pPr>
              <w:jc w:val="right"/>
              <w:ind w:right="493"/>
              <w:spacing w:after="0" w:line="196" w:lineRule="exact"/>
              <w:rPr>
                <w:sz w:val="20"/>
                <w:szCs w:val="20"/>
                <w:color w:val="auto"/>
              </w:rPr>
            </w:pPr>
            <w:r>
              <w:rPr>
                <w:rFonts w:ascii="Arial" w:cs="Arial" w:eastAsia="Arial" w:hAnsi="Arial"/>
                <w:sz w:val="18"/>
                <w:szCs w:val="18"/>
                <w:color w:val="auto"/>
              </w:rPr>
              <w:t>22,940</w:t>
            </w:r>
          </w:p>
        </w:tc>
      </w:tr>
      <w:tr>
        <w:trPr>
          <w:trHeight w:val="196"/>
        </w:trPr>
        <w:tc>
          <w:tcPr>
            <w:tcW w:w="3220" w:type="dxa"/>
            <w:vAlign w:val="bottom"/>
            <w:tcBorders>
              <w:bottom w:val="single" w:sz="8" w:color="002060"/>
            </w:tcBorders>
            <w:shd w:val="clear" w:color="auto" w:fill="D5DCE4"/>
          </w:tcPr>
          <w:p>
            <w:pPr>
              <w:spacing w:after="0" w:line="196" w:lineRule="exact"/>
              <w:rPr>
                <w:sz w:val="20"/>
                <w:szCs w:val="20"/>
                <w:color w:val="auto"/>
              </w:rPr>
            </w:pPr>
            <w:r>
              <w:rPr>
                <w:rFonts w:ascii="Arial" w:cs="Arial" w:eastAsia="Arial" w:hAnsi="Arial"/>
                <w:sz w:val="18"/>
                <w:szCs w:val="18"/>
                <w:color w:val="auto"/>
              </w:rPr>
              <w:t>  Jay P. Elliott</w:t>
            </w:r>
          </w:p>
        </w:tc>
        <w:tc>
          <w:tcPr>
            <w:tcW w:w="1420" w:type="dxa"/>
            <w:vAlign w:val="bottom"/>
            <w:tcBorders>
              <w:bottom w:val="single" w:sz="8" w:color="auto"/>
            </w:tcBorders>
          </w:tcPr>
          <w:p>
            <w:pPr>
              <w:jc w:val="right"/>
              <w:ind w:right="213"/>
              <w:spacing w:after="0" w:line="196" w:lineRule="exact"/>
              <w:rPr>
                <w:sz w:val="20"/>
                <w:szCs w:val="20"/>
                <w:color w:val="auto"/>
              </w:rPr>
            </w:pPr>
            <w:r>
              <w:rPr>
                <w:rFonts w:ascii="Arial" w:cs="Arial" w:eastAsia="Arial" w:hAnsi="Arial"/>
                <w:sz w:val="18"/>
                <w:szCs w:val="18"/>
                <w:color w:val="auto"/>
              </w:rPr>
              <w:t>14,600</w:t>
            </w:r>
          </w:p>
        </w:tc>
        <w:tc>
          <w:tcPr>
            <w:tcW w:w="1180" w:type="dxa"/>
            <w:vAlign w:val="bottom"/>
            <w:tcBorders>
              <w:bottom w:val="single" w:sz="8" w:color="auto"/>
            </w:tcBorders>
          </w:tcPr>
          <w:p>
            <w:pPr>
              <w:ind w:left="500"/>
              <w:spacing w:after="0" w:line="196" w:lineRule="exact"/>
              <w:rPr>
                <w:sz w:val="20"/>
                <w:szCs w:val="20"/>
                <w:color w:val="auto"/>
              </w:rPr>
            </w:pPr>
            <w:r>
              <w:rPr>
                <w:rFonts w:ascii="Arial" w:cs="Arial" w:eastAsia="Arial" w:hAnsi="Arial"/>
                <w:sz w:val="18"/>
                <w:szCs w:val="18"/>
                <w:color w:val="auto"/>
              </w:rPr>
              <w:t>2,757</w:t>
            </w:r>
          </w:p>
        </w:tc>
        <w:tc>
          <w:tcPr>
            <w:tcW w:w="1160" w:type="dxa"/>
            <w:vAlign w:val="bottom"/>
            <w:tcBorders>
              <w:bottom w:val="single" w:sz="8" w:color="auto"/>
            </w:tcBorders>
          </w:tcPr>
          <w:p>
            <w:pPr>
              <w:jc w:val="right"/>
              <w:ind w:right="234"/>
              <w:spacing w:after="0" w:line="196" w:lineRule="exact"/>
              <w:rPr>
                <w:sz w:val="20"/>
                <w:szCs w:val="20"/>
                <w:color w:val="auto"/>
              </w:rPr>
            </w:pPr>
            <w:r>
              <w:rPr>
                <w:rFonts w:ascii="Arial" w:cs="Arial" w:eastAsia="Arial" w:hAnsi="Arial"/>
                <w:sz w:val="18"/>
                <w:szCs w:val="18"/>
                <w:color w:val="auto"/>
              </w:rPr>
              <w:t>1,920</w:t>
            </w:r>
          </w:p>
        </w:tc>
        <w:tc>
          <w:tcPr>
            <w:tcW w:w="960" w:type="dxa"/>
            <w:vAlign w:val="bottom"/>
            <w:tcBorders>
              <w:bottom w:val="single" w:sz="8" w:color="auto"/>
            </w:tcBorders>
          </w:tcPr>
          <w:p>
            <w:pPr>
              <w:jc w:val="right"/>
              <w:ind w:right="113"/>
              <w:spacing w:after="0" w:line="196" w:lineRule="exact"/>
              <w:rPr>
                <w:sz w:val="20"/>
                <w:szCs w:val="20"/>
                <w:color w:val="auto"/>
              </w:rPr>
            </w:pPr>
            <w:r>
              <w:rPr>
                <w:rFonts w:ascii="Arial" w:cs="Arial" w:eastAsia="Arial" w:hAnsi="Arial"/>
                <w:sz w:val="18"/>
                <w:szCs w:val="18"/>
                <w:color w:val="auto"/>
              </w:rPr>
              <w:t>4,190</w:t>
            </w:r>
          </w:p>
        </w:tc>
        <w:tc>
          <w:tcPr>
            <w:tcW w:w="1280" w:type="dxa"/>
            <w:vAlign w:val="bottom"/>
            <w:tcBorders>
              <w:bottom w:val="single" w:sz="8" w:color="auto"/>
            </w:tcBorders>
          </w:tcPr>
          <w:p>
            <w:pPr>
              <w:jc w:val="right"/>
              <w:ind w:right="375"/>
              <w:spacing w:after="0" w:line="196" w:lineRule="exact"/>
              <w:rPr>
                <w:sz w:val="20"/>
                <w:szCs w:val="20"/>
                <w:color w:val="auto"/>
              </w:rPr>
            </w:pPr>
            <w:r>
              <w:rPr>
                <w:rFonts w:ascii="Arial" w:cs="Arial" w:eastAsia="Arial" w:hAnsi="Arial"/>
                <w:sz w:val="18"/>
                <w:szCs w:val="18"/>
                <w:color w:val="auto"/>
              </w:rPr>
              <w:t>790</w:t>
            </w:r>
          </w:p>
        </w:tc>
        <w:tc>
          <w:tcPr>
            <w:tcW w:w="1800" w:type="dxa"/>
            <w:vAlign w:val="bottom"/>
            <w:tcBorders>
              <w:bottom w:val="single" w:sz="8" w:color="auto"/>
            </w:tcBorders>
          </w:tcPr>
          <w:p>
            <w:pPr>
              <w:jc w:val="right"/>
              <w:ind w:right="493"/>
              <w:spacing w:after="0" w:line="196" w:lineRule="exact"/>
              <w:rPr>
                <w:sz w:val="20"/>
                <w:szCs w:val="20"/>
                <w:color w:val="auto"/>
              </w:rPr>
            </w:pPr>
            <w:r>
              <w:rPr>
                <w:rFonts w:ascii="Arial" w:cs="Arial" w:eastAsia="Arial" w:hAnsi="Arial"/>
                <w:sz w:val="18"/>
                <w:szCs w:val="18"/>
                <w:color w:val="auto"/>
              </w:rPr>
              <w:t>24,256</w:t>
            </w:r>
          </w:p>
        </w:tc>
      </w:tr>
      <w:tr>
        <w:trPr>
          <w:trHeight w:val="196"/>
        </w:trPr>
        <w:tc>
          <w:tcPr>
            <w:tcW w:w="3220" w:type="dxa"/>
            <w:vAlign w:val="bottom"/>
            <w:tcBorders>
              <w:bottom w:val="single" w:sz="8" w:color="002060"/>
            </w:tcBorders>
            <w:shd w:val="clear" w:color="auto" w:fill="D5DCE4"/>
          </w:tcPr>
          <w:p>
            <w:pPr>
              <w:spacing w:after="0" w:line="196" w:lineRule="exact"/>
              <w:rPr>
                <w:sz w:val="20"/>
                <w:szCs w:val="20"/>
                <w:color w:val="auto"/>
              </w:rPr>
            </w:pPr>
            <w:r>
              <w:rPr>
                <w:rFonts w:ascii="Arial" w:cs="Arial" w:eastAsia="Arial" w:hAnsi="Arial"/>
                <w:sz w:val="18"/>
                <w:szCs w:val="18"/>
                <w:color w:val="auto"/>
              </w:rPr>
              <w:t>  W. Jeffrey Hire</w:t>
            </w:r>
          </w:p>
        </w:tc>
        <w:tc>
          <w:tcPr>
            <w:tcW w:w="1420" w:type="dxa"/>
            <w:vAlign w:val="bottom"/>
            <w:tcBorders>
              <w:bottom w:val="single" w:sz="8" w:color="auto"/>
            </w:tcBorders>
          </w:tcPr>
          <w:p>
            <w:pPr>
              <w:jc w:val="right"/>
              <w:ind w:right="213"/>
              <w:spacing w:after="0" w:line="196" w:lineRule="exact"/>
              <w:rPr>
                <w:sz w:val="20"/>
                <w:szCs w:val="20"/>
                <w:color w:val="auto"/>
              </w:rPr>
            </w:pPr>
            <w:r>
              <w:rPr>
                <w:rFonts w:ascii="Arial" w:cs="Arial" w:eastAsia="Arial" w:hAnsi="Arial"/>
                <w:sz w:val="18"/>
                <w:szCs w:val="18"/>
                <w:color w:val="auto"/>
              </w:rPr>
              <w:t>21,103</w:t>
            </w:r>
          </w:p>
        </w:tc>
        <w:tc>
          <w:tcPr>
            <w:tcW w:w="1180" w:type="dxa"/>
            <w:vAlign w:val="bottom"/>
            <w:tcBorders>
              <w:bottom w:val="single" w:sz="8" w:color="auto"/>
            </w:tcBorders>
          </w:tcPr>
          <w:p>
            <w:pPr>
              <w:ind w:left="500"/>
              <w:spacing w:after="0" w:line="196" w:lineRule="exact"/>
              <w:rPr>
                <w:sz w:val="20"/>
                <w:szCs w:val="20"/>
                <w:color w:val="auto"/>
              </w:rPr>
            </w:pPr>
            <w:r>
              <w:rPr>
                <w:rFonts w:ascii="Arial" w:cs="Arial" w:eastAsia="Arial" w:hAnsi="Arial"/>
                <w:sz w:val="18"/>
                <w:szCs w:val="18"/>
                <w:color w:val="auto"/>
              </w:rPr>
              <w:t>2,757</w:t>
            </w:r>
          </w:p>
        </w:tc>
        <w:tc>
          <w:tcPr>
            <w:tcW w:w="1160" w:type="dxa"/>
            <w:vAlign w:val="bottom"/>
            <w:tcBorders>
              <w:bottom w:val="single" w:sz="8" w:color="auto"/>
            </w:tcBorders>
          </w:tcPr>
          <w:p>
            <w:pPr>
              <w:jc w:val="right"/>
              <w:ind w:right="234"/>
              <w:spacing w:after="0" w:line="196" w:lineRule="exact"/>
              <w:rPr>
                <w:sz w:val="20"/>
                <w:szCs w:val="20"/>
                <w:color w:val="auto"/>
              </w:rPr>
            </w:pPr>
            <w:r>
              <w:rPr>
                <w:rFonts w:ascii="Arial" w:cs="Arial" w:eastAsia="Arial" w:hAnsi="Arial"/>
                <w:sz w:val="18"/>
                <w:szCs w:val="18"/>
                <w:color w:val="auto"/>
              </w:rPr>
              <w:t>1,920</w:t>
            </w:r>
          </w:p>
        </w:tc>
        <w:tc>
          <w:tcPr>
            <w:tcW w:w="960" w:type="dxa"/>
            <w:vAlign w:val="bottom"/>
            <w:tcBorders>
              <w:bottom w:val="single" w:sz="8" w:color="auto"/>
            </w:tcBorders>
          </w:tcPr>
          <w:p>
            <w:pPr>
              <w:jc w:val="right"/>
              <w:ind w:right="113"/>
              <w:spacing w:after="0" w:line="196" w:lineRule="exact"/>
              <w:rPr>
                <w:sz w:val="20"/>
                <w:szCs w:val="20"/>
                <w:color w:val="auto"/>
              </w:rPr>
            </w:pPr>
            <w:r>
              <w:rPr>
                <w:rFonts w:ascii="Arial" w:cs="Arial" w:eastAsia="Arial" w:hAnsi="Arial"/>
                <w:sz w:val="18"/>
                <w:szCs w:val="18"/>
                <w:color w:val="auto"/>
              </w:rPr>
              <w:t>5,625</w:t>
            </w:r>
          </w:p>
        </w:tc>
        <w:tc>
          <w:tcPr>
            <w:tcW w:w="1280" w:type="dxa"/>
            <w:vAlign w:val="bottom"/>
            <w:tcBorders>
              <w:bottom w:val="single" w:sz="8" w:color="auto"/>
            </w:tcBorders>
          </w:tcPr>
          <w:p>
            <w:pPr>
              <w:jc w:val="right"/>
              <w:ind w:right="375"/>
              <w:spacing w:after="0" w:line="196" w:lineRule="exact"/>
              <w:rPr>
                <w:sz w:val="20"/>
                <w:szCs w:val="20"/>
                <w:color w:val="auto"/>
              </w:rPr>
            </w:pPr>
            <w:r>
              <w:rPr>
                <w:rFonts w:ascii="Arial" w:cs="Arial" w:eastAsia="Arial" w:hAnsi="Arial"/>
                <w:sz w:val="18"/>
                <w:szCs w:val="18"/>
                <w:color w:val="auto"/>
              </w:rPr>
              <w:t>509</w:t>
            </w:r>
          </w:p>
        </w:tc>
        <w:tc>
          <w:tcPr>
            <w:tcW w:w="1800" w:type="dxa"/>
            <w:vAlign w:val="bottom"/>
            <w:tcBorders>
              <w:bottom w:val="single" w:sz="8" w:color="auto"/>
            </w:tcBorders>
          </w:tcPr>
          <w:p>
            <w:pPr>
              <w:jc w:val="right"/>
              <w:ind w:right="493"/>
              <w:spacing w:after="0" w:line="196" w:lineRule="exact"/>
              <w:rPr>
                <w:sz w:val="20"/>
                <w:szCs w:val="20"/>
                <w:color w:val="auto"/>
              </w:rPr>
            </w:pPr>
            <w:r>
              <w:rPr>
                <w:rFonts w:ascii="Arial" w:cs="Arial" w:eastAsia="Arial" w:hAnsi="Arial"/>
                <w:sz w:val="18"/>
                <w:szCs w:val="18"/>
                <w:color w:val="auto"/>
              </w:rPr>
              <w:t>31,914</w:t>
            </w:r>
          </w:p>
        </w:tc>
      </w:tr>
      <w:tr>
        <w:trPr>
          <w:trHeight w:val="203"/>
        </w:trPr>
        <w:tc>
          <w:tcPr>
            <w:tcW w:w="3220" w:type="dxa"/>
            <w:vAlign w:val="bottom"/>
            <w:tcBorders>
              <w:bottom w:val="single" w:sz="8" w:color="0070C0"/>
            </w:tcBorders>
            <w:shd w:val="clear" w:color="auto" w:fill="D5DCE4"/>
          </w:tcPr>
          <w:p>
            <w:pPr>
              <w:spacing w:after="0" w:line="196" w:lineRule="exact"/>
              <w:rPr>
                <w:sz w:val="20"/>
                <w:szCs w:val="20"/>
                <w:color w:val="auto"/>
              </w:rPr>
            </w:pPr>
            <w:r>
              <w:rPr>
                <w:rFonts w:ascii="Arial" w:cs="Arial" w:eastAsia="Arial" w:hAnsi="Arial"/>
                <w:sz w:val="18"/>
                <w:szCs w:val="18"/>
                <w:color w:val="auto"/>
              </w:rPr>
              <w:t>  Jason R. Niswonger</w:t>
            </w:r>
          </w:p>
        </w:tc>
        <w:tc>
          <w:tcPr>
            <w:tcW w:w="1420" w:type="dxa"/>
            <w:vAlign w:val="bottom"/>
            <w:tcBorders>
              <w:bottom w:val="single" w:sz="8" w:color="0070C0"/>
            </w:tcBorders>
          </w:tcPr>
          <w:p>
            <w:pPr>
              <w:jc w:val="right"/>
              <w:ind w:right="213"/>
              <w:spacing w:after="0" w:line="196" w:lineRule="exact"/>
              <w:rPr>
                <w:sz w:val="20"/>
                <w:szCs w:val="20"/>
                <w:color w:val="auto"/>
              </w:rPr>
            </w:pPr>
            <w:r>
              <w:rPr>
                <w:rFonts w:ascii="Arial" w:cs="Arial" w:eastAsia="Arial" w:hAnsi="Arial"/>
                <w:sz w:val="18"/>
                <w:szCs w:val="18"/>
                <w:color w:val="auto"/>
              </w:rPr>
              <w:t>17,176</w:t>
            </w:r>
          </w:p>
        </w:tc>
        <w:tc>
          <w:tcPr>
            <w:tcW w:w="1180" w:type="dxa"/>
            <w:vAlign w:val="bottom"/>
            <w:tcBorders>
              <w:bottom w:val="single" w:sz="8" w:color="0070C0"/>
            </w:tcBorders>
          </w:tcPr>
          <w:p>
            <w:pPr>
              <w:ind w:left="500"/>
              <w:spacing w:after="0" w:line="196" w:lineRule="exact"/>
              <w:rPr>
                <w:sz w:val="20"/>
                <w:szCs w:val="20"/>
                <w:color w:val="auto"/>
              </w:rPr>
            </w:pPr>
            <w:r>
              <w:rPr>
                <w:rFonts w:ascii="Arial" w:cs="Arial" w:eastAsia="Arial" w:hAnsi="Arial"/>
                <w:sz w:val="18"/>
                <w:szCs w:val="18"/>
                <w:color w:val="auto"/>
              </w:rPr>
              <w:t>2,757</w:t>
            </w:r>
          </w:p>
        </w:tc>
        <w:tc>
          <w:tcPr>
            <w:tcW w:w="1160" w:type="dxa"/>
            <w:vAlign w:val="bottom"/>
            <w:tcBorders>
              <w:bottom w:val="single" w:sz="8" w:color="0070C0"/>
            </w:tcBorders>
          </w:tcPr>
          <w:p>
            <w:pPr>
              <w:jc w:val="right"/>
              <w:ind w:right="234"/>
              <w:spacing w:after="0" w:line="196" w:lineRule="exact"/>
              <w:rPr>
                <w:sz w:val="20"/>
                <w:szCs w:val="20"/>
                <w:color w:val="auto"/>
              </w:rPr>
            </w:pPr>
            <w:r>
              <w:rPr>
                <w:rFonts w:ascii="Arial" w:cs="Arial" w:eastAsia="Arial" w:hAnsi="Arial"/>
                <w:sz w:val="18"/>
                <w:szCs w:val="18"/>
                <w:color w:val="auto"/>
              </w:rPr>
              <w:t>1,920</w:t>
            </w:r>
          </w:p>
        </w:tc>
        <w:tc>
          <w:tcPr>
            <w:tcW w:w="960" w:type="dxa"/>
            <w:vAlign w:val="bottom"/>
            <w:tcBorders>
              <w:bottom w:val="single" w:sz="8" w:color="0070C0"/>
            </w:tcBorders>
          </w:tcPr>
          <w:p>
            <w:pPr>
              <w:jc w:val="right"/>
              <w:ind w:right="113"/>
              <w:spacing w:after="0" w:line="196" w:lineRule="exact"/>
              <w:rPr>
                <w:sz w:val="20"/>
                <w:szCs w:val="20"/>
                <w:color w:val="auto"/>
              </w:rPr>
            </w:pPr>
            <w:r>
              <w:rPr>
                <w:rFonts w:ascii="Arial" w:cs="Arial" w:eastAsia="Arial" w:hAnsi="Arial"/>
                <w:sz w:val="18"/>
                <w:szCs w:val="18"/>
                <w:color w:val="auto"/>
              </w:rPr>
              <w:t>2,923</w:t>
            </w:r>
          </w:p>
        </w:tc>
        <w:tc>
          <w:tcPr>
            <w:tcW w:w="1280" w:type="dxa"/>
            <w:vAlign w:val="bottom"/>
            <w:tcBorders>
              <w:bottom w:val="single" w:sz="8" w:color="0070C0"/>
            </w:tcBorders>
          </w:tcPr>
          <w:p>
            <w:pPr>
              <w:jc w:val="right"/>
              <w:ind w:right="375"/>
              <w:spacing w:after="0" w:line="196" w:lineRule="exact"/>
              <w:rPr>
                <w:sz w:val="20"/>
                <w:szCs w:val="20"/>
                <w:color w:val="auto"/>
              </w:rPr>
            </w:pPr>
            <w:r>
              <w:rPr>
                <w:rFonts w:ascii="Arial" w:cs="Arial" w:eastAsia="Arial" w:hAnsi="Arial"/>
                <w:sz w:val="18"/>
                <w:szCs w:val="18"/>
                <w:color w:val="auto"/>
              </w:rPr>
              <w:t>760</w:t>
            </w:r>
          </w:p>
        </w:tc>
        <w:tc>
          <w:tcPr>
            <w:tcW w:w="1800" w:type="dxa"/>
            <w:vAlign w:val="bottom"/>
            <w:tcBorders>
              <w:bottom w:val="single" w:sz="8" w:color="0070C0"/>
            </w:tcBorders>
          </w:tcPr>
          <w:p>
            <w:pPr>
              <w:jc w:val="right"/>
              <w:ind w:right="493"/>
              <w:spacing w:after="0" w:line="196" w:lineRule="exact"/>
              <w:rPr>
                <w:sz w:val="20"/>
                <w:szCs w:val="20"/>
                <w:color w:val="auto"/>
              </w:rPr>
            </w:pPr>
            <w:r>
              <w:rPr>
                <w:rFonts w:ascii="Arial" w:cs="Arial" w:eastAsia="Arial" w:hAnsi="Arial"/>
                <w:sz w:val="18"/>
                <w:szCs w:val="18"/>
                <w:color w:val="auto"/>
              </w:rPr>
              <w:t>25,536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699516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8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0070C0"/>
        </w:rPr>
        <w:t>Executive Compensation</w:t>
      </w:r>
    </w:p>
    <w:p>
      <w:pPr>
        <w:spacing w:after="0" w:line="7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0070C0"/>
        </w:rPr>
        <w:t>63</w:t>
      </w:r>
    </w:p>
    <w:p>
      <w:pPr>
        <w:sectPr>
          <w:pgSz w:w="11900" w:h="16838" w:orient="portrait"/>
          <w:cols w:equalWidth="0" w:num="1">
            <w:col w:w="11024"/>
          </w:cols>
          <w:pgMar w:left="436" w:top="261" w:right="439" w:bottom="1440" w:gutter="0" w:footer="0" w:header="0"/>
        </w:sectPr>
      </w:pPr>
    </w:p>
    <w:bookmarkStart w:id="71" w:name="page72"/>
    <w:bookmarkEnd w:id="71"/>
    <w:p>
      <w:pPr>
        <w:spacing w:after="0"/>
        <w:rPr>
          <w:sz w:val="20"/>
          <w:szCs w:val="20"/>
          <w:color w:val="auto"/>
        </w:rPr>
      </w:pPr>
      <w:r>
        <w:rPr>
          <w:rFonts w:ascii="Arial" w:cs="Arial" w:eastAsia="Arial" w:hAnsi="Arial"/>
          <w:sz w:val="22"/>
          <w:szCs w:val="22"/>
          <w:b w:val="1"/>
          <w:bCs w:val="1"/>
          <w:color w:val="00206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Grants of Plan-Based Awards for 2023</w:t>
      </w:r>
    </w:p>
    <w:p>
      <w:pPr>
        <w:spacing w:after="0" w:line="216"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The following table contains information regarding plan-based incentive awards granted to each of our NEOs for 2023 under our 2014 Omnibus Incentive Plan (made prior to the adoption of our 2023 Omnibus Incentive Plan).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80" w:type="dxa"/>
            <w:vAlign w:val="bottom"/>
            <w:gridSpan w:val="3"/>
            <w:vMerge w:val="restart"/>
          </w:tcPr>
          <w:p>
            <w:pPr>
              <w:ind w:left="260"/>
              <w:spacing w:after="0"/>
              <w:rPr>
                <w:sz w:val="20"/>
                <w:szCs w:val="20"/>
                <w:color w:val="auto"/>
              </w:rPr>
            </w:pPr>
            <w:r>
              <w:rPr>
                <w:rFonts w:ascii="Arial" w:cs="Arial" w:eastAsia="Arial" w:hAnsi="Arial"/>
                <w:sz w:val="16"/>
                <w:szCs w:val="16"/>
                <w:b w:val="1"/>
                <w:bCs w:val="1"/>
                <w:color w:val="1F4E79"/>
              </w:rPr>
              <w:t>Estimated Future Payments Under</w:t>
            </w:r>
          </w:p>
        </w:tc>
        <w:tc>
          <w:tcPr>
            <w:tcW w:w="3560" w:type="dxa"/>
            <w:vAlign w:val="bottom"/>
            <w:gridSpan w:val="3"/>
            <w:vMerge w:val="restart"/>
          </w:tcPr>
          <w:p>
            <w:pPr>
              <w:jc w:val="right"/>
              <w:ind w:right="653"/>
              <w:spacing w:after="0"/>
              <w:rPr>
                <w:sz w:val="20"/>
                <w:szCs w:val="20"/>
                <w:color w:val="auto"/>
              </w:rPr>
            </w:pPr>
            <w:r>
              <w:rPr>
                <w:rFonts w:ascii="Arial" w:cs="Arial" w:eastAsia="Arial" w:hAnsi="Arial"/>
                <w:sz w:val="16"/>
                <w:szCs w:val="16"/>
                <w:b w:val="1"/>
                <w:bCs w:val="1"/>
                <w:color w:val="1F4E79"/>
              </w:rPr>
              <w:t>Estimated Future Payments</w:t>
            </w:r>
          </w:p>
        </w:tc>
        <w:tc>
          <w:tcPr>
            <w:tcW w:w="1060" w:type="dxa"/>
            <w:vAlign w:val="bottom"/>
          </w:tcPr>
          <w:p>
            <w:pPr>
              <w:jc w:val="center"/>
              <w:ind w:left="35"/>
              <w:spacing w:after="0"/>
              <w:rPr>
                <w:sz w:val="20"/>
                <w:szCs w:val="20"/>
                <w:color w:val="auto"/>
              </w:rPr>
            </w:pPr>
            <w:r>
              <w:rPr>
                <w:rFonts w:ascii="Arial" w:cs="Arial" w:eastAsia="Arial" w:hAnsi="Arial"/>
                <w:sz w:val="16"/>
                <w:szCs w:val="16"/>
                <w:b w:val="1"/>
                <w:bCs w:val="1"/>
                <w:color w:val="1F4E79"/>
              </w:rPr>
              <w:t>Grant Date</w:t>
            </w:r>
          </w:p>
        </w:tc>
        <w:tc>
          <w:tcPr>
            <w:tcW w:w="0" w:type="dxa"/>
            <w:vAlign w:val="bottom"/>
          </w:tcPr>
          <w:p>
            <w:pPr>
              <w:spacing w:after="0"/>
              <w:rPr>
                <w:sz w:val="1"/>
                <w:szCs w:val="1"/>
                <w:color w:val="auto"/>
              </w:rPr>
            </w:pPr>
          </w:p>
        </w:tc>
      </w:tr>
      <w:tr>
        <w:trPr>
          <w:trHeight w:val="68"/>
        </w:trPr>
        <w:tc>
          <w:tcPr>
            <w:tcW w:w="2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80" w:type="dxa"/>
            <w:vAlign w:val="bottom"/>
            <w:gridSpan w:val="3"/>
            <w:vMerge w:val="continue"/>
          </w:tcPr>
          <w:p>
            <w:pPr>
              <w:spacing w:after="0"/>
              <w:rPr>
                <w:sz w:val="5"/>
                <w:szCs w:val="5"/>
                <w:color w:val="auto"/>
              </w:rPr>
            </w:pPr>
          </w:p>
        </w:tc>
        <w:tc>
          <w:tcPr>
            <w:tcW w:w="3560" w:type="dxa"/>
            <w:vAlign w:val="bottom"/>
            <w:gridSpan w:val="3"/>
            <w:vMerge w:val="continue"/>
          </w:tcPr>
          <w:p>
            <w:pPr>
              <w:spacing w:after="0"/>
              <w:rPr>
                <w:sz w:val="5"/>
                <w:szCs w:val="5"/>
                <w:color w:val="auto"/>
              </w:rPr>
            </w:pPr>
          </w:p>
        </w:tc>
        <w:tc>
          <w:tcPr>
            <w:tcW w:w="1060" w:type="dxa"/>
            <w:vAlign w:val="bottom"/>
            <w:vMerge w:val="restart"/>
          </w:tcPr>
          <w:p>
            <w:pPr>
              <w:jc w:val="center"/>
              <w:ind w:left="55"/>
              <w:spacing w:after="0"/>
              <w:rPr>
                <w:sz w:val="20"/>
                <w:szCs w:val="20"/>
                <w:color w:val="auto"/>
              </w:rPr>
            </w:pPr>
            <w:r>
              <w:rPr>
                <w:rFonts w:ascii="Arial" w:cs="Arial" w:eastAsia="Arial" w:hAnsi="Arial"/>
                <w:sz w:val="16"/>
                <w:szCs w:val="16"/>
                <w:b w:val="1"/>
                <w:bCs w:val="1"/>
                <w:color w:val="1F4E79"/>
                <w:w w:val="99"/>
              </w:rPr>
              <w:t>Fair Value</w:t>
            </w:r>
          </w:p>
        </w:tc>
        <w:tc>
          <w:tcPr>
            <w:tcW w:w="0" w:type="dxa"/>
            <w:vAlign w:val="bottom"/>
          </w:tcPr>
          <w:p>
            <w:pPr>
              <w:spacing w:after="0"/>
              <w:rPr>
                <w:sz w:val="1"/>
                <w:szCs w:val="1"/>
                <w:color w:val="auto"/>
              </w:rPr>
            </w:pPr>
          </w:p>
        </w:tc>
      </w:tr>
      <w:tr>
        <w:trPr>
          <w:trHeight w:val="122"/>
        </w:trPr>
        <w:tc>
          <w:tcPr>
            <w:tcW w:w="2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80" w:type="dxa"/>
            <w:vAlign w:val="bottom"/>
            <w:gridSpan w:val="3"/>
            <w:vMerge w:val="restart"/>
          </w:tcPr>
          <w:p>
            <w:pPr>
              <w:ind w:left="180"/>
              <w:spacing w:after="0"/>
              <w:rPr>
                <w:sz w:val="20"/>
                <w:szCs w:val="20"/>
                <w:color w:val="auto"/>
              </w:rPr>
            </w:pPr>
            <w:r>
              <w:rPr>
                <w:rFonts w:ascii="Arial" w:cs="Arial" w:eastAsia="Arial" w:hAnsi="Arial"/>
                <w:sz w:val="16"/>
                <w:szCs w:val="16"/>
                <w:b w:val="1"/>
                <w:bCs w:val="1"/>
                <w:color w:val="1F4E79"/>
              </w:rPr>
              <w:t>Non-Equity Incentive Plan Awards(1)</w:t>
            </w:r>
          </w:p>
        </w:tc>
        <w:tc>
          <w:tcPr>
            <w:tcW w:w="3560" w:type="dxa"/>
            <w:vAlign w:val="bottom"/>
            <w:gridSpan w:val="3"/>
            <w:vMerge w:val="restart"/>
          </w:tcPr>
          <w:p>
            <w:pPr>
              <w:jc w:val="right"/>
              <w:ind w:right="233"/>
              <w:spacing w:after="0"/>
              <w:rPr>
                <w:sz w:val="20"/>
                <w:szCs w:val="20"/>
                <w:color w:val="auto"/>
              </w:rPr>
            </w:pPr>
            <w:r>
              <w:rPr>
                <w:rFonts w:ascii="Arial" w:cs="Arial" w:eastAsia="Arial" w:hAnsi="Arial"/>
                <w:sz w:val="16"/>
                <w:szCs w:val="16"/>
                <w:b w:val="1"/>
                <w:bCs w:val="1"/>
                <w:color w:val="1F4E79"/>
              </w:rPr>
              <w:t>Under Equity Incentive Plan Awards(2)</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Borders>
              <w:bottom w:val="single" w:sz="8" w:color="0070C0"/>
            </w:tcBorders>
          </w:tcPr>
          <w:p>
            <w:pPr>
              <w:spacing w:after="0"/>
              <w:rPr>
                <w:sz w:val="7"/>
                <w:szCs w:val="7"/>
                <w:color w:val="auto"/>
              </w:rPr>
            </w:pPr>
          </w:p>
        </w:tc>
        <w:tc>
          <w:tcPr>
            <w:tcW w:w="3280" w:type="dxa"/>
            <w:vAlign w:val="bottom"/>
            <w:tcBorders>
              <w:bottom w:val="single" w:sz="8" w:color="0070C0"/>
            </w:tcBorders>
            <w:gridSpan w:val="3"/>
            <w:vMerge w:val="continue"/>
          </w:tcPr>
          <w:p>
            <w:pPr>
              <w:spacing w:after="0"/>
              <w:rPr>
                <w:sz w:val="7"/>
                <w:szCs w:val="7"/>
                <w:color w:val="auto"/>
              </w:rPr>
            </w:pPr>
          </w:p>
        </w:tc>
        <w:tc>
          <w:tcPr>
            <w:tcW w:w="3560" w:type="dxa"/>
            <w:vAlign w:val="bottom"/>
            <w:tcBorders>
              <w:bottom w:val="single" w:sz="8" w:color="0070C0"/>
            </w:tcBorders>
            <w:gridSpan w:val="3"/>
            <w:vMerge w:val="continue"/>
          </w:tcPr>
          <w:p>
            <w:pPr>
              <w:spacing w:after="0"/>
              <w:rPr>
                <w:sz w:val="7"/>
                <w:szCs w:val="7"/>
                <w:color w:val="auto"/>
              </w:rPr>
            </w:pPr>
          </w:p>
        </w:tc>
        <w:tc>
          <w:tcPr>
            <w:tcW w:w="1060" w:type="dxa"/>
            <w:vAlign w:val="bottom"/>
            <w:vMerge w:val="restart"/>
          </w:tcPr>
          <w:p>
            <w:pPr>
              <w:jc w:val="center"/>
              <w:ind w:left="55"/>
              <w:spacing w:after="0"/>
              <w:rPr>
                <w:sz w:val="20"/>
                <w:szCs w:val="20"/>
                <w:color w:val="auto"/>
              </w:rPr>
            </w:pPr>
            <w:r>
              <w:rPr>
                <w:rFonts w:ascii="Arial" w:cs="Arial" w:eastAsia="Arial" w:hAnsi="Arial"/>
                <w:sz w:val="16"/>
                <w:szCs w:val="16"/>
                <w:b w:val="1"/>
                <w:bCs w:val="1"/>
                <w:color w:val="1F4E79"/>
              </w:rPr>
              <w:t>of Stock</w:t>
            </w:r>
          </w:p>
        </w:tc>
        <w:tc>
          <w:tcPr>
            <w:tcW w:w="0" w:type="dxa"/>
            <w:vAlign w:val="bottom"/>
          </w:tcPr>
          <w:p>
            <w:pPr>
              <w:spacing w:after="0"/>
              <w:rPr>
                <w:sz w:val="1"/>
                <w:szCs w:val="1"/>
                <w:color w:val="auto"/>
              </w:rPr>
            </w:pPr>
          </w:p>
        </w:tc>
      </w:tr>
      <w:tr>
        <w:trPr>
          <w:trHeight w:val="80"/>
        </w:trPr>
        <w:tc>
          <w:tcPr>
            <w:tcW w:w="20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ind w:left="80"/>
              <w:spacing w:after="0"/>
              <w:rPr>
                <w:sz w:val="20"/>
                <w:szCs w:val="20"/>
                <w:color w:val="auto"/>
              </w:rPr>
            </w:pPr>
            <w:r>
              <w:rPr>
                <w:rFonts w:ascii="Arial" w:cs="Arial" w:eastAsia="Arial" w:hAnsi="Arial"/>
                <w:sz w:val="16"/>
                <w:szCs w:val="16"/>
                <w:b w:val="1"/>
                <w:bCs w:val="1"/>
                <w:color w:val="1F4E79"/>
              </w:rPr>
              <w:t>Threshold</w:t>
            </w:r>
          </w:p>
        </w:tc>
        <w:tc>
          <w:tcPr>
            <w:tcW w:w="1080" w:type="dxa"/>
            <w:vAlign w:val="bottom"/>
          </w:tcPr>
          <w:p>
            <w:pPr>
              <w:jc w:val="right"/>
              <w:ind w:right="253"/>
              <w:spacing w:after="0"/>
              <w:rPr>
                <w:sz w:val="20"/>
                <w:szCs w:val="20"/>
                <w:color w:val="auto"/>
              </w:rPr>
            </w:pPr>
            <w:r>
              <w:rPr>
                <w:rFonts w:ascii="Arial" w:cs="Arial" w:eastAsia="Arial" w:hAnsi="Arial"/>
                <w:sz w:val="16"/>
                <w:szCs w:val="16"/>
                <w:b w:val="1"/>
                <w:bCs w:val="1"/>
                <w:color w:val="1F4E79"/>
              </w:rPr>
              <w:t>Target</w:t>
            </w:r>
          </w:p>
        </w:tc>
        <w:tc>
          <w:tcPr>
            <w:tcW w:w="1200" w:type="dxa"/>
            <w:vAlign w:val="bottom"/>
          </w:tcPr>
          <w:p>
            <w:pPr>
              <w:jc w:val="right"/>
              <w:ind w:right="213"/>
              <w:spacing w:after="0"/>
              <w:rPr>
                <w:sz w:val="20"/>
                <w:szCs w:val="20"/>
                <w:color w:val="auto"/>
              </w:rPr>
            </w:pPr>
            <w:r>
              <w:rPr>
                <w:rFonts w:ascii="Arial" w:cs="Arial" w:eastAsia="Arial" w:hAnsi="Arial"/>
                <w:sz w:val="16"/>
                <w:szCs w:val="16"/>
                <w:b w:val="1"/>
                <w:bCs w:val="1"/>
                <w:color w:val="1F4E79"/>
              </w:rPr>
              <w:t>Maximum</w:t>
            </w:r>
          </w:p>
        </w:tc>
        <w:tc>
          <w:tcPr>
            <w:tcW w:w="1280" w:type="dxa"/>
            <w:vAlign w:val="bottom"/>
          </w:tcPr>
          <w:p>
            <w:pPr>
              <w:jc w:val="right"/>
              <w:ind w:right="174"/>
              <w:spacing w:after="0"/>
              <w:rPr>
                <w:sz w:val="20"/>
                <w:szCs w:val="20"/>
                <w:color w:val="auto"/>
              </w:rPr>
            </w:pPr>
            <w:r>
              <w:rPr>
                <w:rFonts w:ascii="Arial" w:cs="Arial" w:eastAsia="Arial" w:hAnsi="Arial"/>
                <w:sz w:val="16"/>
                <w:szCs w:val="16"/>
                <w:b w:val="1"/>
                <w:bCs w:val="1"/>
                <w:color w:val="1F4E79"/>
              </w:rPr>
              <w:t>Threshold</w:t>
            </w:r>
          </w:p>
        </w:tc>
        <w:tc>
          <w:tcPr>
            <w:tcW w:w="1040" w:type="dxa"/>
            <w:vAlign w:val="bottom"/>
          </w:tcPr>
          <w:p>
            <w:pPr>
              <w:jc w:val="right"/>
              <w:ind w:right="213"/>
              <w:spacing w:after="0"/>
              <w:rPr>
                <w:sz w:val="20"/>
                <w:szCs w:val="20"/>
                <w:color w:val="auto"/>
              </w:rPr>
            </w:pPr>
            <w:r>
              <w:rPr>
                <w:rFonts w:ascii="Arial" w:cs="Arial" w:eastAsia="Arial" w:hAnsi="Arial"/>
                <w:sz w:val="16"/>
                <w:szCs w:val="16"/>
                <w:b w:val="1"/>
                <w:bCs w:val="1"/>
                <w:color w:val="1F4E79"/>
              </w:rPr>
              <w:t>Target</w:t>
            </w:r>
          </w:p>
        </w:tc>
        <w:tc>
          <w:tcPr>
            <w:tcW w:w="1240" w:type="dxa"/>
            <w:vAlign w:val="bottom"/>
          </w:tcPr>
          <w:p>
            <w:pPr>
              <w:jc w:val="right"/>
              <w:ind w:right="193"/>
              <w:spacing w:after="0"/>
              <w:rPr>
                <w:sz w:val="20"/>
                <w:szCs w:val="20"/>
                <w:color w:val="auto"/>
              </w:rPr>
            </w:pPr>
            <w:r>
              <w:rPr>
                <w:rFonts w:ascii="Arial" w:cs="Arial" w:eastAsia="Arial" w:hAnsi="Arial"/>
                <w:sz w:val="16"/>
                <w:szCs w:val="16"/>
                <w:b w:val="1"/>
                <w:bCs w:val="1"/>
                <w:color w:val="1F4E79"/>
              </w:rPr>
              <w:t>Maximum</w:t>
            </w:r>
          </w:p>
        </w:tc>
        <w:tc>
          <w:tcPr>
            <w:tcW w:w="1060" w:type="dxa"/>
            <w:vAlign w:val="bottom"/>
          </w:tcPr>
          <w:p>
            <w:pPr>
              <w:jc w:val="center"/>
              <w:ind w:left="35"/>
              <w:spacing w:after="0"/>
              <w:rPr>
                <w:sz w:val="20"/>
                <w:szCs w:val="20"/>
                <w:color w:val="auto"/>
              </w:rPr>
            </w:pPr>
            <w:r>
              <w:rPr>
                <w:rFonts w:ascii="Arial" w:cs="Arial" w:eastAsia="Arial" w:hAnsi="Arial"/>
                <w:sz w:val="16"/>
                <w:szCs w:val="16"/>
                <w:b w:val="1"/>
                <w:bCs w:val="1"/>
                <w:color w:val="1F4E79"/>
              </w:rPr>
              <w:t>Awards</w:t>
            </w:r>
          </w:p>
        </w:tc>
        <w:tc>
          <w:tcPr>
            <w:tcW w:w="0" w:type="dxa"/>
            <w:vAlign w:val="bottom"/>
          </w:tcPr>
          <w:p>
            <w:pPr>
              <w:spacing w:after="0"/>
              <w:rPr>
                <w:sz w:val="1"/>
                <w:szCs w:val="1"/>
                <w:color w:val="auto"/>
              </w:rPr>
            </w:pPr>
          </w:p>
        </w:tc>
      </w:tr>
      <w:tr>
        <w:trPr>
          <w:trHeight w:val="210"/>
        </w:trPr>
        <w:tc>
          <w:tcPr>
            <w:tcW w:w="2000" w:type="dxa"/>
            <w:vAlign w:val="bottom"/>
            <w:tcBorders>
              <w:bottom w:val="single" w:sz="8" w:color="0070C0"/>
            </w:tcBorders>
          </w:tcPr>
          <w:p>
            <w:pPr>
              <w:spacing w:after="0"/>
              <w:rPr>
                <w:sz w:val="20"/>
                <w:szCs w:val="20"/>
                <w:color w:val="auto"/>
              </w:rPr>
            </w:pPr>
            <w:r>
              <w:rPr>
                <w:rFonts w:ascii="Arial" w:cs="Arial" w:eastAsia="Arial" w:hAnsi="Arial"/>
                <w:sz w:val="16"/>
                <w:szCs w:val="16"/>
                <w:b w:val="1"/>
                <w:bCs w:val="1"/>
                <w:color w:val="1F4E79"/>
              </w:rPr>
              <w:t>Name</w:t>
            </w:r>
          </w:p>
        </w:tc>
        <w:tc>
          <w:tcPr>
            <w:tcW w:w="1120" w:type="dxa"/>
            <w:vAlign w:val="bottom"/>
            <w:tcBorders>
              <w:bottom w:val="single" w:sz="8" w:color="0070C0"/>
            </w:tcBorders>
            <w:gridSpan w:val="2"/>
          </w:tcPr>
          <w:p>
            <w:pPr>
              <w:jc w:val="right"/>
              <w:ind w:right="120"/>
              <w:spacing w:after="0"/>
              <w:rPr>
                <w:sz w:val="20"/>
                <w:szCs w:val="20"/>
                <w:color w:val="auto"/>
              </w:rPr>
            </w:pPr>
            <w:r>
              <w:rPr>
                <w:rFonts w:ascii="Arial" w:cs="Arial" w:eastAsia="Arial" w:hAnsi="Arial"/>
                <w:sz w:val="16"/>
                <w:szCs w:val="16"/>
                <w:b w:val="1"/>
                <w:bCs w:val="1"/>
                <w:color w:val="1F4E79"/>
              </w:rPr>
              <w:t>Grant Date</w:t>
            </w:r>
          </w:p>
        </w:tc>
        <w:tc>
          <w:tcPr>
            <w:tcW w:w="1000" w:type="dxa"/>
            <w:vAlign w:val="bottom"/>
            <w:tcBorders>
              <w:bottom w:val="single" w:sz="8" w:color="0070C0"/>
            </w:tcBorders>
          </w:tcPr>
          <w:p>
            <w:pPr>
              <w:ind w:left="380"/>
              <w:spacing w:after="0"/>
              <w:rPr>
                <w:sz w:val="20"/>
                <w:szCs w:val="20"/>
                <w:color w:val="auto"/>
              </w:rPr>
            </w:pPr>
            <w:r>
              <w:rPr>
                <w:rFonts w:ascii="Arial" w:cs="Arial" w:eastAsia="Arial" w:hAnsi="Arial"/>
                <w:sz w:val="16"/>
                <w:szCs w:val="16"/>
                <w:b w:val="1"/>
                <w:bCs w:val="1"/>
                <w:color w:val="1F4E79"/>
              </w:rPr>
              <w:t>($)</w:t>
            </w:r>
          </w:p>
        </w:tc>
        <w:tc>
          <w:tcPr>
            <w:tcW w:w="1080" w:type="dxa"/>
            <w:vAlign w:val="bottom"/>
            <w:tcBorders>
              <w:bottom w:val="single" w:sz="8" w:color="0070C0"/>
            </w:tcBorders>
          </w:tcPr>
          <w:p>
            <w:pPr>
              <w:jc w:val="right"/>
              <w:ind w:right="393"/>
              <w:spacing w:after="0"/>
              <w:rPr>
                <w:sz w:val="20"/>
                <w:szCs w:val="20"/>
                <w:color w:val="auto"/>
              </w:rPr>
            </w:pPr>
            <w:r>
              <w:rPr>
                <w:rFonts w:ascii="Arial" w:cs="Arial" w:eastAsia="Arial" w:hAnsi="Arial"/>
                <w:sz w:val="16"/>
                <w:szCs w:val="16"/>
                <w:b w:val="1"/>
                <w:bCs w:val="1"/>
                <w:color w:val="1F4E79"/>
              </w:rPr>
              <w:t>($)</w:t>
            </w:r>
          </w:p>
        </w:tc>
        <w:tc>
          <w:tcPr>
            <w:tcW w:w="1200" w:type="dxa"/>
            <w:vAlign w:val="bottom"/>
            <w:tcBorders>
              <w:bottom w:val="single" w:sz="8" w:color="0070C0"/>
            </w:tcBorders>
          </w:tcPr>
          <w:p>
            <w:pPr>
              <w:jc w:val="right"/>
              <w:ind w:right="473"/>
              <w:spacing w:after="0"/>
              <w:rPr>
                <w:sz w:val="20"/>
                <w:szCs w:val="20"/>
                <w:color w:val="auto"/>
              </w:rPr>
            </w:pPr>
            <w:r>
              <w:rPr>
                <w:rFonts w:ascii="Arial" w:cs="Arial" w:eastAsia="Arial" w:hAnsi="Arial"/>
                <w:sz w:val="16"/>
                <w:szCs w:val="16"/>
                <w:b w:val="1"/>
                <w:bCs w:val="1"/>
                <w:color w:val="1F4E79"/>
              </w:rPr>
              <w:t>($)</w:t>
            </w:r>
          </w:p>
        </w:tc>
        <w:tc>
          <w:tcPr>
            <w:tcW w:w="1280" w:type="dxa"/>
            <w:vAlign w:val="bottom"/>
            <w:tcBorders>
              <w:bottom w:val="single" w:sz="8" w:color="0070C0"/>
            </w:tcBorders>
          </w:tcPr>
          <w:p>
            <w:pPr>
              <w:jc w:val="right"/>
              <w:ind w:right="454"/>
              <w:spacing w:after="0"/>
              <w:rPr>
                <w:sz w:val="20"/>
                <w:szCs w:val="20"/>
                <w:color w:val="auto"/>
              </w:rPr>
            </w:pPr>
            <w:r>
              <w:rPr>
                <w:rFonts w:ascii="Arial" w:cs="Arial" w:eastAsia="Arial" w:hAnsi="Arial"/>
                <w:sz w:val="16"/>
                <w:szCs w:val="16"/>
                <w:b w:val="1"/>
                <w:bCs w:val="1"/>
                <w:color w:val="1F4E79"/>
              </w:rPr>
              <w:t>(#)</w:t>
            </w:r>
          </w:p>
        </w:tc>
        <w:tc>
          <w:tcPr>
            <w:tcW w:w="1040" w:type="dxa"/>
            <w:vAlign w:val="bottom"/>
            <w:tcBorders>
              <w:bottom w:val="single" w:sz="8" w:color="0070C0"/>
            </w:tcBorders>
          </w:tcPr>
          <w:p>
            <w:pPr>
              <w:jc w:val="right"/>
              <w:ind w:right="353"/>
              <w:spacing w:after="0"/>
              <w:rPr>
                <w:sz w:val="20"/>
                <w:szCs w:val="20"/>
                <w:color w:val="auto"/>
              </w:rPr>
            </w:pPr>
            <w:r>
              <w:rPr>
                <w:rFonts w:ascii="Arial" w:cs="Arial" w:eastAsia="Arial" w:hAnsi="Arial"/>
                <w:sz w:val="16"/>
                <w:szCs w:val="16"/>
                <w:b w:val="1"/>
                <w:bCs w:val="1"/>
                <w:color w:val="1F4E79"/>
              </w:rPr>
              <w:t>(#)</w:t>
            </w:r>
          </w:p>
        </w:tc>
        <w:tc>
          <w:tcPr>
            <w:tcW w:w="1240" w:type="dxa"/>
            <w:vAlign w:val="bottom"/>
            <w:tcBorders>
              <w:bottom w:val="single" w:sz="8" w:color="0070C0"/>
            </w:tcBorders>
          </w:tcPr>
          <w:p>
            <w:pPr>
              <w:jc w:val="right"/>
              <w:ind w:right="473"/>
              <w:spacing w:after="0"/>
              <w:rPr>
                <w:sz w:val="20"/>
                <w:szCs w:val="20"/>
                <w:color w:val="auto"/>
              </w:rPr>
            </w:pPr>
            <w:r>
              <w:rPr>
                <w:rFonts w:ascii="Arial" w:cs="Arial" w:eastAsia="Arial" w:hAnsi="Arial"/>
                <w:sz w:val="16"/>
                <w:szCs w:val="16"/>
                <w:b w:val="1"/>
                <w:bCs w:val="1"/>
                <w:color w:val="1F4E79"/>
              </w:rPr>
              <w:t>(#)</w:t>
            </w:r>
          </w:p>
        </w:tc>
        <w:tc>
          <w:tcPr>
            <w:tcW w:w="1060" w:type="dxa"/>
            <w:vAlign w:val="bottom"/>
            <w:tcBorders>
              <w:bottom w:val="single" w:sz="8" w:color="0070C0"/>
            </w:tcBorders>
          </w:tcPr>
          <w:p>
            <w:pPr>
              <w:jc w:val="center"/>
              <w:ind w:left="55"/>
              <w:spacing w:after="0"/>
              <w:rPr>
                <w:sz w:val="20"/>
                <w:szCs w:val="20"/>
                <w:color w:val="auto"/>
              </w:rPr>
            </w:pPr>
            <w:r>
              <w:rPr>
                <w:rFonts w:ascii="Arial" w:cs="Arial" w:eastAsia="Arial" w:hAnsi="Arial"/>
                <w:sz w:val="16"/>
                <w:szCs w:val="16"/>
                <w:b w:val="1"/>
                <w:bCs w:val="1"/>
                <w:color w:val="1F4E79"/>
              </w:rPr>
              <w:t>($)(3)</w:t>
            </w:r>
          </w:p>
        </w:tc>
        <w:tc>
          <w:tcPr>
            <w:tcW w:w="0" w:type="dxa"/>
            <w:vAlign w:val="bottom"/>
          </w:tcPr>
          <w:p>
            <w:pPr>
              <w:spacing w:after="0"/>
              <w:rPr>
                <w:sz w:val="1"/>
                <w:szCs w:val="1"/>
                <w:color w:val="auto"/>
              </w:rPr>
            </w:pPr>
          </w:p>
        </w:tc>
      </w:tr>
      <w:tr>
        <w:trPr>
          <w:trHeight w:val="203"/>
        </w:trPr>
        <w:tc>
          <w:tcPr>
            <w:tcW w:w="2000" w:type="dxa"/>
            <w:vAlign w:val="bottom"/>
            <w:shd w:val="clear" w:color="auto" w:fill="D5DCE4"/>
          </w:tcPr>
          <w:p>
            <w:pPr>
              <w:spacing w:after="0" w:line="183" w:lineRule="exact"/>
              <w:rPr>
                <w:sz w:val="20"/>
                <w:szCs w:val="20"/>
                <w:color w:val="auto"/>
              </w:rPr>
            </w:pPr>
            <w:r>
              <w:rPr>
                <w:rFonts w:ascii="Arial" w:cs="Arial" w:eastAsia="Arial" w:hAnsi="Arial"/>
                <w:sz w:val="18"/>
                <w:szCs w:val="18"/>
                <w:color w:val="auto"/>
              </w:rPr>
              <w:t>Jeffrey W. Edwards</w:t>
            </w:r>
          </w:p>
        </w:tc>
        <w:tc>
          <w:tcPr>
            <w:tcW w:w="1120" w:type="dxa"/>
            <w:vAlign w:val="bottom"/>
            <w:gridSpan w:val="2"/>
          </w:tcPr>
          <w:p>
            <w:pPr>
              <w:jc w:val="right"/>
              <w:ind w:right="80"/>
              <w:spacing w:after="0" w:line="183" w:lineRule="exact"/>
              <w:rPr>
                <w:sz w:val="20"/>
                <w:szCs w:val="20"/>
                <w:color w:val="auto"/>
              </w:rPr>
            </w:pPr>
            <w:r>
              <w:rPr>
                <w:rFonts w:ascii="Arial" w:cs="Arial" w:eastAsia="Arial" w:hAnsi="Arial"/>
                <w:sz w:val="18"/>
                <w:szCs w:val="18"/>
                <w:color w:val="auto"/>
              </w:rPr>
              <w:t>—</w:t>
            </w:r>
          </w:p>
        </w:tc>
        <w:tc>
          <w:tcPr>
            <w:tcW w:w="1000" w:type="dxa"/>
            <w:vAlign w:val="bottom"/>
          </w:tcPr>
          <w:p>
            <w:pPr>
              <w:ind w:left="180"/>
              <w:spacing w:after="0" w:line="183" w:lineRule="exact"/>
              <w:rPr>
                <w:sz w:val="20"/>
                <w:szCs w:val="20"/>
                <w:color w:val="auto"/>
              </w:rPr>
            </w:pPr>
            <w:r>
              <w:rPr>
                <w:rFonts w:ascii="Arial" w:cs="Arial" w:eastAsia="Arial" w:hAnsi="Arial"/>
                <w:sz w:val="18"/>
                <w:szCs w:val="18"/>
                <w:color w:val="auto"/>
              </w:rPr>
              <w:t>575,000</w:t>
            </w:r>
          </w:p>
        </w:tc>
        <w:tc>
          <w:tcPr>
            <w:tcW w:w="1080" w:type="dxa"/>
            <w:vAlign w:val="bottom"/>
          </w:tcPr>
          <w:p>
            <w:pPr>
              <w:jc w:val="right"/>
              <w:ind w:right="53"/>
              <w:spacing w:after="0" w:line="183" w:lineRule="exact"/>
              <w:rPr>
                <w:sz w:val="20"/>
                <w:szCs w:val="20"/>
                <w:color w:val="auto"/>
              </w:rPr>
            </w:pPr>
            <w:r>
              <w:rPr>
                <w:rFonts w:ascii="Arial" w:cs="Arial" w:eastAsia="Arial" w:hAnsi="Arial"/>
                <w:sz w:val="18"/>
                <w:szCs w:val="18"/>
                <w:color w:val="auto"/>
              </w:rPr>
              <w:t>1,150,000</w:t>
            </w:r>
          </w:p>
        </w:tc>
        <w:tc>
          <w:tcPr>
            <w:tcW w:w="1200" w:type="dxa"/>
            <w:vAlign w:val="bottom"/>
          </w:tcPr>
          <w:p>
            <w:pPr>
              <w:jc w:val="right"/>
              <w:ind w:right="153"/>
              <w:spacing w:after="0" w:line="183" w:lineRule="exact"/>
              <w:rPr>
                <w:sz w:val="20"/>
                <w:szCs w:val="20"/>
                <w:color w:val="auto"/>
              </w:rPr>
            </w:pPr>
            <w:r>
              <w:rPr>
                <w:rFonts w:ascii="Arial" w:cs="Arial" w:eastAsia="Arial" w:hAnsi="Arial"/>
                <w:sz w:val="18"/>
                <w:szCs w:val="18"/>
                <w:color w:val="auto"/>
              </w:rPr>
              <w:t>2,300,000</w:t>
            </w: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Borders>
              <w:bottom w:val="single" w:sz="8" w:color="auto"/>
            </w:tcBorders>
          </w:tcPr>
          <w:p>
            <w:pPr>
              <w:ind w:left="260"/>
              <w:spacing w:after="0" w:line="202" w:lineRule="exact"/>
              <w:rPr>
                <w:sz w:val="20"/>
                <w:szCs w:val="20"/>
                <w:color w:val="auto"/>
              </w:rPr>
            </w:pPr>
            <w:r>
              <w:rPr>
                <w:rFonts w:ascii="Arial" w:cs="Arial" w:eastAsia="Arial" w:hAnsi="Arial"/>
                <w:sz w:val="18"/>
                <w:szCs w:val="18"/>
                <w:color w:val="auto"/>
              </w:rPr>
              <w:t>Performance-Based</w:t>
            </w:r>
          </w:p>
        </w:tc>
        <w:tc>
          <w:tcPr>
            <w:tcW w:w="1120" w:type="dxa"/>
            <w:vAlign w:val="bottom"/>
            <w:tcBorders>
              <w:bottom w:val="single" w:sz="8" w:color="auto"/>
            </w:tcBorders>
            <w:gridSpan w:val="2"/>
          </w:tcPr>
          <w:p>
            <w:pPr>
              <w:jc w:val="right"/>
              <w:ind w:right="80"/>
              <w:spacing w:after="0" w:line="202" w:lineRule="exact"/>
              <w:rPr>
                <w:sz w:val="20"/>
                <w:szCs w:val="20"/>
                <w:color w:val="auto"/>
              </w:rPr>
            </w:pPr>
            <w:r>
              <w:rPr>
                <w:rFonts w:ascii="Arial" w:cs="Arial" w:eastAsia="Arial" w:hAnsi="Arial"/>
                <w:sz w:val="18"/>
                <w:szCs w:val="18"/>
                <w:color w:val="auto"/>
              </w:rPr>
              <w:t>2/20/2023</w:t>
            </w:r>
          </w:p>
        </w:tc>
        <w:tc>
          <w:tcPr>
            <w:tcW w:w="10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54"/>
              <w:spacing w:after="0" w:line="202" w:lineRule="exact"/>
              <w:rPr>
                <w:sz w:val="20"/>
                <w:szCs w:val="20"/>
                <w:color w:val="auto"/>
              </w:rPr>
            </w:pPr>
            <w:r>
              <w:rPr>
                <w:rFonts w:ascii="Arial" w:cs="Arial" w:eastAsia="Arial" w:hAnsi="Arial"/>
                <w:sz w:val="18"/>
                <w:szCs w:val="18"/>
                <w:color w:val="auto"/>
              </w:rPr>
              <w:t>16,399</w:t>
            </w:r>
          </w:p>
        </w:tc>
        <w:tc>
          <w:tcPr>
            <w:tcW w:w="1040" w:type="dxa"/>
            <w:vAlign w:val="bottom"/>
            <w:tcBorders>
              <w:bottom w:val="single" w:sz="8" w:color="auto"/>
            </w:tcBorders>
          </w:tcPr>
          <w:p>
            <w:pPr>
              <w:jc w:val="right"/>
              <w:ind w:right="113"/>
              <w:spacing w:after="0" w:line="202" w:lineRule="exact"/>
              <w:rPr>
                <w:sz w:val="20"/>
                <w:szCs w:val="20"/>
                <w:color w:val="auto"/>
              </w:rPr>
            </w:pPr>
            <w:r>
              <w:rPr>
                <w:rFonts w:ascii="Arial" w:cs="Arial" w:eastAsia="Arial" w:hAnsi="Arial"/>
                <w:sz w:val="18"/>
                <w:szCs w:val="18"/>
                <w:color w:val="auto"/>
              </w:rPr>
              <w:t>32,798</w:t>
            </w:r>
          </w:p>
        </w:tc>
        <w:tc>
          <w:tcPr>
            <w:tcW w:w="1240" w:type="dxa"/>
            <w:vAlign w:val="bottom"/>
            <w:tcBorders>
              <w:bottom w:val="single" w:sz="8" w:color="auto"/>
            </w:tcBorders>
          </w:tcPr>
          <w:p>
            <w:pPr>
              <w:jc w:val="right"/>
              <w:ind w:right="273"/>
              <w:spacing w:after="0" w:line="202" w:lineRule="exact"/>
              <w:rPr>
                <w:sz w:val="20"/>
                <w:szCs w:val="20"/>
                <w:color w:val="auto"/>
              </w:rPr>
            </w:pPr>
            <w:r>
              <w:rPr>
                <w:rFonts w:ascii="Arial" w:cs="Arial" w:eastAsia="Arial" w:hAnsi="Arial"/>
                <w:sz w:val="18"/>
                <w:szCs w:val="18"/>
                <w:color w:val="auto"/>
              </w:rPr>
              <w:t>65,596</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3,837,502</w:t>
            </w:r>
          </w:p>
        </w:tc>
        <w:tc>
          <w:tcPr>
            <w:tcW w:w="0" w:type="dxa"/>
            <w:vAlign w:val="bottom"/>
          </w:tcPr>
          <w:p>
            <w:pPr>
              <w:spacing w:after="0"/>
              <w:rPr>
                <w:sz w:val="1"/>
                <w:szCs w:val="1"/>
                <w:color w:val="auto"/>
              </w:rPr>
            </w:pPr>
          </w:p>
        </w:tc>
      </w:tr>
      <w:tr>
        <w:trPr>
          <w:trHeight w:val="196"/>
        </w:trPr>
        <w:tc>
          <w:tcPr>
            <w:tcW w:w="2000" w:type="dxa"/>
            <w:vAlign w:val="bottom"/>
            <w:shd w:val="clear" w:color="auto" w:fill="D5DCE4"/>
          </w:tcPr>
          <w:p>
            <w:pPr>
              <w:spacing w:after="0" w:line="183" w:lineRule="exact"/>
              <w:rPr>
                <w:sz w:val="20"/>
                <w:szCs w:val="20"/>
                <w:color w:val="auto"/>
              </w:rPr>
            </w:pPr>
            <w:r>
              <w:rPr>
                <w:rFonts w:ascii="Arial" w:cs="Arial" w:eastAsia="Arial" w:hAnsi="Arial"/>
                <w:sz w:val="18"/>
                <w:szCs w:val="18"/>
                <w:color w:val="auto"/>
              </w:rPr>
              <w:t>Michael T. Miller</w:t>
            </w:r>
          </w:p>
        </w:tc>
        <w:tc>
          <w:tcPr>
            <w:tcW w:w="1120" w:type="dxa"/>
            <w:vAlign w:val="bottom"/>
            <w:gridSpan w:val="2"/>
          </w:tcPr>
          <w:p>
            <w:pPr>
              <w:jc w:val="right"/>
              <w:ind w:right="80"/>
              <w:spacing w:after="0" w:line="183" w:lineRule="exact"/>
              <w:rPr>
                <w:sz w:val="20"/>
                <w:szCs w:val="20"/>
                <w:color w:val="auto"/>
              </w:rPr>
            </w:pPr>
            <w:r>
              <w:rPr>
                <w:rFonts w:ascii="Arial" w:cs="Arial" w:eastAsia="Arial" w:hAnsi="Arial"/>
                <w:sz w:val="18"/>
                <w:szCs w:val="18"/>
                <w:color w:val="auto"/>
              </w:rPr>
              <w:t>—</w:t>
            </w:r>
          </w:p>
        </w:tc>
        <w:tc>
          <w:tcPr>
            <w:tcW w:w="1000" w:type="dxa"/>
            <w:vAlign w:val="bottom"/>
          </w:tcPr>
          <w:p>
            <w:pPr>
              <w:ind w:left="180"/>
              <w:spacing w:after="0" w:line="183" w:lineRule="exact"/>
              <w:rPr>
                <w:sz w:val="20"/>
                <w:szCs w:val="20"/>
                <w:color w:val="auto"/>
              </w:rPr>
            </w:pPr>
            <w:r>
              <w:rPr>
                <w:rFonts w:ascii="Arial" w:cs="Arial" w:eastAsia="Arial" w:hAnsi="Arial"/>
                <w:sz w:val="18"/>
                <w:szCs w:val="18"/>
                <w:color w:val="auto"/>
              </w:rPr>
              <w:t>215,000</w:t>
            </w:r>
          </w:p>
        </w:tc>
        <w:tc>
          <w:tcPr>
            <w:tcW w:w="1080" w:type="dxa"/>
            <w:vAlign w:val="bottom"/>
          </w:tcPr>
          <w:p>
            <w:pPr>
              <w:jc w:val="right"/>
              <w:ind w:right="53"/>
              <w:spacing w:after="0" w:line="183" w:lineRule="exact"/>
              <w:rPr>
                <w:sz w:val="20"/>
                <w:szCs w:val="20"/>
                <w:color w:val="auto"/>
              </w:rPr>
            </w:pPr>
            <w:r>
              <w:rPr>
                <w:rFonts w:ascii="Arial" w:cs="Arial" w:eastAsia="Arial" w:hAnsi="Arial"/>
                <w:sz w:val="18"/>
                <w:szCs w:val="18"/>
                <w:color w:val="auto"/>
              </w:rPr>
              <w:t>430,000</w:t>
            </w:r>
          </w:p>
        </w:tc>
        <w:tc>
          <w:tcPr>
            <w:tcW w:w="1200" w:type="dxa"/>
            <w:vAlign w:val="bottom"/>
          </w:tcPr>
          <w:p>
            <w:pPr>
              <w:jc w:val="right"/>
              <w:ind w:right="153"/>
              <w:spacing w:after="0" w:line="183" w:lineRule="exact"/>
              <w:rPr>
                <w:sz w:val="20"/>
                <w:szCs w:val="20"/>
                <w:color w:val="auto"/>
              </w:rPr>
            </w:pPr>
            <w:r>
              <w:rPr>
                <w:rFonts w:ascii="Arial" w:cs="Arial" w:eastAsia="Arial" w:hAnsi="Arial"/>
                <w:sz w:val="18"/>
                <w:szCs w:val="18"/>
                <w:color w:val="auto"/>
              </w:rPr>
              <w:t>860,000</w:t>
            </w: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Borders>
              <w:bottom w:val="single" w:sz="8" w:color="auto"/>
            </w:tcBorders>
          </w:tcPr>
          <w:p>
            <w:pPr>
              <w:ind w:left="260"/>
              <w:spacing w:after="0" w:line="202" w:lineRule="exact"/>
              <w:rPr>
                <w:sz w:val="20"/>
                <w:szCs w:val="20"/>
                <w:color w:val="auto"/>
              </w:rPr>
            </w:pPr>
            <w:r>
              <w:rPr>
                <w:rFonts w:ascii="Arial" w:cs="Arial" w:eastAsia="Arial" w:hAnsi="Arial"/>
                <w:sz w:val="18"/>
                <w:szCs w:val="18"/>
                <w:color w:val="auto"/>
              </w:rPr>
              <w:t>Performance-Based</w:t>
            </w:r>
          </w:p>
        </w:tc>
        <w:tc>
          <w:tcPr>
            <w:tcW w:w="1120" w:type="dxa"/>
            <w:vAlign w:val="bottom"/>
            <w:tcBorders>
              <w:bottom w:val="single" w:sz="8" w:color="auto"/>
            </w:tcBorders>
            <w:gridSpan w:val="2"/>
          </w:tcPr>
          <w:p>
            <w:pPr>
              <w:jc w:val="right"/>
              <w:ind w:right="80"/>
              <w:spacing w:after="0" w:line="202" w:lineRule="exact"/>
              <w:rPr>
                <w:sz w:val="20"/>
                <w:szCs w:val="20"/>
                <w:color w:val="auto"/>
              </w:rPr>
            </w:pPr>
            <w:r>
              <w:rPr>
                <w:rFonts w:ascii="Arial" w:cs="Arial" w:eastAsia="Arial" w:hAnsi="Arial"/>
                <w:sz w:val="18"/>
                <w:szCs w:val="18"/>
                <w:color w:val="auto"/>
              </w:rPr>
              <w:t>2/20/2023</w:t>
            </w:r>
          </w:p>
        </w:tc>
        <w:tc>
          <w:tcPr>
            <w:tcW w:w="10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54"/>
              <w:spacing w:after="0" w:line="202" w:lineRule="exact"/>
              <w:rPr>
                <w:sz w:val="20"/>
                <w:szCs w:val="20"/>
                <w:color w:val="auto"/>
              </w:rPr>
            </w:pPr>
            <w:r>
              <w:rPr>
                <w:rFonts w:ascii="Arial" w:cs="Arial" w:eastAsia="Arial" w:hAnsi="Arial"/>
                <w:sz w:val="18"/>
                <w:szCs w:val="18"/>
                <w:color w:val="auto"/>
              </w:rPr>
              <w:t>5,284</w:t>
            </w:r>
          </w:p>
        </w:tc>
        <w:tc>
          <w:tcPr>
            <w:tcW w:w="1040" w:type="dxa"/>
            <w:vAlign w:val="bottom"/>
            <w:tcBorders>
              <w:bottom w:val="single" w:sz="8" w:color="auto"/>
            </w:tcBorders>
          </w:tcPr>
          <w:p>
            <w:pPr>
              <w:jc w:val="right"/>
              <w:ind w:right="113"/>
              <w:spacing w:after="0" w:line="202" w:lineRule="exact"/>
              <w:rPr>
                <w:sz w:val="20"/>
                <w:szCs w:val="20"/>
                <w:color w:val="auto"/>
              </w:rPr>
            </w:pPr>
            <w:r>
              <w:rPr>
                <w:rFonts w:ascii="Arial" w:cs="Arial" w:eastAsia="Arial" w:hAnsi="Arial"/>
                <w:sz w:val="18"/>
                <w:szCs w:val="18"/>
                <w:color w:val="auto"/>
              </w:rPr>
              <w:t>10,568</w:t>
            </w:r>
          </w:p>
        </w:tc>
        <w:tc>
          <w:tcPr>
            <w:tcW w:w="1240" w:type="dxa"/>
            <w:vAlign w:val="bottom"/>
            <w:tcBorders>
              <w:bottom w:val="single" w:sz="8" w:color="auto"/>
            </w:tcBorders>
          </w:tcPr>
          <w:p>
            <w:pPr>
              <w:jc w:val="right"/>
              <w:ind w:right="273"/>
              <w:spacing w:after="0" w:line="202" w:lineRule="exact"/>
              <w:rPr>
                <w:sz w:val="20"/>
                <w:szCs w:val="20"/>
                <w:color w:val="auto"/>
              </w:rPr>
            </w:pPr>
            <w:r>
              <w:rPr>
                <w:rFonts w:ascii="Arial" w:cs="Arial" w:eastAsia="Arial" w:hAnsi="Arial"/>
                <w:sz w:val="18"/>
                <w:szCs w:val="18"/>
                <w:color w:val="auto"/>
              </w:rPr>
              <w:t>21,136</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1,236,500</w:t>
            </w:r>
          </w:p>
        </w:tc>
        <w:tc>
          <w:tcPr>
            <w:tcW w:w="0" w:type="dxa"/>
            <w:vAlign w:val="bottom"/>
          </w:tcPr>
          <w:p>
            <w:pPr>
              <w:spacing w:after="0"/>
              <w:rPr>
                <w:sz w:val="1"/>
                <w:szCs w:val="1"/>
                <w:color w:val="auto"/>
              </w:rPr>
            </w:pPr>
          </w:p>
        </w:tc>
      </w:tr>
      <w:tr>
        <w:trPr>
          <w:trHeight w:val="196"/>
        </w:trPr>
        <w:tc>
          <w:tcPr>
            <w:tcW w:w="2000" w:type="dxa"/>
            <w:vAlign w:val="bottom"/>
            <w:shd w:val="clear" w:color="auto" w:fill="D5DCE4"/>
          </w:tcPr>
          <w:p>
            <w:pPr>
              <w:spacing w:after="0" w:line="183" w:lineRule="exact"/>
              <w:rPr>
                <w:sz w:val="20"/>
                <w:szCs w:val="20"/>
                <w:color w:val="auto"/>
              </w:rPr>
            </w:pPr>
            <w:r>
              <w:rPr>
                <w:rFonts w:ascii="Arial" w:cs="Arial" w:eastAsia="Arial" w:hAnsi="Arial"/>
                <w:sz w:val="18"/>
                <w:szCs w:val="18"/>
                <w:color w:val="auto"/>
              </w:rPr>
              <w:t>Jay P. Elliott</w:t>
            </w:r>
          </w:p>
        </w:tc>
        <w:tc>
          <w:tcPr>
            <w:tcW w:w="1120" w:type="dxa"/>
            <w:vAlign w:val="bottom"/>
            <w:gridSpan w:val="2"/>
          </w:tcPr>
          <w:p>
            <w:pPr>
              <w:jc w:val="right"/>
              <w:ind w:right="80"/>
              <w:spacing w:after="0" w:line="183" w:lineRule="exact"/>
              <w:rPr>
                <w:sz w:val="20"/>
                <w:szCs w:val="20"/>
                <w:color w:val="auto"/>
              </w:rPr>
            </w:pPr>
            <w:r>
              <w:rPr>
                <w:rFonts w:ascii="Arial" w:cs="Arial" w:eastAsia="Arial" w:hAnsi="Arial"/>
                <w:sz w:val="18"/>
                <w:szCs w:val="18"/>
                <w:color w:val="auto"/>
              </w:rPr>
              <w:t>—</w:t>
            </w:r>
          </w:p>
        </w:tc>
        <w:tc>
          <w:tcPr>
            <w:tcW w:w="1000" w:type="dxa"/>
            <w:vAlign w:val="bottom"/>
          </w:tcPr>
          <w:p>
            <w:pPr>
              <w:ind w:left="180"/>
              <w:spacing w:after="0" w:line="183" w:lineRule="exact"/>
              <w:rPr>
                <w:sz w:val="20"/>
                <w:szCs w:val="20"/>
                <w:color w:val="auto"/>
              </w:rPr>
            </w:pPr>
            <w:r>
              <w:rPr>
                <w:rFonts w:ascii="Arial" w:cs="Arial" w:eastAsia="Arial" w:hAnsi="Arial"/>
                <w:sz w:val="18"/>
                <w:szCs w:val="18"/>
                <w:color w:val="auto"/>
              </w:rPr>
              <w:t>162,500</w:t>
            </w:r>
          </w:p>
        </w:tc>
        <w:tc>
          <w:tcPr>
            <w:tcW w:w="1080" w:type="dxa"/>
            <w:vAlign w:val="bottom"/>
          </w:tcPr>
          <w:p>
            <w:pPr>
              <w:jc w:val="right"/>
              <w:ind w:right="53"/>
              <w:spacing w:after="0" w:line="183" w:lineRule="exact"/>
              <w:rPr>
                <w:sz w:val="20"/>
                <w:szCs w:val="20"/>
                <w:color w:val="auto"/>
              </w:rPr>
            </w:pPr>
            <w:r>
              <w:rPr>
                <w:rFonts w:ascii="Arial" w:cs="Arial" w:eastAsia="Arial" w:hAnsi="Arial"/>
                <w:sz w:val="18"/>
                <w:szCs w:val="18"/>
                <w:color w:val="auto"/>
              </w:rPr>
              <w:t>325,000</w:t>
            </w:r>
          </w:p>
        </w:tc>
        <w:tc>
          <w:tcPr>
            <w:tcW w:w="1200" w:type="dxa"/>
            <w:vAlign w:val="bottom"/>
          </w:tcPr>
          <w:p>
            <w:pPr>
              <w:jc w:val="right"/>
              <w:ind w:right="153"/>
              <w:spacing w:after="0" w:line="183" w:lineRule="exact"/>
              <w:rPr>
                <w:sz w:val="20"/>
                <w:szCs w:val="20"/>
                <w:color w:val="auto"/>
              </w:rPr>
            </w:pPr>
            <w:r>
              <w:rPr>
                <w:rFonts w:ascii="Arial" w:cs="Arial" w:eastAsia="Arial" w:hAnsi="Arial"/>
                <w:sz w:val="18"/>
                <w:szCs w:val="18"/>
                <w:color w:val="auto"/>
              </w:rPr>
              <w:t>650,000</w:t>
            </w: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Borders>
              <w:bottom w:val="single" w:sz="8" w:color="auto"/>
            </w:tcBorders>
          </w:tcPr>
          <w:p>
            <w:pPr>
              <w:ind w:left="260"/>
              <w:spacing w:after="0" w:line="202" w:lineRule="exact"/>
              <w:rPr>
                <w:sz w:val="20"/>
                <w:szCs w:val="20"/>
                <w:color w:val="auto"/>
              </w:rPr>
            </w:pPr>
            <w:r>
              <w:rPr>
                <w:rFonts w:ascii="Arial" w:cs="Arial" w:eastAsia="Arial" w:hAnsi="Arial"/>
                <w:sz w:val="18"/>
                <w:szCs w:val="18"/>
                <w:color w:val="auto"/>
              </w:rPr>
              <w:t>Performance-Based</w:t>
            </w:r>
          </w:p>
        </w:tc>
        <w:tc>
          <w:tcPr>
            <w:tcW w:w="1120" w:type="dxa"/>
            <w:vAlign w:val="bottom"/>
            <w:tcBorders>
              <w:bottom w:val="single" w:sz="8" w:color="auto"/>
            </w:tcBorders>
            <w:gridSpan w:val="2"/>
          </w:tcPr>
          <w:p>
            <w:pPr>
              <w:jc w:val="right"/>
              <w:ind w:right="80"/>
              <w:spacing w:after="0" w:line="202" w:lineRule="exact"/>
              <w:rPr>
                <w:sz w:val="20"/>
                <w:szCs w:val="20"/>
                <w:color w:val="auto"/>
              </w:rPr>
            </w:pPr>
            <w:r>
              <w:rPr>
                <w:rFonts w:ascii="Arial" w:cs="Arial" w:eastAsia="Arial" w:hAnsi="Arial"/>
                <w:sz w:val="18"/>
                <w:szCs w:val="18"/>
                <w:color w:val="auto"/>
              </w:rPr>
              <w:t>2/20/2023</w:t>
            </w:r>
          </w:p>
        </w:tc>
        <w:tc>
          <w:tcPr>
            <w:tcW w:w="10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54"/>
              <w:spacing w:after="0" w:line="202" w:lineRule="exact"/>
              <w:rPr>
                <w:sz w:val="20"/>
                <w:szCs w:val="20"/>
                <w:color w:val="auto"/>
              </w:rPr>
            </w:pPr>
            <w:r>
              <w:rPr>
                <w:rFonts w:ascii="Arial" w:cs="Arial" w:eastAsia="Arial" w:hAnsi="Arial"/>
                <w:sz w:val="18"/>
                <w:szCs w:val="18"/>
                <w:color w:val="auto"/>
              </w:rPr>
              <w:t>5,466</w:t>
            </w:r>
          </w:p>
        </w:tc>
        <w:tc>
          <w:tcPr>
            <w:tcW w:w="1040" w:type="dxa"/>
            <w:vAlign w:val="bottom"/>
            <w:tcBorders>
              <w:bottom w:val="single" w:sz="8" w:color="auto"/>
            </w:tcBorders>
          </w:tcPr>
          <w:p>
            <w:pPr>
              <w:jc w:val="right"/>
              <w:ind w:right="113"/>
              <w:spacing w:after="0" w:line="202" w:lineRule="exact"/>
              <w:rPr>
                <w:sz w:val="20"/>
                <w:szCs w:val="20"/>
                <w:color w:val="auto"/>
              </w:rPr>
            </w:pPr>
            <w:r>
              <w:rPr>
                <w:rFonts w:ascii="Arial" w:cs="Arial" w:eastAsia="Arial" w:hAnsi="Arial"/>
                <w:sz w:val="18"/>
                <w:szCs w:val="18"/>
                <w:color w:val="auto"/>
              </w:rPr>
              <w:t>10,932</w:t>
            </w:r>
          </w:p>
        </w:tc>
        <w:tc>
          <w:tcPr>
            <w:tcW w:w="1240" w:type="dxa"/>
            <w:vAlign w:val="bottom"/>
            <w:tcBorders>
              <w:bottom w:val="single" w:sz="8" w:color="auto"/>
            </w:tcBorders>
          </w:tcPr>
          <w:p>
            <w:pPr>
              <w:jc w:val="right"/>
              <w:ind w:right="273"/>
              <w:spacing w:after="0" w:line="202" w:lineRule="exact"/>
              <w:rPr>
                <w:sz w:val="20"/>
                <w:szCs w:val="20"/>
                <w:color w:val="auto"/>
              </w:rPr>
            </w:pPr>
            <w:r>
              <w:rPr>
                <w:rFonts w:ascii="Arial" w:cs="Arial" w:eastAsia="Arial" w:hAnsi="Arial"/>
                <w:sz w:val="18"/>
                <w:szCs w:val="18"/>
                <w:color w:val="auto"/>
              </w:rPr>
              <w:t>21,864</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1,279,089</w:t>
            </w:r>
          </w:p>
        </w:tc>
        <w:tc>
          <w:tcPr>
            <w:tcW w:w="0" w:type="dxa"/>
            <w:vAlign w:val="bottom"/>
          </w:tcPr>
          <w:p>
            <w:pPr>
              <w:spacing w:after="0"/>
              <w:rPr>
                <w:sz w:val="1"/>
                <w:szCs w:val="1"/>
                <w:color w:val="auto"/>
              </w:rPr>
            </w:pPr>
          </w:p>
        </w:tc>
      </w:tr>
      <w:tr>
        <w:trPr>
          <w:trHeight w:val="196"/>
        </w:trPr>
        <w:tc>
          <w:tcPr>
            <w:tcW w:w="2000" w:type="dxa"/>
            <w:vAlign w:val="bottom"/>
            <w:shd w:val="clear" w:color="auto" w:fill="D5DCE4"/>
          </w:tcPr>
          <w:p>
            <w:pPr>
              <w:spacing w:after="0" w:line="183" w:lineRule="exact"/>
              <w:rPr>
                <w:sz w:val="20"/>
                <w:szCs w:val="20"/>
                <w:color w:val="auto"/>
              </w:rPr>
            </w:pPr>
            <w:r>
              <w:rPr>
                <w:rFonts w:ascii="Arial" w:cs="Arial" w:eastAsia="Arial" w:hAnsi="Arial"/>
                <w:sz w:val="18"/>
                <w:szCs w:val="18"/>
                <w:color w:val="auto"/>
              </w:rPr>
              <w:t>W. Jeffrey Hire</w:t>
            </w:r>
          </w:p>
        </w:tc>
        <w:tc>
          <w:tcPr>
            <w:tcW w:w="1120" w:type="dxa"/>
            <w:vAlign w:val="bottom"/>
            <w:gridSpan w:val="2"/>
          </w:tcPr>
          <w:p>
            <w:pPr>
              <w:jc w:val="right"/>
              <w:ind w:right="80"/>
              <w:spacing w:after="0" w:line="183" w:lineRule="exact"/>
              <w:rPr>
                <w:sz w:val="20"/>
                <w:szCs w:val="20"/>
                <w:color w:val="auto"/>
              </w:rPr>
            </w:pPr>
            <w:r>
              <w:rPr>
                <w:rFonts w:ascii="Arial" w:cs="Arial" w:eastAsia="Arial" w:hAnsi="Arial"/>
                <w:sz w:val="18"/>
                <w:szCs w:val="18"/>
                <w:color w:val="auto"/>
              </w:rPr>
              <w:t>—</w:t>
            </w:r>
          </w:p>
        </w:tc>
        <w:tc>
          <w:tcPr>
            <w:tcW w:w="1000" w:type="dxa"/>
            <w:vAlign w:val="bottom"/>
          </w:tcPr>
          <w:p>
            <w:pPr>
              <w:ind w:left="180"/>
              <w:spacing w:after="0" w:line="183" w:lineRule="exact"/>
              <w:rPr>
                <w:sz w:val="20"/>
                <w:szCs w:val="20"/>
                <w:color w:val="auto"/>
              </w:rPr>
            </w:pPr>
            <w:r>
              <w:rPr>
                <w:rFonts w:ascii="Arial" w:cs="Arial" w:eastAsia="Arial" w:hAnsi="Arial"/>
                <w:sz w:val="18"/>
                <w:szCs w:val="18"/>
                <w:color w:val="auto"/>
              </w:rPr>
              <w:t>100,000</w:t>
            </w:r>
          </w:p>
        </w:tc>
        <w:tc>
          <w:tcPr>
            <w:tcW w:w="1080" w:type="dxa"/>
            <w:vAlign w:val="bottom"/>
          </w:tcPr>
          <w:p>
            <w:pPr>
              <w:jc w:val="right"/>
              <w:ind w:right="53"/>
              <w:spacing w:after="0" w:line="183" w:lineRule="exact"/>
              <w:rPr>
                <w:sz w:val="20"/>
                <w:szCs w:val="20"/>
                <w:color w:val="auto"/>
              </w:rPr>
            </w:pPr>
            <w:r>
              <w:rPr>
                <w:rFonts w:ascii="Arial" w:cs="Arial" w:eastAsia="Arial" w:hAnsi="Arial"/>
                <w:sz w:val="18"/>
                <w:szCs w:val="18"/>
                <w:color w:val="auto"/>
              </w:rPr>
              <w:t>200,000</w:t>
            </w:r>
          </w:p>
        </w:tc>
        <w:tc>
          <w:tcPr>
            <w:tcW w:w="1200" w:type="dxa"/>
            <w:vAlign w:val="bottom"/>
          </w:tcPr>
          <w:p>
            <w:pPr>
              <w:jc w:val="right"/>
              <w:ind w:right="153"/>
              <w:spacing w:after="0" w:line="183" w:lineRule="exact"/>
              <w:rPr>
                <w:sz w:val="20"/>
                <w:szCs w:val="20"/>
                <w:color w:val="auto"/>
              </w:rPr>
            </w:pPr>
            <w:r>
              <w:rPr>
                <w:rFonts w:ascii="Arial" w:cs="Arial" w:eastAsia="Arial" w:hAnsi="Arial"/>
                <w:sz w:val="18"/>
                <w:szCs w:val="18"/>
                <w:color w:val="auto"/>
              </w:rPr>
              <w:t>400,000</w:t>
            </w: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Borders>
              <w:bottom w:val="single" w:sz="8" w:color="auto"/>
            </w:tcBorders>
          </w:tcPr>
          <w:p>
            <w:pPr>
              <w:ind w:left="260"/>
              <w:spacing w:after="0" w:line="202" w:lineRule="exact"/>
              <w:rPr>
                <w:sz w:val="20"/>
                <w:szCs w:val="20"/>
                <w:color w:val="auto"/>
              </w:rPr>
            </w:pPr>
            <w:r>
              <w:rPr>
                <w:rFonts w:ascii="Arial" w:cs="Arial" w:eastAsia="Arial" w:hAnsi="Arial"/>
                <w:sz w:val="18"/>
                <w:szCs w:val="18"/>
                <w:color w:val="auto"/>
              </w:rPr>
              <w:t>Performance-Based</w:t>
            </w:r>
          </w:p>
        </w:tc>
        <w:tc>
          <w:tcPr>
            <w:tcW w:w="1120" w:type="dxa"/>
            <w:vAlign w:val="bottom"/>
            <w:tcBorders>
              <w:bottom w:val="single" w:sz="8" w:color="auto"/>
            </w:tcBorders>
            <w:gridSpan w:val="2"/>
          </w:tcPr>
          <w:p>
            <w:pPr>
              <w:jc w:val="right"/>
              <w:ind w:right="80"/>
              <w:spacing w:after="0" w:line="202" w:lineRule="exact"/>
              <w:rPr>
                <w:sz w:val="20"/>
                <w:szCs w:val="20"/>
                <w:color w:val="auto"/>
              </w:rPr>
            </w:pPr>
            <w:r>
              <w:rPr>
                <w:rFonts w:ascii="Arial" w:cs="Arial" w:eastAsia="Arial" w:hAnsi="Arial"/>
                <w:sz w:val="18"/>
                <w:szCs w:val="18"/>
                <w:color w:val="auto"/>
              </w:rPr>
              <w:t>2/20/2023</w:t>
            </w:r>
          </w:p>
        </w:tc>
        <w:tc>
          <w:tcPr>
            <w:tcW w:w="10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54"/>
              <w:spacing w:after="0" w:line="202" w:lineRule="exact"/>
              <w:rPr>
                <w:sz w:val="20"/>
                <w:szCs w:val="20"/>
                <w:color w:val="auto"/>
              </w:rPr>
            </w:pPr>
            <w:r>
              <w:rPr>
                <w:rFonts w:ascii="Arial" w:cs="Arial" w:eastAsia="Arial" w:hAnsi="Arial"/>
                <w:sz w:val="18"/>
                <w:szCs w:val="18"/>
                <w:color w:val="auto"/>
              </w:rPr>
              <w:t>1,139</w:t>
            </w:r>
          </w:p>
        </w:tc>
        <w:tc>
          <w:tcPr>
            <w:tcW w:w="1040" w:type="dxa"/>
            <w:vAlign w:val="bottom"/>
            <w:tcBorders>
              <w:bottom w:val="single" w:sz="8" w:color="auto"/>
            </w:tcBorders>
          </w:tcPr>
          <w:p>
            <w:pPr>
              <w:jc w:val="right"/>
              <w:ind w:right="113"/>
              <w:spacing w:after="0" w:line="202" w:lineRule="exact"/>
              <w:rPr>
                <w:sz w:val="20"/>
                <w:szCs w:val="20"/>
                <w:color w:val="auto"/>
              </w:rPr>
            </w:pPr>
            <w:r>
              <w:rPr>
                <w:rFonts w:ascii="Arial" w:cs="Arial" w:eastAsia="Arial" w:hAnsi="Arial"/>
                <w:sz w:val="18"/>
                <w:szCs w:val="18"/>
                <w:color w:val="auto"/>
              </w:rPr>
              <w:t>2,277</w:t>
            </w:r>
          </w:p>
        </w:tc>
        <w:tc>
          <w:tcPr>
            <w:tcW w:w="1240" w:type="dxa"/>
            <w:vAlign w:val="bottom"/>
            <w:tcBorders>
              <w:bottom w:val="single" w:sz="8" w:color="auto"/>
            </w:tcBorders>
          </w:tcPr>
          <w:p>
            <w:pPr>
              <w:jc w:val="right"/>
              <w:ind w:right="273"/>
              <w:spacing w:after="0" w:line="202" w:lineRule="exact"/>
              <w:rPr>
                <w:sz w:val="20"/>
                <w:szCs w:val="20"/>
                <w:color w:val="auto"/>
              </w:rPr>
            </w:pPr>
            <w:r>
              <w:rPr>
                <w:rFonts w:ascii="Arial" w:cs="Arial" w:eastAsia="Arial" w:hAnsi="Arial"/>
                <w:sz w:val="18"/>
                <w:szCs w:val="18"/>
                <w:color w:val="auto"/>
              </w:rPr>
              <w:t>4,554</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266,418</w:t>
            </w:r>
          </w:p>
        </w:tc>
        <w:tc>
          <w:tcPr>
            <w:tcW w:w="0" w:type="dxa"/>
            <w:vAlign w:val="bottom"/>
          </w:tcPr>
          <w:p>
            <w:pPr>
              <w:spacing w:after="0"/>
              <w:rPr>
                <w:sz w:val="1"/>
                <w:szCs w:val="1"/>
                <w:color w:val="auto"/>
              </w:rPr>
            </w:pPr>
          </w:p>
        </w:tc>
      </w:tr>
      <w:tr>
        <w:trPr>
          <w:trHeight w:val="196"/>
        </w:trPr>
        <w:tc>
          <w:tcPr>
            <w:tcW w:w="2000" w:type="dxa"/>
            <w:vAlign w:val="bottom"/>
            <w:shd w:val="clear" w:color="auto" w:fill="D5DCE4"/>
          </w:tcPr>
          <w:p>
            <w:pPr>
              <w:spacing w:after="0" w:line="183" w:lineRule="exact"/>
              <w:rPr>
                <w:sz w:val="20"/>
                <w:szCs w:val="20"/>
                <w:color w:val="auto"/>
              </w:rPr>
            </w:pPr>
            <w:r>
              <w:rPr>
                <w:rFonts w:ascii="Arial" w:cs="Arial" w:eastAsia="Arial" w:hAnsi="Arial"/>
                <w:sz w:val="18"/>
                <w:szCs w:val="18"/>
                <w:color w:val="auto"/>
              </w:rPr>
              <w:t>Jason R. Niswonger</w:t>
            </w:r>
          </w:p>
        </w:tc>
        <w:tc>
          <w:tcPr>
            <w:tcW w:w="1120" w:type="dxa"/>
            <w:vAlign w:val="bottom"/>
            <w:gridSpan w:val="2"/>
          </w:tcPr>
          <w:p>
            <w:pPr>
              <w:jc w:val="right"/>
              <w:ind w:right="80"/>
              <w:spacing w:after="0" w:line="183" w:lineRule="exact"/>
              <w:rPr>
                <w:sz w:val="20"/>
                <w:szCs w:val="20"/>
                <w:color w:val="auto"/>
              </w:rPr>
            </w:pPr>
            <w:r>
              <w:rPr>
                <w:rFonts w:ascii="Arial" w:cs="Arial" w:eastAsia="Arial" w:hAnsi="Arial"/>
                <w:sz w:val="18"/>
                <w:szCs w:val="18"/>
                <w:color w:val="auto"/>
              </w:rPr>
              <w:t>—</w:t>
            </w:r>
          </w:p>
        </w:tc>
        <w:tc>
          <w:tcPr>
            <w:tcW w:w="1000" w:type="dxa"/>
            <w:vAlign w:val="bottom"/>
          </w:tcPr>
          <w:p>
            <w:pPr>
              <w:ind w:left="180"/>
              <w:spacing w:after="0" w:line="183" w:lineRule="exact"/>
              <w:rPr>
                <w:sz w:val="20"/>
                <w:szCs w:val="20"/>
                <w:color w:val="auto"/>
              </w:rPr>
            </w:pPr>
            <w:r>
              <w:rPr>
                <w:rFonts w:ascii="Arial" w:cs="Arial" w:eastAsia="Arial" w:hAnsi="Arial"/>
                <w:sz w:val="18"/>
                <w:szCs w:val="18"/>
                <w:color w:val="auto"/>
              </w:rPr>
              <w:t>132,500</w:t>
            </w:r>
          </w:p>
        </w:tc>
        <w:tc>
          <w:tcPr>
            <w:tcW w:w="1080" w:type="dxa"/>
            <w:vAlign w:val="bottom"/>
          </w:tcPr>
          <w:p>
            <w:pPr>
              <w:jc w:val="right"/>
              <w:ind w:right="53"/>
              <w:spacing w:after="0" w:line="183" w:lineRule="exact"/>
              <w:rPr>
                <w:sz w:val="20"/>
                <w:szCs w:val="20"/>
                <w:color w:val="auto"/>
              </w:rPr>
            </w:pPr>
            <w:r>
              <w:rPr>
                <w:rFonts w:ascii="Arial" w:cs="Arial" w:eastAsia="Arial" w:hAnsi="Arial"/>
                <w:sz w:val="18"/>
                <w:szCs w:val="18"/>
                <w:color w:val="auto"/>
              </w:rPr>
              <w:t>265,000</w:t>
            </w:r>
          </w:p>
        </w:tc>
        <w:tc>
          <w:tcPr>
            <w:tcW w:w="1200" w:type="dxa"/>
            <w:vAlign w:val="bottom"/>
          </w:tcPr>
          <w:p>
            <w:pPr>
              <w:jc w:val="right"/>
              <w:ind w:right="153"/>
              <w:spacing w:after="0" w:line="183" w:lineRule="exact"/>
              <w:rPr>
                <w:sz w:val="20"/>
                <w:szCs w:val="20"/>
                <w:color w:val="auto"/>
              </w:rPr>
            </w:pPr>
            <w:r>
              <w:rPr>
                <w:rFonts w:ascii="Arial" w:cs="Arial" w:eastAsia="Arial" w:hAnsi="Arial"/>
                <w:sz w:val="18"/>
                <w:szCs w:val="18"/>
                <w:color w:val="auto"/>
              </w:rPr>
              <w:t>530,000</w:t>
            </w: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00" w:type="dxa"/>
            <w:vAlign w:val="bottom"/>
            <w:tcBorders>
              <w:bottom w:val="single" w:sz="8" w:color="0070C0"/>
            </w:tcBorders>
          </w:tcPr>
          <w:p>
            <w:pPr>
              <w:ind w:left="260"/>
              <w:spacing w:after="0" w:line="202" w:lineRule="exact"/>
              <w:rPr>
                <w:sz w:val="20"/>
                <w:szCs w:val="20"/>
                <w:color w:val="auto"/>
              </w:rPr>
            </w:pPr>
            <w:r>
              <w:rPr>
                <w:rFonts w:ascii="Arial" w:cs="Arial" w:eastAsia="Arial" w:hAnsi="Arial"/>
                <w:sz w:val="18"/>
                <w:szCs w:val="18"/>
                <w:color w:val="auto"/>
              </w:rPr>
              <w:t>Performance-Based</w:t>
            </w:r>
          </w:p>
        </w:tc>
        <w:tc>
          <w:tcPr>
            <w:tcW w:w="1120" w:type="dxa"/>
            <w:vAlign w:val="bottom"/>
            <w:tcBorders>
              <w:bottom w:val="single" w:sz="8" w:color="0070C0"/>
            </w:tcBorders>
            <w:gridSpan w:val="2"/>
          </w:tcPr>
          <w:p>
            <w:pPr>
              <w:jc w:val="right"/>
              <w:ind w:right="80"/>
              <w:spacing w:after="0" w:line="202" w:lineRule="exact"/>
              <w:rPr>
                <w:sz w:val="20"/>
                <w:szCs w:val="20"/>
                <w:color w:val="auto"/>
              </w:rPr>
            </w:pPr>
            <w:r>
              <w:rPr>
                <w:rFonts w:ascii="Arial" w:cs="Arial" w:eastAsia="Arial" w:hAnsi="Arial"/>
                <w:sz w:val="18"/>
                <w:szCs w:val="18"/>
                <w:color w:val="auto"/>
              </w:rPr>
              <w:t>2/20/2023</w:t>
            </w:r>
          </w:p>
        </w:tc>
        <w:tc>
          <w:tcPr>
            <w:tcW w:w="1000" w:type="dxa"/>
            <w:vAlign w:val="bottom"/>
            <w:tcBorders>
              <w:bottom w:val="single" w:sz="8" w:color="0070C0"/>
            </w:tcBorders>
          </w:tcPr>
          <w:p>
            <w:pPr>
              <w:spacing w:after="0"/>
              <w:rPr>
                <w:sz w:val="18"/>
                <w:szCs w:val="18"/>
                <w:color w:val="auto"/>
              </w:rPr>
            </w:pPr>
          </w:p>
        </w:tc>
        <w:tc>
          <w:tcPr>
            <w:tcW w:w="1080" w:type="dxa"/>
            <w:vAlign w:val="bottom"/>
            <w:tcBorders>
              <w:bottom w:val="single" w:sz="8" w:color="0070C0"/>
            </w:tcBorders>
          </w:tcPr>
          <w:p>
            <w:pPr>
              <w:spacing w:after="0"/>
              <w:rPr>
                <w:sz w:val="18"/>
                <w:szCs w:val="18"/>
                <w:color w:val="auto"/>
              </w:rPr>
            </w:pPr>
          </w:p>
        </w:tc>
        <w:tc>
          <w:tcPr>
            <w:tcW w:w="1200" w:type="dxa"/>
            <w:vAlign w:val="bottom"/>
            <w:tcBorders>
              <w:bottom w:val="single" w:sz="8" w:color="0070C0"/>
            </w:tcBorders>
          </w:tcPr>
          <w:p>
            <w:pPr>
              <w:spacing w:after="0"/>
              <w:rPr>
                <w:sz w:val="18"/>
                <w:szCs w:val="18"/>
                <w:color w:val="auto"/>
              </w:rPr>
            </w:pPr>
          </w:p>
        </w:tc>
        <w:tc>
          <w:tcPr>
            <w:tcW w:w="1280" w:type="dxa"/>
            <w:vAlign w:val="bottom"/>
            <w:tcBorders>
              <w:bottom w:val="single" w:sz="8" w:color="0070C0"/>
            </w:tcBorders>
          </w:tcPr>
          <w:p>
            <w:pPr>
              <w:jc w:val="right"/>
              <w:ind w:right="254"/>
              <w:spacing w:after="0" w:line="202" w:lineRule="exact"/>
              <w:rPr>
                <w:sz w:val="20"/>
                <w:szCs w:val="20"/>
                <w:color w:val="auto"/>
              </w:rPr>
            </w:pPr>
            <w:r>
              <w:rPr>
                <w:rFonts w:ascii="Arial" w:cs="Arial" w:eastAsia="Arial" w:hAnsi="Arial"/>
                <w:sz w:val="18"/>
                <w:szCs w:val="18"/>
                <w:color w:val="auto"/>
              </w:rPr>
              <w:t>1,868</w:t>
            </w:r>
          </w:p>
        </w:tc>
        <w:tc>
          <w:tcPr>
            <w:tcW w:w="1040" w:type="dxa"/>
            <w:vAlign w:val="bottom"/>
            <w:tcBorders>
              <w:bottom w:val="single" w:sz="8" w:color="0070C0"/>
            </w:tcBorders>
          </w:tcPr>
          <w:p>
            <w:pPr>
              <w:jc w:val="right"/>
              <w:ind w:right="113"/>
              <w:spacing w:after="0" w:line="202" w:lineRule="exact"/>
              <w:rPr>
                <w:sz w:val="20"/>
                <w:szCs w:val="20"/>
                <w:color w:val="auto"/>
              </w:rPr>
            </w:pPr>
            <w:r>
              <w:rPr>
                <w:rFonts w:ascii="Arial" w:cs="Arial" w:eastAsia="Arial" w:hAnsi="Arial"/>
                <w:sz w:val="18"/>
                <w:szCs w:val="18"/>
                <w:color w:val="auto"/>
              </w:rPr>
              <w:t>3,735</w:t>
            </w:r>
          </w:p>
        </w:tc>
        <w:tc>
          <w:tcPr>
            <w:tcW w:w="1240" w:type="dxa"/>
            <w:vAlign w:val="bottom"/>
            <w:tcBorders>
              <w:bottom w:val="single" w:sz="8" w:color="0070C0"/>
            </w:tcBorders>
          </w:tcPr>
          <w:p>
            <w:pPr>
              <w:jc w:val="right"/>
              <w:ind w:right="273"/>
              <w:spacing w:after="0" w:line="202" w:lineRule="exact"/>
              <w:rPr>
                <w:sz w:val="20"/>
                <w:szCs w:val="20"/>
                <w:color w:val="auto"/>
              </w:rPr>
            </w:pPr>
            <w:r>
              <w:rPr>
                <w:rFonts w:ascii="Arial" w:cs="Arial" w:eastAsia="Arial" w:hAnsi="Arial"/>
                <w:sz w:val="18"/>
                <w:szCs w:val="18"/>
                <w:color w:val="auto"/>
              </w:rPr>
              <w:t>7,470</w:t>
            </w:r>
          </w:p>
        </w:tc>
        <w:tc>
          <w:tcPr>
            <w:tcW w:w="1060" w:type="dxa"/>
            <w:vAlign w:val="bottom"/>
            <w:tcBorders>
              <w:bottom w:val="single" w:sz="8" w:color="0070C0"/>
            </w:tcBorders>
          </w:tcPr>
          <w:p>
            <w:pPr>
              <w:jc w:val="right"/>
              <w:spacing w:after="0" w:line="202" w:lineRule="exact"/>
              <w:rPr>
                <w:sz w:val="20"/>
                <w:szCs w:val="20"/>
                <w:color w:val="auto"/>
              </w:rPr>
            </w:pPr>
            <w:r>
              <w:rPr>
                <w:rFonts w:ascii="Arial" w:cs="Arial" w:eastAsia="Arial" w:hAnsi="Arial"/>
                <w:sz w:val="18"/>
                <w:szCs w:val="18"/>
                <w:color w:val="auto"/>
              </w:rPr>
              <w:t>437,011</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760" w:right="60" w:hanging="548"/>
        <w:spacing w:after="0" w:line="242"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amounts shown reflect the threshold, target and maximum amounts that each NEO was eligible to receive for 2023 based on achievement of the Adjusted EBITDA performance target established by the CHC Committee. Actual payouts are reported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xml:space="preserve"> under the “Non-Equity Incentive Plan Compensation” column. The material terms of the 2023 non-equity incentive awards are described above under “</w:t>
      </w:r>
      <w:r>
        <w:rPr>
          <w:rFonts w:ascii="Arial" w:cs="Arial" w:eastAsia="Arial" w:hAnsi="Arial"/>
          <w:sz w:val="18"/>
          <w:szCs w:val="18"/>
          <w:i w:val="1"/>
          <w:iCs w:val="1"/>
          <w:color w:val="auto"/>
        </w:rPr>
        <w:t>2023 Performance-Based Incentive Cash Award.</w:t>
      </w:r>
      <w:r>
        <w:rPr>
          <w:rFonts w:ascii="Arial" w:cs="Arial" w:eastAsia="Arial" w:hAnsi="Arial"/>
          <w:sz w:val="18"/>
          <w:szCs w:val="18"/>
          <w:color w:val="auto"/>
        </w:rPr>
        <w:t>” A reconciliation of Adjusted EBITDA to the most directly comparable GAAP measure may be found under the heading “</w:t>
      </w:r>
      <w:r>
        <w:rPr>
          <w:rFonts w:ascii="Arial" w:cs="Arial" w:eastAsia="Arial" w:hAnsi="Arial"/>
          <w:sz w:val="18"/>
          <w:szCs w:val="18"/>
          <w:i w:val="1"/>
          <w:iCs w:val="1"/>
          <w:color w:val="auto"/>
        </w:rPr>
        <w:t>Additional Information –</w:t>
      </w:r>
      <w:r>
        <w:rPr>
          <w:rFonts w:ascii="Arial" w:cs="Arial" w:eastAsia="Arial" w:hAnsi="Arial"/>
          <w:sz w:val="18"/>
          <w:szCs w:val="18"/>
          <w:color w:val="auto"/>
        </w:rPr>
        <w:t xml:space="preserve"> </w:t>
      </w:r>
      <w:r>
        <w:rPr>
          <w:rFonts w:ascii="Arial" w:cs="Arial" w:eastAsia="Arial" w:hAnsi="Arial"/>
          <w:sz w:val="18"/>
          <w:szCs w:val="18"/>
          <w:i w:val="1"/>
          <w:iCs w:val="1"/>
          <w:color w:val="auto"/>
        </w:rPr>
        <w:t>Use of Non-GAAP Financial Measures</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760" w:right="340" w:hanging="548"/>
        <w:spacing w:after="0" w:line="242"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amounts shown reflect the threshold, target and maximum amounts that each NEO was eligible to receive for 2023 performance based on achievement of the Adjusted EBITDA performance target established by the CHC Committee. Actual payouts are reported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xml:space="preserve"> under the “Stock Awards” column. The material terms of the 2023 equity incentive awards are described above under “</w:t>
      </w:r>
      <w:r>
        <w:rPr>
          <w:rFonts w:ascii="Arial" w:cs="Arial" w:eastAsia="Arial" w:hAnsi="Arial"/>
          <w:sz w:val="18"/>
          <w:szCs w:val="18"/>
          <w:i w:val="1"/>
          <w:iCs w:val="1"/>
          <w:color w:val="auto"/>
        </w:rPr>
        <w:t>2023 Performance-Based Incentive Equity Awards.</w:t>
      </w:r>
      <w:r>
        <w:rPr>
          <w:rFonts w:ascii="Arial" w:cs="Arial" w:eastAsia="Arial" w:hAnsi="Arial"/>
          <w:sz w:val="18"/>
          <w:szCs w:val="18"/>
          <w:color w:val="auto"/>
        </w:rPr>
        <w:t>” A reconciliation of Adjusted EBITDA to the most directly comparable GAAP measure may be found under the heading “</w:t>
      </w:r>
      <w:r>
        <w:rPr>
          <w:rFonts w:ascii="Arial" w:cs="Arial" w:eastAsia="Arial" w:hAnsi="Arial"/>
          <w:sz w:val="18"/>
          <w:szCs w:val="18"/>
          <w:i w:val="1"/>
          <w:iCs w:val="1"/>
          <w:color w:val="auto"/>
        </w:rPr>
        <w:t>Additional Information –</w:t>
      </w:r>
      <w:r>
        <w:rPr>
          <w:rFonts w:ascii="Arial" w:cs="Arial" w:eastAsia="Arial" w:hAnsi="Arial"/>
          <w:sz w:val="18"/>
          <w:szCs w:val="18"/>
          <w:color w:val="auto"/>
        </w:rPr>
        <w:t xml:space="preserve"> </w:t>
      </w:r>
      <w:r>
        <w:rPr>
          <w:rFonts w:ascii="Arial" w:cs="Arial" w:eastAsia="Arial" w:hAnsi="Arial"/>
          <w:sz w:val="18"/>
          <w:szCs w:val="18"/>
          <w:i w:val="1"/>
          <w:iCs w:val="1"/>
          <w:color w:val="auto"/>
        </w:rPr>
        <w:t>Use of Non-GAAP Financial Measures</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760" w:right="120" w:hanging="548"/>
        <w:spacing w:after="0" w:line="247"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in this column for 2023 represent the aggregate grant date fair value of performance-based restricted stock awards, computed in accordance with FASB ASC Topic 718. The grant date fair value was determined by multiplying the closing price of the Company’s common stock on February 17, 2023 ($109.76) by the number of shares that would be earned based on the probable outcome of the performance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69951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Executive Compensation</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64</w:t>
      </w:r>
    </w:p>
    <w:p>
      <w:pPr>
        <w:sectPr>
          <w:pgSz w:w="11900" w:h="16838" w:orient="portrait"/>
          <w:cols w:equalWidth="0" w:num="1">
            <w:col w:w="11020"/>
          </w:cols>
          <w:pgMar w:left="440" w:top="287" w:right="439" w:bottom="1440" w:gutter="0" w:footer="0" w:header="0"/>
        </w:sectPr>
      </w:pPr>
    </w:p>
    <w:bookmarkStart w:id="72" w:name="page73"/>
    <w:bookmarkEnd w:id="72"/>
    <w:p>
      <w:pPr>
        <w:spacing w:after="0"/>
        <w:rPr>
          <w:sz w:val="20"/>
          <w:szCs w:val="20"/>
          <w:color w:val="auto"/>
        </w:rPr>
      </w:pPr>
      <w:r>
        <w:rPr>
          <w:rFonts w:ascii="Arial" w:cs="Arial" w:eastAsia="Arial" w:hAnsi="Arial"/>
          <w:sz w:val="22"/>
          <w:szCs w:val="22"/>
          <w:b w:val="1"/>
          <w:bCs w:val="1"/>
          <w:color w:val="00206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Outstanding Equity Awards Table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outstanding equity awards held by each of our NEOs as of December 31, 2023.</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Borders>
              <w:bottom w:val="single" w:sz="8" w:color="0070C0"/>
            </w:tcBorders>
          </w:tcPr>
          <w:p>
            <w:pPr>
              <w:spacing w:after="0"/>
              <w:rPr>
                <w:sz w:val="18"/>
                <w:szCs w:val="18"/>
                <w:color w:val="auto"/>
              </w:rPr>
            </w:pPr>
          </w:p>
        </w:tc>
        <w:tc>
          <w:tcPr>
            <w:tcW w:w="1300" w:type="dxa"/>
            <w:vAlign w:val="bottom"/>
            <w:tcBorders>
              <w:bottom w:val="single" w:sz="8" w:color="0070C0"/>
            </w:tcBorders>
          </w:tcPr>
          <w:p>
            <w:pPr>
              <w:spacing w:after="0"/>
              <w:rPr>
                <w:sz w:val="18"/>
                <w:szCs w:val="18"/>
                <w:color w:val="auto"/>
              </w:rPr>
            </w:pPr>
          </w:p>
        </w:tc>
        <w:tc>
          <w:tcPr>
            <w:tcW w:w="2000" w:type="dxa"/>
            <w:vAlign w:val="bottom"/>
            <w:tcBorders>
              <w:bottom w:val="single" w:sz="8" w:color="0070C0"/>
            </w:tcBorders>
          </w:tcPr>
          <w:p>
            <w:pPr>
              <w:jc w:val="right"/>
              <w:ind w:right="676"/>
              <w:spacing w:after="0"/>
              <w:rPr>
                <w:sz w:val="20"/>
                <w:szCs w:val="20"/>
                <w:color w:val="auto"/>
              </w:rPr>
            </w:pPr>
            <w:r>
              <w:rPr>
                <w:rFonts w:ascii="Arial" w:cs="Arial" w:eastAsia="Arial" w:hAnsi="Arial"/>
                <w:sz w:val="16"/>
                <w:szCs w:val="16"/>
                <w:b w:val="1"/>
                <w:bCs w:val="1"/>
                <w:color w:val="002060"/>
              </w:rPr>
              <w:t>Stock Awards</w:t>
            </w:r>
          </w:p>
        </w:tc>
        <w:tc>
          <w:tcPr>
            <w:tcW w:w="2120" w:type="dxa"/>
            <w:vAlign w:val="bottom"/>
            <w:tcBorders>
              <w:bottom w:val="single" w:sz="8" w:color="0070C0"/>
            </w:tcBorders>
          </w:tcPr>
          <w:p>
            <w:pPr>
              <w:spacing w:after="0"/>
              <w:rPr>
                <w:sz w:val="18"/>
                <w:szCs w:val="18"/>
                <w:color w:val="auto"/>
              </w:rPr>
            </w:pPr>
          </w:p>
        </w:tc>
      </w:tr>
      <w:tr>
        <w:trPr>
          <w:trHeight w:val="175"/>
        </w:trPr>
        <w:tc>
          <w:tcPr>
            <w:tcW w:w="2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120" w:type="dxa"/>
            <w:vAlign w:val="bottom"/>
          </w:tcPr>
          <w:p>
            <w:pPr>
              <w:jc w:val="center"/>
              <w:spacing w:after="0" w:line="175" w:lineRule="exact"/>
              <w:rPr>
                <w:sz w:val="20"/>
                <w:szCs w:val="20"/>
                <w:color w:val="auto"/>
              </w:rPr>
            </w:pPr>
            <w:r>
              <w:rPr>
                <w:rFonts w:ascii="Arial" w:cs="Arial" w:eastAsia="Arial" w:hAnsi="Arial"/>
                <w:sz w:val="16"/>
                <w:szCs w:val="16"/>
                <w:b w:val="1"/>
                <w:bCs w:val="1"/>
                <w:color w:val="002060"/>
              </w:rPr>
              <w:t>Equity Incentive</w:t>
            </w:r>
          </w:p>
        </w:tc>
      </w:tr>
      <w:tr>
        <w:trPr>
          <w:trHeight w:val="189"/>
        </w:trPr>
        <w:tc>
          <w:tcPr>
            <w:tcW w:w="2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0" w:type="dxa"/>
            <w:vAlign w:val="bottom"/>
          </w:tcPr>
          <w:p>
            <w:pPr>
              <w:jc w:val="center"/>
              <w:ind w:right="36"/>
              <w:spacing w:after="0"/>
              <w:rPr>
                <w:sz w:val="20"/>
                <w:szCs w:val="20"/>
                <w:color w:val="auto"/>
              </w:rPr>
            </w:pPr>
            <w:r>
              <w:rPr>
                <w:rFonts w:ascii="Arial" w:cs="Arial" w:eastAsia="Arial" w:hAnsi="Arial"/>
                <w:sz w:val="16"/>
                <w:szCs w:val="16"/>
                <w:b w:val="1"/>
                <w:bCs w:val="1"/>
                <w:color w:val="002060"/>
              </w:rPr>
              <w:t>Equity Incentive</w:t>
            </w:r>
          </w:p>
        </w:tc>
        <w:tc>
          <w:tcPr>
            <w:tcW w:w="2120" w:type="dxa"/>
            <w:vAlign w:val="bottom"/>
          </w:tcPr>
          <w:p>
            <w:pPr>
              <w:jc w:val="center"/>
              <w:spacing w:after="0"/>
              <w:rPr>
                <w:sz w:val="20"/>
                <w:szCs w:val="20"/>
                <w:color w:val="auto"/>
              </w:rPr>
            </w:pPr>
            <w:r>
              <w:rPr>
                <w:rFonts w:ascii="Arial" w:cs="Arial" w:eastAsia="Arial" w:hAnsi="Arial"/>
                <w:sz w:val="16"/>
                <w:szCs w:val="16"/>
                <w:b w:val="1"/>
                <w:bCs w:val="1"/>
                <w:color w:val="002060"/>
              </w:rPr>
              <w:t>Plan Awards:</w:t>
            </w:r>
          </w:p>
        </w:tc>
      </w:tr>
      <w:tr>
        <w:trPr>
          <w:trHeight w:val="189"/>
        </w:trPr>
        <w:tc>
          <w:tcPr>
            <w:tcW w:w="2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002060"/>
              </w:rPr>
              <w:t>Market</w:t>
            </w:r>
          </w:p>
        </w:tc>
        <w:tc>
          <w:tcPr>
            <w:tcW w:w="2000" w:type="dxa"/>
            <w:vAlign w:val="bottom"/>
          </w:tcPr>
          <w:p>
            <w:pPr>
              <w:jc w:val="center"/>
              <w:ind w:right="56"/>
              <w:spacing w:after="0"/>
              <w:rPr>
                <w:sz w:val="20"/>
                <w:szCs w:val="20"/>
                <w:color w:val="auto"/>
              </w:rPr>
            </w:pPr>
            <w:r>
              <w:rPr>
                <w:rFonts w:ascii="Arial" w:cs="Arial" w:eastAsia="Arial" w:hAnsi="Arial"/>
                <w:sz w:val="16"/>
                <w:szCs w:val="16"/>
                <w:b w:val="1"/>
                <w:bCs w:val="1"/>
                <w:color w:val="002060"/>
              </w:rPr>
              <w:t>Plan Awards:</w:t>
            </w:r>
          </w:p>
        </w:tc>
        <w:tc>
          <w:tcPr>
            <w:tcW w:w="2120" w:type="dxa"/>
            <w:vAlign w:val="bottom"/>
          </w:tcPr>
          <w:p>
            <w:pPr>
              <w:jc w:val="center"/>
              <w:spacing w:after="0"/>
              <w:rPr>
                <w:sz w:val="20"/>
                <w:szCs w:val="20"/>
                <w:color w:val="auto"/>
              </w:rPr>
            </w:pPr>
            <w:r>
              <w:rPr>
                <w:rFonts w:ascii="Arial" w:cs="Arial" w:eastAsia="Arial" w:hAnsi="Arial"/>
                <w:sz w:val="16"/>
                <w:szCs w:val="16"/>
                <w:b w:val="1"/>
                <w:bCs w:val="1"/>
                <w:color w:val="002060"/>
                <w:w w:val="99"/>
              </w:rPr>
              <w:t>Market or</w:t>
            </w:r>
          </w:p>
        </w:tc>
      </w:tr>
      <w:tr>
        <w:trPr>
          <w:trHeight w:val="189"/>
        </w:trPr>
        <w:tc>
          <w:tcPr>
            <w:tcW w:w="2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60" w:type="dxa"/>
            <w:vAlign w:val="bottom"/>
          </w:tcPr>
          <w:p>
            <w:pPr>
              <w:jc w:val="center"/>
              <w:ind w:left="114"/>
              <w:spacing w:after="0"/>
              <w:rPr>
                <w:sz w:val="20"/>
                <w:szCs w:val="20"/>
                <w:color w:val="auto"/>
              </w:rPr>
            </w:pPr>
            <w:r>
              <w:rPr>
                <w:rFonts w:ascii="Arial" w:cs="Arial" w:eastAsia="Arial" w:hAnsi="Arial"/>
                <w:sz w:val="16"/>
                <w:szCs w:val="16"/>
                <w:b w:val="1"/>
                <w:bCs w:val="1"/>
                <w:color w:val="002060"/>
                <w:w w:val="99"/>
              </w:rPr>
              <w:t>Number of</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002060"/>
                <w:w w:val="99"/>
              </w:rPr>
              <w:t>Value of</w:t>
            </w:r>
          </w:p>
        </w:tc>
        <w:tc>
          <w:tcPr>
            <w:tcW w:w="2000" w:type="dxa"/>
            <w:vAlign w:val="bottom"/>
          </w:tcPr>
          <w:p>
            <w:pPr>
              <w:jc w:val="center"/>
              <w:ind w:right="56"/>
              <w:spacing w:after="0"/>
              <w:rPr>
                <w:sz w:val="20"/>
                <w:szCs w:val="20"/>
                <w:color w:val="auto"/>
              </w:rPr>
            </w:pPr>
            <w:r>
              <w:rPr>
                <w:rFonts w:ascii="Arial" w:cs="Arial" w:eastAsia="Arial" w:hAnsi="Arial"/>
                <w:sz w:val="16"/>
                <w:szCs w:val="16"/>
                <w:b w:val="1"/>
                <w:bCs w:val="1"/>
                <w:color w:val="002060"/>
              </w:rPr>
              <w:t>Number of</w:t>
            </w:r>
          </w:p>
        </w:tc>
        <w:tc>
          <w:tcPr>
            <w:tcW w:w="2120" w:type="dxa"/>
            <w:vAlign w:val="bottom"/>
          </w:tcPr>
          <w:p>
            <w:pPr>
              <w:jc w:val="center"/>
              <w:spacing w:after="0"/>
              <w:rPr>
                <w:sz w:val="20"/>
                <w:szCs w:val="20"/>
                <w:color w:val="auto"/>
              </w:rPr>
            </w:pPr>
            <w:r>
              <w:rPr>
                <w:rFonts w:ascii="Arial" w:cs="Arial" w:eastAsia="Arial" w:hAnsi="Arial"/>
                <w:sz w:val="16"/>
                <w:szCs w:val="16"/>
                <w:b w:val="1"/>
                <w:bCs w:val="1"/>
                <w:color w:val="002060"/>
                <w:w w:val="99"/>
              </w:rPr>
              <w:t>Payout Value of</w:t>
            </w:r>
          </w:p>
        </w:tc>
      </w:tr>
      <w:tr>
        <w:trPr>
          <w:trHeight w:val="189"/>
        </w:trPr>
        <w:tc>
          <w:tcPr>
            <w:tcW w:w="2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60" w:type="dxa"/>
            <w:vAlign w:val="bottom"/>
          </w:tcPr>
          <w:p>
            <w:pPr>
              <w:jc w:val="center"/>
              <w:ind w:left="114"/>
              <w:spacing w:after="0"/>
              <w:rPr>
                <w:sz w:val="20"/>
                <w:szCs w:val="20"/>
                <w:color w:val="auto"/>
              </w:rPr>
            </w:pPr>
            <w:r>
              <w:rPr>
                <w:rFonts w:ascii="Arial" w:cs="Arial" w:eastAsia="Arial" w:hAnsi="Arial"/>
                <w:sz w:val="16"/>
                <w:szCs w:val="16"/>
                <w:b w:val="1"/>
                <w:bCs w:val="1"/>
                <w:color w:val="002060"/>
              </w:rPr>
              <w:t>Shares or</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002060"/>
              </w:rPr>
              <w:t>Shares or</w:t>
            </w:r>
          </w:p>
        </w:tc>
        <w:tc>
          <w:tcPr>
            <w:tcW w:w="2000" w:type="dxa"/>
            <w:vAlign w:val="bottom"/>
          </w:tcPr>
          <w:p>
            <w:pPr>
              <w:jc w:val="center"/>
              <w:ind w:right="56"/>
              <w:spacing w:after="0"/>
              <w:rPr>
                <w:sz w:val="20"/>
                <w:szCs w:val="20"/>
                <w:color w:val="auto"/>
              </w:rPr>
            </w:pPr>
            <w:r>
              <w:rPr>
                <w:rFonts w:ascii="Arial" w:cs="Arial" w:eastAsia="Arial" w:hAnsi="Arial"/>
                <w:sz w:val="16"/>
                <w:szCs w:val="16"/>
                <w:b w:val="1"/>
                <w:bCs w:val="1"/>
                <w:color w:val="002060"/>
              </w:rPr>
              <w:t>Unearned</w:t>
            </w:r>
          </w:p>
        </w:tc>
        <w:tc>
          <w:tcPr>
            <w:tcW w:w="2120" w:type="dxa"/>
            <w:vAlign w:val="bottom"/>
          </w:tcPr>
          <w:p>
            <w:pPr>
              <w:jc w:val="center"/>
              <w:spacing w:after="0"/>
              <w:rPr>
                <w:sz w:val="20"/>
                <w:szCs w:val="20"/>
                <w:color w:val="auto"/>
              </w:rPr>
            </w:pPr>
            <w:r>
              <w:rPr>
                <w:rFonts w:ascii="Arial" w:cs="Arial" w:eastAsia="Arial" w:hAnsi="Arial"/>
                <w:sz w:val="16"/>
                <w:szCs w:val="16"/>
                <w:b w:val="1"/>
                <w:bCs w:val="1"/>
                <w:color w:val="002060"/>
              </w:rPr>
              <w:t>Unearned</w:t>
            </w:r>
          </w:p>
        </w:tc>
      </w:tr>
      <w:tr>
        <w:trPr>
          <w:trHeight w:val="189"/>
        </w:trPr>
        <w:tc>
          <w:tcPr>
            <w:tcW w:w="2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60" w:type="dxa"/>
            <w:vAlign w:val="bottom"/>
          </w:tcPr>
          <w:p>
            <w:pPr>
              <w:jc w:val="center"/>
              <w:ind w:left="114"/>
              <w:spacing w:after="0"/>
              <w:rPr>
                <w:sz w:val="20"/>
                <w:szCs w:val="20"/>
                <w:color w:val="auto"/>
              </w:rPr>
            </w:pPr>
            <w:r>
              <w:rPr>
                <w:rFonts w:ascii="Arial" w:cs="Arial" w:eastAsia="Arial" w:hAnsi="Arial"/>
                <w:sz w:val="16"/>
                <w:szCs w:val="16"/>
                <w:b w:val="1"/>
                <w:bCs w:val="1"/>
                <w:color w:val="002060"/>
              </w:rPr>
              <w:t>Units of</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002060"/>
              </w:rPr>
              <w:t>Units of</w:t>
            </w:r>
          </w:p>
        </w:tc>
        <w:tc>
          <w:tcPr>
            <w:tcW w:w="2000" w:type="dxa"/>
            <w:vAlign w:val="bottom"/>
          </w:tcPr>
          <w:p>
            <w:pPr>
              <w:jc w:val="center"/>
              <w:ind w:right="36"/>
              <w:spacing w:after="0"/>
              <w:rPr>
                <w:sz w:val="20"/>
                <w:szCs w:val="20"/>
                <w:color w:val="auto"/>
              </w:rPr>
            </w:pPr>
            <w:r>
              <w:rPr>
                <w:rFonts w:ascii="Arial" w:cs="Arial" w:eastAsia="Arial" w:hAnsi="Arial"/>
                <w:sz w:val="16"/>
                <w:szCs w:val="16"/>
                <w:b w:val="1"/>
                <w:bCs w:val="1"/>
                <w:color w:val="002060"/>
              </w:rPr>
              <w:t>Shares or Units</w:t>
            </w:r>
          </w:p>
        </w:tc>
        <w:tc>
          <w:tcPr>
            <w:tcW w:w="2120" w:type="dxa"/>
            <w:vAlign w:val="bottom"/>
          </w:tcPr>
          <w:p>
            <w:pPr>
              <w:jc w:val="center"/>
              <w:spacing w:after="0"/>
              <w:rPr>
                <w:sz w:val="20"/>
                <w:szCs w:val="20"/>
                <w:color w:val="auto"/>
              </w:rPr>
            </w:pPr>
            <w:r>
              <w:rPr>
                <w:rFonts w:ascii="Arial" w:cs="Arial" w:eastAsia="Arial" w:hAnsi="Arial"/>
                <w:sz w:val="16"/>
                <w:szCs w:val="16"/>
                <w:b w:val="1"/>
                <w:bCs w:val="1"/>
                <w:color w:val="002060"/>
              </w:rPr>
              <w:t>Shares or Units</w:t>
            </w:r>
          </w:p>
        </w:tc>
      </w:tr>
      <w:tr>
        <w:trPr>
          <w:trHeight w:val="189"/>
        </w:trPr>
        <w:tc>
          <w:tcPr>
            <w:tcW w:w="2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60" w:type="dxa"/>
            <w:vAlign w:val="bottom"/>
          </w:tcPr>
          <w:p>
            <w:pPr>
              <w:jc w:val="center"/>
              <w:ind w:left="94"/>
              <w:spacing w:after="0"/>
              <w:rPr>
                <w:sz w:val="20"/>
                <w:szCs w:val="20"/>
                <w:color w:val="auto"/>
              </w:rPr>
            </w:pPr>
            <w:r>
              <w:rPr>
                <w:rFonts w:ascii="Arial" w:cs="Arial" w:eastAsia="Arial" w:hAnsi="Arial"/>
                <w:sz w:val="16"/>
                <w:szCs w:val="16"/>
                <w:b w:val="1"/>
                <w:bCs w:val="1"/>
                <w:color w:val="002060"/>
              </w:rPr>
              <w:t>Stock that</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002060"/>
              </w:rPr>
              <w:t>Stock that</w:t>
            </w:r>
          </w:p>
        </w:tc>
        <w:tc>
          <w:tcPr>
            <w:tcW w:w="2000" w:type="dxa"/>
            <w:vAlign w:val="bottom"/>
          </w:tcPr>
          <w:p>
            <w:pPr>
              <w:jc w:val="center"/>
              <w:ind w:right="56"/>
              <w:spacing w:after="0"/>
              <w:rPr>
                <w:sz w:val="20"/>
                <w:szCs w:val="20"/>
                <w:color w:val="auto"/>
              </w:rPr>
            </w:pPr>
            <w:r>
              <w:rPr>
                <w:rFonts w:ascii="Arial" w:cs="Arial" w:eastAsia="Arial" w:hAnsi="Arial"/>
                <w:sz w:val="16"/>
                <w:szCs w:val="16"/>
                <w:b w:val="1"/>
                <w:bCs w:val="1"/>
                <w:color w:val="002060"/>
              </w:rPr>
              <w:t>of Stock that</w:t>
            </w:r>
          </w:p>
        </w:tc>
        <w:tc>
          <w:tcPr>
            <w:tcW w:w="2120" w:type="dxa"/>
            <w:vAlign w:val="bottom"/>
          </w:tcPr>
          <w:p>
            <w:pPr>
              <w:jc w:val="center"/>
              <w:spacing w:after="0"/>
              <w:rPr>
                <w:sz w:val="20"/>
                <w:szCs w:val="20"/>
                <w:color w:val="auto"/>
              </w:rPr>
            </w:pPr>
            <w:r>
              <w:rPr>
                <w:rFonts w:ascii="Arial" w:cs="Arial" w:eastAsia="Arial" w:hAnsi="Arial"/>
                <w:sz w:val="16"/>
                <w:szCs w:val="16"/>
                <w:b w:val="1"/>
                <w:bCs w:val="1"/>
                <w:color w:val="002060"/>
              </w:rPr>
              <w:t>of Stock that</w:t>
            </w:r>
          </w:p>
        </w:tc>
      </w:tr>
      <w:tr>
        <w:trPr>
          <w:trHeight w:val="189"/>
        </w:trPr>
        <w:tc>
          <w:tcPr>
            <w:tcW w:w="2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60" w:type="dxa"/>
            <w:vAlign w:val="bottom"/>
          </w:tcPr>
          <w:p>
            <w:pPr>
              <w:jc w:val="center"/>
              <w:ind w:left="94"/>
              <w:spacing w:after="0"/>
              <w:rPr>
                <w:sz w:val="20"/>
                <w:szCs w:val="20"/>
                <w:color w:val="auto"/>
              </w:rPr>
            </w:pPr>
            <w:r>
              <w:rPr>
                <w:rFonts w:ascii="Arial" w:cs="Arial" w:eastAsia="Arial" w:hAnsi="Arial"/>
                <w:sz w:val="16"/>
                <w:szCs w:val="16"/>
                <w:b w:val="1"/>
                <w:bCs w:val="1"/>
                <w:color w:val="002060"/>
              </w:rPr>
              <w:t>Have Not</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002060"/>
              </w:rPr>
              <w:t>Have Not</w:t>
            </w:r>
          </w:p>
        </w:tc>
        <w:tc>
          <w:tcPr>
            <w:tcW w:w="2000" w:type="dxa"/>
            <w:vAlign w:val="bottom"/>
          </w:tcPr>
          <w:p>
            <w:pPr>
              <w:jc w:val="center"/>
              <w:ind w:right="56"/>
              <w:spacing w:after="0"/>
              <w:rPr>
                <w:sz w:val="20"/>
                <w:szCs w:val="20"/>
                <w:color w:val="auto"/>
              </w:rPr>
            </w:pPr>
            <w:r>
              <w:rPr>
                <w:rFonts w:ascii="Arial" w:cs="Arial" w:eastAsia="Arial" w:hAnsi="Arial"/>
                <w:sz w:val="16"/>
                <w:szCs w:val="16"/>
                <w:b w:val="1"/>
                <w:bCs w:val="1"/>
                <w:color w:val="002060"/>
              </w:rPr>
              <w:t>Have Not</w:t>
            </w:r>
          </w:p>
        </w:tc>
        <w:tc>
          <w:tcPr>
            <w:tcW w:w="2120" w:type="dxa"/>
            <w:vAlign w:val="bottom"/>
          </w:tcPr>
          <w:p>
            <w:pPr>
              <w:jc w:val="center"/>
              <w:spacing w:after="0"/>
              <w:rPr>
                <w:sz w:val="20"/>
                <w:szCs w:val="20"/>
                <w:color w:val="auto"/>
              </w:rPr>
            </w:pPr>
            <w:r>
              <w:rPr>
                <w:rFonts w:ascii="Arial" w:cs="Arial" w:eastAsia="Arial" w:hAnsi="Arial"/>
                <w:sz w:val="16"/>
                <w:szCs w:val="16"/>
                <w:b w:val="1"/>
                <w:bCs w:val="1"/>
                <w:color w:val="002060"/>
              </w:rPr>
              <w:t>Have Not</w:t>
            </w:r>
          </w:p>
        </w:tc>
      </w:tr>
      <w:tr>
        <w:trPr>
          <w:trHeight w:val="189"/>
        </w:trPr>
        <w:tc>
          <w:tcPr>
            <w:tcW w:w="2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60" w:type="dxa"/>
            <w:vAlign w:val="bottom"/>
          </w:tcPr>
          <w:p>
            <w:pPr>
              <w:jc w:val="center"/>
              <w:ind w:left="114"/>
              <w:spacing w:after="0"/>
              <w:rPr>
                <w:sz w:val="20"/>
                <w:szCs w:val="20"/>
                <w:color w:val="auto"/>
              </w:rPr>
            </w:pPr>
            <w:r>
              <w:rPr>
                <w:rFonts w:ascii="Arial" w:cs="Arial" w:eastAsia="Arial" w:hAnsi="Arial"/>
                <w:sz w:val="16"/>
                <w:szCs w:val="16"/>
                <w:b w:val="1"/>
                <w:bCs w:val="1"/>
                <w:color w:val="002060"/>
                <w:w w:val="99"/>
              </w:rPr>
              <w:t>Vested</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002060"/>
                <w:w w:val="99"/>
              </w:rPr>
              <w:t>Vested</w:t>
            </w:r>
          </w:p>
        </w:tc>
        <w:tc>
          <w:tcPr>
            <w:tcW w:w="2000" w:type="dxa"/>
            <w:vAlign w:val="bottom"/>
          </w:tcPr>
          <w:p>
            <w:pPr>
              <w:jc w:val="center"/>
              <w:ind w:right="36"/>
              <w:spacing w:after="0"/>
              <w:rPr>
                <w:sz w:val="20"/>
                <w:szCs w:val="20"/>
                <w:color w:val="auto"/>
              </w:rPr>
            </w:pPr>
            <w:r>
              <w:rPr>
                <w:rFonts w:ascii="Arial" w:cs="Arial" w:eastAsia="Arial" w:hAnsi="Arial"/>
                <w:sz w:val="16"/>
                <w:szCs w:val="16"/>
                <w:b w:val="1"/>
                <w:bCs w:val="1"/>
                <w:color w:val="002060"/>
                <w:w w:val="99"/>
              </w:rPr>
              <w:t>Vested</w:t>
            </w:r>
          </w:p>
        </w:tc>
        <w:tc>
          <w:tcPr>
            <w:tcW w:w="2120" w:type="dxa"/>
            <w:vAlign w:val="bottom"/>
          </w:tcPr>
          <w:p>
            <w:pPr>
              <w:jc w:val="center"/>
              <w:spacing w:after="0"/>
              <w:rPr>
                <w:sz w:val="20"/>
                <w:szCs w:val="20"/>
                <w:color w:val="auto"/>
              </w:rPr>
            </w:pPr>
            <w:r>
              <w:rPr>
                <w:rFonts w:ascii="Arial" w:cs="Arial" w:eastAsia="Arial" w:hAnsi="Arial"/>
                <w:sz w:val="16"/>
                <w:szCs w:val="16"/>
                <w:b w:val="1"/>
                <w:bCs w:val="1"/>
                <w:color w:val="002060"/>
                <w:w w:val="99"/>
              </w:rPr>
              <w:t>Vested</w:t>
            </w:r>
          </w:p>
        </w:tc>
      </w:tr>
      <w:tr>
        <w:trPr>
          <w:trHeight w:val="210"/>
        </w:trPr>
        <w:tc>
          <w:tcPr>
            <w:tcW w:w="2660" w:type="dxa"/>
            <w:vAlign w:val="bottom"/>
            <w:tcBorders>
              <w:bottom w:val="single" w:sz="8" w:color="0070C0"/>
            </w:tcBorders>
          </w:tcPr>
          <w:p>
            <w:pPr>
              <w:spacing w:after="0"/>
              <w:rPr>
                <w:sz w:val="20"/>
                <w:szCs w:val="20"/>
                <w:color w:val="auto"/>
              </w:rPr>
            </w:pPr>
            <w:r>
              <w:rPr>
                <w:rFonts w:ascii="Arial" w:cs="Arial" w:eastAsia="Arial" w:hAnsi="Arial"/>
                <w:sz w:val="16"/>
                <w:szCs w:val="16"/>
                <w:b w:val="1"/>
                <w:bCs w:val="1"/>
                <w:color w:val="002060"/>
              </w:rPr>
              <w:t>Name</w:t>
            </w:r>
          </w:p>
        </w:tc>
        <w:tc>
          <w:tcPr>
            <w:tcW w:w="460" w:type="dxa"/>
            <w:vAlign w:val="bottom"/>
            <w:tcBorders>
              <w:bottom w:val="single" w:sz="8" w:color="0070C0"/>
            </w:tcBorders>
          </w:tcPr>
          <w:p>
            <w:pPr>
              <w:spacing w:after="0"/>
              <w:rPr>
                <w:sz w:val="18"/>
                <w:szCs w:val="18"/>
                <w:color w:val="auto"/>
              </w:rPr>
            </w:pPr>
          </w:p>
        </w:tc>
        <w:tc>
          <w:tcPr>
            <w:tcW w:w="920" w:type="dxa"/>
            <w:vAlign w:val="bottom"/>
            <w:tcBorders>
              <w:bottom w:val="single" w:sz="8" w:color="0070C0"/>
            </w:tcBorders>
          </w:tcPr>
          <w:p>
            <w:pPr>
              <w:ind w:left="100"/>
              <w:spacing w:after="0"/>
              <w:rPr>
                <w:sz w:val="20"/>
                <w:szCs w:val="20"/>
                <w:color w:val="auto"/>
              </w:rPr>
            </w:pPr>
            <w:r>
              <w:rPr>
                <w:rFonts w:ascii="Arial" w:cs="Arial" w:eastAsia="Arial" w:hAnsi="Arial"/>
                <w:sz w:val="16"/>
                <w:szCs w:val="16"/>
                <w:b w:val="1"/>
                <w:bCs w:val="1"/>
                <w:color w:val="002060"/>
                <w:w w:val="97"/>
              </w:rPr>
              <w:t>Grant Date</w:t>
            </w:r>
          </w:p>
        </w:tc>
        <w:tc>
          <w:tcPr>
            <w:tcW w:w="1560" w:type="dxa"/>
            <w:vAlign w:val="bottom"/>
            <w:tcBorders>
              <w:bottom w:val="single" w:sz="8" w:color="0070C0"/>
            </w:tcBorders>
          </w:tcPr>
          <w:p>
            <w:pPr>
              <w:jc w:val="center"/>
              <w:ind w:left="114"/>
              <w:spacing w:after="0"/>
              <w:rPr>
                <w:sz w:val="20"/>
                <w:szCs w:val="20"/>
                <w:color w:val="auto"/>
              </w:rPr>
            </w:pPr>
            <w:r>
              <w:rPr>
                <w:rFonts w:ascii="Arial" w:cs="Arial" w:eastAsia="Arial" w:hAnsi="Arial"/>
                <w:sz w:val="16"/>
                <w:szCs w:val="16"/>
                <w:b w:val="1"/>
                <w:bCs w:val="1"/>
                <w:color w:val="002060"/>
              </w:rPr>
              <w:t>(#)</w:t>
            </w:r>
          </w:p>
        </w:tc>
        <w:tc>
          <w:tcPr>
            <w:tcW w:w="1300" w:type="dxa"/>
            <w:vAlign w:val="bottom"/>
            <w:tcBorders>
              <w:bottom w:val="single" w:sz="8" w:color="0070C0"/>
            </w:tcBorders>
          </w:tcPr>
          <w:p>
            <w:pPr>
              <w:jc w:val="center"/>
              <w:spacing w:after="0"/>
              <w:rPr>
                <w:sz w:val="20"/>
                <w:szCs w:val="20"/>
                <w:color w:val="auto"/>
              </w:rPr>
            </w:pPr>
            <w:r>
              <w:rPr>
                <w:rFonts w:ascii="Arial" w:cs="Arial" w:eastAsia="Arial" w:hAnsi="Arial"/>
                <w:sz w:val="16"/>
                <w:szCs w:val="16"/>
                <w:b w:val="1"/>
                <w:bCs w:val="1"/>
                <w:color w:val="002060"/>
              </w:rPr>
              <w:t>($)(1)</w:t>
            </w:r>
          </w:p>
        </w:tc>
        <w:tc>
          <w:tcPr>
            <w:tcW w:w="2000" w:type="dxa"/>
            <w:vAlign w:val="bottom"/>
            <w:tcBorders>
              <w:bottom w:val="single" w:sz="8" w:color="0070C0"/>
            </w:tcBorders>
          </w:tcPr>
          <w:p>
            <w:pPr>
              <w:jc w:val="center"/>
              <w:ind w:right="36"/>
              <w:spacing w:after="0"/>
              <w:rPr>
                <w:sz w:val="20"/>
                <w:szCs w:val="20"/>
                <w:color w:val="auto"/>
              </w:rPr>
            </w:pPr>
            <w:r>
              <w:rPr>
                <w:rFonts w:ascii="Arial" w:cs="Arial" w:eastAsia="Arial" w:hAnsi="Arial"/>
                <w:sz w:val="16"/>
                <w:szCs w:val="16"/>
                <w:b w:val="1"/>
                <w:bCs w:val="1"/>
                <w:color w:val="002060"/>
              </w:rPr>
              <w:t>(#)</w:t>
            </w:r>
          </w:p>
        </w:tc>
        <w:tc>
          <w:tcPr>
            <w:tcW w:w="2120" w:type="dxa"/>
            <w:vAlign w:val="bottom"/>
            <w:tcBorders>
              <w:bottom w:val="single" w:sz="8" w:color="0070C0"/>
            </w:tcBorders>
          </w:tcPr>
          <w:p>
            <w:pPr>
              <w:jc w:val="center"/>
              <w:spacing w:after="0"/>
              <w:rPr>
                <w:sz w:val="20"/>
                <w:szCs w:val="20"/>
                <w:color w:val="auto"/>
              </w:rPr>
            </w:pPr>
            <w:r>
              <w:rPr>
                <w:rFonts w:ascii="Arial" w:cs="Arial" w:eastAsia="Arial" w:hAnsi="Arial"/>
                <w:sz w:val="16"/>
                <w:szCs w:val="16"/>
                <w:b w:val="1"/>
                <w:bCs w:val="1"/>
                <w:color w:val="002060"/>
              </w:rPr>
              <w:t>($)(1)</w:t>
            </w:r>
          </w:p>
        </w:tc>
      </w:tr>
      <w:tr>
        <w:trPr>
          <w:trHeight w:val="203"/>
        </w:trPr>
        <w:tc>
          <w:tcPr>
            <w:tcW w:w="2660" w:type="dxa"/>
            <w:vAlign w:val="bottom"/>
            <w:shd w:val="clear" w:color="auto" w:fill="D5DCE4"/>
          </w:tcPr>
          <w:p>
            <w:pPr>
              <w:spacing w:after="0" w:line="183" w:lineRule="exact"/>
              <w:rPr>
                <w:sz w:val="20"/>
                <w:szCs w:val="20"/>
                <w:color w:val="auto"/>
              </w:rPr>
            </w:pPr>
            <w:r>
              <w:rPr>
                <w:rFonts w:ascii="Arial" w:cs="Arial" w:eastAsia="Arial" w:hAnsi="Arial"/>
                <w:sz w:val="18"/>
                <w:szCs w:val="18"/>
                <w:color w:val="auto"/>
              </w:rPr>
              <w:t>  Jeffrey W. Edwards</w:t>
            </w:r>
          </w:p>
        </w:tc>
        <w:tc>
          <w:tcPr>
            <w:tcW w:w="460" w:type="dxa"/>
            <w:vAlign w:val="bottom"/>
          </w:tcPr>
          <w:p>
            <w:pPr>
              <w:jc w:val="right"/>
              <w:spacing w:after="0" w:line="183" w:lineRule="exact"/>
              <w:rPr>
                <w:sz w:val="20"/>
                <w:szCs w:val="20"/>
                <w:color w:val="auto"/>
              </w:rPr>
            </w:pPr>
            <w:r>
              <w:rPr>
                <w:rFonts w:ascii="Arial" w:cs="Arial" w:eastAsia="Arial" w:hAnsi="Arial"/>
                <w:sz w:val="18"/>
                <w:szCs w:val="18"/>
                <w:color w:val="auto"/>
              </w:rPr>
              <w:t>(2)</w:t>
            </w:r>
          </w:p>
        </w:tc>
        <w:tc>
          <w:tcPr>
            <w:tcW w:w="920" w:type="dxa"/>
            <w:vAlign w:val="bottom"/>
          </w:tcPr>
          <w:p>
            <w:pPr>
              <w:ind w:left="100"/>
              <w:spacing w:after="0" w:line="183" w:lineRule="exact"/>
              <w:rPr>
                <w:sz w:val="20"/>
                <w:szCs w:val="20"/>
                <w:color w:val="auto"/>
              </w:rPr>
            </w:pPr>
            <w:r>
              <w:rPr>
                <w:rFonts w:ascii="Arial" w:cs="Arial" w:eastAsia="Arial" w:hAnsi="Arial"/>
                <w:sz w:val="18"/>
                <w:szCs w:val="18"/>
                <w:color w:val="auto"/>
                <w:w w:val="99"/>
              </w:rPr>
              <w:t>2/22/2021</w:t>
            </w:r>
          </w:p>
        </w:tc>
        <w:tc>
          <w:tcPr>
            <w:tcW w:w="1560" w:type="dxa"/>
            <w:vAlign w:val="bottom"/>
          </w:tcPr>
          <w:p>
            <w:pPr>
              <w:jc w:val="right"/>
              <w:ind w:right="294"/>
              <w:spacing w:after="0" w:line="183" w:lineRule="exact"/>
              <w:rPr>
                <w:sz w:val="20"/>
                <w:szCs w:val="20"/>
                <w:color w:val="auto"/>
              </w:rPr>
            </w:pPr>
            <w:r>
              <w:rPr>
                <w:rFonts w:ascii="Arial" w:cs="Arial" w:eastAsia="Arial" w:hAnsi="Arial"/>
                <w:sz w:val="18"/>
                <w:szCs w:val="18"/>
                <w:color w:val="auto"/>
              </w:rPr>
              <w:t>10,959</w:t>
            </w:r>
          </w:p>
        </w:tc>
        <w:tc>
          <w:tcPr>
            <w:tcW w:w="1300" w:type="dxa"/>
            <w:vAlign w:val="bottom"/>
          </w:tcPr>
          <w:p>
            <w:pPr>
              <w:jc w:val="right"/>
              <w:ind w:right="114"/>
              <w:spacing w:after="0" w:line="183" w:lineRule="exact"/>
              <w:rPr>
                <w:sz w:val="20"/>
                <w:szCs w:val="20"/>
                <w:color w:val="auto"/>
              </w:rPr>
            </w:pPr>
            <w:r>
              <w:rPr>
                <w:rFonts w:ascii="Arial" w:cs="Arial" w:eastAsia="Arial" w:hAnsi="Arial"/>
                <w:sz w:val="18"/>
                <w:szCs w:val="18"/>
                <w:color w:val="auto"/>
              </w:rPr>
              <w:t>2,003,524</w:t>
            </w:r>
          </w:p>
        </w:tc>
        <w:tc>
          <w:tcPr>
            <w:tcW w:w="200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184"/>
        </w:trPr>
        <w:tc>
          <w:tcPr>
            <w:tcW w:w="2660" w:type="dxa"/>
            <w:vAlign w:val="bottom"/>
          </w:tcPr>
          <w:p>
            <w:pPr>
              <w:spacing w:after="0"/>
              <w:rPr>
                <w:sz w:val="15"/>
                <w:szCs w:val="15"/>
                <w:color w:val="auto"/>
              </w:rPr>
            </w:pPr>
          </w:p>
        </w:tc>
        <w:tc>
          <w:tcPr>
            <w:tcW w:w="460" w:type="dxa"/>
            <w:vAlign w:val="bottom"/>
          </w:tcPr>
          <w:p>
            <w:pPr>
              <w:jc w:val="right"/>
              <w:spacing w:after="0" w:line="183" w:lineRule="exact"/>
              <w:rPr>
                <w:sz w:val="20"/>
                <w:szCs w:val="20"/>
                <w:color w:val="auto"/>
              </w:rPr>
            </w:pPr>
            <w:r>
              <w:rPr>
                <w:rFonts w:ascii="Arial" w:cs="Arial" w:eastAsia="Arial" w:hAnsi="Arial"/>
                <w:sz w:val="18"/>
                <w:szCs w:val="18"/>
                <w:color w:val="auto"/>
              </w:rPr>
              <w:t>(3)</w:t>
            </w:r>
          </w:p>
        </w:tc>
        <w:tc>
          <w:tcPr>
            <w:tcW w:w="920" w:type="dxa"/>
            <w:vAlign w:val="bottom"/>
          </w:tcPr>
          <w:p>
            <w:pPr>
              <w:ind w:left="100"/>
              <w:spacing w:after="0" w:line="183" w:lineRule="exact"/>
              <w:rPr>
                <w:sz w:val="20"/>
                <w:szCs w:val="20"/>
                <w:color w:val="auto"/>
              </w:rPr>
            </w:pPr>
            <w:r>
              <w:rPr>
                <w:rFonts w:ascii="Arial" w:cs="Arial" w:eastAsia="Arial" w:hAnsi="Arial"/>
                <w:sz w:val="18"/>
                <w:szCs w:val="18"/>
                <w:color w:val="auto"/>
                <w:w w:val="99"/>
              </w:rPr>
              <w:t>2/22/2022</w:t>
            </w:r>
          </w:p>
        </w:tc>
        <w:tc>
          <w:tcPr>
            <w:tcW w:w="1560" w:type="dxa"/>
            <w:vAlign w:val="bottom"/>
          </w:tcPr>
          <w:p>
            <w:pPr>
              <w:jc w:val="right"/>
              <w:ind w:right="294"/>
              <w:spacing w:after="0" w:line="183" w:lineRule="exact"/>
              <w:rPr>
                <w:sz w:val="20"/>
                <w:szCs w:val="20"/>
                <w:color w:val="auto"/>
              </w:rPr>
            </w:pPr>
            <w:r>
              <w:rPr>
                <w:rFonts w:ascii="Arial" w:cs="Arial" w:eastAsia="Arial" w:hAnsi="Arial"/>
                <w:sz w:val="18"/>
                <w:szCs w:val="18"/>
                <w:color w:val="auto"/>
              </w:rPr>
              <w:t>32,802</w:t>
            </w:r>
          </w:p>
        </w:tc>
        <w:tc>
          <w:tcPr>
            <w:tcW w:w="1300" w:type="dxa"/>
            <w:vAlign w:val="bottom"/>
          </w:tcPr>
          <w:p>
            <w:pPr>
              <w:jc w:val="right"/>
              <w:ind w:right="114"/>
              <w:spacing w:after="0" w:line="183" w:lineRule="exact"/>
              <w:rPr>
                <w:sz w:val="20"/>
                <w:szCs w:val="20"/>
                <w:color w:val="auto"/>
              </w:rPr>
            </w:pPr>
            <w:r>
              <w:rPr>
                <w:rFonts w:ascii="Arial" w:cs="Arial" w:eastAsia="Arial" w:hAnsi="Arial"/>
                <w:sz w:val="18"/>
                <w:szCs w:val="18"/>
                <w:color w:val="auto"/>
              </w:rPr>
              <w:t>5,996,862</w:t>
            </w:r>
          </w:p>
        </w:tc>
        <w:tc>
          <w:tcPr>
            <w:tcW w:w="200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221"/>
        </w:trPr>
        <w:tc>
          <w:tcPr>
            <w:tcW w:w="26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2/20/2023</w:t>
            </w:r>
          </w:p>
        </w:tc>
        <w:tc>
          <w:tcPr>
            <w:tcW w:w="15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rPr>
              <w:t>34,963</w:t>
            </w:r>
          </w:p>
        </w:tc>
        <w:tc>
          <w:tcPr>
            <w:tcW w:w="2120" w:type="dxa"/>
            <w:vAlign w:val="bottom"/>
            <w:tcBorders>
              <w:bottom w:val="single" w:sz="8" w:color="auto"/>
            </w:tcBorders>
          </w:tcPr>
          <w:p>
            <w:pPr>
              <w:jc w:val="right"/>
              <w:ind w:right="536"/>
              <w:spacing w:after="0"/>
              <w:rPr>
                <w:sz w:val="20"/>
                <w:szCs w:val="20"/>
                <w:color w:val="auto"/>
              </w:rPr>
            </w:pPr>
            <w:r>
              <w:rPr>
                <w:rFonts w:ascii="Arial" w:cs="Arial" w:eastAsia="Arial" w:hAnsi="Arial"/>
                <w:sz w:val="18"/>
                <w:szCs w:val="18"/>
                <w:color w:val="auto"/>
              </w:rPr>
              <w:t>6,391,936</w:t>
            </w:r>
          </w:p>
        </w:tc>
      </w:tr>
      <w:tr>
        <w:trPr>
          <w:trHeight w:val="196"/>
        </w:trPr>
        <w:tc>
          <w:tcPr>
            <w:tcW w:w="2660" w:type="dxa"/>
            <w:vAlign w:val="bottom"/>
            <w:shd w:val="clear" w:color="auto" w:fill="D5DCE4"/>
          </w:tcPr>
          <w:p>
            <w:pPr>
              <w:spacing w:after="0" w:line="183" w:lineRule="exact"/>
              <w:rPr>
                <w:sz w:val="20"/>
                <w:szCs w:val="20"/>
                <w:color w:val="auto"/>
              </w:rPr>
            </w:pPr>
            <w:r>
              <w:rPr>
                <w:rFonts w:ascii="Arial" w:cs="Arial" w:eastAsia="Arial" w:hAnsi="Arial"/>
                <w:sz w:val="18"/>
                <w:szCs w:val="18"/>
                <w:color w:val="auto"/>
              </w:rPr>
              <w:t>  Michael T. Miller</w:t>
            </w:r>
          </w:p>
        </w:tc>
        <w:tc>
          <w:tcPr>
            <w:tcW w:w="460" w:type="dxa"/>
            <w:vAlign w:val="bottom"/>
          </w:tcPr>
          <w:p>
            <w:pPr>
              <w:jc w:val="right"/>
              <w:spacing w:after="0" w:line="183" w:lineRule="exact"/>
              <w:rPr>
                <w:sz w:val="20"/>
                <w:szCs w:val="20"/>
                <w:color w:val="auto"/>
              </w:rPr>
            </w:pPr>
            <w:r>
              <w:rPr>
                <w:rFonts w:ascii="Arial" w:cs="Arial" w:eastAsia="Arial" w:hAnsi="Arial"/>
                <w:sz w:val="18"/>
                <w:szCs w:val="18"/>
                <w:color w:val="auto"/>
              </w:rPr>
              <w:t>(2)</w:t>
            </w:r>
          </w:p>
        </w:tc>
        <w:tc>
          <w:tcPr>
            <w:tcW w:w="920" w:type="dxa"/>
            <w:vAlign w:val="bottom"/>
          </w:tcPr>
          <w:p>
            <w:pPr>
              <w:ind w:left="100"/>
              <w:spacing w:after="0" w:line="183" w:lineRule="exact"/>
              <w:rPr>
                <w:sz w:val="20"/>
                <w:szCs w:val="20"/>
                <w:color w:val="auto"/>
              </w:rPr>
            </w:pPr>
            <w:r>
              <w:rPr>
                <w:rFonts w:ascii="Arial" w:cs="Arial" w:eastAsia="Arial" w:hAnsi="Arial"/>
                <w:sz w:val="18"/>
                <w:szCs w:val="18"/>
                <w:color w:val="auto"/>
                <w:w w:val="99"/>
              </w:rPr>
              <w:t>2/22/2021</w:t>
            </w:r>
          </w:p>
        </w:tc>
        <w:tc>
          <w:tcPr>
            <w:tcW w:w="1560" w:type="dxa"/>
            <w:vAlign w:val="bottom"/>
          </w:tcPr>
          <w:p>
            <w:pPr>
              <w:jc w:val="right"/>
              <w:ind w:right="294"/>
              <w:spacing w:after="0" w:line="183" w:lineRule="exact"/>
              <w:rPr>
                <w:sz w:val="20"/>
                <w:szCs w:val="20"/>
                <w:color w:val="auto"/>
              </w:rPr>
            </w:pPr>
            <w:r>
              <w:rPr>
                <w:rFonts w:ascii="Arial" w:cs="Arial" w:eastAsia="Arial" w:hAnsi="Arial"/>
                <w:sz w:val="18"/>
                <w:szCs w:val="18"/>
                <w:color w:val="auto"/>
              </w:rPr>
              <w:t>3,777</w:t>
            </w:r>
          </w:p>
        </w:tc>
        <w:tc>
          <w:tcPr>
            <w:tcW w:w="1300" w:type="dxa"/>
            <w:vAlign w:val="bottom"/>
          </w:tcPr>
          <w:p>
            <w:pPr>
              <w:jc w:val="right"/>
              <w:ind w:right="114"/>
              <w:spacing w:after="0" w:line="183" w:lineRule="exact"/>
              <w:rPr>
                <w:sz w:val="20"/>
                <w:szCs w:val="20"/>
                <w:color w:val="auto"/>
              </w:rPr>
            </w:pPr>
            <w:r>
              <w:rPr>
                <w:rFonts w:ascii="Arial" w:cs="Arial" w:eastAsia="Arial" w:hAnsi="Arial"/>
                <w:sz w:val="18"/>
                <w:szCs w:val="18"/>
                <w:color w:val="auto"/>
              </w:rPr>
              <w:t>690,511</w:t>
            </w:r>
          </w:p>
        </w:tc>
        <w:tc>
          <w:tcPr>
            <w:tcW w:w="200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184"/>
        </w:trPr>
        <w:tc>
          <w:tcPr>
            <w:tcW w:w="2660" w:type="dxa"/>
            <w:vAlign w:val="bottom"/>
          </w:tcPr>
          <w:p>
            <w:pPr>
              <w:spacing w:after="0"/>
              <w:rPr>
                <w:sz w:val="15"/>
                <w:szCs w:val="15"/>
                <w:color w:val="auto"/>
              </w:rPr>
            </w:pPr>
          </w:p>
        </w:tc>
        <w:tc>
          <w:tcPr>
            <w:tcW w:w="460" w:type="dxa"/>
            <w:vAlign w:val="bottom"/>
          </w:tcPr>
          <w:p>
            <w:pPr>
              <w:jc w:val="right"/>
              <w:spacing w:after="0" w:line="183" w:lineRule="exact"/>
              <w:rPr>
                <w:sz w:val="20"/>
                <w:szCs w:val="20"/>
                <w:color w:val="auto"/>
              </w:rPr>
            </w:pPr>
            <w:r>
              <w:rPr>
                <w:rFonts w:ascii="Arial" w:cs="Arial" w:eastAsia="Arial" w:hAnsi="Arial"/>
                <w:sz w:val="18"/>
                <w:szCs w:val="18"/>
                <w:color w:val="auto"/>
              </w:rPr>
              <w:t>(3)</w:t>
            </w:r>
          </w:p>
        </w:tc>
        <w:tc>
          <w:tcPr>
            <w:tcW w:w="920" w:type="dxa"/>
            <w:vAlign w:val="bottom"/>
          </w:tcPr>
          <w:p>
            <w:pPr>
              <w:ind w:left="100"/>
              <w:spacing w:after="0" w:line="183" w:lineRule="exact"/>
              <w:rPr>
                <w:sz w:val="20"/>
                <w:szCs w:val="20"/>
                <w:color w:val="auto"/>
              </w:rPr>
            </w:pPr>
            <w:r>
              <w:rPr>
                <w:rFonts w:ascii="Arial" w:cs="Arial" w:eastAsia="Arial" w:hAnsi="Arial"/>
                <w:sz w:val="18"/>
                <w:szCs w:val="18"/>
                <w:color w:val="auto"/>
                <w:w w:val="99"/>
              </w:rPr>
              <w:t>2/22/2022</w:t>
            </w:r>
          </w:p>
        </w:tc>
        <w:tc>
          <w:tcPr>
            <w:tcW w:w="1560" w:type="dxa"/>
            <w:vAlign w:val="bottom"/>
          </w:tcPr>
          <w:p>
            <w:pPr>
              <w:jc w:val="right"/>
              <w:ind w:right="294"/>
              <w:spacing w:after="0" w:line="183" w:lineRule="exact"/>
              <w:rPr>
                <w:sz w:val="20"/>
                <w:szCs w:val="20"/>
                <w:color w:val="auto"/>
              </w:rPr>
            </w:pPr>
            <w:r>
              <w:rPr>
                <w:rFonts w:ascii="Arial" w:cs="Arial" w:eastAsia="Arial" w:hAnsi="Arial"/>
                <w:sz w:val="18"/>
                <w:szCs w:val="18"/>
                <w:color w:val="auto"/>
              </w:rPr>
              <w:t>10,551</w:t>
            </w:r>
          </w:p>
        </w:tc>
        <w:tc>
          <w:tcPr>
            <w:tcW w:w="1300" w:type="dxa"/>
            <w:vAlign w:val="bottom"/>
          </w:tcPr>
          <w:p>
            <w:pPr>
              <w:jc w:val="right"/>
              <w:ind w:right="114"/>
              <w:spacing w:after="0" w:line="183" w:lineRule="exact"/>
              <w:rPr>
                <w:sz w:val="20"/>
                <w:szCs w:val="20"/>
                <w:color w:val="auto"/>
              </w:rPr>
            </w:pPr>
            <w:r>
              <w:rPr>
                <w:rFonts w:ascii="Arial" w:cs="Arial" w:eastAsia="Arial" w:hAnsi="Arial"/>
                <w:sz w:val="18"/>
                <w:szCs w:val="18"/>
                <w:color w:val="auto"/>
              </w:rPr>
              <w:t>1,928,771</w:t>
            </w:r>
          </w:p>
        </w:tc>
        <w:tc>
          <w:tcPr>
            <w:tcW w:w="200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221"/>
        </w:trPr>
        <w:tc>
          <w:tcPr>
            <w:tcW w:w="26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2/20/2023</w:t>
            </w:r>
          </w:p>
        </w:tc>
        <w:tc>
          <w:tcPr>
            <w:tcW w:w="15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rPr>
              <w:t>11,265</w:t>
            </w:r>
          </w:p>
        </w:tc>
        <w:tc>
          <w:tcPr>
            <w:tcW w:w="2120" w:type="dxa"/>
            <w:vAlign w:val="bottom"/>
            <w:tcBorders>
              <w:bottom w:val="single" w:sz="8" w:color="auto"/>
            </w:tcBorders>
          </w:tcPr>
          <w:p>
            <w:pPr>
              <w:jc w:val="right"/>
              <w:ind w:right="536"/>
              <w:spacing w:after="0"/>
              <w:rPr>
                <w:sz w:val="20"/>
                <w:szCs w:val="20"/>
                <w:color w:val="auto"/>
              </w:rPr>
            </w:pPr>
            <w:r>
              <w:rPr>
                <w:rFonts w:ascii="Arial" w:cs="Arial" w:eastAsia="Arial" w:hAnsi="Arial"/>
                <w:sz w:val="18"/>
                <w:szCs w:val="18"/>
                <w:color w:val="auto"/>
              </w:rPr>
              <w:t>2,059,467</w:t>
            </w:r>
          </w:p>
        </w:tc>
      </w:tr>
      <w:tr>
        <w:trPr>
          <w:trHeight w:val="196"/>
        </w:trPr>
        <w:tc>
          <w:tcPr>
            <w:tcW w:w="2660" w:type="dxa"/>
            <w:vAlign w:val="bottom"/>
            <w:shd w:val="clear" w:color="auto" w:fill="D5DCE4"/>
          </w:tcPr>
          <w:p>
            <w:pPr>
              <w:spacing w:after="0" w:line="183" w:lineRule="exact"/>
              <w:rPr>
                <w:sz w:val="20"/>
                <w:szCs w:val="20"/>
                <w:color w:val="auto"/>
              </w:rPr>
            </w:pPr>
            <w:r>
              <w:rPr>
                <w:rFonts w:ascii="Arial" w:cs="Arial" w:eastAsia="Arial" w:hAnsi="Arial"/>
                <w:sz w:val="18"/>
                <w:szCs w:val="18"/>
                <w:color w:val="auto"/>
              </w:rPr>
              <w:t>  Jay P. Elliott</w:t>
            </w:r>
          </w:p>
        </w:tc>
        <w:tc>
          <w:tcPr>
            <w:tcW w:w="460" w:type="dxa"/>
            <w:vAlign w:val="bottom"/>
          </w:tcPr>
          <w:p>
            <w:pPr>
              <w:jc w:val="right"/>
              <w:spacing w:after="0" w:line="183" w:lineRule="exact"/>
              <w:rPr>
                <w:sz w:val="20"/>
                <w:szCs w:val="20"/>
                <w:color w:val="auto"/>
              </w:rPr>
            </w:pPr>
            <w:r>
              <w:rPr>
                <w:rFonts w:ascii="Arial" w:cs="Arial" w:eastAsia="Arial" w:hAnsi="Arial"/>
                <w:sz w:val="18"/>
                <w:szCs w:val="18"/>
                <w:color w:val="auto"/>
              </w:rPr>
              <w:t>(2)</w:t>
            </w:r>
          </w:p>
        </w:tc>
        <w:tc>
          <w:tcPr>
            <w:tcW w:w="920" w:type="dxa"/>
            <w:vAlign w:val="bottom"/>
          </w:tcPr>
          <w:p>
            <w:pPr>
              <w:ind w:left="100"/>
              <w:spacing w:after="0" w:line="183" w:lineRule="exact"/>
              <w:rPr>
                <w:sz w:val="20"/>
                <w:szCs w:val="20"/>
                <w:color w:val="auto"/>
              </w:rPr>
            </w:pPr>
            <w:r>
              <w:rPr>
                <w:rFonts w:ascii="Arial" w:cs="Arial" w:eastAsia="Arial" w:hAnsi="Arial"/>
                <w:sz w:val="18"/>
                <w:szCs w:val="18"/>
                <w:color w:val="auto"/>
                <w:w w:val="99"/>
              </w:rPr>
              <w:t>2/22/2021</w:t>
            </w:r>
          </w:p>
        </w:tc>
        <w:tc>
          <w:tcPr>
            <w:tcW w:w="1560" w:type="dxa"/>
            <w:vAlign w:val="bottom"/>
          </w:tcPr>
          <w:p>
            <w:pPr>
              <w:jc w:val="right"/>
              <w:ind w:right="294"/>
              <w:spacing w:after="0" w:line="183" w:lineRule="exact"/>
              <w:rPr>
                <w:sz w:val="20"/>
                <w:szCs w:val="20"/>
                <w:color w:val="auto"/>
              </w:rPr>
            </w:pPr>
            <w:r>
              <w:rPr>
                <w:rFonts w:ascii="Arial" w:cs="Arial" w:eastAsia="Arial" w:hAnsi="Arial"/>
                <w:sz w:val="18"/>
                <w:szCs w:val="18"/>
                <w:color w:val="auto"/>
              </w:rPr>
              <w:t>4,070</w:t>
            </w:r>
          </w:p>
        </w:tc>
        <w:tc>
          <w:tcPr>
            <w:tcW w:w="1300" w:type="dxa"/>
            <w:vAlign w:val="bottom"/>
          </w:tcPr>
          <w:p>
            <w:pPr>
              <w:jc w:val="right"/>
              <w:ind w:right="114"/>
              <w:spacing w:after="0" w:line="183" w:lineRule="exact"/>
              <w:rPr>
                <w:sz w:val="20"/>
                <w:szCs w:val="20"/>
                <w:color w:val="auto"/>
              </w:rPr>
            </w:pPr>
            <w:r>
              <w:rPr>
                <w:rFonts w:ascii="Arial" w:cs="Arial" w:eastAsia="Arial" w:hAnsi="Arial"/>
                <w:sz w:val="18"/>
                <w:szCs w:val="18"/>
                <w:color w:val="auto"/>
              </w:rPr>
              <w:t>744,077</w:t>
            </w:r>
          </w:p>
        </w:tc>
        <w:tc>
          <w:tcPr>
            <w:tcW w:w="200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184"/>
        </w:trPr>
        <w:tc>
          <w:tcPr>
            <w:tcW w:w="2660" w:type="dxa"/>
            <w:vAlign w:val="bottom"/>
          </w:tcPr>
          <w:p>
            <w:pPr>
              <w:spacing w:after="0"/>
              <w:rPr>
                <w:sz w:val="15"/>
                <w:szCs w:val="15"/>
                <w:color w:val="auto"/>
              </w:rPr>
            </w:pPr>
          </w:p>
        </w:tc>
        <w:tc>
          <w:tcPr>
            <w:tcW w:w="460" w:type="dxa"/>
            <w:vAlign w:val="bottom"/>
          </w:tcPr>
          <w:p>
            <w:pPr>
              <w:jc w:val="right"/>
              <w:spacing w:after="0" w:line="183" w:lineRule="exact"/>
              <w:rPr>
                <w:sz w:val="20"/>
                <w:szCs w:val="20"/>
                <w:color w:val="auto"/>
              </w:rPr>
            </w:pPr>
            <w:r>
              <w:rPr>
                <w:rFonts w:ascii="Arial" w:cs="Arial" w:eastAsia="Arial" w:hAnsi="Arial"/>
                <w:sz w:val="18"/>
                <w:szCs w:val="18"/>
                <w:color w:val="auto"/>
              </w:rPr>
              <w:t>(3)</w:t>
            </w:r>
          </w:p>
        </w:tc>
        <w:tc>
          <w:tcPr>
            <w:tcW w:w="920" w:type="dxa"/>
            <w:vAlign w:val="bottom"/>
          </w:tcPr>
          <w:p>
            <w:pPr>
              <w:ind w:left="100"/>
              <w:spacing w:after="0" w:line="183" w:lineRule="exact"/>
              <w:rPr>
                <w:sz w:val="20"/>
                <w:szCs w:val="20"/>
                <w:color w:val="auto"/>
              </w:rPr>
            </w:pPr>
            <w:r>
              <w:rPr>
                <w:rFonts w:ascii="Arial" w:cs="Arial" w:eastAsia="Arial" w:hAnsi="Arial"/>
                <w:sz w:val="18"/>
                <w:szCs w:val="18"/>
                <w:color w:val="auto"/>
                <w:w w:val="99"/>
              </w:rPr>
              <w:t>2/22/2022</w:t>
            </w:r>
          </w:p>
        </w:tc>
        <w:tc>
          <w:tcPr>
            <w:tcW w:w="1560" w:type="dxa"/>
            <w:vAlign w:val="bottom"/>
          </w:tcPr>
          <w:p>
            <w:pPr>
              <w:jc w:val="right"/>
              <w:ind w:right="294"/>
              <w:spacing w:after="0" w:line="183" w:lineRule="exact"/>
              <w:rPr>
                <w:sz w:val="20"/>
                <w:szCs w:val="20"/>
                <w:color w:val="auto"/>
              </w:rPr>
            </w:pPr>
            <w:r>
              <w:rPr>
                <w:rFonts w:ascii="Arial" w:cs="Arial" w:eastAsia="Arial" w:hAnsi="Arial"/>
                <w:sz w:val="18"/>
                <w:szCs w:val="18"/>
                <w:color w:val="auto"/>
              </w:rPr>
              <w:t>10,933</w:t>
            </w:r>
          </w:p>
        </w:tc>
        <w:tc>
          <w:tcPr>
            <w:tcW w:w="1300" w:type="dxa"/>
            <w:vAlign w:val="bottom"/>
          </w:tcPr>
          <w:p>
            <w:pPr>
              <w:jc w:val="right"/>
              <w:ind w:right="114"/>
              <w:spacing w:after="0" w:line="183" w:lineRule="exact"/>
              <w:rPr>
                <w:sz w:val="20"/>
                <w:szCs w:val="20"/>
                <w:color w:val="auto"/>
              </w:rPr>
            </w:pPr>
            <w:r>
              <w:rPr>
                <w:rFonts w:ascii="Arial" w:cs="Arial" w:eastAsia="Arial" w:hAnsi="Arial"/>
                <w:sz w:val="18"/>
                <w:szCs w:val="18"/>
                <w:color w:val="auto"/>
              </w:rPr>
              <w:t>1,998,771</w:t>
            </w:r>
          </w:p>
        </w:tc>
        <w:tc>
          <w:tcPr>
            <w:tcW w:w="200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221"/>
        </w:trPr>
        <w:tc>
          <w:tcPr>
            <w:tcW w:w="26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2/20/2023</w:t>
            </w:r>
          </w:p>
        </w:tc>
        <w:tc>
          <w:tcPr>
            <w:tcW w:w="15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rPr>
              <w:t>11,654</w:t>
            </w:r>
          </w:p>
        </w:tc>
        <w:tc>
          <w:tcPr>
            <w:tcW w:w="2120" w:type="dxa"/>
            <w:vAlign w:val="bottom"/>
            <w:tcBorders>
              <w:bottom w:val="single" w:sz="8" w:color="auto"/>
            </w:tcBorders>
          </w:tcPr>
          <w:p>
            <w:pPr>
              <w:jc w:val="right"/>
              <w:ind w:right="536"/>
              <w:spacing w:after="0"/>
              <w:rPr>
                <w:sz w:val="20"/>
                <w:szCs w:val="20"/>
                <w:color w:val="auto"/>
              </w:rPr>
            </w:pPr>
            <w:r>
              <w:rPr>
                <w:rFonts w:ascii="Arial" w:cs="Arial" w:eastAsia="Arial" w:hAnsi="Arial"/>
                <w:sz w:val="18"/>
                <w:szCs w:val="18"/>
                <w:color w:val="auto"/>
              </w:rPr>
              <w:t>2,130,584</w:t>
            </w:r>
          </w:p>
        </w:tc>
      </w:tr>
      <w:tr>
        <w:trPr>
          <w:trHeight w:val="196"/>
        </w:trPr>
        <w:tc>
          <w:tcPr>
            <w:tcW w:w="2660" w:type="dxa"/>
            <w:vAlign w:val="bottom"/>
            <w:shd w:val="clear" w:color="auto" w:fill="D5DCE4"/>
          </w:tcPr>
          <w:p>
            <w:pPr>
              <w:spacing w:after="0" w:line="183" w:lineRule="exact"/>
              <w:rPr>
                <w:sz w:val="20"/>
                <w:szCs w:val="20"/>
                <w:color w:val="auto"/>
              </w:rPr>
            </w:pPr>
            <w:r>
              <w:rPr>
                <w:rFonts w:ascii="Arial" w:cs="Arial" w:eastAsia="Arial" w:hAnsi="Arial"/>
                <w:sz w:val="18"/>
                <w:szCs w:val="18"/>
                <w:color w:val="auto"/>
              </w:rPr>
              <w:t>  W. Jeffrey Hire</w:t>
            </w:r>
          </w:p>
        </w:tc>
        <w:tc>
          <w:tcPr>
            <w:tcW w:w="460" w:type="dxa"/>
            <w:vAlign w:val="bottom"/>
          </w:tcPr>
          <w:p>
            <w:pPr>
              <w:jc w:val="right"/>
              <w:spacing w:after="0" w:line="183" w:lineRule="exact"/>
              <w:rPr>
                <w:sz w:val="20"/>
                <w:szCs w:val="20"/>
                <w:color w:val="auto"/>
              </w:rPr>
            </w:pPr>
            <w:r>
              <w:rPr>
                <w:rFonts w:ascii="Arial" w:cs="Arial" w:eastAsia="Arial" w:hAnsi="Arial"/>
                <w:sz w:val="18"/>
                <w:szCs w:val="18"/>
                <w:color w:val="auto"/>
              </w:rPr>
              <w:t>(2)</w:t>
            </w:r>
          </w:p>
        </w:tc>
        <w:tc>
          <w:tcPr>
            <w:tcW w:w="920" w:type="dxa"/>
            <w:vAlign w:val="bottom"/>
          </w:tcPr>
          <w:p>
            <w:pPr>
              <w:ind w:left="100"/>
              <w:spacing w:after="0" w:line="183" w:lineRule="exact"/>
              <w:rPr>
                <w:sz w:val="20"/>
                <w:szCs w:val="20"/>
                <w:color w:val="auto"/>
              </w:rPr>
            </w:pPr>
            <w:r>
              <w:rPr>
                <w:rFonts w:ascii="Arial" w:cs="Arial" w:eastAsia="Arial" w:hAnsi="Arial"/>
                <w:sz w:val="18"/>
                <w:szCs w:val="18"/>
                <w:color w:val="auto"/>
                <w:w w:val="99"/>
              </w:rPr>
              <w:t>2/22/2021</w:t>
            </w:r>
          </w:p>
        </w:tc>
        <w:tc>
          <w:tcPr>
            <w:tcW w:w="1560" w:type="dxa"/>
            <w:vAlign w:val="bottom"/>
          </w:tcPr>
          <w:p>
            <w:pPr>
              <w:jc w:val="right"/>
              <w:ind w:right="294"/>
              <w:spacing w:after="0" w:line="183" w:lineRule="exact"/>
              <w:rPr>
                <w:sz w:val="20"/>
                <w:szCs w:val="20"/>
                <w:color w:val="auto"/>
              </w:rPr>
            </w:pPr>
            <w:r>
              <w:rPr>
                <w:rFonts w:ascii="Arial" w:cs="Arial" w:eastAsia="Arial" w:hAnsi="Arial"/>
                <w:sz w:val="18"/>
                <w:szCs w:val="18"/>
                <w:color w:val="auto"/>
              </w:rPr>
              <w:t>587</w:t>
            </w:r>
          </w:p>
        </w:tc>
        <w:tc>
          <w:tcPr>
            <w:tcW w:w="1300" w:type="dxa"/>
            <w:vAlign w:val="bottom"/>
          </w:tcPr>
          <w:p>
            <w:pPr>
              <w:jc w:val="right"/>
              <w:ind w:right="114"/>
              <w:spacing w:after="0" w:line="183" w:lineRule="exact"/>
              <w:rPr>
                <w:sz w:val="20"/>
                <w:szCs w:val="20"/>
                <w:color w:val="auto"/>
              </w:rPr>
            </w:pPr>
            <w:r>
              <w:rPr>
                <w:rFonts w:ascii="Arial" w:cs="Arial" w:eastAsia="Arial" w:hAnsi="Arial"/>
                <w:sz w:val="18"/>
                <w:szCs w:val="18"/>
                <w:color w:val="auto"/>
              </w:rPr>
              <w:t>107,315</w:t>
            </w:r>
          </w:p>
        </w:tc>
        <w:tc>
          <w:tcPr>
            <w:tcW w:w="200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184"/>
        </w:trPr>
        <w:tc>
          <w:tcPr>
            <w:tcW w:w="2660" w:type="dxa"/>
            <w:vAlign w:val="bottom"/>
          </w:tcPr>
          <w:p>
            <w:pPr>
              <w:spacing w:after="0"/>
              <w:rPr>
                <w:sz w:val="15"/>
                <w:szCs w:val="15"/>
                <w:color w:val="auto"/>
              </w:rPr>
            </w:pPr>
          </w:p>
        </w:tc>
        <w:tc>
          <w:tcPr>
            <w:tcW w:w="460" w:type="dxa"/>
            <w:vAlign w:val="bottom"/>
          </w:tcPr>
          <w:p>
            <w:pPr>
              <w:jc w:val="right"/>
              <w:spacing w:after="0" w:line="183" w:lineRule="exact"/>
              <w:rPr>
                <w:sz w:val="20"/>
                <w:szCs w:val="20"/>
                <w:color w:val="auto"/>
              </w:rPr>
            </w:pPr>
            <w:r>
              <w:rPr>
                <w:rFonts w:ascii="Arial" w:cs="Arial" w:eastAsia="Arial" w:hAnsi="Arial"/>
                <w:sz w:val="18"/>
                <w:szCs w:val="18"/>
                <w:color w:val="auto"/>
              </w:rPr>
              <w:t>(3)</w:t>
            </w:r>
          </w:p>
        </w:tc>
        <w:tc>
          <w:tcPr>
            <w:tcW w:w="920" w:type="dxa"/>
            <w:vAlign w:val="bottom"/>
          </w:tcPr>
          <w:p>
            <w:pPr>
              <w:ind w:left="100"/>
              <w:spacing w:after="0" w:line="183" w:lineRule="exact"/>
              <w:rPr>
                <w:sz w:val="20"/>
                <w:szCs w:val="20"/>
                <w:color w:val="auto"/>
              </w:rPr>
            </w:pPr>
            <w:r>
              <w:rPr>
                <w:rFonts w:ascii="Arial" w:cs="Arial" w:eastAsia="Arial" w:hAnsi="Arial"/>
                <w:sz w:val="18"/>
                <w:szCs w:val="18"/>
                <w:color w:val="auto"/>
                <w:w w:val="99"/>
              </w:rPr>
              <w:t>2/22/2022</w:t>
            </w:r>
          </w:p>
        </w:tc>
        <w:tc>
          <w:tcPr>
            <w:tcW w:w="1560" w:type="dxa"/>
            <w:vAlign w:val="bottom"/>
          </w:tcPr>
          <w:p>
            <w:pPr>
              <w:jc w:val="right"/>
              <w:ind w:right="294"/>
              <w:spacing w:after="0" w:line="183" w:lineRule="exact"/>
              <w:rPr>
                <w:sz w:val="20"/>
                <w:szCs w:val="20"/>
                <w:color w:val="auto"/>
              </w:rPr>
            </w:pPr>
            <w:r>
              <w:rPr>
                <w:rFonts w:ascii="Arial" w:cs="Arial" w:eastAsia="Arial" w:hAnsi="Arial"/>
                <w:sz w:val="18"/>
                <w:szCs w:val="18"/>
                <w:color w:val="auto"/>
              </w:rPr>
              <w:t>2,187</w:t>
            </w:r>
          </w:p>
        </w:tc>
        <w:tc>
          <w:tcPr>
            <w:tcW w:w="1300" w:type="dxa"/>
            <w:vAlign w:val="bottom"/>
          </w:tcPr>
          <w:p>
            <w:pPr>
              <w:jc w:val="right"/>
              <w:ind w:right="114"/>
              <w:spacing w:after="0" w:line="183" w:lineRule="exact"/>
              <w:rPr>
                <w:sz w:val="20"/>
                <w:szCs w:val="20"/>
                <w:color w:val="auto"/>
              </w:rPr>
            </w:pPr>
            <w:r>
              <w:rPr>
                <w:rFonts w:ascii="Arial" w:cs="Arial" w:eastAsia="Arial" w:hAnsi="Arial"/>
                <w:sz w:val="18"/>
                <w:szCs w:val="18"/>
                <w:color w:val="auto"/>
              </w:rPr>
              <w:t>399,827</w:t>
            </w:r>
          </w:p>
        </w:tc>
        <w:tc>
          <w:tcPr>
            <w:tcW w:w="200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203"/>
        </w:trPr>
        <w:tc>
          <w:tcPr>
            <w:tcW w:w="26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920" w:type="dxa"/>
            <w:vAlign w:val="bottom"/>
          </w:tcPr>
          <w:p>
            <w:pPr>
              <w:ind w:left="100"/>
              <w:spacing w:after="0" w:line="202" w:lineRule="exact"/>
              <w:rPr>
                <w:sz w:val="20"/>
                <w:szCs w:val="20"/>
                <w:color w:val="auto"/>
              </w:rPr>
            </w:pPr>
            <w:r>
              <w:rPr>
                <w:rFonts w:ascii="Arial" w:cs="Arial" w:eastAsia="Arial" w:hAnsi="Arial"/>
                <w:sz w:val="18"/>
                <w:szCs w:val="18"/>
                <w:color w:val="auto"/>
                <w:w w:val="99"/>
              </w:rPr>
              <w:t>2/20/2023</w:t>
            </w:r>
          </w:p>
        </w:tc>
        <w:tc>
          <w:tcPr>
            <w:tcW w:w="15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0" w:type="dxa"/>
            <w:vAlign w:val="bottom"/>
          </w:tcPr>
          <w:p>
            <w:pPr>
              <w:jc w:val="right"/>
              <w:ind w:right="676"/>
              <w:spacing w:after="0" w:line="202" w:lineRule="exact"/>
              <w:rPr>
                <w:sz w:val="20"/>
                <w:szCs w:val="20"/>
                <w:color w:val="auto"/>
              </w:rPr>
            </w:pPr>
            <w:r>
              <w:rPr>
                <w:rFonts w:ascii="Arial" w:cs="Arial" w:eastAsia="Arial" w:hAnsi="Arial"/>
                <w:sz w:val="18"/>
                <w:szCs w:val="18"/>
                <w:color w:val="auto"/>
              </w:rPr>
              <w:t>2,427</w:t>
            </w:r>
          </w:p>
        </w:tc>
        <w:tc>
          <w:tcPr>
            <w:tcW w:w="2120" w:type="dxa"/>
            <w:vAlign w:val="bottom"/>
          </w:tcPr>
          <w:p>
            <w:pPr>
              <w:jc w:val="right"/>
              <w:ind w:right="536"/>
              <w:spacing w:after="0" w:line="202" w:lineRule="exact"/>
              <w:rPr>
                <w:sz w:val="20"/>
                <w:szCs w:val="20"/>
                <w:color w:val="auto"/>
              </w:rPr>
            </w:pPr>
            <w:r>
              <w:rPr>
                <w:rFonts w:ascii="Arial" w:cs="Arial" w:eastAsia="Arial" w:hAnsi="Arial"/>
                <w:sz w:val="18"/>
                <w:szCs w:val="18"/>
                <w:color w:val="auto"/>
              </w:rPr>
              <w:t>443,704</w:t>
            </w:r>
          </w:p>
        </w:tc>
      </w:tr>
      <w:tr>
        <w:trPr>
          <w:trHeight w:val="221"/>
        </w:trPr>
        <w:tc>
          <w:tcPr>
            <w:tcW w:w="26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4/13/2023</w:t>
            </w:r>
          </w:p>
        </w:tc>
        <w:tc>
          <w:tcPr>
            <w:tcW w:w="156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5,375</w:t>
            </w:r>
          </w:p>
        </w:tc>
        <w:tc>
          <w:tcPr>
            <w:tcW w:w="13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982,658</w:t>
            </w:r>
          </w:p>
        </w:tc>
        <w:tc>
          <w:tcPr>
            <w:tcW w:w="20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196"/>
        </w:trPr>
        <w:tc>
          <w:tcPr>
            <w:tcW w:w="2660" w:type="dxa"/>
            <w:vAlign w:val="bottom"/>
            <w:shd w:val="clear" w:color="auto" w:fill="D5DCE4"/>
          </w:tcPr>
          <w:p>
            <w:pPr>
              <w:spacing w:after="0" w:line="183" w:lineRule="exact"/>
              <w:rPr>
                <w:sz w:val="20"/>
                <w:szCs w:val="20"/>
                <w:color w:val="auto"/>
              </w:rPr>
            </w:pPr>
            <w:r>
              <w:rPr>
                <w:rFonts w:ascii="Arial" w:cs="Arial" w:eastAsia="Arial" w:hAnsi="Arial"/>
                <w:sz w:val="18"/>
                <w:szCs w:val="18"/>
                <w:color w:val="auto"/>
              </w:rPr>
              <w:t>  Jason R. Niswonger</w:t>
            </w:r>
          </w:p>
        </w:tc>
        <w:tc>
          <w:tcPr>
            <w:tcW w:w="460" w:type="dxa"/>
            <w:vAlign w:val="bottom"/>
          </w:tcPr>
          <w:p>
            <w:pPr>
              <w:jc w:val="right"/>
              <w:spacing w:after="0" w:line="183" w:lineRule="exact"/>
              <w:rPr>
                <w:sz w:val="20"/>
                <w:szCs w:val="20"/>
                <w:color w:val="auto"/>
              </w:rPr>
            </w:pPr>
            <w:r>
              <w:rPr>
                <w:rFonts w:ascii="Arial" w:cs="Arial" w:eastAsia="Arial" w:hAnsi="Arial"/>
                <w:sz w:val="18"/>
                <w:szCs w:val="18"/>
                <w:color w:val="auto"/>
              </w:rPr>
              <w:t>(2)</w:t>
            </w:r>
          </w:p>
        </w:tc>
        <w:tc>
          <w:tcPr>
            <w:tcW w:w="920" w:type="dxa"/>
            <w:vAlign w:val="bottom"/>
          </w:tcPr>
          <w:p>
            <w:pPr>
              <w:ind w:left="100"/>
              <w:spacing w:after="0" w:line="183" w:lineRule="exact"/>
              <w:rPr>
                <w:sz w:val="20"/>
                <w:szCs w:val="20"/>
                <w:color w:val="auto"/>
              </w:rPr>
            </w:pPr>
            <w:r>
              <w:rPr>
                <w:rFonts w:ascii="Arial" w:cs="Arial" w:eastAsia="Arial" w:hAnsi="Arial"/>
                <w:sz w:val="18"/>
                <w:szCs w:val="18"/>
                <w:color w:val="auto"/>
                <w:w w:val="99"/>
              </w:rPr>
              <w:t>2/22/2021</w:t>
            </w:r>
          </w:p>
        </w:tc>
        <w:tc>
          <w:tcPr>
            <w:tcW w:w="1560" w:type="dxa"/>
            <w:vAlign w:val="bottom"/>
          </w:tcPr>
          <w:p>
            <w:pPr>
              <w:jc w:val="right"/>
              <w:ind w:right="294"/>
              <w:spacing w:after="0" w:line="183" w:lineRule="exact"/>
              <w:rPr>
                <w:sz w:val="20"/>
                <w:szCs w:val="20"/>
                <w:color w:val="auto"/>
              </w:rPr>
            </w:pPr>
            <w:r>
              <w:rPr>
                <w:rFonts w:ascii="Arial" w:cs="Arial" w:eastAsia="Arial" w:hAnsi="Arial"/>
                <w:sz w:val="18"/>
                <w:szCs w:val="18"/>
                <w:color w:val="auto"/>
              </w:rPr>
              <w:t>587</w:t>
            </w:r>
          </w:p>
        </w:tc>
        <w:tc>
          <w:tcPr>
            <w:tcW w:w="1300" w:type="dxa"/>
            <w:vAlign w:val="bottom"/>
          </w:tcPr>
          <w:p>
            <w:pPr>
              <w:jc w:val="right"/>
              <w:ind w:right="114"/>
              <w:spacing w:after="0" w:line="183" w:lineRule="exact"/>
              <w:rPr>
                <w:sz w:val="20"/>
                <w:szCs w:val="20"/>
                <w:color w:val="auto"/>
              </w:rPr>
            </w:pPr>
            <w:r>
              <w:rPr>
                <w:rFonts w:ascii="Arial" w:cs="Arial" w:eastAsia="Arial" w:hAnsi="Arial"/>
                <w:sz w:val="18"/>
                <w:szCs w:val="18"/>
                <w:color w:val="auto"/>
              </w:rPr>
              <w:t>107,315</w:t>
            </w:r>
          </w:p>
        </w:tc>
        <w:tc>
          <w:tcPr>
            <w:tcW w:w="200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184"/>
        </w:trPr>
        <w:tc>
          <w:tcPr>
            <w:tcW w:w="2660" w:type="dxa"/>
            <w:vAlign w:val="bottom"/>
          </w:tcPr>
          <w:p>
            <w:pPr>
              <w:spacing w:after="0"/>
              <w:rPr>
                <w:sz w:val="15"/>
                <w:szCs w:val="15"/>
                <w:color w:val="auto"/>
              </w:rPr>
            </w:pPr>
          </w:p>
        </w:tc>
        <w:tc>
          <w:tcPr>
            <w:tcW w:w="460" w:type="dxa"/>
            <w:vAlign w:val="bottom"/>
          </w:tcPr>
          <w:p>
            <w:pPr>
              <w:jc w:val="right"/>
              <w:spacing w:after="0" w:line="183" w:lineRule="exact"/>
              <w:rPr>
                <w:sz w:val="20"/>
                <w:szCs w:val="20"/>
                <w:color w:val="auto"/>
              </w:rPr>
            </w:pPr>
            <w:r>
              <w:rPr>
                <w:rFonts w:ascii="Arial" w:cs="Arial" w:eastAsia="Arial" w:hAnsi="Arial"/>
                <w:sz w:val="18"/>
                <w:szCs w:val="18"/>
                <w:color w:val="auto"/>
              </w:rPr>
              <w:t>(3)</w:t>
            </w:r>
          </w:p>
        </w:tc>
        <w:tc>
          <w:tcPr>
            <w:tcW w:w="920" w:type="dxa"/>
            <w:vAlign w:val="bottom"/>
          </w:tcPr>
          <w:p>
            <w:pPr>
              <w:ind w:left="100"/>
              <w:spacing w:after="0" w:line="183" w:lineRule="exact"/>
              <w:rPr>
                <w:sz w:val="20"/>
                <w:szCs w:val="20"/>
                <w:color w:val="auto"/>
              </w:rPr>
            </w:pPr>
            <w:r>
              <w:rPr>
                <w:rFonts w:ascii="Arial" w:cs="Arial" w:eastAsia="Arial" w:hAnsi="Arial"/>
                <w:sz w:val="18"/>
                <w:szCs w:val="18"/>
                <w:color w:val="auto"/>
                <w:w w:val="99"/>
              </w:rPr>
              <w:t>2/22/2022</w:t>
            </w:r>
          </w:p>
        </w:tc>
        <w:tc>
          <w:tcPr>
            <w:tcW w:w="1560" w:type="dxa"/>
            <w:vAlign w:val="bottom"/>
          </w:tcPr>
          <w:p>
            <w:pPr>
              <w:jc w:val="right"/>
              <w:ind w:right="294"/>
              <w:spacing w:after="0" w:line="183" w:lineRule="exact"/>
              <w:rPr>
                <w:sz w:val="20"/>
                <w:szCs w:val="20"/>
                <w:color w:val="auto"/>
              </w:rPr>
            </w:pPr>
            <w:r>
              <w:rPr>
                <w:rFonts w:ascii="Arial" w:cs="Arial" w:eastAsia="Arial" w:hAnsi="Arial"/>
                <w:sz w:val="18"/>
                <w:szCs w:val="18"/>
                <w:color w:val="auto"/>
              </w:rPr>
              <w:t>3,060</w:t>
            </w:r>
          </w:p>
        </w:tc>
        <w:tc>
          <w:tcPr>
            <w:tcW w:w="1300" w:type="dxa"/>
            <w:vAlign w:val="bottom"/>
          </w:tcPr>
          <w:p>
            <w:pPr>
              <w:jc w:val="right"/>
              <w:ind w:right="114"/>
              <w:spacing w:after="0" w:line="183" w:lineRule="exact"/>
              <w:rPr>
                <w:sz w:val="20"/>
                <w:szCs w:val="20"/>
                <w:color w:val="auto"/>
              </w:rPr>
            </w:pPr>
            <w:r>
              <w:rPr>
                <w:rFonts w:ascii="Arial" w:cs="Arial" w:eastAsia="Arial" w:hAnsi="Arial"/>
                <w:sz w:val="18"/>
                <w:szCs w:val="18"/>
                <w:color w:val="auto"/>
              </w:rPr>
              <w:t>599,429</w:t>
            </w:r>
          </w:p>
        </w:tc>
        <w:tc>
          <w:tcPr>
            <w:tcW w:w="200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228"/>
        </w:trPr>
        <w:tc>
          <w:tcPr>
            <w:tcW w:w="2660" w:type="dxa"/>
            <w:vAlign w:val="bottom"/>
            <w:tcBorders>
              <w:bottom w:val="single" w:sz="8" w:color="0070C0"/>
            </w:tcBorders>
          </w:tcPr>
          <w:p>
            <w:pPr>
              <w:spacing w:after="0"/>
              <w:rPr>
                <w:sz w:val="19"/>
                <w:szCs w:val="19"/>
                <w:color w:val="auto"/>
              </w:rPr>
            </w:pPr>
          </w:p>
        </w:tc>
        <w:tc>
          <w:tcPr>
            <w:tcW w:w="460" w:type="dxa"/>
            <w:vAlign w:val="bottom"/>
            <w:tcBorders>
              <w:bottom w:val="single" w:sz="8" w:color="0070C0"/>
            </w:tcBorders>
          </w:tcPr>
          <w:p>
            <w:pPr>
              <w:jc w:val="right"/>
              <w:spacing w:after="0"/>
              <w:rPr>
                <w:sz w:val="20"/>
                <w:szCs w:val="20"/>
                <w:color w:val="auto"/>
              </w:rPr>
            </w:pPr>
            <w:r>
              <w:rPr>
                <w:rFonts w:ascii="Arial" w:cs="Arial" w:eastAsia="Arial" w:hAnsi="Arial"/>
                <w:sz w:val="18"/>
                <w:szCs w:val="18"/>
                <w:color w:val="auto"/>
              </w:rPr>
              <w:t>(4)</w:t>
            </w:r>
          </w:p>
        </w:tc>
        <w:tc>
          <w:tcPr>
            <w:tcW w:w="920" w:type="dxa"/>
            <w:vAlign w:val="bottom"/>
            <w:tcBorders>
              <w:bottom w:val="single" w:sz="8" w:color="0070C0"/>
            </w:tcBorders>
          </w:tcPr>
          <w:p>
            <w:pPr>
              <w:ind w:left="100"/>
              <w:spacing w:after="0"/>
              <w:rPr>
                <w:sz w:val="20"/>
                <w:szCs w:val="20"/>
                <w:color w:val="auto"/>
              </w:rPr>
            </w:pPr>
            <w:r>
              <w:rPr>
                <w:rFonts w:ascii="Arial" w:cs="Arial" w:eastAsia="Arial" w:hAnsi="Arial"/>
                <w:sz w:val="18"/>
                <w:szCs w:val="18"/>
                <w:color w:val="auto"/>
                <w:w w:val="99"/>
              </w:rPr>
              <w:t>2/20/2023</w:t>
            </w:r>
          </w:p>
        </w:tc>
        <w:tc>
          <w:tcPr>
            <w:tcW w:w="1560" w:type="dxa"/>
            <w:vAlign w:val="bottom"/>
            <w:tcBorders>
              <w:bottom w:val="single" w:sz="8" w:color="0070C0"/>
            </w:tcBorders>
          </w:tcPr>
          <w:p>
            <w:pPr>
              <w:spacing w:after="0"/>
              <w:rPr>
                <w:sz w:val="19"/>
                <w:szCs w:val="19"/>
                <w:color w:val="auto"/>
              </w:rPr>
            </w:pPr>
          </w:p>
        </w:tc>
        <w:tc>
          <w:tcPr>
            <w:tcW w:w="1300" w:type="dxa"/>
            <w:vAlign w:val="bottom"/>
            <w:tcBorders>
              <w:bottom w:val="single" w:sz="8" w:color="0070C0"/>
            </w:tcBorders>
          </w:tcPr>
          <w:p>
            <w:pPr>
              <w:spacing w:after="0"/>
              <w:rPr>
                <w:sz w:val="19"/>
                <w:szCs w:val="19"/>
                <w:color w:val="auto"/>
              </w:rPr>
            </w:pPr>
          </w:p>
        </w:tc>
        <w:tc>
          <w:tcPr>
            <w:tcW w:w="2000" w:type="dxa"/>
            <w:vAlign w:val="bottom"/>
            <w:tcBorders>
              <w:bottom w:val="single" w:sz="8" w:color="0070C0"/>
            </w:tcBorders>
          </w:tcPr>
          <w:p>
            <w:pPr>
              <w:jc w:val="right"/>
              <w:ind w:right="676"/>
              <w:spacing w:after="0"/>
              <w:rPr>
                <w:sz w:val="20"/>
                <w:szCs w:val="20"/>
                <w:color w:val="auto"/>
              </w:rPr>
            </w:pPr>
            <w:r>
              <w:rPr>
                <w:rFonts w:ascii="Arial" w:cs="Arial" w:eastAsia="Arial" w:hAnsi="Arial"/>
                <w:sz w:val="18"/>
                <w:szCs w:val="18"/>
                <w:color w:val="auto"/>
              </w:rPr>
              <w:t>3,982</w:t>
            </w:r>
          </w:p>
        </w:tc>
        <w:tc>
          <w:tcPr>
            <w:tcW w:w="2120" w:type="dxa"/>
            <w:vAlign w:val="bottom"/>
            <w:tcBorders>
              <w:bottom w:val="single" w:sz="8" w:color="0070C0"/>
            </w:tcBorders>
          </w:tcPr>
          <w:p>
            <w:pPr>
              <w:jc w:val="right"/>
              <w:ind w:right="536"/>
              <w:spacing w:after="0"/>
              <w:rPr>
                <w:sz w:val="20"/>
                <w:szCs w:val="20"/>
                <w:color w:val="auto"/>
              </w:rPr>
            </w:pPr>
            <w:r>
              <w:rPr>
                <w:rFonts w:ascii="Arial" w:cs="Arial" w:eastAsia="Arial" w:hAnsi="Arial"/>
                <w:sz w:val="18"/>
                <w:szCs w:val="18"/>
                <w:color w:val="auto"/>
              </w:rPr>
              <w:t>727,989</w:t>
            </w:r>
          </w:p>
        </w:tc>
      </w:tr>
    </w:tbl>
    <w:p>
      <w:pPr>
        <w:spacing w:after="0" w:line="103" w:lineRule="exact"/>
        <w:rPr>
          <w:sz w:val="20"/>
          <w:szCs w:val="20"/>
          <w:color w:val="auto"/>
        </w:rPr>
      </w:pPr>
    </w:p>
    <w:p>
      <w:pPr>
        <w:ind w:left="760" w:right="720" w:hanging="548"/>
        <w:spacing w:after="0" w:line="271"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market value of unvested stock was determined by multiplying the closing price of the Company’s common stock on December 31, 2023 ($182.82) by the number of shares.</w:t>
      </w:r>
    </w:p>
    <w:p>
      <w:pPr>
        <w:spacing w:after="0" w:line="59" w:lineRule="exact"/>
        <w:rPr>
          <w:rFonts w:ascii="Arial" w:cs="Arial" w:eastAsia="Arial" w:hAnsi="Arial"/>
          <w:sz w:val="18"/>
          <w:szCs w:val="18"/>
          <w:color w:val="auto"/>
        </w:rPr>
      </w:pPr>
    </w:p>
    <w:p>
      <w:pPr>
        <w:ind w:left="760" w:right="780" w:hanging="548"/>
        <w:spacing w:after="0" w:line="271"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Although the performance criteria was satisfied for the 2021 performance period, the shares remain subject to a vesting schedule. The shares vest April 20, 2024.</w:t>
      </w:r>
    </w:p>
    <w:p>
      <w:pPr>
        <w:spacing w:after="0" w:line="59" w:lineRule="exact"/>
        <w:rPr>
          <w:rFonts w:ascii="Arial" w:cs="Arial" w:eastAsia="Arial" w:hAnsi="Arial"/>
          <w:sz w:val="18"/>
          <w:szCs w:val="18"/>
          <w:color w:val="auto"/>
        </w:rPr>
      </w:pPr>
    </w:p>
    <w:p>
      <w:pPr>
        <w:ind w:left="760" w:right="180" w:hanging="548"/>
        <w:spacing w:after="0" w:line="301" w:lineRule="auto"/>
        <w:tabs>
          <w:tab w:leader="none" w:pos="7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Although the performance criteria was satisfied for the 2022 performance period, the shares remain subject to a vesting schedule. The shares vest in two equal installments (rounded to the nearest whole share) on April 20, 2024 and April 20, 2025.</w:t>
      </w:r>
    </w:p>
    <w:p>
      <w:pPr>
        <w:spacing w:after="0" w:line="36" w:lineRule="exact"/>
        <w:rPr>
          <w:rFonts w:ascii="Arial" w:cs="Arial" w:eastAsia="Arial" w:hAnsi="Arial"/>
          <w:sz w:val="17"/>
          <w:szCs w:val="17"/>
          <w:color w:val="auto"/>
        </w:rPr>
      </w:pPr>
    </w:p>
    <w:p>
      <w:pPr>
        <w:ind w:left="760" w:right="160" w:hanging="548"/>
        <w:spacing w:after="0" w:line="24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Although the performance criteria was satisfied for the 2023 performance period and certified on February 20, 2024, the shares remain subject to a vesting schedule. The shares vest in two equal installments (rounded to the nearest whole share) on April 20, 2025 and April 20, 2026. The number of shares shown as subject to these awards represent the number of shares certified as earned upon satisfaction of the performance criteria.</w:t>
      </w:r>
    </w:p>
    <w:p>
      <w:pPr>
        <w:spacing w:after="0" w:line="79" w:lineRule="exact"/>
        <w:rPr>
          <w:rFonts w:ascii="Arial" w:cs="Arial" w:eastAsia="Arial" w:hAnsi="Arial"/>
          <w:sz w:val="18"/>
          <w:szCs w:val="18"/>
          <w:color w:val="auto"/>
        </w:rPr>
      </w:pPr>
    </w:p>
    <w:p>
      <w:pPr>
        <w:ind w:left="760" w:hanging="54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Shares awarded April 13, 2023, which vest April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699516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Executive Compensation</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65</w:t>
      </w:r>
    </w:p>
    <w:p>
      <w:pPr>
        <w:sectPr>
          <w:pgSz w:w="11900" w:h="16838" w:orient="portrait"/>
          <w:cols w:equalWidth="0" w:num="1">
            <w:col w:w="11020"/>
          </w:cols>
          <w:pgMar w:left="440" w:top="287" w:right="439" w:bottom="1440" w:gutter="0" w:footer="0" w:header="0"/>
        </w:sectPr>
      </w:pPr>
    </w:p>
    <w:bookmarkStart w:id="73" w:name="page74"/>
    <w:bookmarkEnd w:id="73"/>
    <w:p>
      <w:pPr>
        <w:ind w:left="4"/>
        <w:spacing w:after="0"/>
        <w:rPr>
          <w:sz w:val="20"/>
          <w:szCs w:val="20"/>
          <w:color w:val="auto"/>
        </w:rPr>
      </w:pPr>
      <w:r>
        <w:rPr>
          <w:rFonts w:ascii="Arial" w:cs="Arial" w:eastAsia="Arial" w:hAnsi="Arial"/>
          <w:sz w:val="22"/>
          <w:szCs w:val="22"/>
          <w:b w:val="1"/>
          <w:bCs w:val="1"/>
          <w:color w:val="00206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Stock Vested as of December 31, 2023</w:t>
      </w:r>
    </w:p>
    <w:p>
      <w:pPr>
        <w:spacing w:after="0" w:line="216"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contains information on equity awards held by our NEOs that vested in 2023.</w:t>
      </w:r>
    </w:p>
    <w:p>
      <w:pPr>
        <w:spacing w:after="0" w:line="243" w:lineRule="exact"/>
        <w:rPr>
          <w:sz w:val="20"/>
          <w:szCs w:val="20"/>
          <w:color w:val="auto"/>
        </w:rPr>
      </w:pPr>
    </w:p>
    <w:tbl>
      <w:tblPr>
        <w:tblLayout w:type="fixed"/>
        <w:tblInd w:w="4" w:type="dxa"/>
        <w:tblCellMar>
          <w:top w:w="0" w:type="dxa"/>
          <w:left w:w="0" w:type="dxa"/>
          <w:bottom w:w="0" w:type="dxa"/>
          <w:right w:w="0" w:type="dxa"/>
        </w:tblCellMar>
      </w:tblPr>
      <w:tr>
        <w:trPr>
          <w:trHeight w:val="210"/>
        </w:trPr>
        <w:tc>
          <w:tcPr>
            <w:tcW w:w="7300" w:type="dxa"/>
            <w:vAlign w:val="bottom"/>
          </w:tcPr>
          <w:p>
            <w:pPr>
              <w:spacing w:after="0"/>
              <w:rPr>
                <w:sz w:val="18"/>
                <w:szCs w:val="18"/>
                <w:color w:val="auto"/>
              </w:rPr>
            </w:pPr>
          </w:p>
        </w:tc>
        <w:tc>
          <w:tcPr>
            <w:tcW w:w="3720" w:type="dxa"/>
            <w:vAlign w:val="bottom"/>
            <w:tcBorders>
              <w:bottom w:val="single" w:sz="8" w:color="0070C0"/>
            </w:tcBorders>
            <w:gridSpan w:val="2"/>
          </w:tcPr>
          <w:p>
            <w:pPr>
              <w:jc w:val="right"/>
              <w:ind w:right="1253"/>
              <w:spacing w:after="0"/>
              <w:rPr>
                <w:sz w:val="20"/>
                <w:szCs w:val="20"/>
                <w:color w:val="auto"/>
              </w:rPr>
            </w:pPr>
            <w:r>
              <w:rPr>
                <w:rFonts w:ascii="Arial" w:cs="Arial" w:eastAsia="Arial" w:hAnsi="Arial"/>
                <w:sz w:val="16"/>
                <w:szCs w:val="16"/>
                <w:b w:val="1"/>
                <w:bCs w:val="1"/>
                <w:color w:val="002060"/>
              </w:rPr>
              <w:t>Stock Awards</w:t>
            </w:r>
          </w:p>
        </w:tc>
      </w:tr>
      <w:tr>
        <w:trPr>
          <w:trHeight w:val="175"/>
        </w:trPr>
        <w:tc>
          <w:tcPr>
            <w:tcW w:w="7300" w:type="dxa"/>
            <w:vAlign w:val="bottom"/>
          </w:tcPr>
          <w:p>
            <w:pPr>
              <w:spacing w:after="0"/>
              <w:rPr>
                <w:sz w:val="15"/>
                <w:szCs w:val="15"/>
                <w:color w:val="auto"/>
              </w:rPr>
            </w:pPr>
          </w:p>
        </w:tc>
        <w:tc>
          <w:tcPr>
            <w:tcW w:w="1960" w:type="dxa"/>
            <w:vAlign w:val="bottom"/>
          </w:tcPr>
          <w:p>
            <w:pPr>
              <w:jc w:val="center"/>
              <w:spacing w:after="0" w:line="175" w:lineRule="exact"/>
              <w:rPr>
                <w:sz w:val="20"/>
                <w:szCs w:val="20"/>
                <w:color w:val="auto"/>
              </w:rPr>
            </w:pPr>
            <w:r>
              <w:rPr>
                <w:rFonts w:ascii="Arial" w:cs="Arial" w:eastAsia="Arial" w:hAnsi="Arial"/>
                <w:sz w:val="16"/>
                <w:szCs w:val="16"/>
                <w:b w:val="1"/>
                <w:bCs w:val="1"/>
                <w:color w:val="002060"/>
              </w:rPr>
              <w:t>Number of Shares</w:t>
            </w:r>
          </w:p>
        </w:tc>
        <w:tc>
          <w:tcPr>
            <w:tcW w:w="1760" w:type="dxa"/>
            <w:vAlign w:val="bottom"/>
          </w:tcPr>
          <w:p>
            <w:pPr>
              <w:jc w:val="center"/>
              <w:spacing w:after="0" w:line="175" w:lineRule="exact"/>
              <w:rPr>
                <w:sz w:val="20"/>
                <w:szCs w:val="20"/>
                <w:color w:val="auto"/>
              </w:rPr>
            </w:pPr>
            <w:r>
              <w:rPr>
                <w:rFonts w:ascii="Arial" w:cs="Arial" w:eastAsia="Arial" w:hAnsi="Arial"/>
                <w:sz w:val="16"/>
                <w:szCs w:val="16"/>
                <w:b w:val="1"/>
                <w:bCs w:val="1"/>
                <w:color w:val="002060"/>
                <w:w w:val="99"/>
              </w:rPr>
              <w:t>Value Realized on</w:t>
            </w:r>
          </w:p>
        </w:tc>
      </w:tr>
      <w:tr>
        <w:trPr>
          <w:trHeight w:val="189"/>
        </w:trPr>
        <w:tc>
          <w:tcPr>
            <w:tcW w:w="730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002060"/>
              </w:rPr>
              <w:t>Acquired on Vesting</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002060"/>
              </w:rPr>
              <w:t>Vesting</w:t>
            </w:r>
          </w:p>
        </w:tc>
      </w:tr>
      <w:tr>
        <w:trPr>
          <w:trHeight w:val="210"/>
        </w:trPr>
        <w:tc>
          <w:tcPr>
            <w:tcW w:w="7300" w:type="dxa"/>
            <w:vAlign w:val="bottom"/>
            <w:tcBorders>
              <w:bottom w:val="single" w:sz="8" w:color="0070C0"/>
            </w:tcBorders>
          </w:tcPr>
          <w:p>
            <w:pPr>
              <w:spacing w:after="0"/>
              <w:rPr>
                <w:sz w:val="20"/>
                <w:szCs w:val="20"/>
                <w:color w:val="auto"/>
              </w:rPr>
            </w:pPr>
            <w:r>
              <w:rPr>
                <w:rFonts w:ascii="Arial" w:cs="Arial" w:eastAsia="Arial" w:hAnsi="Arial"/>
                <w:sz w:val="16"/>
                <w:szCs w:val="16"/>
                <w:b w:val="1"/>
                <w:bCs w:val="1"/>
                <w:color w:val="002060"/>
              </w:rPr>
              <w:t>Name</w:t>
            </w:r>
          </w:p>
        </w:tc>
        <w:tc>
          <w:tcPr>
            <w:tcW w:w="1960" w:type="dxa"/>
            <w:vAlign w:val="bottom"/>
            <w:tcBorders>
              <w:bottom w:val="single" w:sz="8" w:color="0070C0"/>
            </w:tcBorders>
          </w:tcPr>
          <w:p>
            <w:pPr>
              <w:jc w:val="center"/>
              <w:spacing w:after="0"/>
              <w:rPr>
                <w:sz w:val="20"/>
                <w:szCs w:val="20"/>
                <w:color w:val="auto"/>
              </w:rPr>
            </w:pPr>
            <w:r>
              <w:rPr>
                <w:rFonts w:ascii="Arial" w:cs="Arial" w:eastAsia="Arial" w:hAnsi="Arial"/>
                <w:sz w:val="16"/>
                <w:szCs w:val="16"/>
                <w:b w:val="1"/>
                <w:bCs w:val="1"/>
                <w:color w:val="002060"/>
              </w:rPr>
              <w:t>(#)</w:t>
            </w:r>
          </w:p>
        </w:tc>
        <w:tc>
          <w:tcPr>
            <w:tcW w:w="1760" w:type="dxa"/>
            <w:vAlign w:val="bottom"/>
            <w:tcBorders>
              <w:bottom w:val="single" w:sz="8" w:color="0070C0"/>
            </w:tcBorders>
          </w:tcPr>
          <w:p>
            <w:pPr>
              <w:jc w:val="center"/>
              <w:spacing w:after="0"/>
              <w:rPr>
                <w:sz w:val="20"/>
                <w:szCs w:val="20"/>
                <w:color w:val="auto"/>
              </w:rPr>
            </w:pPr>
            <w:r>
              <w:rPr>
                <w:rFonts w:ascii="Arial" w:cs="Arial" w:eastAsia="Arial" w:hAnsi="Arial"/>
                <w:sz w:val="16"/>
                <w:szCs w:val="16"/>
                <w:b w:val="1"/>
                <w:bCs w:val="1"/>
                <w:color w:val="002060"/>
              </w:rPr>
              <w:t>($)(1)</w:t>
            </w:r>
          </w:p>
        </w:tc>
      </w:tr>
      <w:tr>
        <w:trPr>
          <w:trHeight w:val="203"/>
        </w:trPr>
        <w:tc>
          <w:tcPr>
            <w:tcW w:w="7300" w:type="dxa"/>
            <w:vAlign w:val="bottom"/>
            <w:tcBorders>
              <w:bottom w:val="single" w:sz="8" w:color="auto"/>
            </w:tcBorders>
            <w:shd w:val="clear" w:color="auto" w:fill="D5DCE4"/>
          </w:tcPr>
          <w:p>
            <w:pPr>
              <w:spacing w:after="0" w:line="202" w:lineRule="exact"/>
              <w:rPr>
                <w:sz w:val="20"/>
                <w:szCs w:val="20"/>
                <w:color w:val="auto"/>
              </w:rPr>
            </w:pPr>
            <w:r>
              <w:rPr>
                <w:rFonts w:ascii="Arial" w:cs="Arial" w:eastAsia="Arial" w:hAnsi="Arial"/>
                <w:sz w:val="18"/>
                <w:szCs w:val="18"/>
                <w:color w:val="auto"/>
              </w:rPr>
              <w:t>  Jeffrey W. Edwards</w:t>
            </w:r>
          </w:p>
        </w:tc>
        <w:tc>
          <w:tcPr>
            <w:tcW w:w="1960" w:type="dxa"/>
            <w:vAlign w:val="bottom"/>
            <w:tcBorders>
              <w:bottom w:val="single" w:sz="8" w:color="auto"/>
            </w:tcBorders>
          </w:tcPr>
          <w:p>
            <w:pPr>
              <w:jc w:val="right"/>
              <w:ind w:right="594"/>
              <w:spacing w:after="0" w:line="202" w:lineRule="exact"/>
              <w:rPr>
                <w:sz w:val="20"/>
                <w:szCs w:val="20"/>
                <w:color w:val="auto"/>
              </w:rPr>
            </w:pPr>
            <w:r>
              <w:rPr>
                <w:rFonts w:ascii="Arial" w:cs="Arial" w:eastAsia="Arial" w:hAnsi="Arial"/>
                <w:sz w:val="18"/>
                <w:szCs w:val="18"/>
                <w:color w:val="auto"/>
              </w:rPr>
              <w:t>27,152</w:t>
            </w:r>
          </w:p>
        </w:tc>
        <w:tc>
          <w:tcPr>
            <w:tcW w:w="1760" w:type="dxa"/>
            <w:vAlign w:val="bottom"/>
            <w:tcBorders>
              <w:bottom w:val="single" w:sz="8" w:color="auto"/>
            </w:tcBorders>
          </w:tcPr>
          <w:p>
            <w:pPr>
              <w:jc w:val="right"/>
              <w:ind w:right="373"/>
              <w:spacing w:after="0" w:line="202" w:lineRule="exact"/>
              <w:rPr>
                <w:sz w:val="20"/>
                <w:szCs w:val="20"/>
                <w:color w:val="auto"/>
              </w:rPr>
            </w:pPr>
            <w:r>
              <w:rPr>
                <w:rFonts w:ascii="Arial" w:cs="Arial" w:eastAsia="Arial" w:hAnsi="Arial"/>
                <w:sz w:val="18"/>
                <w:szCs w:val="18"/>
                <w:color w:val="auto"/>
              </w:rPr>
              <w:t>3,307,657</w:t>
            </w:r>
          </w:p>
        </w:tc>
      </w:tr>
      <w:tr>
        <w:trPr>
          <w:trHeight w:val="196"/>
        </w:trPr>
        <w:tc>
          <w:tcPr>
            <w:tcW w:w="730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  Michael T. Miller</w:t>
            </w:r>
          </w:p>
        </w:tc>
        <w:tc>
          <w:tcPr>
            <w:tcW w:w="1960" w:type="dxa"/>
            <w:vAlign w:val="bottom"/>
            <w:tcBorders>
              <w:bottom w:val="single" w:sz="8" w:color="auto"/>
            </w:tcBorders>
          </w:tcPr>
          <w:p>
            <w:pPr>
              <w:jc w:val="right"/>
              <w:ind w:right="594"/>
              <w:spacing w:after="0" w:line="196" w:lineRule="exact"/>
              <w:rPr>
                <w:sz w:val="20"/>
                <w:szCs w:val="20"/>
                <w:color w:val="auto"/>
              </w:rPr>
            </w:pPr>
            <w:r>
              <w:rPr>
                <w:rFonts w:ascii="Arial" w:cs="Arial" w:eastAsia="Arial" w:hAnsi="Arial"/>
                <w:sz w:val="18"/>
                <w:szCs w:val="18"/>
                <w:color w:val="auto"/>
              </w:rPr>
              <w:t>9,444</w:t>
            </w:r>
          </w:p>
        </w:tc>
        <w:tc>
          <w:tcPr>
            <w:tcW w:w="1760" w:type="dxa"/>
            <w:vAlign w:val="bottom"/>
            <w:tcBorders>
              <w:bottom w:val="single" w:sz="8" w:color="auto"/>
            </w:tcBorders>
          </w:tcPr>
          <w:p>
            <w:pPr>
              <w:jc w:val="right"/>
              <w:ind w:right="373"/>
              <w:spacing w:after="0" w:line="196" w:lineRule="exact"/>
              <w:rPr>
                <w:sz w:val="20"/>
                <w:szCs w:val="20"/>
                <w:color w:val="auto"/>
              </w:rPr>
            </w:pPr>
            <w:r>
              <w:rPr>
                <w:rFonts w:ascii="Arial" w:cs="Arial" w:eastAsia="Arial" w:hAnsi="Arial"/>
                <w:sz w:val="18"/>
                <w:szCs w:val="18"/>
                <w:color w:val="auto"/>
              </w:rPr>
              <w:t>1,150,468</w:t>
            </w:r>
          </w:p>
        </w:tc>
      </w:tr>
      <w:tr>
        <w:trPr>
          <w:trHeight w:val="196"/>
        </w:trPr>
        <w:tc>
          <w:tcPr>
            <w:tcW w:w="730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  Jay P. Elliott</w:t>
            </w:r>
          </w:p>
        </w:tc>
        <w:tc>
          <w:tcPr>
            <w:tcW w:w="1960" w:type="dxa"/>
            <w:vAlign w:val="bottom"/>
            <w:tcBorders>
              <w:bottom w:val="single" w:sz="8" w:color="auto"/>
            </w:tcBorders>
          </w:tcPr>
          <w:p>
            <w:pPr>
              <w:jc w:val="right"/>
              <w:ind w:right="594"/>
              <w:spacing w:after="0" w:line="196" w:lineRule="exact"/>
              <w:rPr>
                <w:sz w:val="20"/>
                <w:szCs w:val="20"/>
                <w:color w:val="auto"/>
              </w:rPr>
            </w:pPr>
            <w:r>
              <w:rPr>
                <w:rFonts w:ascii="Arial" w:cs="Arial" w:eastAsia="Arial" w:hAnsi="Arial"/>
                <w:sz w:val="18"/>
                <w:szCs w:val="18"/>
                <w:color w:val="auto"/>
              </w:rPr>
              <w:t>10,142</w:t>
            </w:r>
          </w:p>
        </w:tc>
        <w:tc>
          <w:tcPr>
            <w:tcW w:w="1760" w:type="dxa"/>
            <w:vAlign w:val="bottom"/>
            <w:tcBorders>
              <w:bottom w:val="single" w:sz="8" w:color="auto"/>
            </w:tcBorders>
          </w:tcPr>
          <w:p>
            <w:pPr>
              <w:jc w:val="right"/>
              <w:ind w:right="373"/>
              <w:spacing w:after="0" w:line="196" w:lineRule="exact"/>
              <w:rPr>
                <w:sz w:val="20"/>
                <w:szCs w:val="20"/>
                <w:color w:val="auto"/>
              </w:rPr>
            </w:pPr>
            <w:r>
              <w:rPr>
                <w:rFonts w:ascii="Arial" w:cs="Arial" w:eastAsia="Arial" w:hAnsi="Arial"/>
                <w:sz w:val="18"/>
                <w:szCs w:val="18"/>
                <w:color w:val="auto"/>
              </w:rPr>
              <w:t>1,235,498</w:t>
            </w:r>
          </w:p>
        </w:tc>
      </w:tr>
      <w:tr>
        <w:trPr>
          <w:trHeight w:val="196"/>
        </w:trPr>
        <w:tc>
          <w:tcPr>
            <w:tcW w:w="730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  W. Jeffrey Hire</w:t>
            </w:r>
          </w:p>
        </w:tc>
        <w:tc>
          <w:tcPr>
            <w:tcW w:w="1960" w:type="dxa"/>
            <w:vAlign w:val="bottom"/>
            <w:tcBorders>
              <w:bottom w:val="single" w:sz="8" w:color="auto"/>
            </w:tcBorders>
          </w:tcPr>
          <w:p>
            <w:pPr>
              <w:jc w:val="right"/>
              <w:ind w:right="594"/>
              <w:spacing w:after="0" w:line="196" w:lineRule="exact"/>
              <w:rPr>
                <w:sz w:val="20"/>
                <w:szCs w:val="20"/>
                <w:color w:val="auto"/>
              </w:rPr>
            </w:pPr>
            <w:r>
              <w:rPr>
                <w:rFonts w:ascii="Arial" w:cs="Arial" w:eastAsia="Arial" w:hAnsi="Arial"/>
                <w:sz w:val="18"/>
                <w:szCs w:val="18"/>
                <w:color w:val="auto"/>
              </w:rPr>
              <w:t>12,093</w:t>
            </w:r>
          </w:p>
        </w:tc>
        <w:tc>
          <w:tcPr>
            <w:tcW w:w="1760" w:type="dxa"/>
            <w:vAlign w:val="bottom"/>
            <w:tcBorders>
              <w:bottom w:val="single" w:sz="8" w:color="auto"/>
            </w:tcBorders>
          </w:tcPr>
          <w:p>
            <w:pPr>
              <w:jc w:val="right"/>
              <w:ind w:right="373"/>
              <w:spacing w:after="0" w:line="196" w:lineRule="exact"/>
              <w:rPr>
                <w:sz w:val="20"/>
                <w:szCs w:val="20"/>
                <w:color w:val="auto"/>
              </w:rPr>
            </w:pPr>
            <w:r>
              <w:rPr>
                <w:rFonts w:ascii="Arial" w:cs="Arial" w:eastAsia="Arial" w:hAnsi="Arial"/>
                <w:sz w:val="18"/>
                <w:szCs w:val="18"/>
                <w:color w:val="auto"/>
              </w:rPr>
              <w:t>1,473,169</w:t>
            </w:r>
          </w:p>
        </w:tc>
      </w:tr>
      <w:tr>
        <w:trPr>
          <w:trHeight w:val="203"/>
        </w:trPr>
        <w:tc>
          <w:tcPr>
            <w:tcW w:w="7300" w:type="dxa"/>
            <w:vAlign w:val="bottom"/>
            <w:tcBorders>
              <w:bottom w:val="single" w:sz="8" w:color="0070C0"/>
            </w:tcBorders>
            <w:shd w:val="clear" w:color="auto" w:fill="D5DCE4"/>
          </w:tcPr>
          <w:p>
            <w:pPr>
              <w:spacing w:after="0" w:line="196" w:lineRule="exact"/>
              <w:rPr>
                <w:sz w:val="20"/>
                <w:szCs w:val="20"/>
                <w:color w:val="auto"/>
              </w:rPr>
            </w:pPr>
            <w:r>
              <w:rPr>
                <w:rFonts w:ascii="Arial" w:cs="Arial" w:eastAsia="Arial" w:hAnsi="Arial"/>
                <w:sz w:val="18"/>
                <w:szCs w:val="18"/>
                <w:color w:val="auto"/>
              </w:rPr>
              <w:t>  Jason R. Niswonger</w:t>
            </w:r>
          </w:p>
        </w:tc>
        <w:tc>
          <w:tcPr>
            <w:tcW w:w="1960" w:type="dxa"/>
            <w:vAlign w:val="bottom"/>
            <w:tcBorders>
              <w:bottom w:val="single" w:sz="8" w:color="0070C0"/>
            </w:tcBorders>
          </w:tcPr>
          <w:p>
            <w:pPr>
              <w:jc w:val="right"/>
              <w:ind w:right="594"/>
              <w:spacing w:after="0" w:line="196" w:lineRule="exact"/>
              <w:rPr>
                <w:sz w:val="20"/>
                <w:szCs w:val="20"/>
                <w:color w:val="auto"/>
              </w:rPr>
            </w:pPr>
            <w:r>
              <w:rPr>
                <w:rFonts w:ascii="Arial" w:cs="Arial" w:eastAsia="Arial" w:hAnsi="Arial"/>
                <w:sz w:val="18"/>
                <w:szCs w:val="18"/>
                <w:color w:val="auto"/>
              </w:rPr>
              <w:t>15,152</w:t>
            </w:r>
          </w:p>
        </w:tc>
        <w:tc>
          <w:tcPr>
            <w:tcW w:w="1760" w:type="dxa"/>
            <w:vAlign w:val="bottom"/>
            <w:tcBorders>
              <w:bottom w:val="single" w:sz="8" w:color="0070C0"/>
            </w:tcBorders>
          </w:tcPr>
          <w:p>
            <w:pPr>
              <w:jc w:val="right"/>
              <w:ind w:right="373"/>
              <w:spacing w:after="0" w:line="196" w:lineRule="exact"/>
              <w:rPr>
                <w:sz w:val="20"/>
                <w:szCs w:val="20"/>
                <w:color w:val="auto"/>
              </w:rPr>
            </w:pPr>
            <w:r>
              <w:rPr>
                <w:rFonts w:ascii="Arial" w:cs="Arial" w:eastAsia="Arial" w:hAnsi="Arial"/>
                <w:sz w:val="18"/>
                <w:szCs w:val="18"/>
                <w:color w:val="auto"/>
              </w:rPr>
              <w:t>1,845,817</w:t>
            </w:r>
          </w:p>
        </w:tc>
      </w:tr>
    </w:tbl>
    <w:p>
      <w:pPr>
        <w:spacing w:after="0" w:line="224" w:lineRule="exact"/>
        <w:rPr>
          <w:sz w:val="20"/>
          <w:szCs w:val="20"/>
          <w:color w:val="auto"/>
        </w:rPr>
      </w:pPr>
    </w:p>
    <w:p>
      <w:pPr>
        <w:ind w:left="764" w:right="620" w:hanging="440"/>
        <w:spacing w:after="0" w:line="271" w:lineRule="auto"/>
        <w:tabs>
          <w:tab w:leader="none" w:pos="76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value realized on vesting was determined by multiplying the closing price of our common stock on the vesting date of April 20, 2023 ($121.82) by the number of shares vested.</w:t>
      </w:r>
    </w:p>
    <w:p>
      <w:pPr>
        <w:spacing w:after="0" w:line="144"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002060"/>
        </w:rPr>
        <w:t>Pension Benefits</w:t>
      </w:r>
    </w:p>
    <w:p>
      <w:pPr>
        <w:spacing w:after="0" w:line="216" w:lineRule="exact"/>
        <w:rPr>
          <w:sz w:val="20"/>
          <w:szCs w:val="20"/>
          <w:color w:val="auto"/>
        </w:rPr>
      </w:pPr>
    </w:p>
    <w:p>
      <w:pPr>
        <w:ind w:left="4" w:right="440"/>
        <w:spacing w:after="0" w:line="271" w:lineRule="auto"/>
        <w:rPr>
          <w:sz w:val="20"/>
          <w:szCs w:val="20"/>
          <w:color w:val="auto"/>
        </w:rPr>
      </w:pPr>
      <w:r>
        <w:rPr>
          <w:rFonts w:ascii="Arial" w:cs="Arial" w:eastAsia="Arial" w:hAnsi="Arial"/>
          <w:sz w:val="18"/>
          <w:szCs w:val="18"/>
          <w:color w:val="auto"/>
        </w:rPr>
        <w:t>We do not provide any qualified or non-qualified defined pension benefit plans for our NEOs. The CHC Committee may elect to adopt such plans in the future if it determines that doing so best serves the interests of the Company and our stockholders.</w:t>
      </w:r>
    </w:p>
    <w:p>
      <w:pPr>
        <w:spacing w:after="0" w:line="144"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002060"/>
        </w:rPr>
        <w:t>Non-Qualified Deferred Compensation</w:t>
      </w:r>
    </w:p>
    <w:p>
      <w:pPr>
        <w:spacing w:after="0" w:line="216" w:lineRule="exact"/>
        <w:rPr>
          <w:sz w:val="20"/>
          <w:szCs w:val="20"/>
          <w:color w:val="auto"/>
        </w:rPr>
      </w:pPr>
    </w:p>
    <w:p>
      <w:pPr>
        <w:ind w:left="4" w:right="20"/>
        <w:spacing w:after="0" w:line="250" w:lineRule="auto"/>
        <w:rPr>
          <w:sz w:val="20"/>
          <w:szCs w:val="20"/>
          <w:color w:val="auto"/>
        </w:rPr>
      </w:pPr>
      <w:r>
        <w:rPr>
          <w:rFonts w:ascii="Arial" w:cs="Arial" w:eastAsia="Arial" w:hAnsi="Arial"/>
          <w:sz w:val="17"/>
          <w:szCs w:val="17"/>
          <w:color w:val="auto"/>
        </w:rPr>
        <w:t>In 2020, we adopted an unfunded non-qualified deferred compensation plan to allow our executive officers and other highly compensated employees to defer a portion of their eligible compensation above the limits in our 401(k) plan. The Company adopted a “rabbi trust” to fund benefits under the plan, which is an irrevocable trust, but is subject to the claims of the Company’s creditors. Under the terms of the plan, eligible individuals, including our named executive officers, may annually elect to defer a portion of eligible compensation, primarily base salary, commission and cash bonuses. Deferral elections are irrevocable once made and remain in effect for the calendar year of the election. The Company may elect to provide a discretionary matching contribution or a discretionary non-elective contribution in any year, but to date has not done so. Participants are immediately vested in contributions and earnings from contributions. Company matches and non-elective contributions and associated earnings vest after three years of service (except in the event of a change in control or when the participant reaches age 65, in which case both Company matches and non-elective contributions vest immediately). Participants may elect among a number of distribution options, including (i) either lump sum or payments over two to ten years upon separation from service; and</w:t>
      </w:r>
    </w:p>
    <w:p>
      <w:pPr>
        <w:spacing w:after="0" w:line="7" w:lineRule="exact"/>
        <w:rPr>
          <w:sz w:val="20"/>
          <w:szCs w:val="20"/>
          <w:color w:val="auto"/>
        </w:rPr>
      </w:pPr>
    </w:p>
    <w:p>
      <w:pPr>
        <w:ind w:left="4" w:right="720" w:hanging="4"/>
        <w:spacing w:after="0" w:line="250" w:lineRule="auto"/>
        <w:tabs>
          <w:tab w:leader="none" w:pos="254" w:val="left"/>
        </w:tabs>
        <w:numPr>
          <w:ilvl w:val="0"/>
          <w:numId w:val="37"/>
        </w:numPr>
        <w:rPr>
          <w:rFonts w:ascii="Arial" w:cs="Arial" w:eastAsia="Arial" w:hAnsi="Arial"/>
          <w:sz w:val="18"/>
          <w:szCs w:val="18"/>
          <w:color w:val="auto"/>
        </w:rPr>
      </w:pPr>
      <w:r>
        <w:rPr>
          <w:rFonts w:ascii="Arial" w:cs="Arial" w:eastAsia="Arial" w:hAnsi="Arial"/>
          <w:sz w:val="18"/>
          <w:szCs w:val="18"/>
          <w:color w:val="auto"/>
        </w:rPr>
        <w:t>lump sum or payments over two to ten years of all or a portion of the amount deferred in a given year, after at least three years following the year of deferral.</w:t>
      </w:r>
    </w:p>
    <w:p>
      <w:pPr>
        <w:spacing w:after="0" w:line="172" w:lineRule="exact"/>
        <w:rPr>
          <w:sz w:val="20"/>
          <w:szCs w:val="20"/>
          <w:color w:val="auto"/>
        </w:rPr>
      </w:pPr>
    </w:p>
    <w:p>
      <w:pPr>
        <w:ind w:left="4" w:right="420"/>
        <w:spacing w:after="0" w:line="271" w:lineRule="auto"/>
        <w:rPr>
          <w:sz w:val="20"/>
          <w:szCs w:val="20"/>
          <w:color w:val="auto"/>
        </w:rPr>
      </w:pPr>
      <w:r>
        <w:rPr>
          <w:rFonts w:ascii="Arial" w:cs="Arial" w:eastAsia="Arial" w:hAnsi="Arial"/>
          <w:sz w:val="18"/>
          <w:szCs w:val="18"/>
          <w:color w:val="auto"/>
        </w:rPr>
        <w:t>The table below sets forth information concerning the amount of each NEO’s compensation that was deferred under our non-qualified deferred compensation plan in 2023.</w:t>
      </w:r>
    </w:p>
    <w:p>
      <w:pPr>
        <w:spacing w:after="0" w:line="185"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1860" w:type="dxa"/>
            <w:vAlign w:val="bottom"/>
          </w:tcPr>
          <w:p>
            <w:pPr>
              <w:spacing w:after="0"/>
              <w:rPr>
                <w:sz w:val="16"/>
                <w:szCs w:val="16"/>
                <w:color w:val="auto"/>
              </w:rPr>
            </w:pPr>
          </w:p>
        </w:tc>
        <w:tc>
          <w:tcPr>
            <w:tcW w:w="2100" w:type="dxa"/>
            <w:vAlign w:val="bottom"/>
          </w:tcPr>
          <w:p>
            <w:pPr>
              <w:jc w:val="center"/>
              <w:ind w:left="134"/>
              <w:spacing w:after="0"/>
              <w:rPr>
                <w:sz w:val="20"/>
                <w:szCs w:val="20"/>
                <w:color w:val="auto"/>
              </w:rPr>
            </w:pPr>
            <w:r>
              <w:rPr>
                <w:rFonts w:ascii="Arial" w:cs="Arial" w:eastAsia="Arial" w:hAnsi="Arial"/>
                <w:sz w:val="16"/>
                <w:szCs w:val="16"/>
                <w:b w:val="1"/>
                <w:bCs w:val="1"/>
                <w:color w:val="002060"/>
              </w:rPr>
              <w:t>Executive</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002060"/>
              </w:rPr>
              <w:t>Registrant</w:t>
            </w:r>
          </w:p>
        </w:tc>
        <w:tc>
          <w:tcPr>
            <w:tcW w:w="2000" w:type="dxa"/>
            <w:vAlign w:val="bottom"/>
          </w:tcPr>
          <w:p>
            <w:pPr>
              <w:spacing w:after="0"/>
              <w:rPr>
                <w:sz w:val="16"/>
                <w:szCs w:val="16"/>
                <w:color w:val="auto"/>
              </w:rPr>
            </w:pPr>
          </w:p>
        </w:tc>
        <w:tc>
          <w:tcPr>
            <w:tcW w:w="1480" w:type="dxa"/>
            <w:vAlign w:val="bottom"/>
          </w:tcPr>
          <w:p>
            <w:pPr>
              <w:jc w:val="right"/>
              <w:ind w:right="254"/>
              <w:spacing w:after="0"/>
              <w:rPr>
                <w:sz w:val="20"/>
                <w:szCs w:val="20"/>
                <w:color w:val="auto"/>
              </w:rPr>
            </w:pPr>
            <w:r>
              <w:rPr>
                <w:rFonts w:ascii="Arial" w:cs="Arial" w:eastAsia="Arial" w:hAnsi="Arial"/>
                <w:sz w:val="16"/>
                <w:szCs w:val="16"/>
                <w:b w:val="1"/>
                <w:bCs w:val="1"/>
                <w:color w:val="002060"/>
              </w:rPr>
              <w:t>Aggregate</w:t>
            </w:r>
          </w:p>
        </w:tc>
        <w:tc>
          <w:tcPr>
            <w:tcW w:w="1700" w:type="dxa"/>
            <w:vAlign w:val="bottom"/>
          </w:tcPr>
          <w:p>
            <w:pPr>
              <w:jc w:val="center"/>
              <w:ind w:left="114"/>
              <w:spacing w:after="0"/>
              <w:rPr>
                <w:sz w:val="20"/>
                <w:szCs w:val="20"/>
                <w:color w:val="auto"/>
              </w:rPr>
            </w:pPr>
            <w:r>
              <w:rPr>
                <w:rFonts w:ascii="Arial" w:cs="Arial" w:eastAsia="Arial" w:hAnsi="Arial"/>
                <w:sz w:val="16"/>
                <w:szCs w:val="16"/>
                <w:b w:val="1"/>
                <w:bCs w:val="1"/>
                <w:color w:val="002060"/>
              </w:rPr>
              <w:t>Aggregate Balance</w:t>
            </w:r>
          </w:p>
        </w:tc>
      </w:tr>
      <w:tr>
        <w:trPr>
          <w:trHeight w:val="189"/>
        </w:trPr>
        <w:tc>
          <w:tcPr>
            <w:tcW w:w="1860" w:type="dxa"/>
            <w:vAlign w:val="bottom"/>
          </w:tcPr>
          <w:p>
            <w:pPr>
              <w:spacing w:after="0"/>
              <w:rPr>
                <w:sz w:val="16"/>
                <w:szCs w:val="16"/>
                <w:color w:val="auto"/>
              </w:rPr>
            </w:pPr>
          </w:p>
        </w:tc>
        <w:tc>
          <w:tcPr>
            <w:tcW w:w="2100" w:type="dxa"/>
            <w:vAlign w:val="bottom"/>
          </w:tcPr>
          <w:p>
            <w:pPr>
              <w:jc w:val="center"/>
              <w:ind w:left="154"/>
              <w:spacing w:after="0"/>
              <w:rPr>
                <w:sz w:val="20"/>
                <w:szCs w:val="20"/>
                <w:color w:val="auto"/>
              </w:rPr>
            </w:pPr>
            <w:r>
              <w:rPr>
                <w:rFonts w:ascii="Arial" w:cs="Arial" w:eastAsia="Arial" w:hAnsi="Arial"/>
                <w:sz w:val="16"/>
                <w:szCs w:val="16"/>
                <w:b w:val="1"/>
                <w:bCs w:val="1"/>
                <w:color w:val="002060"/>
              </w:rPr>
              <w:t>Contributions</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002060"/>
              </w:rPr>
              <w:t>Contributions</w:t>
            </w:r>
          </w:p>
        </w:tc>
        <w:tc>
          <w:tcPr>
            <w:tcW w:w="2000" w:type="dxa"/>
            <w:vAlign w:val="bottom"/>
          </w:tcPr>
          <w:p>
            <w:pPr>
              <w:jc w:val="center"/>
              <w:spacing w:after="0"/>
              <w:rPr>
                <w:sz w:val="20"/>
                <w:szCs w:val="20"/>
                <w:color w:val="auto"/>
              </w:rPr>
            </w:pPr>
            <w:r>
              <w:rPr>
                <w:rFonts w:ascii="Arial" w:cs="Arial" w:eastAsia="Arial" w:hAnsi="Arial"/>
                <w:sz w:val="16"/>
                <w:szCs w:val="16"/>
                <w:b w:val="1"/>
                <w:bCs w:val="1"/>
                <w:color w:val="002060"/>
              </w:rPr>
              <w:t>Aggregate Earnings</w:t>
            </w:r>
          </w:p>
        </w:tc>
        <w:tc>
          <w:tcPr>
            <w:tcW w:w="1480" w:type="dxa"/>
            <w:vAlign w:val="bottom"/>
          </w:tcPr>
          <w:p>
            <w:pPr>
              <w:jc w:val="right"/>
              <w:ind w:right="154"/>
              <w:spacing w:after="0"/>
              <w:rPr>
                <w:sz w:val="20"/>
                <w:szCs w:val="20"/>
                <w:color w:val="auto"/>
              </w:rPr>
            </w:pPr>
            <w:r>
              <w:rPr>
                <w:rFonts w:ascii="Arial" w:cs="Arial" w:eastAsia="Arial" w:hAnsi="Arial"/>
                <w:sz w:val="16"/>
                <w:szCs w:val="16"/>
                <w:b w:val="1"/>
                <w:bCs w:val="1"/>
                <w:color w:val="002060"/>
              </w:rPr>
              <w:t>Withdrawals/</w:t>
            </w:r>
          </w:p>
        </w:tc>
        <w:tc>
          <w:tcPr>
            <w:tcW w:w="1700" w:type="dxa"/>
            <w:vAlign w:val="bottom"/>
          </w:tcPr>
          <w:p>
            <w:pPr>
              <w:jc w:val="center"/>
              <w:ind w:left="134"/>
              <w:spacing w:after="0"/>
              <w:rPr>
                <w:sz w:val="20"/>
                <w:szCs w:val="20"/>
                <w:color w:val="auto"/>
              </w:rPr>
            </w:pPr>
            <w:r>
              <w:rPr>
                <w:rFonts w:ascii="Arial" w:cs="Arial" w:eastAsia="Arial" w:hAnsi="Arial"/>
                <w:sz w:val="16"/>
                <w:szCs w:val="16"/>
                <w:b w:val="1"/>
                <w:bCs w:val="1"/>
                <w:color w:val="002060"/>
                <w:w w:val="99"/>
              </w:rPr>
              <w:t>at Last Fiscal Year</w:t>
            </w:r>
          </w:p>
        </w:tc>
      </w:tr>
      <w:tr>
        <w:trPr>
          <w:trHeight w:val="189"/>
        </w:trPr>
        <w:tc>
          <w:tcPr>
            <w:tcW w:w="1860" w:type="dxa"/>
            <w:vAlign w:val="bottom"/>
          </w:tcPr>
          <w:p>
            <w:pPr>
              <w:spacing w:after="0"/>
              <w:rPr>
                <w:sz w:val="16"/>
                <w:szCs w:val="16"/>
                <w:color w:val="auto"/>
              </w:rPr>
            </w:pPr>
          </w:p>
        </w:tc>
        <w:tc>
          <w:tcPr>
            <w:tcW w:w="2100" w:type="dxa"/>
            <w:vAlign w:val="bottom"/>
          </w:tcPr>
          <w:p>
            <w:pPr>
              <w:jc w:val="center"/>
              <w:ind w:left="154"/>
              <w:spacing w:after="0"/>
              <w:rPr>
                <w:sz w:val="20"/>
                <w:szCs w:val="20"/>
                <w:color w:val="auto"/>
              </w:rPr>
            </w:pPr>
            <w:r>
              <w:rPr>
                <w:rFonts w:ascii="Arial" w:cs="Arial" w:eastAsia="Arial" w:hAnsi="Arial"/>
                <w:sz w:val="16"/>
                <w:szCs w:val="16"/>
                <w:b w:val="1"/>
                <w:bCs w:val="1"/>
                <w:color w:val="002060"/>
              </w:rPr>
              <w:t>in Last Fiscal Year</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002060"/>
                <w:w w:val="99"/>
              </w:rPr>
              <w:t>in Last Fiscal Year</w:t>
            </w:r>
          </w:p>
        </w:tc>
        <w:tc>
          <w:tcPr>
            <w:tcW w:w="2000" w:type="dxa"/>
            <w:vAlign w:val="bottom"/>
          </w:tcPr>
          <w:p>
            <w:pPr>
              <w:jc w:val="center"/>
              <w:spacing w:after="0"/>
              <w:rPr>
                <w:sz w:val="20"/>
                <w:szCs w:val="20"/>
                <w:color w:val="auto"/>
              </w:rPr>
            </w:pPr>
            <w:r>
              <w:rPr>
                <w:rFonts w:ascii="Arial" w:cs="Arial" w:eastAsia="Arial" w:hAnsi="Arial"/>
                <w:sz w:val="16"/>
                <w:szCs w:val="16"/>
                <w:b w:val="1"/>
                <w:bCs w:val="1"/>
                <w:color w:val="002060"/>
              </w:rPr>
              <w:t>in Last Fiscal Year</w:t>
            </w:r>
          </w:p>
        </w:tc>
        <w:tc>
          <w:tcPr>
            <w:tcW w:w="1480" w:type="dxa"/>
            <w:vAlign w:val="bottom"/>
          </w:tcPr>
          <w:p>
            <w:pPr>
              <w:jc w:val="right"/>
              <w:ind w:right="154"/>
              <w:spacing w:after="0"/>
              <w:rPr>
                <w:sz w:val="20"/>
                <w:szCs w:val="20"/>
                <w:color w:val="auto"/>
              </w:rPr>
            </w:pPr>
            <w:r>
              <w:rPr>
                <w:rFonts w:ascii="Arial" w:cs="Arial" w:eastAsia="Arial" w:hAnsi="Arial"/>
                <w:sz w:val="16"/>
                <w:szCs w:val="16"/>
                <w:b w:val="1"/>
                <w:bCs w:val="1"/>
                <w:color w:val="002060"/>
              </w:rPr>
              <w:t>Distributions</w:t>
            </w:r>
          </w:p>
        </w:tc>
        <w:tc>
          <w:tcPr>
            <w:tcW w:w="1700" w:type="dxa"/>
            <w:vAlign w:val="bottom"/>
          </w:tcPr>
          <w:p>
            <w:pPr>
              <w:jc w:val="center"/>
              <w:ind w:left="114"/>
              <w:spacing w:after="0"/>
              <w:rPr>
                <w:sz w:val="20"/>
                <w:szCs w:val="20"/>
                <w:color w:val="auto"/>
              </w:rPr>
            </w:pPr>
            <w:r>
              <w:rPr>
                <w:rFonts w:ascii="Arial" w:cs="Arial" w:eastAsia="Arial" w:hAnsi="Arial"/>
                <w:sz w:val="16"/>
                <w:szCs w:val="16"/>
                <w:b w:val="1"/>
                <w:bCs w:val="1"/>
                <w:color w:val="002060"/>
                <w:w w:val="99"/>
              </w:rPr>
              <w:t>End</w:t>
            </w:r>
          </w:p>
        </w:tc>
      </w:tr>
      <w:tr>
        <w:trPr>
          <w:trHeight w:val="224"/>
        </w:trPr>
        <w:tc>
          <w:tcPr>
            <w:tcW w:w="1860" w:type="dxa"/>
            <w:vAlign w:val="bottom"/>
            <w:tcBorders>
              <w:bottom w:val="single" w:sz="8" w:color="0070C0"/>
            </w:tcBorders>
          </w:tcPr>
          <w:p>
            <w:pPr>
              <w:spacing w:after="0"/>
              <w:rPr>
                <w:sz w:val="20"/>
                <w:szCs w:val="20"/>
                <w:color w:val="auto"/>
              </w:rPr>
            </w:pPr>
            <w:r>
              <w:rPr>
                <w:rFonts w:ascii="Arial" w:cs="Arial" w:eastAsia="Arial" w:hAnsi="Arial"/>
                <w:sz w:val="16"/>
                <w:szCs w:val="16"/>
                <w:b w:val="1"/>
                <w:bCs w:val="1"/>
                <w:color w:val="002060"/>
              </w:rPr>
              <w:t>Name</w:t>
            </w:r>
          </w:p>
        </w:tc>
        <w:tc>
          <w:tcPr>
            <w:tcW w:w="2100" w:type="dxa"/>
            <w:vAlign w:val="bottom"/>
            <w:tcBorders>
              <w:bottom w:val="single" w:sz="8" w:color="0070C0"/>
            </w:tcBorders>
          </w:tcPr>
          <w:p>
            <w:pPr>
              <w:jc w:val="center"/>
              <w:ind w:left="134"/>
              <w:spacing w:after="0"/>
              <w:rPr>
                <w:sz w:val="20"/>
                <w:szCs w:val="20"/>
                <w:color w:val="auto"/>
              </w:rPr>
            </w:pPr>
            <w:r>
              <w:rPr>
                <w:rFonts w:ascii="Arial" w:cs="Arial" w:eastAsia="Arial" w:hAnsi="Arial"/>
                <w:sz w:val="16"/>
                <w:szCs w:val="16"/>
                <w:b w:val="1"/>
                <w:bCs w:val="1"/>
                <w:color w:val="002060"/>
              </w:rPr>
              <w:t>($)(1)</w:t>
            </w:r>
          </w:p>
        </w:tc>
        <w:tc>
          <w:tcPr>
            <w:tcW w:w="1880" w:type="dxa"/>
            <w:vAlign w:val="bottom"/>
            <w:tcBorders>
              <w:bottom w:val="single" w:sz="8" w:color="0070C0"/>
            </w:tcBorders>
          </w:tcPr>
          <w:p>
            <w:pPr>
              <w:jc w:val="right"/>
              <w:ind w:right="754"/>
              <w:spacing w:after="0"/>
              <w:rPr>
                <w:sz w:val="20"/>
                <w:szCs w:val="20"/>
                <w:color w:val="auto"/>
              </w:rPr>
            </w:pPr>
            <w:r>
              <w:rPr>
                <w:rFonts w:ascii="Arial" w:cs="Arial" w:eastAsia="Arial" w:hAnsi="Arial"/>
                <w:sz w:val="16"/>
                <w:szCs w:val="16"/>
                <w:b w:val="1"/>
                <w:bCs w:val="1"/>
                <w:color w:val="002060"/>
              </w:rPr>
              <w:t>($)</w:t>
            </w:r>
          </w:p>
        </w:tc>
        <w:tc>
          <w:tcPr>
            <w:tcW w:w="2000" w:type="dxa"/>
            <w:vAlign w:val="bottom"/>
            <w:tcBorders>
              <w:bottom w:val="single" w:sz="8" w:color="0070C0"/>
            </w:tcBorders>
          </w:tcPr>
          <w:p>
            <w:pPr>
              <w:jc w:val="center"/>
              <w:spacing w:after="0"/>
              <w:rPr>
                <w:sz w:val="20"/>
                <w:szCs w:val="20"/>
                <w:color w:val="auto"/>
              </w:rPr>
            </w:pPr>
            <w:r>
              <w:rPr>
                <w:rFonts w:ascii="Arial" w:cs="Arial" w:eastAsia="Arial" w:hAnsi="Arial"/>
                <w:sz w:val="16"/>
                <w:szCs w:val="16"/>
                <w:b w:val="1"/>
                <w:bCs w:val="1"/>
                <w:color w:val="002060"/>
              </w:rPr>
              <w:t>($)</w:t>
            </w:r>
          </w:p>
        </w:tc>
        <w:tc>
          <w:tcPr>
            <w:tcW w:w="1480" w:type="dxa"/>
            <w:vAlign w:val="bottom"/>
            <w:tcBorders>
              <w:bottom w:val="single" w:sz="8" w:color="0070C0"/>
            </w:tcBorders>
          </w:tcPr>
          <w:p>
            <w:pPr>
              <w:jc w:val="right"/>
              <w:ind w:right="554"/>
              <w:spacing w:after="0"/>
              <w:rPr>
                <w:sz w:val="20"/>
                <w:szCs w:val="20"/>
                <w:color w:val="auto"/>
              </w:rPr>
            </w:pPr>
            <w:r>
              <w:rPr>
                <w:rFonts w:ascii="Arial" w:cs="Arial" w:eastAsia="Arial" w:hAnsi="Arial"/>
                <w:sz w:val="16"/>
                <w:szCs w:val="16"/>
                <w:b w:val="1"/>
                <w:bCs w:val="1"/>
                <w:color w:val="002060"/>
              </w:rPr>
              <w:t>($)</w:t>
            </w:r>
          </w:p>
        </w:tc>
        <w:tc>
          <w:tcPr>
            <w:tcW w:w="1700" w:type="dxa"/>
            <w:vAlign w:val="bottom"/>
            <w:tcBorders>
              <w:bottom w:val="single" w:sz="8" w:color="0070C0"/>
            </w:tcBorders>
          </w:tcPr>
          <w:p>
            <w:pPr>
              <w:jc w:val="center"/>
              <w:ind w:left="134"/>
              <w:spacing w:after="0"/>
              <w:rPr>
                <w:sz w:val="20"/>
                <w:szCs w:val="20"/>
                <w:color w:val="auto"/>
              </w:rPr>
            </w:pPr>
            <w:r>
              <w:rPr>
                <w:rFonts w:ascii="Arial" w:cs="Arial" w:eastAsia="Arial" w:hAnsi="Arial"/>
                <w:sz w:val="16"/>
                <w:szCs w:val="16"/>
                <w:b w:val="1"/>
                <w:bCs w:val="1"/>
                <w:color w:val="002060"/>
              </w:rPr>
              <w:t>($)</w:t>
            </w:r>
          </w:p>
        </w:tc>
      </w:tr>
      <w:tr>
        <w:trPr>
          <w:trHeight w:val="203"/>
        </w:trPr>
        <w:tc>
          <w:tcPr>
            <w:tcW w:w="1860" w:type="dxa"/>
            <w:vAlign w:val="bottom"/>
            <w:tcBorders>
              <w:bottom w:val="single" w:sz="8" w:color="auto"/>
            </w:tcBorders>
            <w:shd w:val="clear" w:color="auto" w:fill="D5DCE4"/>
          </w:tcPr>
          <w:p>
            <w:pPr>
              <w:spacing w:after="0" w:line="202" w:lineRule="exact"/>
              <w:rPr>
                <w:sz w:val="20"/>
                <w:szCs w:val="20"/>
                <w:color w:val="auto"/>
              </w:rPr>
            </w:pPr>
            <w:r>
              <w:rPr>
                <w:rFonts w:ascii="Arial" w:cs="Arial" w:eastAsia="Arial" w:hAnsi="Arial"/>
                <w:sz w:val="18"/>
                <w:szCs w:val="18"/>
                <w:color w:val="auto"/>
              </w:rPr>
              <w:t>  Jeffrey W. Edwards</w:t>
            </w:r>
          </w:p>
        </w:tc>
        <w:tc>
          <w:tcPr>
            <w:tcW w:w="2100" w:type="dxa"/>
            <w:vAlign w:val="bottom"/>
            <w:tcBorders>
              <w:bottom w:val="single" w:sz="8" w:color="auto"/>
            </w:tcBorders>
          </w:tcPr>
          <w:p>
            <w:pPr>
              <w:jc w:val="right"/>
              <w:ind w:right="454"/>
              <w:spacing w:after="0" w:line="202" w:lineRule="exact"/>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ind w:right="754"/>
              <w:spacing w:after="0" w:line="202" w:lineRule="exact"/>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jc w:val="right"/>
              <w:ind w:right="433"/>
              <w:spacing w:after="0" w:line="202"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554"/>
              <w:spacing w:after="0" w:line="202" w:lineRule="exact"/>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8"/>
                <w:szCs w:val="18"/>
                <w:color w:val="auto"/>
              </w:rPr>
              <w:t>–</w:t>
            </w:r>
          </w:p>
        </w:tc>
      </w:tr>
      <w:tr>
        <w:trPr>
          <w:trHeight w:val="196"/>
        </w:trPr>
        <w:tc>
          <w:tcPr>
            <w:tcW w:w="186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  Michael T. Miller</w:t>
            </w:r>
          </w:p>
        </w:tc>
        <w:tc>
          <w:tcPr>
            <w:tcW w:w="2100" w:type="dxa"/>
            <w:vAlign w:val="bottom"/>
            <w:tcBorders>
              <w:bottom w:val="single" w:sz="8" w:color="auto"/>
            </w:tcBorders>
          </w:tcPr>
          <w:p>
            <w:pPr>
              <w:jc w:val="right"/>
              <w:ind w:right="454"/>
              <w:spacing w:after="0" w:line="196" w:lineRule="exact"/>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ind w:right="754"/>
              <w:spacing w:after="0" w:line="196" w:lineRule="exact"/>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jc w:val="right"/>
              <w:ind w:right="433"/>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554"/>
              <w:spacing w:after="0" w:line="196" w:lineRule="exact"/>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color w:val="auto"/>
              </w:rPr>
              <w:t>–</w:t>
            </w:r>
          </w:p>
        </w:tc>
      </w:tr>
      <w:tr>
        <w:trPr>
          <w:trHeight w:val="196"/>
        </w:trPr>
        <w:tc>
          <w:tcPr>
            <w:tcW w:w="186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  Jay P. Elliott</w:t>
            </w:r>
          </w:p>
        </w:tc>
        <w:tc>
          <w:tcPr>
            <w:tcW w:w="2100" w:type="dxa"/>
            <w:vAlign w:val="bottom"/>
            <w:tcBorders>
              <w:bottom w:val="single" w:sz="8" w:color="auto"/>
            </w:tcBorders>
          </w:tcPr>
          <w:p>
            <w:pPr>
              <w:jc w:val="right"/>
              <w:ind w:right="454"/>
              <w:spacing w:after="0" w:line="196" w:lineRule="exact"/>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ind w:right="754"/>
              <w:spacing w:after="0" w:line="196" w:lineRule="exact"/>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jc w:val="right"/>
              <w:ind w:right="433"/>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554"/>
              <w:spacing w:after="0" w:line="196" w:lineRule="exact"/>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color w:val="auto"/>
              </w:rPr>
              <w:t>–</w:t>
            </w:r>
          </w:p>
        </w:tc>
      </w:tr>
      <w:tr>
        <w:trPr>
          <w:trHeight w:val="196"/>
        </w:trPr>
        <w:tc>
          <w:tcPr>
            <w:tcW w:w="186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  W. Jeffrey Hire</w:t>
            </w:r>
          </w:p>
        </w:tc>
        <w:tc>
          <w:tcPr>
            <w:tcW w:w="2100" w:type="dxa"/>
            <w:vAlign w:val="bottom"/>
            <w:tcBorders>
              <w:bottom w:val="single" w:sz="8" w:color="auto"/>
            </w:tcBorders>
          </w:tcPr>
          <w:p>
            <w:pPr>
              <w:jc w:val="right"/>
              <w:ind w:right="454"/>
              <w:spacing w:after="0" w:line="196" w:lineRule="exact"/>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ind w:right="754"/>
              <w:spacing w:after="0" w:line="196" w:lineRule="exact"/>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jc w:val="right"/>
              <w:ind w:right="433"/>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554"/>
              <w:spacing w:after="0" w:line="196" w:lineRule="exact"/>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color w:val="auto"/>
              </w:rPr>
              <w:t>–</w:t>
            </w:r>
          </w:p>
        </w:tc>
      </w:tr>
      <w:tr>
        <w:trPr>
          <w:trHeight w:val="203"/>
        </w:trPr>
        <w:tc>
          <w:tcPr>
            <w:tcW w:w="1860" w:type="dxa"/>
            <w:vAlign w:val="bottom"/>
            <w:tcBorders>
              <w:bottom w:val="single" w:sz="8" w:color="0070C0"/>
            </w:tcBorders>
            <w:shd w:val="clear" w:color="auto" w:fill="D5DCE4"/>
          </w:tcPr>
          <w:p>
            <w:pPr>
              <w:spacing w:after="0" w:line="196" w:lineRule="exact"/>
              <w:rPr>
                <w:sz w:val="20"/>
                <w:szCs w:val="20"/>
                <w:color w:val="auto"/>
              </w:rPr>
            </w:pPr>
            <w:r>
              <w:rPr>
                <w:rFonts w:ascii="Arial" w:cs="Arial" w:eastAsia="Arial" w:hAnsi="Arial"/>
                <w:sz w:val="18"/>
                <w:szCs w:val="18"/>
                <w:color w:val="auto"/>
              </w:rPr>
              <w:t>  Jason R. Niswonger</w:t>
            </w:r>
          </w:p>
        </w:tc>
        <w:tc>
          <w:tcPr>
            <w:tcW w:w="2100" w:type="dxa"/>
            <w:vAlign w:val="bottom"/>
            <w:tcBorders>
              <w:bottom w:val="single" w:sz="8" w:color="0070C0"/>
            </w:tcBorders>
          </w:tcPr>
          <w:p>
            <w:pPr>
              <w:jc w:val="right"/>
              <w:ind w:right="454"/>
              <w:spacing w:after="0" w:line="196" w:lineRule="exact"/>
              <w:rPr>
                <w:sz w:val="20"/>
                <w:szCs w:val="20"/>
                <w:color w:val="auto"/>
              </w:rPr>
            </w:pPr>
            <w:r>
              <w:rPr>
                <w:rFonts w:ascii="Arial" w:cs="Arial" w:eastAsia="Arial" w:hAnsi="Arial"/>
                <w:sz w:val="18"/>
                <w:szCs w:val="18"/>
                <w:color w:val="auto"/>
              </w:rPr>
              <w:t>50,346</w:t>
            </w:r>
          </w:p>
        </w:tc>
        <w:tc>
          <w:tcPr>
            <w:tcW w:w="1880" w:type="dxa"/>
            <w:vAlign w:val="bottom"/>
            <w:tcBorders>
              <w:bottom w:val="single" w:sz="8" w:color="0070C0"/>
            </w:tcBorders>
          </w:tcPr>
          <w:p>
            <w:pPr>
              <w:jc w:val="right"/>
              <w:ind w:right="754"/>
              <w:spacing w:after="0" w:line="196" w:lineRule="exact"/>
              <w:rPr>
                <w:sz w:val="20"/>
                <w:szCs w:val="20"/>
                <w:color w:val="auto"/>
              </w:rPr>
            </w:pPr>
            <w:r>
              <w:rPr>
                <w:rFonts w:ascii="Arial" w:cs="Arial" w:eastAsia="Arial" w:hAnsi="Arial"/>
                <w:sz w:val="18"/>
                <w:szCs w:val="18"/>
                <w:color w:val="auto"/>
              </w:rPr>
              <w:t>–</w:t>
            </w:r>
          </w:p>
        </w:tc>
        <w:tc>
          <w:tcPr>
            <w:tcW w:w="2000" w:type="dxa"/>
            <w:vAlign w:val="bottom"/>
            <w:tcBorders>
              <w:bottom w:val="single" w:sz="8" w:color="0070C0"/>
            </w:tcBorders>
          </w:tcPr>
          <w:p>
            <w:pPr>
              <w:jc w:val="right"/>
              <w:ind w:right="433"/>
              <w:spacing w:after="0" w:line="196" w:lineRule="exact"/>
              <w:rPr>
                <w:sz w:val="20"/>
                <w:szCs w:val="20"/>
                <w:color w:val="auto"/>
              </w:rPr>
            </w:pPr>
            <w:r>
              <w:rPr>
                <w:rFonts w:ascii="Arial" w:cs="Arial" w:eastAsia="Arial" w:hAnsi="Arial"/>
                <w:sz w:val="18"/>
                <w:szCs w:val="18"/>
                <w:color w:val="auto"/>
              </w:rPr>
              <w:t>17,695</w:t>
            </w:r>
          </w:p>
        </w:tc>
        <w:tc>
          <w:tcPr>
            <w:tcW w:w="1480" w:type="dxa"/>
            <w:vAlign w:val="bottom"/>
            <w:tcBorders>
              <w:bottom w:val="single" w:sz="8" w:color="0070C0"/>
            </w:tcBorders>
          </w:tcPr>
          <w:p>
            <w:pPr>
              <w:jc w:val="right"/>
              <w:ind w:right="554"/>
              <w:spacing w:after="0" w:line="196" w:lineRule="exact"/>
              <w:rPr>
                <w:sz w:val="20"/>
                <w:szCs w:val="20"/>
                <w:color w:val="auto"/>
              </w:rPr>
            </w:pPr>
            <w:r>
              <w:rPr>
                <w:rFonts w:ascii="Arial" w:cs="Arial" w:eastAsia="Arial" w:hAnsi="Arial"/>
                <w:sz w:val="18"/>
                <w:szCs w:val="18"/>
                <w:color w:val="auto"/>
              </w:rPr>
              <w:t>–</w:t>
            </w:r>
          </w:p>
        </w:tc>
        <w:tc>
          <w:tcPr>
            <w:tcW w:w="1700" w:type="dxa"/>
            <w:vAlign w:val="bottom"/>
            <w:tcBorders>
              <w:bottom w:val="single" w:sz="8" w:color="0070C0"/>
            </w:tcBorders>
          </w:tcPr>
          <w:p>
            <w:pPr>
              <w:jc w:val="right"/>
              <w:ind w:right="74"/>
              <w:spacing w:after="0" w:line="196" w:lineRule="exact"/>
              <w:rPr>
                <w:sz w:val="20"/>
                <w:szCs w:val="20"/>
                <w:color w:val="auto"/>
              </w:rPr>
            </w:pPr>
            <w:r>
              <w:rPr>
                <w:rFonts w:ascii="Arial" w:cs="Arial" w:eastAsia="Arial" w:hAnsi="Arial"/>
                <w:sz w:val="18"/>
                <w:szCs w:val="18"/>
                <w:color w:val="auto"/>
              </w:rPr>
              <w:t>145,469</w:t>
            </w:r>
          </w:p>
        </w:tc>
      </w:tr>
    </w:tbl>
    <w:p>
      <w:pPr>
        <w:spacing w:after="0" w:line="224" w:lineRule="exact"/>
        <w:rPr>
          <w:sz w:val="20"/>
          <w:szCs w:val="20"/>
          <w:color w:val="auto"/>
        </w:rPr>
      </w:pPr>
    </w:p>
    <w:p>
      <w:pPr>
        <w:ind w:left="764" w:hanging="440"/>
        <w:spacing w:after="0"/>
        <w:tabs>
          <w:tab w:leader="none" w:pos="7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Mr. Niswonger’s contribution of $50,346 is included in the “Base Salary” column of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69951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0070C0"/>
        </w:rPr>
        <w:t>Executive Compensation</w:t>
      </w:r>
    </w:p>
    <w:p>
      <w:pPr>
        <w:spacing w:after="0" w:line="5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0070C0"/>
        </w:rPr>
        <w:t>66</w:t>
      </w:r>
    </w:p>
    <w:p>
      <w:pPr>
        <w:sectPr>
          <w:pgSz w:w="11900" w:h="16838" w:orient="portrait"/>
          <w:cols w:equalWidth="0" w:num="1">
            <w:col w:w="11024"/>
          </w:cols>
          <w:pgMar w:left="436" w:top="287" w:right="439" w:bottom="1440" w:gutter="0" w:footer="0" w:header="0"/>
        </w:sectPr>
      </w:pPr>
    </w:p>
    <w:bookmarkStart w:id="74" w:name="page75"/>
    <w:bookmarkEnd w:id="74"/>
    <w:p>
      <w:pPr>
        <w:ind w:left="4"/>
        <w:spacing w:after="0"/>
        <w:rPr>
          <w:sz w:val="20"/>
          <w:szCs w:val="20"/>
          <w:color w:val="auto"/>
        </w:rPr>
      </w:pPr>
      <w:r>
        <w:rPr>
          <w:rFonts w:ascii="Arial" w:cs="Arial" w:eastAsia="Arial" w:hAnsi="Arial"/>
          <w:sz w:val="22"/>
          <w:szCs w:val="22"/>
          <w:b w:val="1"/>
          <w:bCs w:val="1"/>
          <w:color w:val="00206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Employment Agreements, Severance and Change in Control Benefits</w:t>
      </w:r>
    </w:p>
    <w:p>
      <w:pPr>
        <w:spacing w:after="0" w:line="213" w:lineRule="exact"/>
        <w:rPr>
          <w:sz w:val="20"/>
          <w:szCs w:val="20"/>
          <w:color w:val="auto"/>
        </w:rPr>
      </w:pPr>
    </w:p>
    <w:p>
      <w:pPr>
        <w:ind w:left="4"/>
        <w:spacing w:after="0"/>
        <w:rPr>
          <w:sz w:val="20"/>
          <w:szCs w:val="20"/>
          <w:color w:val="auto"/>
        </w:rPr>
      </w:pPr>
      <w:r>
        <w:rPr>
          <w:rFonts w:ascii="Arial" w:cs="Arial" w:eastAsia="Arial" w:hAnsi="Arial"/>
          <w:sz w:val="20"/>
          <w:szCs w:val="20"/>
          <w:color w:val="2E75B4"/>
        </w:rPr>
        <w:t>Employment Agreement with Jeffrey W. Edwards</w:t>
      </w:r>
    </w:p>
    <w:p>
      <w:pPr>
        <w:spacing w:after="0" w:line="205" w:lineRule="exact"/>
        <w:rPr>
          <w:sz w:val="20"/>
          <w:szCs w:val="20"/>
          <w:color w:val="auto"/>
        </w:rPr>
      </w:pPr>
    </w:p>
    <w:p>
      <w:pPr>
        <w:ind w:left="4" w:right="140"/>
        <w:spacing w:after="0" w:line="247" w:lineRule="auto"/>
        <w:rPr>
          <w:sz w:val="20"/>
          <w:szCs w:val="20"/>
          <w:color w:val="auto"/>
        </w:rPr>
      </w:pPr>
      <w:r>
        <w:rPr>
          <w:rFonts w:ascii="Arial" w:cs="Arial" w:eastAsia="Arial" w:hAnsi="Arial"/>
          <w:sz w:val="18"/>
          <w:szCs w:val="18"/>
          <w:color w:val="auto"/>
        </w:rPr>
        <w:t>In November 2013, we entered into an employment agreement with Mr. Edwards pursuant to which he agreed to serve as our Chief Executive Officer and President for an initial employment term through November 1, 2016. The agreement provides Mr. Edwards with a minimum annual base salary of $600,000, subject to adjustment by the CHC Committee, and an opportunity to participate in our annual incentive programs, as well as our employee benefit plans and programs in effect from time to time.</w:t>
      </w:r>
    </w:p>
    <w:p>
      <w:pPr>
        <w:spacing w:after="0" w:line="174" w:lineRule="exact"/>
        <w:rPr>
          <w:sz w:val="20"/>
          <w:szCs w:val="20"/>
          <w:color w:val="auto"/>
        </w:rPr>
      </w:pPr>
    </w:p>
    <w:p>
      <w:pPr>
        <w:jc w:val="both"/>
        <w:ind w:left="4" w:right="100"/>
        <w:spacing w:after="0" w:line="244" w:lineRule="auto"/>
        <w:rPr>
          <w:sz w:val="20"/>
          <w:szCs w:val="20"/>
          <w:color w:val="auto"/>
        </w:rPr>
      </w:pPr>
      <w:r>
        <w:rPr>
          <w:rFonts w:ascii="Arial" w:cs="Arial" w:eastAsia="Arial" w:hAnsi="Arial"/>
          <w:sz w:val="18"/>
          <w:szCs w:val="18"/>
          <w:color w:val="auto"/>
        </w:rPr>
        <w:t>The agreement has been amended and restated, most recently in May 2023, to extend Mr. Edwards’ employment term to April 15, 2026 with automatic five-year renewals unless either party provides at least 90 days’ prior notice of non-renewal, to provide that Mr. Edwards must give 180 days’ prior written notice of a voluntary termination of employment without “Good Reason” (as defined in the employment agreement), to provide for a reduction in severance payments that would exceed tax laws governing parachute payments and to modify certain of Mr. Edwards’ severance payments.</w:t>
      </w:r>
    </w:p>
    <w:p>
      <w:pPr>
        <w:spacing w:after="0" w:line="176" w:lineRule="exact"/>
        <w:rPr>
          <w:sz w:val="20"/>
          <w:szCs w:val="20"/>
          <w:color w:val="auto"/>
        </w:rPr>
      </w:pPr>
    </w:p>
    <w:p>
      <w:pPr>
        <w:ind w:left="4" w:right="240"/>
        <w:spacing w:after="0" w:line="255" w:lineRule="auto"/>
        <w:rPr>
          <w:sz w:val="20"/>
          <w:szCs w:val="20"/>
          <w:color w:val="auto"/>
        </w:rPr>
      </w:pPr>
      <w:r>
        <w:rPr>
          <w:rFonts w:ascii="Arial" w:cs="Arial" w:eastAsia="Arial" w:hAnsi="Arial"/>
          <w:sz w:val="17"/>
          <w:szCs w:val="17"/>
          <w:color w:val="auto"/>
        </w:rPr>
        <w:t>Mr. Edwards is required to devote the amount of his business time necessary to conduct Company business and affairs and to use his best efforts to perform his duties as our Chief Executive Officer and President. However, to the extent such activities do not create a conflict of interest or substantially interfere with the performance of Mr. Edwards’ duties and responsibilities to the Company, he may</w:t>
      </w:r>
    </w:p>
    <w:p>
      <w:pPr>
        <w:spacing w:after="0" w:line="2" w:lineRule="exact"/>
        <w:rPr>
          <w:sz w:val="20"/>
          <w:szCs w:val="20"/>
          <w:color w:val="auto"/>
        </w:rPr>
      </w:pPr>
    </w:p>
    <w:p>
      <w:pPr>
        <w:ind w:left="4" w:right="40" w:hanging="4"/>
        <w:spacing w:after="0"/>
        <w:tabs>
          <w:tab w:leader="none" w:pos="214"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manage his personal and family financial and legal affairs, (ii) participate in charitable, civic, educational, professional, community and industry affairs (including serving on boards or committees of such entities, including the Salvation Army and the Columbus Museum of Art) and (iii) continue to engage in non-competitive operational activities for a real estate development business in which he participated prior to entering into his employment agreement.</w:t>
      </w:r>
    </w:p>
    <w:p>
      <w:pPr>
        <w:spacing w:after="0" w:line="180" w:lineRule="exact"/>
        <w:rPr>
          <w:sz w:val="20"/>
          <w:szCs w:val="20"/>
          <w:color w:val="auto"/>
        </w:rPr>
      </w:pPr>
    </w:p>
    <w:p>
      <w:pPr>
        <w:ind w:left="4" w:right="320"/>
        <w:spacing w:after="0" w:line="247" w:lineRule="auto"/>
        <w:rPr>
          <w:sz w:val="20"/>
          <w:szCs w:val="20"/>
          <w:color w:val="auto"/>
        </w:rPr>
      </w:pPr>
      <w:r>
        <w:rPr>
          <w:rFonts w:ascii="Arial" w:cs="Arial" w:eastAsia="Arial" w:hAnsi="Arial"/>
          <w:sz w:val="18"/>
          <w:szCs w:val="18"/>
          <w:color w:val="auto"/>
        </w:rPr>
        <w:t>Mr. Edwards is entitled to receive certain severance benefits in the event of termination of his employment by us without “Cause” or if Mr. Edwards terminates his employment for “Good Reason,” in each case as defined in the employment agreement. See “</w:t>
      </w:r>
      <w:r>
        <w:rPr>
          <w:rFonts w:ascii="Arial" w:cs="Arial" w:eastAsia="Arial" w:hAnsi="Arial"/>
          <w:sz w:val="18"/>
          <w:szCs w:val="18"/>
          <w:i w:val="1"/>
          <w:iCs w:val="1"/>
          <w:color w:val="auto"/>
        </w:rPr>
        <w:t>Potential</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 Upon Termination or Change in Control</w:t>
      </w:r>
      <w:r>
        <w:rPr>
          <w:rFonts w:ascii="Arial" w:cs="Arial" w:eastAsia="Arial" w:hAnsi="Arial"/>
          <w:sz w:val="18"/>
          <w:szCs w:val="18"/>
          <w:color w:val="auto"/>
        </w:rPr>
        <w:t>” below for a summary of these severance benefits. In the event of Mr. Edwards’</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for any reason, we are required to pay him for his accrued and unpaid vacation as of the date of termination.</w:t>
      </w:r>
    </w:p>
    <w:p>
      <w:pPr>
        <w:spacing w:after="0" w:line="174" w:lineRule="exact"/>
        <w:rPr>
          <w:sz w:val="20"/>
          <w:szCs w:val="20"/>
          <w:color w:val="auto"/>
        </w:rPr>
      </w:pPr>
    </w:p>
    <w:p>
      <w:pPr>
        <w:ind w:left="4" w:right="700"/>
        <w:spacing w:after="0" w:line="271" w:lineRule="auto"/>
        <w:rPr>
          <w:sz w:val="20"/>
          <w:szCs w:val="20"/>
          <w:color w:val="auto"/>
        </w:rPr>
      </w:pPr>
      <w:r>
        <w:rPr>
          <w:rFonts w:ascii="Arial" w:cs="Arial" w:eastAsia="Arial" w:hAnsi="Arial"/>
          <w:sz w:val="18"/>
          <w:szCs w:val="18"/>
          <w:color w:val="auto"/>
        </w:rPr>
        <w:t>While employed and for two years after termination of his employment, Mr. Edwards is subject to non-competition, customer and employee non-solicitation as well as confidentiality restrictions that last during his employment and thereafter.</w:t>
      </w:r>
    </w:p>
    <w:p>
      <w:pPr>
        <w:spacing w:after="0" w:line="151" w:lineRule="exact"/>
        <w:rPr>
          <w:sz w:val="20"/>
          <w:szCs w:val="20"/>
          <w:color w:val="auto"/>
        </w:rPr>
      </w:pPr>
    </w:p>
    <w:p>
      <w:pPr>
        <w:ind w:left="4"/>
        <w:spacing w:after="0"/>
        <w:rPr>
          <w:sz w:val="20"/>
          <w:szCs w:val="20"/>
          <w:color w:val="auto"/>
        </w:rPr>
      </w:pPr>
      <w:r>
        <w:rPr>
          <w:rFonts w:ascii="Arial" w:cs="Arial" w:eastAsia="Arial" w:hAnsi="Arial"/>
          <w:sz w:val="20"/>
          <w:szCs w:val="20"/>
          <w:color w:val="2E75B4"/>
        </w:rPr>
        <w:t>Potential Payments Upon Termination or Change in Control</w:t>
      </w:r>
    </w:p>
    <w:p>
      <w:pPr>
        <w:spacing w:after="0" w:line="205" w:lineRule="exact"/>
        <w:rPr>
          <w:sz w:val="20"/>
          <w:szCs w:val="20"/>
          <w:color w:val="auto"/>
        </w:rPr>
      </w:pPr>
    </w:p>
    <w:p>
      <w:pPr>
        <w:ind w:left="4" w:right="40"/>
        <w:spacing w:after="0" w:line="242" w:lineRule="auto"/>
        <w:rPr>
          <w:sz w:val="20"/>
          <w:szCs w:val="20"/>
          <w:color w:val="auto"/>
        </w:rPr>
      </w:pPr>
      <w:r>
        <w:rPr>
          <w:rFonts w:ascii="Arial" w:cs="Arial" w:eastAsia="Arial" w:hAnsi="Arial"/>
          <w:sz w:val="18"/>
          <w:szCs w:val="18"/>
          <w:color w:val="auto"/>
        </w:rPr>
        <w:t>None of our named executive officers other than Mr. Edwards are entitled to benefits (other than vested benefits and awards) upon a resignation, termination or a change in control, except that if an NEO’s employment is terminated due to retirement or disability, the CHC Committee may, in the exercise of its discretion, accelerate vesting of restricted stock awards and waive any limitations placed on performance-based cash awards. If an NEO’s employment is terminated due to the executive’s death, all earned but unvested restricted stock awards automatically vest in full. Our 2023 Omnibus Incentive Plan does not provide for automatic acceleration of vesting of any incentive-based awards in the event of a change in control without another qualifying event.</w:t>
      </w:r>
    </w:p>
    <w:p>
      <w:pPr>
        <w:spacing w:after="0" w:line="179" w:lineRule="exact"/>
        <w:rPr>
          <w:sz w:val="20"/>
          <w:szCs w:val="20"/>
          <w:color w:val="auto"/>
        </w:rPr>
      </w:pPr>
    </w:p>
    <w:p>
      <w:pPr>
        <w:ind w:left="4"/>
        <w:spacing w:after="0" w:line="244" w:lineRule="auto"/>
        <w:rPr>
          <w:sz w:val="20"/>
          <w:szCs w:val="20"/>
          <w:color w:val="auto"/>
        </w:rPr>
      </w:pPr>
      <w:r>
        <w:rPr>
          <w:rFonts w:ascii="Arial" w:cs="Arial" w:eastAsia="Arial" w:hAnsi="Arial"/>
          <w:sz w:val="18"/>
          <w:szCs w:val="18"/>
          <w:color w:val="auto"/>
        </w:rPr>
        <w:t>In the event of a “change in control” (as defined in our 2023 Omnibus Incentive Plan), the CHC Committee may cause any unvested shares of restricted stock to be continued or assumed, to have new rights substituted therefor, to entitle the NEOs to receive the same distribution as other shares of common stock in the change in control transaction or to be cancelled in exchange for cash. The committee may also accelerate vesting in connection with a change in control. If a named executive officer engages in a “detrimental activity” (as defined in the 2023 Omnibus Incentive Plan), prior to or one year following vesting of any restricted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69951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4" w:lineRule="exact"/>
        <w:rPr>
          <w:sz w:val="20"/>
          <w:szCs w:val="20"/>
          <w:color w:val="auto"/>
        </w:rPr>
      </w:pPr>
    </w:p>
    <w:p>
      <w:pPr>
        <w:jc w:val="center"/>
        <w:ind w:right="-143"/>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0070C0"/>
        </w:rPr>
        <w:t>Executive Compensation</w:t>
      </w:r>
    </w:p>
    <w:p>
      <w:pPr>
        <w:spacing w:after="0" w:line="59"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0070C0"/>
        </w:rPr>
        <w:t>67</w:t>
      </w:r>
    </w:p>
    <w:p>
      <w:pPr>
        <w:sectPr>
          <w:pgSz w:w="11900" w:h="16838" w:orient="portrait"/>
          <w:cols w:equalWidth="0" w:num="1">
            <w:col w:w="10884"/>
          </w:cols>
          <w:pgMar w:left="436" w:top="287" w:right="579" w:bottom="1440" w:gutter="0" w:footer="0" w:header="0"/>
        </w:sectPr>
      </w:pPr>
    </w:p>
    <w:bookmarkStart w:id="75" w:name="page76"/>
    <w:bookmarkEnd w:id="75"/>
    <w:p>
      <w:pPr>
        <w:ind w:right="38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stock, the CHC Committee may direct that all unvested restricted stock be forfeited and that the executive pay to the Company the fair market value of vested restricted stock (valued as of the vesting date).</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color w:val="2E75B4"/>
        </w:rPr>
        <w:t>Payments to Mr. Edwards upon Termination without Cause or Resignation for Good Reason</w:t>
      </w:r>
    </w:p>
    <w:p>
      <w:pPr>
        <w:spacing w:after="0" w:line="205"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If we terminate Mr. Edwards without Cause or Mr. Edwards terminates his employment for Good Reason, then subject to his compliance with certain restrictive covenants and upon his signing a release of claims, we are required to pay Mr. Edwards (i) base salary continuation payments for 18 months; (ii) any earned but unpaid or unissued annual incentive cash bonus or restricted stock award with respect to the performance year prior to the year of termination; and (iii) a lump sum cash payment equal to 1.5 times the dollar value of the total target incentive cash award (“Target Cash Award”) established by the CHC Committee for the year of termination. If termination occurs within two years following a change in control (other than as a result of a sale of all of Mr. Edwards’ equity interests in the Company), then</w:t>
      </w:r>
    </w:p>
    <w:p>
      <w:pPr>
        <w:spacing w:after="0" w:line="2" w:lineRule="exact"/>
        <w:rPr>
          <w:sz w:val="20"/>
          <w:szCs w:val="20"/>
          <w:color w:val="auto"/>
        </w:rPr>
      </w:pPr>
    </w:p>
    <w:p>
      <w:pPr>
        <w:ind w:right="660"/>
        <w:spacing w:after="0" w:line="250" w:lineRule="auto"/>
        <w:rPr>
          <w:sz w:val="20"/>
          <w:szCs w:val="20"/>
          <w:color w:val="auto"/>
        </w:rPr>
      </w:pPr>
      <w:r>
        <w:rPr>
          <w:rFonts w:ascii="Arial" w:cs="Arial" w:eastAsia="Arial" w:hAnsi="Arial"/>
          <w:sz w:val="18"/>
          <w:szCs w:val="18"/>
          <w:color w:val="auto"/>
        </w:rPr>
        <w:t>Mr. Edwards is entitled to receive the severance benefits described in the foregoing sentence, except that base salary continuation payments will be made for 24 months and the lump sum cash payment is 2.0 times the Target Cash Award.</w:t>
      </w:r>
    </w:p>
    <w:p>
      <w:pPr>
        <w:spacing w:after="0" w:line="172"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“Cause” generally means: (i) conviction of or a plea of guilty to a felony; (ii) willful commission of an act of fraud, dishonesty or other willful misconduct in the course of Mr. Edwards’ duties having a significant adverse effect on the Company; (iii) willful failure to perform prescribed duties after the Company has delivered a written demand for performance; or (iv) any material breach by Mr. Edwards of the employment agreement that remains uncured for 30 days.</w:t>
      </w:r>
    </w:p>
    <w:p>
      <w:pPr>
        <w:spacing w:after="0" w:line="174"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“Good Reason” generally means any of the following events with respect to Mr. Edwards occurring without his consent: (i) a material diminution in base salary; (ii) a material diminution in duties, authorities or responsibilities; (iii) a relocation of a primary work location by more than 50 miles; or (iv) any material breach by the Company of the employment agreement.</w:t>
      </w:r>
    </w:p>
    <w:p>
      <w:pPr>
        <w:spacing w:after="0" w:line="169"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The following table shows the value of the termination payments Mr. Edwards would receive if (i) we terminated him without Cause or he terminated his employment for Good Reason, and (ii) we terminated him without Cause or he terminated his employment for Good Reason following a change in control, in each case on December 31, 2023, excluding distributions under our 401(k) plan and any additional benefits generally available to our salaried employees.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240" w:type="dxa"/>
            <w:vAlign w:val="bottom"/>
          </w:tcPr>
          <w:p>
            <w:pPr>
              <w:jc w:val="center"/>
              <w:spacing w:after="0"/>
              <w:rPr>
                <w:sz w:val="20"/>
                <w:szCs w:val="20"/>
                <w:color w:val="auto"/>
              </w:rPr>
            </w:pPr>
            <w:r>
              <w:rPr>
                <w:rFonts w:ascii="Arial" w:cs="Arial" w:eastAsia="Arial" w:hAnsi="Arial"/>
                <w:sz w:val="16"/>
                <w:szCs w:val="16"/>
                <w:b w:val="1"/>
                <w:bCs w:val="1"/>
                <w:color w:val="002060"/>
              </w:rPr>
              <w:t>Termination Without Cause or</w:t>
            </w:r>
          </w:p>
        </w:tc>
        <w:tc>
          <w:tcPr>
            <w:tcW w:w="0" w:type="dxa"/>
            <w:vAlign w:val="bottom"/>
          </w:tcPr>
          <w:p>
            <w:pPr>
              <w:spacing w:after="0"/>
              <w:rPr>
                <w:sz w:val="1"/>
                <w:szCs w:val="1"/>
                <w:color w:val="auto"/>
              </w:rPr>
            </w:pPr>
          </w:p>
        </w:tc>
      </w:tr>
      <w:tr>
        <w:trPr>
          <w:trHeight w:val="189"/>
        </w:trPr>
        <w:tc>
          <w:tcPr>
            <w:tcW w:w="5060" w:type="dxa"/>
            <w:vAlign w:val="bottom"/>
          </w:tcPr>
          <w:p>
            <w:pPr>
              <w:spacing w:after="0"/>
              <w:rPr>
                <w:sz w:val="16"/>
                <w:szCs w:val="16"/>
                <w:color w:val="auto"/>
              </w:rPr>
            </w:pPr>
          </w:p>
        </w:tc>
        <w:tc>
          <w:tcPr>
            <w:tcW w:w="2720" w:type="dxa"/>
            <w:vAlign w:val="bottom"/>
          </w:tcPr>
          <w:p>
            <w:pPr>
              <w:jc w:val="center"/>
              <w:spacing w:after="0"/>
              <w:rPr>
                <w:sz w:val="20"/>
                <w:szCs w:val="20"/>
                <w:color w:val="auto"/>
              </w:rPr>
            </w:pPr>
            <w:r>
              <w:rPr>
                <w:rFonts w:ascii="Arial" w:cs="Arial" w:eastAsia="Arial" w:hAnsi="Arial"/>
                <w:sz w:val="16"/>
                <w:szCs w:val="16"/>
                <w:b w:val="1"/>
                <w:bCs w:val="1"/>
                <w:color w:val="002060"/>
              </w:rPr>
              <w:t>Termination Without Cause or</w:t>
            </w:r>
          </w:p>
        </w:tc>
        <w:tc>
          <w:tcPr>
            <w:tcW w:w="3240" w:type="dxa"/>
            <w:vAlign w:val="bottom"/>
          </w:tcPr>
          <w:p>
            <w:pPr>
              <w:jc w:val="center"/>
              <w:spacing w:after="0"/>
              <w:rPr>
                <w:sz w:val="20"/>
                <w:szCs w:val="20"/>
                <w:color w:val="auto"/>
              </w:rPr>
            </w:pPr>
            <w:r>
              <w:rPr>
                <w:rFonts w:ascii="Arial" w:cs="Arial" w:eastAsia="Arial" w:hAnsi="Arial"/>
                <w:sz w:val="16"/>
                <w:szCs w:val="16"/>
                <w:b w:val="1"/>
                <w:bCs w:val="1"/>
                <w:color w:val="002060"/>
              </w:rPr>
              <w:t>for Good Reason in Connection with</w:t>
            </w:r>
          </w:p>
        </w:tc>
        <w:tc>
          <w:tcPr>
            <w:tcW w:w="0" w:type="dxa"/>
            <w:vAlign w:val="bottom"/>
          </w:tcPr>
          <w:p>
            <w:pPr>
              <w:spacing w:after="0"/>
              <w:rPr>
                <w:sz w:val="1"/>
                <w:szCs w:val="1"/>
                <w:color w:val="auto"/>
              </w:rPr>
            </w:pPr>
          </w:p>
        </w:tc>
      </w:tr>
      <w:tr>
        <w:trPr>
          <w:trHeight w:val="189"/>
        </w:trPr>
        <w:tc>
          <w:tcPr>
            <w:tcW w:w="5060" w:type="dxa"/>
            <w:vAlign w:val="bottom"/>
          </w:tcPr>
          <w:p>
            <w:pPr>
              <w:spacing w:after="0"/>
              <w:rPr>
                <w:sz w:val="16"/>
                <w:szCs w:val="16"/>
                <w:color w:val="auto"/>
              </w:rPr>
            </w:pPr>
          </w:p>
        </w:tc>
        <w:tc>
          <w:tcPr>
            <w:tcW w:w="2720" w:type="dxa"/>
            <w:vAlign w:val="bottom"/>
          </w:tcPr>
          <w:p>
            <w:pPr>
              <w:jc w:val="center"/>
              <w:spacing w:after="0"/>
              <w:rPr>
                <w:sz w:val="20"/>
                <w:szCs w:val="20"/>
                <w:color w:val="auto"/>
              </w:rPr>
            </w:pPr>
            <w:r>
              <w:rPr>
                <w:rFonts w:ascii="Arial" w:cs="Arial" w:eastAsia="Arial" w:hAnsi="Arial"/>
                <w:sz w:val="16"/>
                <w:szCs w:val="16"/>
                <w:b w:val="1"/>
                <w:bCs w:val="1"/>
                <w:color w:val="002060"/>
              </w:rPr>
              <w:t>for Good Reason</w:t>
            </w:r>
          </w:p>
        </w:tc>
        <w:tc>
          <w:tcPr>
            <w:tcW w:w="3240" w:type="dxa"/>
            <w:vAlign w:val="bottom"/>
          </w:tcPr>
          <w:p>
            <w:pPr>
              <w:jc w:val="center"/>
              <w:spacing w:after="0"/>
              <w:rPr>
                <w:sz w:val="20"/>
                <w:szCs w:val="20"/>
                <w:color w:val="auto"/>
              </w:rPr>
            </w:pPr>
            <w:r>
              <w:rPr>
                <w:rFonts w:ascii="Arial" w:cs="Arial" w:eastAsia="Arial" w:hAnsi="Arial"/>
                <w:sz w:val="16"/>
                <w:szCs w:val="16"/>
                <w:b w:val="1"/>
                <w:bCs w:val="1"/>
                <w:color w:val="002060"/>
              </w:rPr>
              <w:t>Change in Control</w:t>
            </w:r>
          </w:p>
        </w:tc>
        <w:tc>
          <w:tcPr>
            <w:tcW w:w="0" w:type="dxa"/>
            <w:vAlign w:val="bottom"/>
          </w:tcPr>
          <w:p>
            <w:pPr>
              <w:spacing w:after="0"/>
              <w:rPr>
                <w:sz w:val="1"/>
                <w:szCs w:val="1"/>
                <w:color w:val="auto"/>
              </w:rPr>
            </w:pPr>
          </w:p>
        </w:tc>
      </w:tr>
      <w:tr>
        <w:trPr>
          <w:trHeight w:val="224"/>
        </w:trPr>
        <w:tc>
          <w:tcPr>
            <w:tcW w:w="5060" w:type="dxa"/>
            <w:vAlign w:val="bottom"/>
            <w:tcBorders>
              <w:bottom w:val="single" w:sz="8" w:color="0070C0"/>
            </w:tcBorders>
          </w:tcPr>
          <w:p>
            <w:pPr>
              <w:spacing w:after="0"/>
              <w:rPr>
                <w:sz w:val="20"/>
                <w:szCs w:val="20"/>
                <w:color w:val="auto"/>
              </w:rPr>
            </w:pPr>
            <w:r>
              <w:rPr>
                <w:rFonts w:ascii="Arial" w:cs="Arial" w:eastAsia="Arial" w:hAnsi="Arial"/>
                <w:sz w:val="16"/>
                <w:szCs w:val="16"/>
                <w:b w:val="1"/>
                <w:bCs w:val="1"/>
                <w:color w:val="002060"/>
              </w:rPr>
              <w:t>Name</w:t>
            </w:r>
          </w:p>
        </w:tc>
        <w:tc>
          <w:tcPr>
            <w:tcW w:w="2720" w:type="dxa"/>
            <w:vAlign w:val="bottom"/>
            <w:tcBorders>
              <w:bottom w:val="single" w:sz="8" w:color="0070C0"/>
            </w:tcBorders>
          </w:tcPr>
          <w:p>
            <w:pPr>
              <w:jc w:val="center"/>
              <w:spacing w:after="0"/>
              <w:rPr>
                <w:sz w:val="20"/>
                <w:szCs w:val="20"/>
                <w:color w:val="auto"/>
              </w:rPr>
            </w:pPr>
            <w:r>
              <w:rPr>
                <w:rFonts w:ascii="Arial" w:cs="Arial" w:eastAsia="Arial" w:hAnsi="Arial"/>
                <w:sz w:val="16"/>
                <w:szCs w:val="16"/>
                <w:b w:val="1"/>
                <w:bCs w:val="1"/>
                <w:color w:val="002060"/>
              </w:rPr>
              <w:t>($)</w:t>
            </w:r>
          </w:p>
        </w:tc>
        <w:tc>
          <w:tcPr>
            <w:tcW w:w="3240" w:type="dxa"/>
            <w:vAlign w:val="bottom"/>
            <w:tcBorders>
              <w:bottom w:val="single" w:sz="8" w:color="0070C0"/>
            </w:tcBorders>
          </w:tcPr>
          <w:p>
            <w:pPr>
              <w:jc w:val="center"/>
              <w:spacing w:after="0"/>
              <w:rPr>
                <w:sz w:val="20"/>
                <w:szCs w:val="20"/>
                <w:color w:val="auto"/>
              </w:rPr>
            </w:pPr>
            <w:r>
              <w:rPr>
                <w:rFonts w:ascii="Arial" w:cs="Arial" w:eastAsia="Arial" w:hAnsi="Arial"/>
                <w:sz w:val="16"/>
                <w:szCs w:val="16"/>
                <w:b w:val="1"/>
                <w:bCs w:val="1"/>
                <w:color w:val="002060"/>
              </w:rPr>
              <w:t>($)</w:t>
            </w:r>
          </w:p>
        </w:tc>
        <w:tc>
          <w:tcPr>
            <w:tcW w:w="0" w:type="dxa"/>
            <w:vAlign w:val="bottom"/>
          </w:tcPr>
          <w:p>
            <w:pPr>
              <w:spacing w:after="0"/>
              <w:rPr>
                <w:sz w:val="1"/>
                <w:szCs w:val="1"/>
                <w:color w:val="auto"/>
              </w:rPr>
            </w:pPr>
          </w:p>
        </w:tc>
      </w:tr>
      <w:tr>
        <w:trPr>
          <w:trHeight w:val="203"/>
        </w:trPr>
        <w:tc>
          <w:tcPr>
            <w:tcW w:w="5060" w:type="dxa"/>
            <w:vAlign w:val="bottom"/>
            <w:shd w:val="clear" w:color="auto" w:fill="D5DCE4"/>
          </w:tcPr>
          <w:p>
            <w:pPr>
              <w:spacing w:after="0" w:line="202" w:lineRule="exact"/>
              <w:rPr>
                <w:sz w:val="20"/>
                <w:szCs w:val="20"/>
                <w:color w:val="auto"/>
              </w:rPr>
            </w:pPr>
            <w:r>
              <w:rPr>
                <w:rFonts w:ascii="Arial" w:cs="Arial" w:eastAsia="Arial" w:hAnsi="Arial"/>
                <w:sz w:val="18"/>
                <w:szCs w:val="18"/>
                <w:color w:val="auto"/>
              </w:rPr>
              <w:t>  Jeffrey W. Edwards</w:t>
            </w:r>
          </w:p>
        </w:tc>
        <w:tc>
          <w:tcPr>
            <w:tcW w:w="2720" w:type="dxa"/>
            <w:vAlign w:val="bottom"/>
            <w:vMerge w:val="restart"/>
          </w:tcPr>
          <w:p>
            <w:pPr>
              <w:jc w:val="right"/>
              <w:ind w:right="115"/>
              <w:spacing w:after="0"/>
              <w:rPr>
                <w:sz w:val="20"/>
                <w:szCs w:val="20"/>
                <w:color w:val="auto"/>
              </w:rPr>
            </w:pPr>
            <w:r>
              <w:rPr>
                <w:rFonts w:ascii="Arial" w:cs="Arial" w:eastAsia="Arial" w:hAnsi="Arial"/>
                <w:sz w:val="18"/>
                <w:szCs w:val="18"/>
                <w:color w:val="auto"/>
              </w:rPr>
              <w:t>1,260,000</w:t>
            </w:r>
          </w:p>
        </w:tc>
        <w:tc>
          <w:tcPr>
            <w:tcW w:w="3240" w:type="dxa"/>
            <w:vAlign w:val="bottom"/>
            <w:vMerge w:val="restart"/>
          </w:tcPr>
          <w:p>
            <w:pPr>
              <w:jc w:val="right"/>
              <w:ind w:right="95"/>
              <w:spacing w:after="0"/>
              <w:rPr>
                <w:sz w:val="20"/>
                <w:szCs w:val="20"/>
                <w:color w:val="auto"/>
              </w:rPr>
            </w:pPr>
            <w:r>
              <w:rPr>
                <w:rFonts w:ascii="Arial" w:cs="Arial" w:eastAsia="Arial" w:hAnsi="Arial"/>
                <w:sz w:val="18"/>
                <w:szCs w:val="18"/>
                <w:color w:val="auto"/>
              </w:rPr>
              <w:t>1,680,000</w:t>
            </w:r>
          </w:p>
        </w:tc>
        <w:tc>
          <w:tcPr>
            <w:tcW w:w="0" w:type="dxa"/>
            <w:vAlign w:val="bottom"/>
          </w:tcPr>
          <w:p>
            <w:pPr>
              <w:spacing w:after="0"/>
              <w:rPr>
                <w:sz w:val="1"/>
                <w:szCs w:val="1"/>
                <w:color w:val="auto"/>
              </w:rPr>
            </w:pPr>
          </w:p>
        </w:tc>
      </w:tr>
      <w:tr>
        <w:trPr>
          <w:trHeight w:val="184"/>
        </w:trPr>
        <w:tc>
          <w:tcPr>
            <w:tcW w:w="5060" w:type="dxa"/>
            <w:vAlign w:val="bottom"/>
          </w:tcPr>
          <w:p>
            <w:pPr>
              <w:ind w:left="360"/>
              <w:spacing w:after="0" w:line="183" w:lineRule="exact"/>
              <w:rPr>
                <w:sz w:val="20"/>
                <w:szCs w:val="20"/>
                <w:color w:val="auto"/>
              </w:rPr>
            </w:pPr>
            <w:r>
              <w:rPr>
                <w:rFonts w:ascii="Arial" w:cs="Arial" w:eastAsia="Arial" w:hAnsi="Arial"/>
                <w:sz w:val="18"/>
                <w:szCs w:val="18"/>
                <w:color w:val="auto"/>
              </w:rPr>
              <w:t>Base Salary Continuation</w:t>
            </w:r>
          </w:p>
        </w:tc>
        <w:tc>
          <w:tcPr>
            <w:tcW w:w="2720" w:type="dxa"/>
            <w:vAlign w:val="bottom"/>
            <w:vMerge w:val="continue"/>
          </w:tcPr>
          <w:p>
            <w:pPr>
              <w:spacing w:after="0"/>
              <w:rPr>
                <w:sz w:val="15"/>
                <w:szCs w:val="15"/>
                <w:color w:val="auto"/>
              </w:rPr>
            </w:pPr>
          </w:p>
        </w:tc>
        <w:tc>
          <w:tcPr>
            <w:tcW w:w="3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0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Target Cash Incentive</w:t>
            </w:r>
          </w:p>
        </w:tc>
        <w:tc>
          <w:tcPr>
            <w:tcW w:w="272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1,725,000</w:t>
            </w:r>
          </w:p>
        </w:tc>
        <w:tc>
          <w:tcPr>
            <w:tcW w:w="324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2,300,000</w:t>
            </w:r>
          </w:p>
        </w:tc>
        <w:tc>
          <w:tcPr>
            <w:tcW w:w="0" w:type="dxa"/>
            <w:vAlign w:val="bottom"/>
          </w:tcPr>
          <w:p>
            <w:pPr>
              <w:spacing w:after="0"/>
              <w:rPr>
                <w:sz w:val="1"/>
                <w:szCs w:val="1"/>
                <w:color w:val="auto"/>
              </w:rPr>
            </w:pPr>
          </w:p>
        </w:tc>
      </w:tr>
      <w:tr>
        <w:trPr>
          <w:trHeight w:val="203"/>
        </w:trPr>
        <w:tc>
          <w:tcPr>
            <w:tcW w:w="5060" w:type="dxa"/>
            <w:vAlign w:val="bottom"/>
            <w:tcBorders>
              <w:bottom w:val="single" w:sz="8" w:color="0070C0"/>
            </w:tcBorders>
          </w:tcPr>
          <w:p>
            <w:pPr>
              <w:spacing w:after="0" w:line="196" w:lineRule="exact"/>
              <w:rPr>
                <w:sz w:val="20"/>
                <w:szCs w:val="20"/>
                <w:color w:val="auto"/>
              </w:rPr>
            </w:pPr>
            <w:r>
              <w:rPr>
                <w:rFonts w:ascii="Arial" w:cs="Arial" w:eastAsia="Arial" w:hAnsi="Arial"/>
                <w:sz w:val="18"/>
                <w:szCs w:val="18"/>
                <w:color w:val="auto"/>
              </w:rPr>
              <w:t>  Total</w:t>
            </w:r>
          </w:p>
        </w:tc>
        <w:tc>
          <w:tcPr>
            <w:tcW w:w="2720" w:type="dxa"/>
            <w:vAlign w:val="bottom"/>
            <w:tcBorders>
              <w:bottom w:val="single" w:sz="8" w:color="0070C0"/>
            </w:tcBorders>
          </w:tcPr>
          <w:p>
            <w:pPr>
              <w:jc w:val="right"/>
              <w:ind w:right="115"/>
              <w:spacing w:after="0" w:line="196" w:lineRule="exact"/>
              <w:rPr>
                <w:sz w:val="20"/>
                <w:szCs w:val="20"/>
                <w:color w:val="auto"/>
              </w:rPr>
            </w:pPr>
            <w:r>
              <w:rPr>
                <w:rFonts w:ascii="Arial" w:cs="Arial" w:eastAsia="Arial" w:hAnsi="Arial"/>
                <w:sz w:val="18"/>
                <w:szCs w:val="18"/>
                <w:color w:val="auto"/>
              </w:rPr>
              <w:t>2,985,000</w:t>
            </w:r>
          </w:p>
        </w:tc>
        <w:tc>
          <w:tcPr>
            <w:tcW w:w="3240" w:type="dxa"/>
            <w:vAlign w:val="bottom"/>
            <w:tcBorders>
              <w:bottom w:val="single" w:sz="8" w:color="0070C0"/>
            </w:tcBorders>
          </w:tcPr>
          <w:p>
            <w:pPr>
              <w:jc w:val="right"/>
              <w:ind w:right="95"/>
              <w:spacing w:after="0" w:line="196" w:lineRule="exact"/>
              <w:rPr>
                <w:sz w:val="20"/>
                <w:szCs w:val="20"/>
                <w:color w:val="auto"/>
              </w:rPr>
            </w:pPr>
            <w:r>
              <w:rPr>
                <w:rFonts w:ascii="Arial" w:cs="Arial" w:eastAsia="Arial" w:hAnsi="Arial"/>
                <w:sz w:val="18"/>
                <w:szCs w:val="18"/>
                <w:color w:val="auto"/>
              </w:rPr>
              <w:t>3,980,000</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2E75B4"/>
        </w:rPr>
        <w:t>Payments to NEOs upon Death, Retirement or Disability</w:t>
      </w:r>
    </w:p>
    <w:p>
      <w:pPr>
        <w:spacing w:after="0" w:line="20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following table summarizes the value of unvested restricted stock that would vest in the event of an NEO’s death, assuming such death occurred on December 31, 2023. The value was determined by multiplying the closing price of our common stock on December 31, 2023 ($182.82) by the number of shares that would have vested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699516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Executive Compensation</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68</w:t>
      </w:r>
    </w:p>
    <w:p>
      <w:pPr>
        <w:sectPr>
          <w:pgSz w:w="11900" w:h="16838" w:orient="portrait"/>
          <w:cols w:equalWidth="0" w:num="1">
            <w:col w:w="11020"/>
          </w:cols>
          <w:pgMar w:left="440" w:top="296" w:right="4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89"/>
        </w:trPr>
        <w:tc>
          <w:tcPr>
            <w:tcW w:w="8580" w:type="dxa"/>
            <w:vAlign w:val="bottom"/>
          </w:tcPr>
          <w:p>
            <w:pPr>
              <w:spacing w:after="0"/>
              <w:rPr>
                <w:sz w:val="16"/>
                <w:szCs w:val="16"/>
                <w:color w:val="auto"/>
              </w:rPr>
            </w:pPr>
          </w:p>
        </w:tc>
        <w:tc>
          <w:tcPr>
            <w:tcW w:w="2080" w:type="dxa"/>
            <w:vAlign w:val="bottom"/>
          </w:tcPr>
          <w:p>
            <w:pPr>
              <w:jc w:val="center"/>
              <w:ind w:left="73"/>
              <w:spacing w:after="0"/>
              <w:rPr>
                <w:sz w:val="20"/>
                <w:szCs w:val="20"/>
                <w:color w:val="auto"/>
              </w:rPr>
            </w:pPr>
            <w:r>
              <w:rPr>
                <w:rFonts w:ascii="Arial" w:cs="Arial" w:eastAsia="Arial" w:hAnsi="Arial"/>
                <w:sz w:val="16"/>
                <w:szCs w:val="16"/>
                <w:b w:val="1"/>
                <w:bCs w:val="1"/>
                <w:color w:val="002060"/>
              </w:rPr>
              <w:t>Unvested Restricted</w:t>
            </w:r>
          </w:p>
        </w:tc>
        <w:tc>
          <w:tcPr>
            <w:tcW w:w="360" w:type="dxa"/>
            <w:vAlign w:val="bottom"/>
          </w:tcPr>
          <w:p>
            <w:pPr>
              <w:spacing w:after="0"/>
              <w:rPr>
                <w:sz w:val="16"/>
                <w:szCs w:val="16"/>
                <w:color w:val="auto"/>
              </w:rPr>
            </w:pPr>
          </w:p>
        </w:tc>
      </w:tr>
      <w:tr>
        <w:trPr>
          <w:trHeight w:val="189"/>
        </w:trPr>
        <w:tc>
          <w:tcPr>
            <w:tcW w:w="8580" w:type="dxa"/>
            <w:vAlign w:val="bottom"/>
          </w:tcPr>
          <w:p>
            <w:pPr>
              <w:spacing w:after="0"/>
              <w:rPr>
                <w:sz w:val="16"/>
                <w:szCs w:val="16"/>
                <w:color w:val="auto"/>
              </w:rPr>
            </w:pPr>
          </w:p>
        </w:tc>
        <w:tc>
          <w:tcPr>
            <w:tcW w:w="2080" w:type="dxa"/>
            <w:vAlign w:val="bottom"/>
          </w:tcPr>
          <w:p>
            <w:pPr>
              <w:jc w:val="center"/>
              <w:ind w:left="73"/>
              <w:spacing w:after="0"/>
              <w:rPr>
                <w:sz w:val="20"/>
                <w:szCs w:val="20"/>
                <w:color w:val="auto"/>
              </w:rPr>
            </w:pPr>
            <w:r>
              <w:rPr>
                <w:rFonts w:ascii="Arial" w:cs="Arial" w:eastAsia="Arial" w:hAnsi="Arial"/>
                <w:sz w:val="16"/>
                <w:szCs w:val="16"/>
                <w:b w:val="1"/>
                <w:bCs w:val="1"/>
                <w:color w:val="002060"/>
              </w:rPr>
              <w:t>Stock</w:t>
            </w:r>
          </w:p>
        </w:tc>
        <w:tc>
          <w:tcPr>
            <w:tcW w:w="360" w:type="dxa"/>
            <w:vAlign w:val="bottom"/>
          </w:tcPr>
          <w:p>
            <w:pPr>
              <w:spacing w:after="0"/>
              <w:rPr>
                <w:sz w:val="16"/>
                <w:szCs w:val="16"/>
                <w:color w:val="auto"/>
              </w:rPr>
            </w:pPr>
          </w:p>
        </w:tc>
      </w:tr>
      <w:tr>
        <w:trPr>
          <w:trHeight w:val="210"/>
        </w:trPr>
        <w:tc>
          <w:tcPr>
            <w:tcW w:w="8580" w:type="dxa"/>
            <w:vAlign w:val="bottom"/>
            <w:tcBorders>
              <w:bottom w:val="single" w:sz="8" w:color="0070C0"/>
            </w:tcBorders>
          </w:tcPr>
          <w:p>
            <w:pPr>
              <w:spacing w:after="0"/>
              <w:rPr>
                <w:sz w:val="20"/>
                <w:szCs w:val="20"/>
                <w:color w:val="auto"/>
              </w:rPr>
            </w:pPr>
            <w:r>
              <w:rPr>
                <w:rFonts w:ascii="Arial" w:cs="Arial" w:eastAsia="Arial" w:hAnsi="Arial"/>
                <w:sz w:val="16"/>
                <w:szCs w:val="16"/>
                <w:b w:val="1"/>
                <w:bCs w:val="1"/>
                <w:color w:val="002060"/>
              </w:rPr>
              <w:t>Name</w:t>
            </w:r>
          </w:p>
        </w:tc>
        <w:tc>
          <w:tcPr>
            <w:tcW w:w="2080" w:type="dxa"/>
            <w:vAlign w:val="bottom"/>
            <w:tcBorders>
              <w:bottom w:val="single" w:sz="8" w:color="0070C0"/>
            </w:tcBorders>
          </w:tcPr>
          <w:p>
            <w:pPr>
              <w:jc w:val="center"/>
              <w:ind w:left="73"/>
              <w:spacing w:after="0"/>
              <w:rPr>
                <w:sz w:val="20"/>
                <w:szCs w:val="20"/>
                <w:color w:val="auto"/>
              </w:rPr>
            </w:pPr>
            <w:r>
              <w:rPr>
                <w:rFonts w:ascii="Arial" w:cs="Arial" w:eastAsia="Arial" w:hAnsi="Arial"/>
                <w:sz w:val="16"/>
                <w:szCs w:val="16"/>
                <w:b w:val="1"/>
                <w:bCs w:val="1"/>
                <w:color w:val="002060"/>
              </w:rPr>
              <w:t>($)</w:t>
            </w:r>
          </w:p>
        </w:tc>
        <w:tc>
          <w:tcPr>
            <w:tcW w:w="360" w:type="dxa"/>
            <w:vAlign w:val="bottom"/>
            <w:tcBorders>
              <w:bottom w:val="single" w:sz="8" w:color="0070C0"/>
            </w:tcBorders>
          </w:tcPr>
          <w:p>
            <w:pPr>
              <w:ind w:left="160"/>
              <w:spacing w:after="0"/>
              <w:rPr>
                <w:sz w:val="20"/>
                <w:szCs w:val="20"/>
                <w:color w:val="auto"/>
              </w:rPr>
            </w:pPr>
            <w:r>
              <w:rPr>
                <w:rFonts w:ascii="Arial" w:cs="Arial" w:eastAsia="Arial" w:hAnsi="Arial"/>
                <w:sz w:val="16"/>
                <w:szCs w:val="16"/>
                <w:b w:val="1"/>
                <w:bCs w:val="1"/>
                <w:color w:val="002060"/>
              </w:rPr>
              <w:t> </w:t>
            </w:r>
          </w:p>
        </w:tc>
      </w:tr>
      <w:tr>
        <w:trPr>
          <w:trHeight w:val="203"/>
        </w:trPr>
        <w:tc>
          <w:tcPr>
            <w:tcW w:w="8580" w:type="dxa"/>
            <w:vAlign w:val="bottom"/>
            <w:tcBorders>
              <w:bottom w:val="single" w:sz="8" w:color="auto"/>
            </w:tcBorders>
            <w:shd w:val="clear" w:color="auto" w:fill="D5DCE4"/>
          </w:tcPr>
          <w:p>
            <w:pPr>
              <w:spacing w:after="0" w:line="202" w:lineRule="exact"/>
              <w:rPr>
                <w:sz w:val="20"/>
                <w:szCs w:val="20"/>
                <w:color w:val="auto"/>
              </w:rPr>
            </w:pPr>
            <w:r>
              <w:rPr>
                <w:rFonts w:ascii="Arial" w:cs="Arial" w:eastAsia="Arial" w:hAnsi="Arial"/>
                <w:sz w:val="18"/>
                <w:szCs w:val="18"/>
                <w:color w:val="auto"/>
              </w:rPr>
              <w:t>  Jeffrey W. Edwards</w:t>
            </w:r>
          </w:p>
        </w:tc>
        <w:tc>
          <w:tcPr>
            <w:tcW w:w="2080" w:type="dxa"/>
            <w:vAlign w:val="bottom"/>
            <w:tcBorders>
              <w:bottom w:val="single" w:sz="8" w:color="auto"/>
            </w:tcBorders>
          </w:tcPr>
          <w:p>
            <w:pPr>
              <w:jc w:val="right"/>
              <w:ind w:right="253"/>
              <w:spacing w:after="0" w:line="202" w:lineRule="exact"/>
              <w:rPr>
                <w:sz w:val="20"/>
                <w:szCs w:val="20"/>
                <w:color w:val="auto"/>
              </w:rPr>
            </w:pPr>
            <w:r>
              <w:rPr>
                <w:rFonts w:ascii="Arial" w:cs="Arial" w:eastAsia="Arial" w:hAnsi="Arial"/>
                <w:sz w:val="18"/>
                <w:szCs w:val="18"/>
                <w:color w:val="auto"/>
              </w:rPr>
              <w:t>8,000,386 </w:t>
            </w:r>
          </w:p>
        </w:tc>
        <w:tc>
          <w:tcPr>
            <w:tcW w:w="360" w:type="dxa"/>
            <w:vAlign w:val="bottom"/>
            <w:tcBorders>
              <w:bottom w:val="single" w:sz="8" w:color="auto"/>
            </w:tcBorders>
          </w:tcPr>
          <w:p>
            <w:pPr>
              <w:spacing w:after="0"/>
              <w:rPr>
                <w:sz w:val="17"/>
                <w:szCs w:val="17"/>
                <w:color w:val="auto"/>
              </w:rPr>
            </w:pPr>
          </w:p>
        </w:tc>
      </w:tr>
      <w:tr>
        <w:trPr>
          <w:trHeight w:val="196"/>
        </w:trPr>
        <w:tc>
          <w:tcPr>
            <w:tcW w:w="858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  Michael T. Miller</w:t>
            </w:r>
          </w:p>
        </w:tc>
        <w:tc>
          <w:tcPr>
            <w:tcW w:w="2080" w:type="dxa"/>
            <w:vAlign w:val="bottom"/>
            <w:tcBorders>
              <w:bottom w:val="single" w:sz="8" w:color="auto"/>
            </w:tcBorders>
          </w:tcPr>
          <w:p>
            <w:pPr>
              <w:jc w:val="right"/>
              <w:ind w:right="253"/>
              <w:spacing w:after="0" w:line="196" w:lineRule="exact"/>
              <w:rPr>
                <w:sz w:val="20"/>
                <w:szCs w:val="20"/>
                <w:color w:val="auto"/>
              </w:rPr>
            </w:pPr>
            <w:r>
              <w:rPr>
                <w:rFonts w:ascii="Arial" w:cs="Arial" w:eastAsia="Arial" w:hAnsi="Arial"/>
                <w:sz w:val="18"/>
                <w:szCs w:val="18"/>
                <w:color w:val="auto"/>
              </w:rPr>
              <w:t>2,619,445 </w:t>
            </w:r>
          </w:p>
        </w:tc>
        <w:tc>
          <w:tcPr>
            <w:tcW w:w="360" w:type="dxa"/>
            <w:vAlign w:val="bottom"/>
            <w:tcBorders>
              <w:bottom w:val="single" w:sz="8" w:color="auto"/>
            </w:tcBorders>
          </w:tcPr>
          <w:p>
            <w:pPr>
              <w:spacing w:after="0"/>
              <w:rPr>
                <w:sz w:val="17"/>
                <w:szCs w:val="17"/>
                <w:color w:val="auto"/>
              </w:rPr>
            </w:pPr>
          </w:p>
        </w:tc>
      </w:tr>
      <w:tr>
        <w:trPr>
          <w:trHeight w:val="196"/>
        </w:trPr>
        <w:tc>
          <w:tcPr>
            <w:tcW w:w="858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  Jay P. Elliott</w:t>
            </w:r>
          </w:p>
        </w:tc>
        <w:tc>
          <w:tcPr>
            <w:tcW w:w="2080" w:type="dxa"/>
            <w:vAlign w:val="bottom"/>
            <w:tcBorders>
              <w:bottom w:val="single" w:sz="8" w:color="auto"/>
            </w:tcBorders>
          </w:tcPr>
          <w:p>
            <w:pPr>
              <w:jc w:val="right"/>
              <w:ind w:right="253"/>
              <w:spacing w:after="0" w:line="196" w:lineRule="exact"/>
              <w:rPr>
                <w:sz w:val="20"/>
                <w:szCs w:val="20"/>
                <w:color w:val="auto"/>
              </w:rPr>
            </w:pPr>
            <w:r>
              <w:rPr>
                <w:rFonts w:ascii="Arial" w:cs="Arial" w:eastAsia="Arial" w:hAnsi="Arial"/>
                <w:sz w:val="18"/>
                <w:szCs w:val="18"/>
                <w:color w:val="auto"/>
              </w:rPr>
              <w:t>2,742,848 </w:t>
            </w:r>
          </w:p>
        </w:tc>
        <w:tc>
          <w:tcPr>
            <w:tcW w:w="360" w:type="dxa"/>
            <w:vAlign w:val="bottom"/>
            <w:tcBorders>
              <w:bottom w:val="single" w:sz="8" w:color="auto"/>
            </w:tcBorders>
          </w:tcPr>
          <w:p>
            <w:pPr>
              <w:spacing w:after="0"/>
              <w:rPr>
                <w:sz w:val="17"/>
                <w:szCs w:val="17"/>
                <w:color w:val="auto"/>
              </w:rPr>
            </w:pPr>
          </w:p>
        </w:tc>
      </w:tr>
      <w:tr>
        <w:trPr>
          <w:trHeight w:val="196"/>
        </w:trPr>
        <w:tc>
          <w:tcPr>
            <w:tcW w:w="8580" w:type="dxa"/>
            <w:vAlign w:val="bottom"/>
            <w:tcBorders>
              <w:bottom w:val="single" w:sz="8" w:color="auto"/>
            </w:tcBorders>
            <w:shd w:val="clear" w:color="auto" w:fill="D5DCE4"/>
          </w:tcPr>
          <w:p>
            <w:pPr>
              <w:spacing w:after="0" w:line="196" w:lineRule="exact"/>
              <w:rPr>
                <w:sz w:val="20"/>
                <w:szCs w:val="20"/>
                <w:color w:val="auto"/>
              </w:rPr>
            </w:pPr>
            <w:r>
              <w:rPr>
                <w:rFonts w:ascii="Arial" w:cs="Arial" w:eastAsia="Arial" w:hAnsi="Arial"/>
                <w:sz w:val="18"/>
                <w:szCs w:val="18"/>
                <w:color w:val="auto"/>
              </w:rPr>
              <w:t>  W. Jeffrey Hire</w:t>
            </w:r>
          </w:p>
        </w:tc>
        <w:tc>
          <w:tcPr>
            <w:tcW w:w="2080" w:type="dxa"/>
            <w:vAlign w:val="bottom"/>
            <w:tcBorders>
              <w:bottom w:val="single" w:sz="8" w:color="auto"/>
            </w:tcBorders>
          </w:tcPr>
          <w:p>
            <w:pPr>
              <w:jc w:val="right"/>
              <w:ind w:right="253"/>
              <w:spacing w:after="0" w:line="196" w:lineRule="exact"/>
              <w:rPr>
                <w:sz w:val="20"/>
                <w:szCs w:val="20"/>
                <w:color w:val="auto"/>
              </w:rPr>
            </w:pPr>
            <w:r>
              <w:rPr>
                <w:rFonts w:ascii="Arial" w:cs="Arial" w:eastAsia="Arial" w:hAnsi="Arial"/>
                <w:sz w:val="18"/>
                <w:szCs w:val="18"/>
                <w:color w:val="auto"/>
              </w:rPr>
              <w:t>1,489,800 </w:t>
            </w:r>
          </w:p>
        </w:tc>
        <w:tc>
          <w:tcPr>
            <w:tcW w:w="360" w:type="dxa"/>
            <w:vAlign w:val="bottom"/>
            <w:tcBorders>
              <w:bottom w:val="single" w:sz="8" w:color="auto"/>
            </w:tcBorders>
          </w:tcPr>
          <w:p>
            <w:pPr>
              <w:spacing w:after="0"/>
              <w:rPr>
                <w:sz w:val="17"/>
                <w:szCs w:val="17"/>
                <w:color w:val="auto"/>
              </w:rPr>
            </w:pPr>
          </w:p>
        </w:tc>
      </w:tr>
      <w:tr>
        <w:trPr>
          <w:trHeight w:val="203"/>
        </w:trPr>
        <w:tc>
          <w:tcPr>
            <w:tcW w:w="8580" w:type="dxa"/>
            <w:vAlign w:val="bottom"/>
            <w:tcBorders>
              <w:bottom w:val="single" w:sz="8" w:color="0070C0"/>
            </w:tcBorders>
            <w:shd w:val="clear" w:color="auto" w:fill="D5DCE4"/>
          </w:tcPr>
          <w:p>
            <w:pPr>
              <w:spacing w:after="0" w:line="196" w:lineRule="exact"/>
              <w:rPr>
                <w:sz w:val="20"/>
                <w:szCs w:val="20"/>
                <w:color w:val="auto"/>
              </w:rPr>
            </w:pPr>
            <w:r>
              <w:rPr>
                <w:rFonts w:ascii="Arial" w:cs="Arial" w:eastAsia="Arial" w:hAnsi="Arial"/>
                <w:sz w:val="18"/>
                <w:szCs w:val="18"/>
                <w:color w:val="auto"/>
              </w:rPr>
              <w:t>  Jason R. Niswonger</w:t>
            </w:r>
          </w:p>
        </w:tc>
        <w:tc>
          <w:tcPr>
            <w:tcW w:w="2080" w:type="dxa"/>
            <w:vAlign w:val="bottom"/>
            <w:tcBorders>
              <w:bottom w:val="single" w:sz="8" w:color="0070C0"/>
            </w:tcBorders>
          </w:tcPr>
          <w:p>
            <w:pPr>
              <w:jc w:val="right"/>
              <w:ind w:right="253"/>
              <w:spacing w:after="0" w:line="196" w:lineRule="exact"/>
              <w:rPr>
                <w:sz w:val="20"/>
                <w:szCs w:val="20"/>
                <w:color w:val="auto"/>
              </w:rPr>
            </w:pPr>
            <w:r>
              <w:rPr>
                <w:rFonts w:ascii="Arial" w:cs="Arial" w:eastAsia="Arial" w:hAnsi="Arial"/>
                <w:sz w:val="18"/>
                <w:szCs w:val="18"/>
                <w:color w:val="auto"/>
              </w:rPr>
              <w:t>666,745 </w:t>
            </w:r>
          </w:p>
        </w:tc>
        <w:tc>
          <w:tcPr>
            <w:tcW w:w="360" w:type="dxa"/>
            <w:vAlign w:val="bottom"/>
            <w:tcBorders>
              <w:bottom w:val="single" w:sz="8" w:color="0070C0"/>
            </w:tcBorders>
          </w:tcPr>
          <w:p>
            <w:pPr>
              <w:spacing w:after="0"/>
              <w:rPr>
                <w:sz w:val="17"/>
                <w:szCs w:val="17"/>
                <w:color w:val="auto"/>
              </w:rPr>
            </w:pPr>
          </w:p>
        </w:tc>
      </w:tr>
    </w:tbl>
    <w:p>
      <w:pPr>
        <w:spacing w:after="0" w:line="1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right="60"/>
        <w:spacing w:after="0" w:line="271" w:lineRule="auto"/>
        <w:rPr>
          <w:sz w:val="20"/>
          <w:szCs w:val="20"/>
          <w:color w:val="auto"/>
        </w:rPr>
      </w:pPr>
      <w:r>
        <w:rPr>
          <w:rFonts w:ascii="Arial" w:cs="Arial" w:eastAsia="Arial" w:hAnsi="Arial"/>
          <w:sz w:val="18"/>
          <w:szCs w:val="18"/>
          <w:color w:val="auto"/>
        </w:rPr>
        <w:t>If an NEO’s employment is terminated due to death, retirement or disability, the CHC Committee may also, in the exercise of its discretion, determine to waive any limitations placed on performance-based incentive cash awards.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Chief Executive Officer Pay Ratio</w:t>
      </w:r>
    </w:p>
    <w:p>
      <w:pPr>
        <w:spacing w:after="0" w:line="21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accordance with SEC rules, we are providing the ratio of the annual total compensation of our Chief Executive Officer to the annual total compensation of our median employee.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For 2023:</w:t>
      </w:r>
    </w:p>
    <w:p>
      <w:pPr>
        <w:spacing w:after="0" w:line="66" w:lineRule="exact"/>
        <w:rPr>
          <w:sz w:val="20"/>
          <w:szCs w:val="20"/>
          <w:color w:val="auto"/>
        </w:rPr>
      </w:pPr>
    </w:p>
    <w:p>
      <w:pPr>
        <w:ind w:left="960" w:hanging="532"/>
        <w:spacing w:after="0"/>
        <w:tabs>
          <w:tab w:leader="none" w:pos="960" w:val="left"/>
        </w:tabs>
        <w:numPr>
          <w:ilvl w:val="0"/>
          <w:numId w:val="40"/>
        </w:numPr>
        <w:rPr>
          <w:rFonts w:ascii="MS PGothic" w:cs="MS PGothic" w:eastAsia="MS PGothic" w:hAnsi="MS PGothic"/>
          <w:sz w:val="29"/>
          <w:szCs w:val="29"/>
          <w:color w:val="002060"/>
          <w:vertAlign w:val="superscript"/>
        </w:rPr>
      </w:pPr>
      <w:r>
        <w:rPr>
          <w:rFonts w:ascii="Arial" w:cs="Arial" w:eastAsia="Arial" w:hAnsi="Arial"/>
          <w:sz w:val="18"/>
          <w:szCs w:val="18"/>
          <w:color w:val="auto"/>
        </w:rPr>
        <w:t>the annual total compensation of our median employee was $59,029;</w:t>
      </w:r>
    </w:p>
    <w:p>
      <w:pPr>
        <w:spacing w:after="0" w:line="103" w:lineRule="exact"/>
        <w:rPr>
          <w:rFonts w:ascii="MS PGothic" w:cs="MS PGothic" w:eastAsia="MS PGothic" w:hAnsi="MS PGothic"/>
          <w:sz w:val="29"/>
          <w:szCs w:val="29"/>
          <w:color w:val="002060"/>
          <w:vertAlign w:val="superscript"/>
        </w:rPr>
      </w:pPr>
    </w:p>
    <w:p>
      <w:pPr>
        <w:ind w:left="960" w:hanging="532"/>
        <w:spacing w:after="0" w:line="182" w:lineRule="auto"/>
        <w:tabs>
          <w:tab w:leader="none" w:pos="960" w:val="left"/>
        </w:tabs>
        <w:numPr>
          <w:ilvl w:val="0"/>
          <w:numId w:val="40"/>
        </w:numPr>
        <w:rPr>
          <w:rFonts w:ascii="MS PGothic" w:cs="MS PGothic" w:eastAsia="MS PGothic" w:hAnsi="MS PGothic"/>
          <w:sz w:val="29"/>
          <w:szCs w:val="29"/>
          <w:color w:val="002060"/>
          <w:vertAlign w:val="superscript"/>
        </w:rPr>
      </w:pPr>
      <w:r>
        <w:rPr>
          <w:rFonts w:ascii="Arial" w:cs="Arial" w:eastAsia="Arial" w:hAnsi="Arial"/>
          <w:sz w:val="18"/>
          <w:szCs w:val="18"/>
          <w:color w:val="auto"/>
        </w:rPr>
        <w:t>the annual total compensation of our CEO was $5,932,174; and</w:t>
      </w:r>
    </w:p>
    <w:p>
      <w:pPr>
        <w:spacing w:after="0" w:line="104" w:lineRule="exact"/>
        <w:rPr>
          <w:rFonts w:ascii="MS PGothic" w:cs="MS PGothic" w:eastAsia="MS PGothic" w:hAnsi="MS PGothic"/>
          <w:sz w:val="29"/>
          <w:szCs w:val="29"/>
          <w:color w:val="002060"/>
          <w:vertAlign w:val="superscript"/>
        </w:rPr>
      </w:pPr>
    </w:p>
    <w:p>
      <w:pPr>
        <w:ind w:left="960" w:right="800" w:hanging="532"/>
        <w:spacing w:after="0" w:line="204" w:lineRule="auto"/>
        <w:tabs>
          <w:tab w:leader="none" w:pos="960" w:val="left"/>
        </w:tabs>
        <w:numPr>
          <w:ilvl w:val="0"/>
          <w:numId w:val="40"/>
        </w:numPr>
        <w:rPr>
          <w:rFonts w:ascii="MS PGothic" w:cs="MS PGothic" w:eastAsia="MS PGothic" w:hAnsi="MS PGothic"/>
          <w:sz w:val="29"/>
          <w:szCs w:val="29"/>
          <w:color w:val="002060"/>
          <w:vertAlign w:val="superscript"/>
        </w:rPr>
      </w:pPr>
      <w:r>
        <w:rPr>
          <w:rFonts w:ascii="Arial" w:cs="Arial" w:eastAsia="Arial" w:hAnsi="Arial"/>
          <w:sz w:val="18"/>
          <w:szCs w:val="18"/>
          <w:color w:val="auto"/>
        </w:rPr>
        <w:t>the ratio of the annual total compensation of our CEO to the annual total compensation of our median employee was approximately 101 to 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methodology and material assumptions, adjustments, and estimates that we used for these calculations were as follows.</w:t>
      </w:r>
    </w:p>
    <w:p>
      <w:pPr>
        <w:spacing w:after="0" w:line="212"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We determined that, as of our testing date of December 31, 2023, our employee population consisted of 10,299 employees, including our CEO. After taking into consideration the adjustments permitted by SEC rules (by excluding 156 employees, 129 of whom were hired after the final pay period in December 2023 and 27 of whom were paid from multiple subsidiaries), our measurable employee population was 10,142 individuals. All of our employees are located in the United States.</w:t>
      </w:r>
    </w:p>
    <w:p>
      <w:pPr>
        <w:spacing w:after="0" w:line="174"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With respect to the annual total compensation used to determine our “median employee,” we used a consistently applied measure, which we applied separately for salaried and hourly employees. For salaried employees, we used base salary rate. For hourly employees, we estimated annual wages based on hourly wage rate and normal weekly schedule. For piece rate employees, we used earned production wages. For salespersons, wages included commissions. We annualized the compensation of employees who were employed on our December 31, 2023 testing date, but who worked less than a full year.</w:t>
      </w:r>
    </w:p>
    <w:p>
      <w:pPr>
        <w:spacing w:after="0" w:line="176"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 xml:space="preserve">Once we identified our median employee, we combined all of the elements of the employee’s compensation for 2023 in accordance with SEC rules, resulting in annual total compensation of $59,029. For the annual total compensation of our CEO, we used the amount reported in the “Total” column of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169"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The SEC rules for identifying the median employee and calculating the pay ratio allow companies to choose from a variety of methodologies, to apply certain exclusions, and to make reasonable estimates and assumptions that reflect their varied employee populations and compensation practices. The pay ratio reported by other companies may not be comparable to our reported pay ratio, as other companies have differing employee populations and compensation practices and may utilize different methodologies, exclusions, estimates and assumptions in calculating their pay ratios.</w:t>
      </w:r>
    </w:p>
    <w:p>
      <w:pPr>
        <w:spacing w:after="0" w:line="176"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Our pay philosophy is to pay our workforce competitively. We offer competitive pay based on industry specific compensation practices across our local markets, taking into account job responsibilities and individual performance. We believe both our CEO and our employee compensation programs are structured to attract and retain valuable talent necessary to drive profitable operations and enhance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267970</wp:posOffset>
            </wp:positionV>
            <wp:extent cx="699516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Executive Compensation</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69</w:t>
      </w:r>
    </w:p>
    <w:p>
      <w:pPr>
        <w:sectPr>
          <w:pgSz w:w="11900" w:h="16838" w:orient="portrait"/>
          <w:cols w:equalWidth="0" w:num="1">
            <w:col w:w="11020"/>
          </w:cols>
          <w:pgMar w:left="440" w:top="301" w:right="439" w:bottom="1440" w:gutter="0" w:footer="0" w:header="0"/>
        </w:sectPr>
      </w:pPr>
    </w:p>
    <w:bookmarkStart w:id="77" w:name="page78"/>
    <w:bookmarkEnd w:id="77"/>
    <w:p>
      <w:pPr>
        <w:spacing w:after="0"/>
        <w:rPr>
          <w:sz w:val="20"/>
          <w:szCs w:val="20"/>
          <w:color w:val="auto"/>
        </w:rPr>
      </w:pPr>
      <w:r>
        <w:rPr>
          <w:rFonts w:ascii="Arial" w:cs="Arial" w:eastAsia="Arial" w:hAnsi="Arial"/>
          <w:sz w:val="22"/>
          <w:szCs w:val="22"/>
          <w:b w:val="1"/>
          <w:bCs w:val="1"/>
          <w:color w:val="00206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Pay Versus Performance</w:t>
      </w:r>
    </w:p>
    <w:p>
      <w:pPr>
        <w:spacing w:after="0" w:line="21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The following information has been prepared in accordance with the SEC’s pay versus performance rules under the Exchange Act. The tables and related disclosures contain information about the relationship between our executive compensation actually paid (as defined by SEC rules) and certain Company financial performance measures. The CHC Committee did not consider this information when making its executive compensation decisions in 2023 or in setting target compensation for 2024. For further information about how we align executive compensation with Company performance, see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The amounts in the tables below are calculated in accordance with SEC rules and may not represent amounts actually earned or realized by our Principal Executive Officer (“PEO”) or Non-PEO Named Executive Officers.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2"/>
          </w:tcPr>
          <w:p>
            <w:pPr>
              <w:jc w:val="center"/>
              <w:spacing w:after="0"/>
              <w:rPr>
                <w:sz w:val="20"/>
                <w:szCs w:val="20"/>
                <w:color w:val="auto"/>
              </w:rPr>
            </w:pPr>
            <w:r>
              <w:rPr>
                <w:rFonts w:ascii="Arial" w:cs="Arial" w:eastAsia="Arial" w:hAnsi="Arial"/>
                <w:sz w:val="14"/>
                <w:szCs w:val="14"/>
                <w:b w:val="1"/>
                <w:bCs w:val="1"/>
                <w:color w:val="002060"/>
              </w:rPr>
              <w:t>Value of initial Fixed $100</w:t>
            </w: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92"/>
        </w:trPr>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20" w:type="dxa"/>
            <w:vAlign w:val="bottom"/>
          </w:tcPr>
          <w:p>
            <w:pPr>
              <w:jc w:val="right"/>
              <w:ind w:right="61"/>
              <w:spacing w:after="0"/>
              <w:rPr>
                <w:sz w:val="20"/>
                <w:szCs w:val="20"/>
                <w:color w:val="auto"/>
              </w:rPr>
            </w:pPr>
            <w:r>
              <w:rPr>
                <w:rFonts w:ascii="Arial" w:cs="Arial" w:eastAsia="Arial" w:hAnsi="Arial"/>
                <w:sz w:val="14"/>
                <w:szCs w:val="14"/>
                <w:b w:val="1"/>
                <w:bCs w:val="1"/>
                <w:color w:val="002060"/>
              </w:rPr>
              <w:t>Average Summary</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002060"/>
              </w:rPr>
              <w:t>Average</w:t>
            </w:r>
          </w:p>
        </w:tc>
        <w:tc>
          <w:tcPr>
            <w:tcW w:w="2100" w:type="dxa"/>
            <w:vAlign w:val="bottom"/>
            <w:gridSpan w:val="2"/>
          </w:tcPr>
          <w:p>
            <w:pPr>
              <w:jc w:val="center"/>
              <w:spacing w:after="0"/>
              <w:rPr>
                <w:sz w:val="20"/>
                <w:szCs w:val="20"/>
                <w:color w:val="auto"/>
              </w:rPr>
            </w:pPr>
            <w:r>
              <w:rPr>
                <w:rFonts w:ascii="Arial" w:cs="Arial" w:eastAsia="Arial" w:hAnsi="Arial"/>
                <w:sz w:val="14"/>
                <w:szCs w:val="14"/>
                <w:b w:val="1"/>
                <w:bCs w:val="1"/>
                <w:color w:val="002060"/>
              </w:rPr>
              <w:t>Investment Based On</w:t>
            </w:r>
          </w:p>
        </w:tc>
        <w:tc>
          <w:tcPr>
            <w:tcW w:w="14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39"/>
        </w:trPr>
        <w:tc>
          <w:tcPr>
            <w:tcW w:w="500" w:type="dxa"/>
            <w:vAlign w:val="bottom"/>
          </w:tcPr>
          <w:p>
            <w:pPr>
              <w:spacing w:after="0"/>
              <w:rPr>
                <w:sz w:val="12"/>
                <w:szCs w:val="12"/>
                <w:color w:val="auto"/>
              </w:rPr>
            </w:pPr>
          </w:p>
        </w:tc>
        <w:tc>
          <w:tcPr>
            <w:tcW w:w="1400" w:type="dxa"/>
            <w:vAlign w:val="bottom"/>
          </w:tcPr>
          <w:p>
            <w:pPr>
              <w:jc w:val="center"/>
              <w:ind w:left="40"/>
              <w:spacing w:after="0" w:line="139" w:lineRule="exact"/>
              <w:rPr>
                <w:sz w:val="20"/>
                <w:szCs w:val="20"/>
                <w:color w:val="auto"/>
              </w:rPr>
            </w:pPr>
            <w:r>
              <w:rPr>
                <w:rFonts w:ascii="Arial" w:cs="Arial" w:eastAsia="Arial" w:hAnsi="Arial"/>
                <w:sz w:val="14"/>
                <w:szCs w:val="14"/>
                <w:b w:val="1"/>
                <w:bCs w:val="1"/>
                <w:color w:val="002060"/>
              </w:rPr>
              <w:t>Summary</w:t>
            </w:r>
          </w:p>
        </w:tc>
        <w:tc>
          <w:tcPr>
            <w:tcW w:w="1340" w:type="dxa"/>
            <w:vAlign w:val="bottom"/>
          </w:tcPr>
          <w:p>
            <w:pPr>
              <w:spacing w:after="0"/>
              <w:rPr>
                <w:sz w:val="12"/>
                <w:szCs w:val="12"/>
                <w:color w:val="auto"/>
              </w:rPr>
            </w:pPr>
          </w:p>
        </w:tc>
        <w:tc>
          <w:tcPr>
            <w:tcW w:w="1520" w:type="dxa"/>
            <w:vAlign w:val="bottom"/>
          </w:tcPr>
          <w:p>
            <w:pPr>
              <w:jc w:val="center"/>
              <w:spacing w:after="0" w:line="139" w:lineRule="exact"/>
              <w:rPr>
                <w:sz w:val="20"/>
                <w:szCs w:val="20"/>
                <w:color w:val="auto"/>
              </w:rPr>
            </w:pPr>
            <w:r>
              <w:rPr>
                <w:rFonts w:ascii="Arial" w:cs="Arial" w:eastAsia="Arial" w:hAnsi="Arial"/>
                <w:sz w:val="14"/>
                <w:szCs w:val="14"/>
                <w:b w:val="1"/>
                <w:bCs w:val="1"/>
                <w:color w:val="002060"/>
              </w:rPr>
              <w:t>Compensation</w:t>
            </w:r>
          </w:p>
        </w:tc>
        <w:tc>
          <w:tcPr>
            <w:tcW w:w="1380" w:type="dxa"/>
            <w:vAlign w:val="bottom"/>
          </w:tcPr>
          <w:p>
            <w:pPr>
              <w:jc w:val="center"/>
              <w:ind w:left="61"/>
              <w:spacing w:after="0" w:line="139" w:lineRule="exact"/>
              <w:rPr>
                <w:sz w:val="20"/>
                <w:szCs w:val="20"/>
                <w:color w:val="auto"/>
              </w:rPr>
            </w:pPr>
            <w:r>
              <w:rPr>
                <w:rFonts w:ascii="Arial" w:cs="Arial" w:eastAsia="Arial" w:hAnsi="Arial"/>
                <w:sz w:val="14"/>
                <w:szCs w:val="14"/>
                <w:b w:val="1"/>
                <w:bCs w:val="1"/>
                <w:color w:val="002060"/>
              </w:rPr>
              <w:t>Compensation</w:t>
            </w:r>
          </w:p>
        </w:tc>
        <w:tc>
          <w:tcPr>
            <w:tcW w:w="120" w:type="dxa"/>
            <w:vAlign w:val="bottom"/>
            <w:tcBorders>
              <w:top w:val="single" w:sz="8" w:color="0070C0"/>
            </w:tcBorders>
          </w:tcPr>
          <w:p>
            <w:pPr>
              <w:spacing w:after="0"/>
              <w:rPr>
                <w:sz w:val="12"/>
                <w:szCs w:val="12"/>
                <w:color w:val="auto"/>
              </w:rPr>
            </w:pPr>
          </w:p>
        </w:tc>
        <w:tc>
          <w:tcPr>
            <w:tcW w:w="1120" w:type="dxa"/>
            <w:vAlign w:val="bottom"/>
            <w:tcBorders>
              <w:top w:val="single" w:sz="8" w:color="0070C0"/>
            </w:tcBorders>
          </w:tcPr>
          <w:p>
            <w:pPr>
              <w:spacing w:after="0"/>
              <w:rPr>
                <w:sz w:val="12"/>
                <w:szCs w:val="12"/>
                <w:color w:val="auto"/>
              </w:rPr>
            </w:pPr>
          </w:p>
        </w:tc>
        <w:tc>
          <w:tcPr>
            <w:tcW w:w="980" w:type="dxa"/>
            <w:vAlign w:val="bottom"/>
            <w:tcBorders>
              <w:top w:val="single" w:sz="8" w:color="0070C0"/>
            </w:tcBorders>
          </w:tcPr>
          <w:p>
            <w:pPr>
              <w:jc w:val="center"/>
              <w:ind w:left="40"/>
              <w:spacing w:after="0" w:line="139" w:lineRule="exact"/>
              <w:rPr>
                <w:sz w:val="20"/>
                <w:szCs w:val="20"/>
                <w:color w:val="auto"/>
              </w:rPr>
            </w:pPr>
            <w:r>
              <w:rPr>
                <w:rFonts w:ascii="Arial" w:cs="Arial" w:eastAsia="Arial" w:hAnsi="Arial"/>
                <w:sz w:val="14"/>
                <w:szCs w:val="14"/>
                <w:b w:val="1"/>
                <w:bCs w:val="1"/>
                <w:color w:val="002060"/>
              </w:rPr>
              <w:t>Peer Group</w:t>
            </w:r>
          </w:p>
        </w:tc>
        <w:tc>
          <w:tcPr>
            <w:tcW w:w="142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62"/>
        </w:trPr>
        <w:tc>
          <w:tcPr>
            <w:tcW w:w="500" w:type="dxa"/>
            <w:vAlign w:val="bottom"/>
          </w:tcPr>
          <w:p>
            <w:pPr>
              <w:spacing w:after="0"/>
              <w:rPr>
                <w:sz w:val="14"/>
                <w:szCs w:val="14"/>
                <w:color w:val="auto"/>
              </w:rPr>
            </w:pPr>
          </w:p>
        </w:tc>
        <w:tc>
          <w:tcPr>
            <w:tcW w:w="1400" w:type="dxa"/>
            <w:vAlign w:val="bottom"/>
          </w:tcPr>
          <w:p>
            <w:pPr>
              <w:jc w:val="right"/>
              <w:ind w:right="60"/>
              <w:spacing w:after="0"/>
              <w:rPr>
                <w:sz w:val="20"/>
                <w:szCs w:val="20"/>
                <w:color w:val="auto"/>
              </w:rPr>
            </w:pPr>
            <w:r>
              <w:rPr>
                <w:rFonts w:ascii="Arial" w:cs="Arial" w:eastAsia="Arial" w:hAnsi="Arial"/>
                <w:sz w:val="14"/>
                <w:szCs w:val="14"/>
                <w:b w:val="1"/>
                <w:bCs w:val="1"/>
                <w:color w:val="002060"/>
              </w:rPr>
              <w:t>Compensation</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002060"/>
              </w:rPr>
              <w:t>Compensation</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2060"/>
              </w:rPr>
              <w:t>Table Total for</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002060"/>
              </w:rPr>
              <w:t>Actually Paid to</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002060"/>
                <w:w w:val="95"/>
              </w:rPr>
              <w:t>Total</w:t>
            </w:r>
          </w:p>
        </w:tc>
        <w:tc>
          <w:tcPr>
            <w:tcW w:w="980" w:type="dxa"/>
            <w:vAlign w:val="bottom"/>
          </w:tcPr>
          <w:p>
            <w:pPr>
              <w:jc w:val="center"/>
              <w:ind w:left="40"/>
              <w:spacing w:after="0"/>
              <w:rPr>
                <w:sz w:val="20"/>
                <w:szCs w:val="20"/>
                <w:color w:val="auto"/>
              </w:rPr>
            </w:pPr>
            <w:r>
              <w:rPr>
                <w:rFonts w:ascii="Arial" w:cs="Arial" w:eastAsia="Arial" w:hAnsi="Arial"/>
                <w:sz w:val="14"/>
                <w:szCs w:val="14"/>
                <w:b w:val="1"/>
                <w:bCs w:val="1"/>
                <w:color w:val="002060"/>
              </w:rPr>
              <w:t>Total</w:t>
            </w: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1400" w:type="dxa"/>
            <w:vAlign w:val="bottom"/>
          </w:tcPr>
          <w:p>
            <w:pPr>
              <w:jc w:val="right"/>
              <w:ind w:right="80"/>
              <w:spacing w:after="0"/>
              <w:rPr>
                <w:sz w:val="20"/>
                <w:szCs w:val="20"/>
                <w:color w:val="auto"/>
              </w:rPr>
            </w:pPr>
            <w:r>
              <w:rPr>
                <w:rFonts w:ascii="Arial" w:cs="Arial" w:eastAsia="Arial" w:hAnsi="Arial"/>
                <w:sz w:val="14"/>
                <w:szCs w:val="14"/>
                <w:b w:val="1"/>
                <w:bCs w:val="1"/>
                <w:color w:val="002060"/>
              </w:rPr>
              <w:t>Table Total for</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002060"/>
              </w:rPr>
              <w:t>Actually Paid to</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2060"/>
              </w:rPr>
              <w:t>Non-PEO Named</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002060"/>
              </w:rPr>
              <w:t>Non-PEO Named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002060"/>
              </w:rPr>
              <w:t>Shareholder</w:t>
            </w:r>
          </w:p>
        </w:tc>
        <w:tc>
          <w:tcPr>
            <w:tcW w:w="980" w:type="dxa"/>
            <w:vAlign w:val="bottom"/>
          </w:tcPr>
          <w:p>
            <w:pPr>
              <w:jc w:val="center"/>
              <w:ind w:left="20"/>
              <w:spacing w:after="0"/>
              <w:rPr>
                <w:sz w:val="20"/>
                <w:szCs w:val="20"/>
                <w:color w:val="auto"/>
              </w:rPr>
            </w:pPr>
            <w:r>
              <w:rPr>
                <w:rFonts w:ascii="Arial" w:cs="Arial" w:eastAsia="Arial" w:hAnsi="Arial"/>
                <w:sz w:val="14"/>
                <w:szCs w:val="14"/>
                <w:b w:val="1"/>
                <w:bCs w:val="1"/>
                <w:color w:val="002060"/>
              </w:rPr>
              <w:t>Shareholder</w:t>
            </w:r>
          </w:p>
        </w:tc>
        <w:tc>
          <w:tcPr>
            <w:tcW w:w="1420" w:type="dxa"/>
            <w:vAlign w:val="bottom"/>
          </w:tcPr>
          <w:p>
            <w:pPr>
              <w:spacing w:after="0"/>
              <w:rPr>
                <w:sz w:val="14"/>
                <w:szCs w:val="14"/>
                <w:color w:val="auto"/>
              </w:rPr>
            </w:pPr>
          </w:p>
        </w:tc>
        <w:tc>
          <w:tcPr>
            <w:tcW w:w="1240" w:type="dxa"/>
            <w:vAlign w:val="bottom"/>
          </w:tcPr>
          <w:p>
            <w:pPr>
              <w:jc w:val="center"/>
              <w:ind w:left="38"/>
              <w:spacing w:after="0"/>
              <w:rPr>
                <w:sz w:val="20"/>
                <w:szCs w:val="20"/>
                <w:color w:val="auto"/>
              </w:rPr>
            </w:pPr>
            <w:r>
              <w:rPr>
                <w:rFonts w:ascii="Arial" w:cs="Arial" w:eastAsia="Arial" w:hAnsi="Arial"/>
                <w:sz w:val="14"/>
                <w:szCs w:val="14"/>
                <w:b w:val="1"/>
                <w:bCs w:val="1"/>
                <w:color w:val="002060"/>
              </w:rPr>
              <w:t>Adjusted</w:t>
            </w:r>
          </w:p>
        </w:tc>
      </w:tr>
      <w:tr>
        <w:trPr>
          <w:trHeight w:val="162"/>
        </w:trPr>
        <w:tc>
          <w:tcPr>
            <w:tcW w:w="500" w:type="dxa"/>
            <w:vAlign w:val="bottom"/>
          </w:tcPr>
          <w:p>
            <w:pPr>
              <w:spacing w:after="0"/>
              <w:rPr>
                <w:sz w:val="14"/>
                <w:szCs w:val="14"/>
                <w:color w:val="auto"/>
              </w:rPr>
            </w:pPr>
          </w:p>
        </w:tc>
        <w:tc>
          <w:tcPr>
            <w:tcW w:w="1400" w:type="dxa"/>
            <w:vAlign w:val="bottom"/>
          </w:tcPr>
          <w:p>
            <w:pPr>
              <w:jc w:val="center"/>
              <w:ind w:left="40"/>
              <w:spacing w:after="0"/>
              <w:rPr>
                <w:sz w:val="20"/>
                <w:szCs w:val="20"/>
                <w:color w:val="auto"/>
              </w:rPr>
            </w:pPr>
            <w:r>
              <w:rPr>
                <w:rFonts w:ascii="Arial" w:cs="Arial" w:eastAsia="Arial" w:hAnsi="Arial"/>
                <w:sz w:val="14"/>
                <w:szCs w:val="14"/>
                <w:b w:val="1"/>
                <w:bCs w:val="1"/>
                <w:color w:val="002060"/>
              </w:rPr>
              <w:t>PEO</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002060"/>
              </w:rPr>
              <w:t>PEO</w:t>
            </w:r>
          </w:p>
        </w:tc>
        <w:tc>
          <w:tcPr>
            <w:tcW w:w="1520" w:type="dxa"/>
            <w:vAlign w:val="bottom"/>
          </w:tcPr>
          <w:p>
            <w:pPr>
              <w:jc w:val="right"/>
              <w:ind w:right="61"/>
              <w:spacing w:after="0"/>
              <w:rPr>
                <w:sz w:val="20"/>
                <w:szCs w:val="20"/>
                <w:color w:val="auto"/>
              </w:rPr>
            </w:pPr>
            <w:r>
              <w:rPr>
                <w:rFonts w:ascii="Arial" w:cs="Arial" w:eastAsia="Arial" w:hAnsi="Arial"/>
                <w:sz w:val="14"/>
                <w:szCs w:val="14"/>
                <w:b w:val="1"/>
                <w:bCs w:val="1"/>
                <w:color w:val="002060"/>
              </w:rPr>
              <w:t>Executive Officers</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002060"/>
              </w:rPr>
              <w:t>Executive Officers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002060"/>
              </w:rPr>
              <w:t>Return</w:t>
            </w:r>
          </w:p>
        </w:tc>
        <w:tc>
          <w:tcPr>
            <w:tcW w:w="980" w:type="dxa"/>
            <w:vAlign w:val="bottom"/>
          </w:tcPr>
          <w:p>
            <w:pPr>
              <w:jc w:val="center"/>
              <w:ind w:left="40"/>
              <w:spacing w:after="0"/>
              <w:rPr>
                <w:sz w:val="20"/>
                <w:szCs w:val="20"/>
                <w:color w:val="auto"/>
              </w:rPr>
            </w:pPr>
            <w:r>
              <w:rPr>
                <w:rFonts w:ascii="Arial" w:cs="Arial" w:eastAsia="Arial" w:hAnsi="Arial"/>
                <w:sz w:val="14"/>
                <w:szCs w:val="14"/>
                <w:b w:val="1"/>
                <w:bCs w:val="1"/>
                <w:color w:val="002060"/>
              </w:rPr>
              <w:t>Return</w:t>
            </w:r>
          </w:p>
        </w:tc>
        <w:tc>
          <w:tcPr>
            <w:tcW w:w="1420" w:type="dxa"/>
            <w:vAlign w:val="bottom"/>
          </w:tcPr>
          <w:p>
            <w:pPr>
              <w:jc w:val="right"/>
              <w:ind w:right="176"/>
              <w:spacing w:after="0"/>
              <w:rPr>
                <w:sz w:val="20"/>
                <w:szCs w:val="20"/>
                <w:color w:val="auto"/>
              </w:rPr>
            </w:pPr>
            <w:r>
              <w:rPr>
                <w:rFonts w:ascii="Arial" w:cs="Arial" w:eastAsia="Arial" w:hAnsi="Arial"/>
                <w:sz w:val="14"/>
                <w:szCs w:val="14"/>
                <w:b w:val="1"/>
                <w:bCs w:val="1"/>
                <w:color w:val="002060"/>
              </w:rPr>
              <w:t>Net Income</w:t>
            </w:r>
          </w:p>
        </w:tc>
        <w:tc>
          <w:tcPr>
            <w:tcW w:w="1240" w:type="dxa"/>
            <w:vAlign w:val="bottom"/>
          </w:tcPr>
          <w:p>
            <w:pPr>
              <w:jc w:val="center"/>
              <w:ind w:left="38"/>
              <w:spacing w:after="0"/>
              <w:rPr>
                <w:sz w:val="20"/>
                <w:szCs w:val="20"/>
                <w:color w:val="auto"/>
              </w:rPr>
            </w:pPr>
            <w:r>
              <w:rPr>
                <w:rFonts w:ascii="Arial" w:cs="Arial" w:eastAsia="Arial" w:hAnsi="Arial"/>
                <w:sz w:val="14"/>
                <w:szCs w:val="14"/>
                <w:b w:val="1"/>
                <w:bCs w:val="1"/>
                <w:color w:val="002060"/>
                <w:w w:val="99"/>
              </w:rPr>
              <w:t>EBITDA</w:t>
            </w:r>
          </w:p>
        </w:tc>
      </w:tr>
      <w:tr>
        <w:trPr>
          <w:trHeight w:val="192"/>
        </w:trPr>
        <w:tc>
          <w:tcPr>
            <w:tcW w:w="500" w:type="dxa"/>
            <w:vAlign w:val="bottom"/>
            <w:tcBorders>
              <w:bottom w:val="single" w:sz="8" w:color="0070C0"/>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1400" w:type="dxa"/>
            <w:vAlign w:val="bottom"/>
            <w:tcBorders>
              <w:bottom w:val="single" w:sz="8" w:color="0070C0"/>
            </w:tcBorders>
          </w:tcPr>
          <w:p>
            <w:pPr>
              <w:jc w:val="center"/>
              <w:ind w:left="40"/>
              <w:spacing w:after="0"/>
              <w:rPr>
                <w:sz w:val="20"/>
                <w:szCs w:val="20"/>
                <w:color w:val="auto"/>
              </w:rPr>
            </w:pPr>
            <w:r>
              <w:rPr>
                <w:rFonts w:ascii="Arial" w:cs="Arial" w:eastAsia="Arial" w:hAnsi="Arial"/>
                <w:sz w:val="14"/>
                <w:szCs w:val="14"/>
                <w:b w:val="1"/>
                <w:bCs w:val="1"/>
                <w:color w:val="002060"/>
              </w:rPr>
              <w:t>($)(1)</w:t>
            </w:r>
          </w:p>
        </w:tc>
        <w:tc>
          <w:tcPr>
            <w:tcW w:w="1340" w:type="dxa"/>
            <w:vAlign w:val="bottom"/>
            <w:tcBorders>
              <w:bottom w:val="single" w:sz="8" w:color="0070C0"/>
            </w:tcBorders>
          </w:tcPr>
          <w:p>
            <w:pPr>
              <w:jc w:val="center"/>
              <w:spacing w:after="0"/>
              <w:rPr>
                <w:sz w:val="20"/>
                <w:szCs w:val="20"/>
                <w:color w:val="auto"/>
              </w:rPr>
            </w:pPr>
            <w:r>
              <w:rPr>
                <w:rFonts w:ascii="Arial" w:cs="Arial" w:eastAsia="Arial" w:hAnsi="Arial"/>
                <w:sz w:val="14"/>
                <w:szCs w:val="14"/>
                <w:b w:val="1"/>
                <w:bCs w:val="1"/>
                <w:color w:val="002060"/>
              </w:rPr>
              <w:t>($)(2)</w:t>
            </w:r>
          </w:p>
        </w:tc>
        <w:tc>
          <w:tcPr>
            <w:tcW w:w="1520" w:type="dxa"/>
            <w:vAlign w:val="bottom"/>
            <w:tcBorders>
              <w:bottom w:val="single" w:sz="8" w:color="0070C0"/>
            </w:tcBorders>
          </w:tcPr>
          <w:p>
            <w:pPr>
              <w:jc w:val="center"/>
              <w:spacing w:after="0"/>
              <w:rPr>
                <w:sz w:val="20"/>
                <w:szCs w:val="20"/>
                <w:color w:val="auto"/>
              </w:rPr>
            </w:pPr>
            <w:r>
              <w:rPr>
                <w:rFonts w:ascii="Arial" w:cs="Arial" w:eastAsia="Arial" w:hAnsi="Arial"/>
                <w:sz w:val="14"/>
                <w:szCs w:val="14"/>
                <w:b w:val="1"/>
                <w:bCs w:val="1"/>
                <w:color w:val="002060"/>
                <w:w w:val="99"/>
              </w:rPr>
              <w:t>($)(3)</w:t>
            </w:r>
          </w:p>
        </w:tc>
        <w:tc>
          <w:tcPr>
            <w:tcW w:w="1380" w:type="dxa"/>
            <w:vAlign w:val="bottom"/>
            <w:tcBorders>
              <w:bottom w:val="single" w:sz="8" w:color="0070C0"/>
            </w:tcBorders>
          </w:tcPr>
          <w:p>
            <w:pPr>
              <w:jc w:val="center"/>
              <w:ind w:left="41"/>
              <w:spacing w:after="0"/>
              <w:rPr>
                <w:sz w:val="20"/>
                <w:szCs w:val="20"/>
                <w:color w:val="auto"/>
              </w:rPr>
            </w:pPr>
            <w:r>
              <w:rPr>
                <w:rFonts w:ascii="Arial" w:cs="Arial" w:eastAsia="Arial" w:hAnsi="Arial"/>
                <w:sz w:val="14"/>
                <w:szCs w:val="14"/>
                <w:b w:val="1"/>
                <w:bCs w:val="1"/>
                <w:color w:val="002060"/>
                <w:w w:val="99"/>
              </w:rPr>
              <w:t>($)(4)</w:t>
            </w:r>
          </w:p>
        </w:tc>
        <w:tc>
          <w:tcPr>
            <w:tcW w:w="120" w:type="dxa"/>
            <w:vAlign w:val="bottom"/>
            <w:tcBorders>
              <w:bottom w:val="single" w:sz="8" w:color="0070C0"/>
            </w:tcBorders>
          </w:tcPr>
          <w:p>
            <w:pPr>
              <w:spacing w:after="0"/>
              <w:rPr>
                <w:sz w:val="16"/>
                <w:szCs w:val="16"/>
                <w:color w:val="auto"/>
              </w:rPr>
            </w:pPr>
          </w:p>
        </w:tc>
        <w:tc>
          <w:tcPr>
            <w:tcW w:w="1120" w:type="dxa"/>
            <w:vAlign w:val="bottom"/>
            <w:tcBorders>
              <w:bottom w:val="single" w:sz="8" w:color="0070C0"/>
            </w:tcBorders>
          </w:tcPr>
          <w:p>
            <w:pPr>
              <w:jc w:val="center"/>
              <w:spacing w:after="0"/>
              <w:rPr>
                <w:sz w:val="20"/>
                <w:szCs w:val="20"/>
                <w:color w:val="auto"/>
              </w:rPr>
            </w:pPr>
            <w:r>
              <w:rPr>
                <w:rFonts w:ascii="Arial" w:cs="Arial" w:eastAsia="Arial" w:hAnsi="Arial"/>
                <w:sz w:val="14"/>
                <w:szCs w:val="14"/>
                <w:b w:val="1"/>
                <w:bCs w:val="1"/>
                <w:color w:val="002060"/>
                <w:w w:val="93"/>
              </w:rPr>
              <w:t>($)</w:t>
            </w:r>
          </w:p>
        </w:tc>
        <w:tc>
          <w:tcPr>
            <w:tcW w:w="980" w:type="dxa"/>
            <w:vAlign w:val="bottom"/>
            <w:tcBorders>
              <w:bottom w:val="single" w:sz="8" w:color="0070C0"/>
            </w:tcBorders>
          </w:tcPr>
          <w:p>
            <w:pPr>
              <w:jc w:val="center"/>
              <w:ind w:left="40"/>
              <w:spacing w:after="0"/>
              <w:rPr>
                <w:sz w:val="20"/>
                <w:szCs w:val="20"/>
                <w:color w:val="auto"/>
              </w:rPr>
            </w:pPr>
            <w:r>
              <w:rPr>
                <w:rFonts w:ascii="Arial" w:cs="Arial" w:eastAsia="Arial" w:hAnsi="Arial"/>
                <w:sz w:val="14"/>
                <w:szCs w:val="14"/>
                <w:b w:val="1"/>
                <w:bCs w:val="1"/>
                <w:color w:val="002060"/>
                <w:w w:val="99"/>
              </w:rPr>
              <w:t>($)(5)</w:t>
            </w:r>
          </w:p>
        </w:tc>
        <w:tc>
          <w:tcPr>
            <w:tcW w:w="1420" w:type="dxa"/>
            <w:vAlign w:val="bottom"/>
            <w:tcBorders>
              <w:bottom w:val="single" w:sz="8" w:color="0070C0"/>
            </w:tcBorders>
          </w:tcPr>
          <w:p>
            <w:pPr>
              <w:jc w:val="right"/>
              <w:ind w:right="396"/>
              <w:spacing w:after="0"/>
              <w:rPr>
                <w:sz w:val="20"/>
                <w:szCs w:val="20"/>
                <w:color w:val="auto"/>
              </w:rPr>
            </w:pPr>
            <w:r>
              <w:rPr>
                <w:rFonts w:ascii="Arial" w:cs="Arial" w:eastAsia="Arial" w:hAnsi="Arial"/>
                <w:sz w:val="14"/>
                <w:szCs w:val="14"/>
                <w:b w:val="1"/>
                <w:bCs w:val="1"/>
                <w:color w:val="002060"/>
              </w:rPr>
              <w:t>($)(6)</w:t>
            </w:r>
          </w:p>
        </w:tc>
        <w:tc>
          <w:tcPr>
            <w:tcW w:w="1240" w:type="dxa"/>
            <w:vAlign w:val="bottom"/>
            <w:tcBorders>
              <w:bottom w:val="single" w:sz="8" w:color="0070C0"/>
            </w:tcBorders>
          </w:tcPr>
          <w:p>
            <w:pPr>
              <w:jc w:val="center"/>
              <w:ind w:left="38"/>
              <w:spacing w:after="0"/>
              <w:rPr>
                <w:sz w:val="20"/>
                <w:szCs w:val="20"/>
                <w:color w:val="auto"/>
              </w:rPr>
            </w:pPr>
            <w:r>
              <w:rPr>
                <w:rFonts w:ascii="Arial" w:cs="Arial" w:eastAsia="Arial" w:hAnsi="Arial"/>
                <w:sz w:val="14"/>
                <w:szCs w:val="14"/>
                <w:b w:val="1"/>
                <w:bCs w:val="1"/>
                <w:color w:val="002060"/>
              </w:rPr>
              <w:t>($)(7)</w:t>
            </w:r>
          </w:p>
        </w:tc>
      </w:tr>
      <w:tr>
        <w:trPr>
          <w:trHeight w:val="203"/>
        </w:trPr>
        <w:tc>
          <w:tcPr>
            <w:tcW w:w="500" w:type="dxa"/>
            <w:vAlign w:val="bottom"/>
            <w:tcBorders>
              <w:bottom w:val="single" w:sz="8" w:color="002060"/>
            </w:tcBorders>
            <w:shd w:val="clear" w:color="auto" w:fill="D5DCE4"/>
          </w:tcPr>
          <w:p>
            <w:pPr>
              <w:jc w:val="center"/>
              <w:spacing w:after="0"/>
              <w:rPr>
                <w:sz w:val="20"/>
                <w:szCs w:val="20"/>
                <w:color w:val="auto"/>
              </w:rPr>
            </w:pPr>
            <w:r>
              <w:rPr>
                <w:rFonts w:ascii="Arial" w:cs="Arial" w:eastAsia="Arial" w:hAnsi="Arial"/>
                <w:sz w:val="16"/>
                <w:szCs w:val="16"/>
                <w:color w:val="auto"/>
              </w:rPr>
              <w:t>2023</w:t>
            </w:r>
          </w:p>
        </w:tc>
        <w:tc>
          <w:tcPr>
            <w:tcW w:w="1400" w:type="dxa"/>
            <w:vAlign w:val="bottom"/>
            <w:tcBorders>
              <w:bottom w:val="single" w:sz="8" w:color="002060"/>
            </w:tcBorders>
          </w:tcPr>
          <w:p>
            <w:pPr>
              <w:jc w:val="right"/>
              <w:ind w:right="60"/>
              <w:spacing w:after="0" w:line="202" w:lineRule="exact"/>
              <w:rPr>
                <w:sz w:val="20"/>
                <w:szCs w:val="20"/>
                <w:color w:val="auto"/>
              </w:rPr>
            </w:pPr>
            <w:r>
              <w:rPr>
                <w:rFonts w:ascii="Arial" w:cs="Arial" w:eastAsia="Arial" w:hAnsi="Arial"/>
                <w:sz w:val="18"/>
                <w:szCs w:val="18"/>
                <w:color w:val="auto"/>
              </w:rPr>
              <w:t>5,932,174</w:t>
            </w:r>
          </w:p>
        </w:tc>
        <w:tc>
          <w:tcPr>
            <w:tcW w:w="1340" w:type="dxa"/>
            <w:vAlign w:val="bottom"/>
            <w:tcBorders>
              <w:bottom w:val="single" w:sz="8" w:color="002060"/>
            </w:tcBorders>
          </w:tcPr>
          <w:p>
            <w:pPr>
              <w:jc w:val="right"/>
              <w:ind w:right="59"/>
              <w:spacing w:after="0" w:line="202" w:lineRule="exact"/>
              <w:rPr>
                <w:sz w:val="20"/>
                <w:szCs w:val="20"/>
                <w:color w:val="auto"/>
              </w:rPr>
            </w:pPr>
            <w:r>
              <w:rPr>
                <w:rFonts w:ascii="Arial" w:cs="Arial" w:eastAsia="Arial" w:hAnsi="Arial"/>
                <w:sz w:val="18"/>
                <w:szCs w:val="18"/>
                <w:color w:val="auto"/>
              </w:rPr>
              <w:t>10,434,045</w:t>
            </w:r>
          </w:p>
        </w:tc>
        <w:tc>
          <w:tcPr>
            <w:tcW w:w="1520" w:type="dxa"/>
            <w:vAlign w:val="bottom"/>
            <w:tcBorders>
              <w:bottom w:val="single" w:sz="8" w:color="002060"/>
            </w:tcBorders>
          </w:tcPr>
          <w:p>
            <w:pPr>
              <w:jc w:val="right"/>
              <w:ind w:right="61"/>
              <w:spacing w:after="0" w:line="202" w:lineRule="exact"/>
              <w:rPr>
                <w:sz w:val="20"/>
                <w:szCs w:val="20"/>
                <w:color w:val="auto"/>
              </w:rPr>
            </w:pPr>
            <w:r>
              <w:rPr>
                <w:rFonts w:ascii="Arial" w:cs="Arial" w:eastAsia="Arial" w:hAnsi="Arial"/>
                <w:sz w:val="18"/>
                <w:szCs w:val="18"/>
                <w:color w:val="auto"/>
              </w:rPr>
              <w:t>1,593,537</w:t>
            </w:r>
          </w:p>
        </w:tc>
        <w:tc>
          <w:tcPr>
            <w:tcW w:w="1500" w:type="dxa"/>
            <w:vAlign w:val="bottom"/>
            <w:tcBorders>
              <w:bottom w:val="single" w:sz="8" w:color="002060"/>
            </w:tcBorders>
            <w:gridSpan w:val="2"/>
          </w:tcPr>
          <w:p>
            <w:pPr>
              <w:jc w:val="right"/>
              <w:ind w:right="120"/>
              <w:spacing w:after="0" w:line="202" w:lineRule="exact"/>
              <w:rPr>
                <w:sz w:val="20"/>
                <w:szCs w:val="20"/>
                <w:color w:val="auto"/>
              </w:rPr>
            </w:pPr>
            <w:r>
              <w:rPr>
                <w:rFonts w:ascii="Arial" w:cs="Arial" w:eastAsia="Arial" w:hAnsi="Arial"/>
                <w:sz w:val="18"/>
                <w:szCs w:val="18"/>
                <w:color w:val="auto"/>
              </w:rPr>
              <w:t>2,890,502</w:t>
            </w:r>
          </w:p>
        </w:tc>
        <w:tc>
          <w:tcPr>
            <w:tcW w:w="1120" w:type="dxa"/>
            <w:vAlign w:val="bottom"/>
            <w:tcBorders>
              <w:bottom w:val="single" w:sz="8" w:color="002060"/>
            </w:tcBorders>
          </w:tcPr>
          <w:p>
            <w:pPr>
              <w:jc w:val="center"/>
              <w:spacing w:after="0" w:line="202" w:lineRule="exact"/>
              <w:rPr>
                <w:sz w:val="20"/>
                <w:szCs w:val="20"/>
                <w:color w:val="auto"/>
              </w:rPr>
            </w:pPr>
            <w:r>
              <w:rPr>
                <w:rFonts w:ascii="Arial" w:cs="Arial" w:eastAsia="Arial" w:hAnsi="Arial"/>
                <w:sz w:val="18"/>
                <w:szCs w:val="18"/>
                <w:color w:val="auto"/>
                <w:w w:val="99"/>
              </w:rPr>
              <w:t>280</w:t>
            </w:r>
          </w:p>
        </w:tc>
        <w:tc>
          <w:tcPr>
            <w:tcW w:w="980" w:type="dxa"/>
            <w:vAlign w:val="bottom"/>
            <w:tcBorders>
              <w:bottom w:val="single" w:sz="8" w:color="002060"/>
            </w:tcBorders>
          </w:tcPr>
          <w:p>
            <w:pPr>
              <w:jc w:val="center"/>
              <w:ind w:left="40"/>
              <w:spacing w:after="0" w:line="202" w:lineRule="exact"/>
              <w:rPr>
                <w:sz w:val="20"/>
                <w:szCs w:val="20"/>
                <w:color w:val="auto"/>
              </w:rPr>
            </w:pPr>
            <w:r>
              <w:rPr>
                <w:rFonts w:ascii="Arial" w:cs="Arial" w:eastAsia="Arial" w:hAnsi="Arial"/>
                <w:sz w:val="18"/>
                <w:szCs w:val="18"/>
                <w:color w:val="auto"/>
                <w:w w:val="99"/>
              </w:rPr>
              <w:t>200</w:t>
            </w:r>
          </w:p>
        </w:tc>
        <w:tc>
          <w:tcPr>
            <w:tcW w:w="1420" w:type="dxa"/>
            <w:vAlign w:val="bottom"/>
            <w:tcBorders>
              <w:bottom w:val="single" w:sz="8" w:color="002060"/>
            </w:tcBorders>
          </w:tcPr>
          <w:p>
            <w:pPr>
              <w:jc w:val="right"/>
              <w:ind w:right="56"/>
              <w:spacing w:after="0" w:line="202" w:lineRule="exact"/>
              <w:rPr>
                <w:sz w:val="20"/>
                <w:szCs w:val="20"/>
                <w:color w:val="auto"/>
              </w:rPr>
            </w:pPr>
            <w:r>
              <w:rPr>
                <w:rFonts w:ascii="Arial" w:cs="Arial" w:eastAsia="Arial" w:hAnsi="Arial"/>
                <w:sz w:val="18"/>
                <w:szCs w:val="18"/>
                <w:color w:val="auto"/>
              </w:rPr>
              <w:t>243,700,000</w:t>
            </w:r>
          </w:p>
        </w:tc>
        <w:tc>
          <w:tcPr>
            <w:tcW w:w="1240" w:type="dxa"/>
            <w:vAlign w:val="bottom"/>
            <w:tcBorders>
              <w:bottom w:val="single" w:sz="8" w:color="002060"/>
            </w:tcBorders>
          </w:tcPr>
          <w:p>
            <w:pPr>
              <w:jc w:val="right"/>
              <w:ind w:right="18"/>
              <w:spacing w:after="0" w:line="202" w:lineRule="exact"/>
              <w:rPr>
                <w:sz w:val="20"/>
                <w:szCs w:val="20"/>
                <w:color w:val="auto"/>
              </w:rPr>
            </w:pPr>
            <w:r>
              <w:rPr>
                <w:rFonts w:ascii="Arial" w:cs="Arial" w:eastAsia="Arial" w:hAnsi="Arial"/>
                <w:sz w:val="18"/>
                <w:szCs w:val="18"/>
                <w:color w:val="auto"/>
              </w:rPr>
              <w:t>485,900,000</w:t>
            </w:r>
          </w:p>
        </w:tc>
      </w:tr>
      <w:tr>
        <w:trPr>
          <w:trHeight w:val="196"/>
        </w:trPr>
        <w:tc>
          <w:tcPr>
            <w:tcW w:w="500" w:type="dxa"/>
            <w:vAlign w:val="bottom"/>
            <w:tcBorders>
              <w:bottom w:val="single" w:sz="8" w:color="002060"/>
            </w:tcBorders>
            <w:shd w:val="clear" w:color="auto" w:fill="D5DCE4"/>
          </w:tcPr>
          <w:p>
            <w:pPr>
              <w:jc w:val="center"/>
              <w:spacing w:after="0"/>
              <w:rPr>
                <w:sz w:val="20"/>
                <w:szCs w:val="20"/>
                <w:color w:val="auto"/>
              </w:rPr>
            </w:pPr>
            <w:r>
              <w:rPr>
                <w:rFonts w:ascii="Arial" w:cs="Arial" w:eastAsia="Arial" w:hAnsi="Arial"/>
                <w:sz w:val="16"/>
                <w:szCs w:val="16"/>
                <w:color w:val="auto"/>
              </w:rPr>
              <w:t>2022</w:t>
            </w:r>
          </w:p>
        </w:tc>
        <w:tc>
          <w:tcPr>
            <w:tcW w:w="1400" w:type="dxa"/>
            <w:vAlign w:val="bottom"/>
            <w:tcBorders>
              <w:bottom w:val="single" w:sz="8" w:color="002060"/>
            </w:tcBorders>
          </w:tcPr>
          <w:p>
            <w:pPr>
              <w:jc w:val="right"/>
              <w:ind w:right="60"/>
              <w:spacing w:after="0" w:line="196" w:lineRule="exact"/>
              <w:rPr>
                <w:sz w:val="20"/>
                <w:szCs w:val="20"/>
                <w:color w:val="auto"/>
              </w:rPr>
            </w:pPr>
            <w:r>
              <w:rPr>
                <w:rFonts w:ascii="Arial" w:cs="Arial" w:eastAsia="Arial" w:hAnsi="Arial"/>
                <w:sz w:val="18"/>
                <w:szCs w:val="18"/>
                <w:color w:val="auto"/>
              </w:rPr>
              <w:t>5,331,034</w:t>
            </w:r>
          </w:p>
        </w:tc>
        <w:tc>
          <w:tcPr>
            <w:tcW w:w="1340" w:type="dxa"/>
            <w:vAlign w:val="bottom"/>
            <w:tcBorders>
              <w:bottom w:val="single" w:sz="8" w:color="002060"/>
            </w:tcBorders>
          </w:tcPr>
          <w:p>
            <w:pPr>
              <w:jc w:val="right"/>
              <w:ind w:right="59"/>
              <w:spacing w:after="0" w:line="196" w:lineRule="exact"/>
              <w:rPr>
                <w:sz w:val="20"/>
                <w:szCs w:val="20"/>
                <w:color w:val="auto"/>
              </w:rPr>
            </w:pPr>
            <w:r>
              <w:rPr>
                <w:rFonts w:ascii="Arial" w:cs="Arial" w:eastAsia="Arial" w:hAnsi="Arial"/>
                <w:sz w:val="18"/>
                <w:szCs w:val="18"/>
                <w:color w:val="auto"/>
              </w:rPr>
              <w:t>696,971</w:t>
            </w:r>
          </w:p>
        </w:tc>
        <w:tc>
          <w:tcPr>
            <w:tcW w:w="1520" w:type="dxa"/>
            <w:vAlign w:val="bottom"/>
            <w:tcBorders>
              <w:bottom w:val="single" w:sz="8" w:color="002060"/>
            </w:tcBorders>
          </w:tcPr>
          <w:p>
            <w:pPr>
              <w:jc w:val="right"/>
              <w:ind w:right="61"/>
              <w:spacing w:after="0" w:line="196" w:lineRule="exact"/>
              <w:rPr>
                <w:sz w:val="20"/>
                <w:szCs w:val="20"/>
                <w:color w:val="auto"/>
              </w:rPr>
            </w:pPr>
            <w:r>
              <w:rPr>
                <w:rFonts w:ascii="Arial" w:cs="Arial" w:eastAsia="Arial" w:hAnsi="Arial"/>
                <w:sz w:val="18"/>
                <w:szCs w:val="18"/>
                <w:color w:val="auto"/>
              </w:rPr>
              <w:t>1,399,047</w:t>
            </w:r>
          </w:p>
        </w:tc>
        <w:tc>
          <w:tcPr>
            <w:tcW w:w="1500" w:type="dxa"/>
            <w:vAlign w:val="bottom"/>
            <w:tcBorders>
              <w:bottom w:val="single" w:sz="8" w:color="002060"/>
            </w:tcBorders>
            <w:gridSpan w:val="2"/>
          </w:tcPr>
          <w:p>
            <w:pPr>
              <w:jc w:val="right"/>
              <w:ind w:right="120"/>
              <w:spacing w:after="0" w:line="196" w:lineRule="exact"/>
              <w:rPr>
                <w:sz w:val="20"/>
                <w:szCs w:val="20"/>
                <w:color w:val="auto"/>
              </w:rPr>
            </w:pPr>
            <w:r>
              <w:rPr>
                <w:rFonts w:ascii="Arial" w:cs="Arial" w:eastAsia="Arial" w:hAnsi="Arial"/>
                <w:sz w:val="18"/>
                <w:szCs w:val="18"/>
                <w:color w:val="auto"/>
              </w:rPr>
              <w:t>84,150</w:t>
            </w:r>
          </w:p>
        </w:tc>
        <w:tc>
          <w:tcPr>
            <w:tcW w:w="1120" w:type="dxa"/>
            <w:vAlign w:val="bottom"/>
            <w:tcBorders>
              <w:bottom w:val="single" w:sz="8" w:color="002060"/>
            </w:tcBorders>
          </w:tcPr>
          <w:p>
            <w:pPr>
              <w:jc w:val="center"/>
              <w:spacing w:after="0" w:line="196" w:lineRule="exact"/>
              <w:rPr>
                <w:sz w:val="20"/>
                <w:szCs w:val="20"/>
                <w:color w:val="auto"/>
              </w:rPr>
            </w:pPr>
            <w:r>
              <w:rPr>
                <w:rFonts w:ascii="Arial" w:cs="Arial" w:eastAsia="Arial" w:hAnsi="Arial"/>
                <w:sz w:val="18"/>
                <w:szCs w:val="18"/>
                <w:color w:val="auto"/>
                <w:w w:val="99"/>
              </w:rPr>
              <w:t>129</w:t>
            </w:r>
          </w:p>
        </w:tc>
        <w:tc>
          <w:tcPr>
            <w:tcW w:w="980" w:type="dxa"/>
            <w:vAlign w:val="bottom"/>
            <w:tcBorders>
              <w:bottom w:val="single" w:sz="8" w:color="002060"/>
            </w:tcBorders>
          </w:tcPr>
          <w:p>
            <w:pPr>
              <w:jc w:val="center"/>
              <w:ind w:left="40"/>
              <w:spacing w:after="0" w:line="196" w:lineRule="exact"/>
              <w:rPr>
                <w:sz w:val="20"/>
                <w:szCs w:val="20"/>
                <w:color w:val="auto"/>
              </w:rPr>
            </w:pPr>
            <w:r>
              <w:rPr>
                <w:rFonts w:ascii="Arial" w:cs="Arial" w:eastAsia="Arial" w:hAnsi="Arial"/>
                <w:sz w:val="18"/>
                <w:szCs w:val="18"/>
                <w:color w:val="auto"/>
                <w:w w:val="99"/>
              </w:rPr>
              <w:t>132</w:t>
            </w:r>
          </w:p>
        </w:tc>
        <w:tc>
          <w:tcPr>
            <w:tcW w:w="1420" w:type="dxa"/>
            <w:vAlign w:val="bottom"/>
            <w:tcBorders>
              <w:bottom w:val="single" w:sz="8" w:color="002060"/>
            </w:tcBorders>
          </w:tcPr>
          <w:p>
            <w:pPr>
              <w:jc w:val="right"/>
              <w:ind w:right="56"/>
              <w:spacing w:after="0" w:line="196" w:lineRule="exact"/>
              <w:rPr>
                <w:sz w:val="20"/>
                <w:szCs w:val="20"/>
                <w:color w:val="auto"/>
              </w:rPr>
            </w:pPr>
            <w:r>
              <w:rPr>
                <w:rFonts w:ascii="Arial" w:cs="Arial" w:eastAsia="Arial" w:hAnsi="Arial"/>
                <w:sz w:val="18"/>
                <w:szCs w:val="18"/>
                <w:color w:val="auto"/>
              </w:rPr>
              <w:t>223,400,000</w:t>
            </w:r>
          </w:p>
        </w:tc>
        <w:tc>
          <w:tcPr>
            <w:tcW w:w="1240" w:type="dxa"/>
            <w:vAlign w:val="bottom"/>
            <w:tcBorders>
              <w:bottom w:val="single" w:sz="8" w:color="002060"/>
            </w:tcBorders>
          </w:tcPr>
          <w:p>
            <w:pPr>
              <w:jc w:val="right"/>
              <w:ind w:right="18"/>
              <w:spacing w:after="0" w:line="196" w:lineRule="exact"/>
              <w:rPr>
                <w:sz w:val="20"/>
                <w:szCs w:val="20"/>
                <w:color w:val="auto"/>
              </w:rPr>
            </w:pPr>
            <w:r>
              <w:rPr>
                <w:rFonts w:ascii="Arial" w:cs="Arial" w:eastAsia="Arial" w:hAnsi="Arial"/>
                <w:sz w:val="18"/>
                <w:szCs w:val="18"/>
                <w:color w:val="auto"/>
              </w:rPr>
              <w:t>439,300,000</w:t>
            </w:r>
          </w:p>
        </w:tc>
      </w:tr>
      <w:tr>
        <w:trPr>
          <w:trHeight w:val="196"/>
        </w:trPr>
        <w:tc>
          <w:tcPr>
            <w:tcW w:w="500" w:type="dxa"/>
            <w:vAlign w:val="bottom"/>
            <w:tcBorders>
              <w:bottom w:val="single" w:sz="8" w:color="002060"/>
            </w:tcBorders>
            <w:shd w:val="clear" w:color="auto" w:fill="D5DCE4"/>
          </w:tcPr>
          <w:p>
            <w:pPr>
              <w:jc w:val="center"/>
              <w:spacing w:after="0"/>
              <w:rPr>
                <w:sz w:val="20"/>
                <w:szCs w:val="20"/>
                <w:color w:val="auto"/>
              </w:rPr>
            </w:pPr>
            <w:r>
              <w:rPr>
                <w:rFonts w:ascii="Arial" w:cs="Arial" w:eastAsia="Arial" w:hAnsi="Arial"/>
                <w:sz w:val="16"/>
                <w:szCs w:val="16"/>
                <w:color w:val="auto"/>
              </w:rPr>
              <w:t>2021</w:t>
            </w:r>
          </w:p>
        </w:tc>
        <w:tc>
          <w:tcPr>
            <w:tcW w:w="1400" w:type="dxa"/>
            <w:vAlign w:val="bottom"/>
            <w:tcBorders>
              <w:bottom w:val="single" w:sz="8" w:color="002060"/>
            </w:tcBorders>
          </w:tcPr>
          <w:p>
            <w:pPr>
              <w:jc w:val="right"/>
              <w:ind w:right="60"/>
              <w:spacing w:after="0" w:line="196" w:lineRule="exact"/>
              <w:rPr>
                <w:sz w:val="20"/>
                <w:szCs w:val="20"/>
                <w:color w:val="auto"/>
              </w:rPr>
            </w:pPr>
            <w:r>
              <w:rPr>
                <w:rFonts w:ascii="Arial" w:cs="Arial" w:eastAsia="Arial" w:hAnsi="Arial"/>
                <w:sz w:val="18"/>
                <w:szCs w:val="18"/>
                <w:color w:val="auto"/>
              </w:rPr>
              <w:t>4,351,277</w:t>
            </w:r>
          </w:p>
        </w:tc>
        <w:tc>
          <w:tcPr>
            <w:tcW w:w="1340" w:type="dxa"/>
            <w:vAlign w:val="bottom"/>
            <w:tcBorders>
              <w:bottom w:val="single" w:sz="8" w:color="002060"/>
            </w:tcBorders>
          </w:tcPr>
          <w:p>
            <w:pPr>
              <w:jc w:val="right"/>
              <w:ind w:right="59"/>
              <w:spacing w:after="0" w:line="196" w:lineRule="exact"/>
              <w:rPr>
                <w:sz w:val="20"/>
                <w:szCs w:val="20"/>
                <w:color w:val="auto"/>
              </w:rPr>
            </w:pPr>
            <w:r>
              <w:rPr>
                <w:rFonts w:ascii="Arial" w:cs="Arial" w:eastAsia="Arial" w:hAnsi="Arial"/>
                <w:sz w:val="18"/>
                <w:szCs w:val="18"/>
                <w:color w:val="auto"/>
              </w:rPr>
              <w:t>7,666,457</w:t>
            </w:r>
          </w:p>
        </w:tc>
        <w:tc>
          <w:tcPr>
            <w:tcW w:w="1520" w:type="dxa"/>
            <w:vAlign w:val="bottom"/>
            <w:tcBorders>
              <w:bottom w:val="single" w:sz="8" w:color="002060"/>
            </w:tcBorders>
          </w:tcPr>
          <w:p>
            <w:pPr>
              <w:jc w:val="right"/>
              <w:ind w:right="61"/>
              <w:spacing w:after="0" w:line="196" w:lineRule="exact"/>
              <w:rPr>
                <w:sz w:val="20"/>
                <w:szCs w:val="20"/>
                <w:color w:val="auto"/>
              </w:rPr>
            </w:pPr>
            <w:r>
              <w:rPr>
                <w:rFonts w:ascii="Arial" w:cs="Arial" w:eastAsia="Arial" w:hAnsi="Arial"/>
                <w:sz w:val="18"/>
                <w:szCs w:val="18"/>
                <w:color w:val="auto"/>
              </w:rPr>
              <w:t>1,213,319</w:t>
            </w:r>
          </w:p>
        </w:tc>
        <w:tc>
          <w:tcPr>
            <w:tcW w:w="1500" w:type="dxa"/>
            <w:vAlign w:val="bottom"/>
            <w:tcBorders>
              <w:bottom w:val="single" w:sz="8" w:color="002060"/>
            </w:tcBorders>
            <w:gridSpan w:val="2"/>
          </w:tcPr>
          <w:p>
            <w:pPr>
              <w:jc w:val="right"/>
              <w:ind w:right="120"/>
              <w:spacing w:after="0" w:line="196" w:lineRule="exact"/>
              <w:rPr>
                <w:sz w:val="20"/>
                <w:szCs w:val="20"/>
                <w:color w:val="auto"/>
              </w:rPr>
            </w:pPr>
            <w:r>
              <w:rPr>
                <w:rFonts w:ascii="Arial" w:cs="Arial" w:eastAsia="Arial" w:hAnsi="Arial"/>
                <w:sz w:val="18"/>
                <w:szCs w:val="18"/>
                <w:color w:val="auto"/>
              </w:rPr>
              <w:t>2,139,501</w:t>
            </w:r>
          </w:p>
        </w:tc>
        <w:tc>
          <w:tcPr>
            <w:tcW w:w="1120" w:type="dxa"/>
            <w:vAlign w:val="bottom"/>
            <w:tcBorders>
              <w:bottom w:val="single" w:sz="8" w:color="002060"/>
            </w:tcBorders>
          </w:tcPr>
          <w:p>
            <w:pPr>
              <w:jc w:val="center"/>
              <w:spacing w:after="0" w:line="196" w:lineRule="exact"/>
              <w:rPr>
                <w:sz w:val="20"/>
                <w:szCs w:val="20"/>
                <w:color w:val="auto"/>
              </w:rPr>
            </w:pPr>
            <w:r>
              <w:rPr>
                <w:rFonts w:ascii="Arial" w:cs="Arial" w:eastAsia="Arial" w:hAnsi="Arial"/>
                <w:sz w:val="18"/>
                <w:szCs w:val="18"/>
                <w:color w:val="auto"/>
                <w:w w:val="99"/>
              </w:rPr>
              <w:t>205</w:t>
            </w:r>
          </w:p>
        </w:tc>
        <w:tc>
          <w:tcPr>
            <w:tcW w:w="980" w:type="dxa"/>
            <w:vAlign w:val="bottom"/>
            <w:tcBorders>
              <w:bottom w:val="single" w:sz="8" w:color="002060"/>
            </w:tcBorders>
          </w:tcPr>
          <w:p>
            <w:pPr>
              <w:jc w:val="center"/>
              <w:ind w:left="40"/>
              <w:spacing w:after="0" w:line="196" w:lineRule="exact"/>
              <w:rPr>
                <w:sz w:val="20"/>
                <w:szCs w:val="20"/>
                <w:color w:val="auto"/>
              </w:rPr>
            </w:pPr>
            <w:r>
              <w:rPr>
                <w:rFonts w:ascii="Arial" w:cs="Arial" w:eastAsia="Arial" w:hAnsi="Arial"/>
                <w:sz w:val="18"/>
                <w:szCs w:val="18"/>
                <w:color w:val="auto"/>
                <w:w w:val="99"/>
              </w:rPr>
              <w:t>159</w:t>
            </w:r>
          </w:p>
        </w:tc>
        <w:tc>
          <w:tcPr>
            <w:tcW w:w="1420" w:type="dxa"/>
            <w:vAlign w:val="bottom"/>
            <w:tcBorders>
              <w:bottom w:val="single" w:sz="8" w:color="002060"/>
            </w:tcBorders>
          </w:tcPr>
          <w:p>
            <w:pPr>
              <w:jc w:val="right"/>
              <w:ind w:right="56"/>
              <w:spacing w:after="0" w:line="196" w:lineRule="exact"/>
              <w:rPr>
                <w:sz w:val="20"/>
                <w:szCs w:val="20"/>
                <w:color w:val="auto"/>
              </w:rPr>
            </w:pPr>
            <w:r>
              <w:rPr>
                <w:rFonts w:ascii="Arial" w:cs="Arial" w:eastAsia="Arial" w:hAnsi="Arial"/>
                <w:sz w:val="18"/>
                <w:szCs w:val="18"/>
                <w:color w:val="auto"/>
              </w:rPr>
              <w:t>118,800,000</w:t>
            </w:r>
          </w:p>
        </w:tc>
        <w:tc>
          <w:tcPr>
            <w:tcW w:w="1240" w:type="dxa"/>
            <w:vAlign w:val="bottom"/>
            <w:tcBorders>
              <w:bottom w:val="single" w:sz="8" w:color="002060"/>
            </w:tcBorders>
          </w:tcPr>
          <w:p>
            <w:pPr>
              <w:jc w:val="right"/>
              <w:ind w:right="18"/>
              <w:spacing w:after="0" w:line="196" w:lineRule="exact"/>
              <w:rPr>
                <w:sz w:val="20"/>
                <w:szCs w:val="20"/>
                <w:color w:val="auto"/>
              </w:rPr>
            </w:pPr>
            <w:r>
              <w:rPr>
                <w:rFonts w:ascii="Arial" w:cs="Arial" w:eastAsia="Arial" w:hAnsi="Arial"/>
                <w:sz w:val="18"/>
                <w:szCs w:val="18"/>
                <w:color w:val="auto"/>
              </w:rPr>
              <w:t>285,400,000</w:t>
            </w:r>
          </w:p>
        </w:tc>
      </w:tr>
      <w:tr>
        <w:trPr>
          <w:trHeight w:val="203"/>
        </w:trPr>
        <w:tc>
          <w:tcPr>
            <w:tcW w:w="500" w:type="dxa"/>
            <w:vAlign w:val="bottom"/>
            <w:tcBorders>
              <w:bottom w:val="single" w:sz="8" w:color="0070C0"/>
            </w:tcBorders>
            <w:shd w:val="clear" w:color="auto" w:fill="D5DCE4"/>
          </w:tcPr>
          <w:p>
            <w:pPr>
              <w:jc w:val="center"/>
              <w:spacing w:after="0"/>
              <w:rPr>
                <w:sz w:val="20"/>
                <w:szCs w:val="20"/>
                <w:color w:val="auto"/>
              </w:rPr>
            </w:pPr>
            <w:r>
              <w:rPr>
                <w:rFonts w:ascii="Arial" w:cs="Arial" w:eastAsia="Arial" w:hAnsi="Arial"/>
                <w:sz w:val="16"/>
                <w:szCs w:val="16"/>
                <w:color w:val="auto"/>
              </w:rPr>
              <w:t>2020</w:t>
            </w:r>
          </w:p>
        </w:tc>
        <w:tc>
          <w:tcPr>
            <w:tcW w:w="1400" w:type="dxa"/>
            <w:vAlign w:val="bottom"/>
            <w:tcBorders>
              <w:bottom w:val="single" w:sz="8" w:color="0070C0"/>
            </w:tcBorders>
          </w:tcPr>
          <w:p>
            <w:pPr>
              <w:jc w:val="right"/>
              <w:ind w:right="60"/>
              <w:spacing w:after="0" w:line="196" w:lineRule="exact"/>
              <w:rPr>
                <w:sz w:val="20"/>
                <w:szCs w:val="20"/>
                <w:color w:val="auto"/>
              </w:rPr>
            </w:pPr>
            <w:r>
              <w:rPr>
                <w:rFonts w:ascii="Arial" w:cs="Arial" w:eastAsia="Arial" w:hAnsi="Arial"/>
                <w:sz w:val="18"/>
                <w:szCs w:val="18"/>
                <w:color w:val="auto"/>
              </w:rPr>
              <w:t>4,097,375</w:t>
            </w:r>
          </w:p>
        </w:tc>
        <w:tc>
          <w:tcPr>
            <w:tcW w:w="1340" w:type="dxa"/>
            <w:vAlign w:val="bottom"/>
            <w:tcBorders>
              <w:bottom w:val="single" w:sz="8" w:color="0070C0"/>
            </w:tcBorders>
          </w:tcPr>
          <w:p>
            <w:pPr>
              <w:jc w:val="right"/>
              <w:ind w:right="59"/>
              <w:spacing w:after="0" w:line="196" w:lineRule="exact"/>
              <w:rPr>
                <w:sz w:val="20"/>
                <w:szCs w:val="20"/>
                <w:color w:val="auto"/>
              </w:rPr>
            </w:pPr>
            <w:r>
              <w:rPr>
                <w:rFonts w:ascii="Arial" w:cs="Arial" w:eastAsia="Arial" w:hAnsi="Arial"/>
                <w:sz w:val="18"/>
                <w:szCs w:val="18"/>
                <w:color w:val="auto"/>
              </w:rPr>
              <w:t>5,547,911</w:t>
            </w:r>
          </w:p>
        </w:tc>
        <w:tc>
          <w:tcPr>
            <w:tcW w:w="1520" w:type="dxa"/>
            <w:vAlign w:val="bottom"/>
            <w:tcBorders>
              <w:bottom w:val="single" w:sz="8" w:color="0070C0"/>
            </w:tcBorders>
          </w:tcPr>
          <w:p>
            <w:pPr>
              <w:jc w:val="right"/>
              <w:ind w:right="61"/>
              <w:spacing w:after="0" w:line="196" w:lineRule="exact"/>
              <w:rPr>
                <w:sz w:val="20"/>
                <w:szCs w:val="20"/>
                <w:color w:val="auto"/>
              </w:rPr>
            </w:pPr>
            <w:r>
              <w:rPr>
                <w:rFonts w:ascii="Arial" w:cs="Arial" w:eastAsia="Arial" w:hAnsi="Arial"/>
                <w:sz w:val="18"/>
                <w:szCs w:val="18"/>
                <w:color w:val="auto"/>
              </w:rPr>
              <w:t>1,149,186</w:t>
            </w:r>
          </w:p>
        </w:tc>
        <w:tc>
          <w:tcPr>
            <w:tcW w:w="1500" w:type="dxa"/>
            <w:vAlign w:val="bottom"/>
            <w:tcBorders>
              <w:bottom w:val="single" w:sz="8" w:color="0070C0"/>
            </w:tcBorders>
            <w:gridSpan w:val="2"/>
          </w:tcPr>
          <w:p>
            <w:pPr>
              <w:jc w:val="right"/>
              <w:ind w:right="120"/>
              <w:spacing w:after="0" w:line="196" w:lineRule="exact"/>
              <w:rPr>
                <w:sz w:val="20"/>
                <w:szCs w:val="20"/>
                <w:color w:val="auto"/>
              </w:rPr>
            </w:pPr>
            <w:r>
              <w:rPr>
                <w:rFonts w:ascii="Arial" w:cs="Arial" w:eastAsia="Arial" w:hAnsi="Arial"/>
                <w:sz w:val="18"/>
                <w:szCs w:val="18"/>
                <w:color w:val="auto"/>
              </w:rPr>
              <w:t>2,089,937</w:t>
            </w:r>
          </w:p>
        </w:tc>
        <w:tc>
          <w:tcPr>
            <w:tcW w:w="1120" w:type="dxa"/>
            <w:vAlign w:val="bottom"/>
            <w:tcBorders>
              <w:bottom w:val="single" w:sz="8" w:color="0070C0"/>
            </w:tcBorders>
          </w:tcPr>
          <w:p>
            <w:pPr>
              <w:jc w:val="center"/>
              <w:spacing w:after="0" w:line="196" w:lineRule="exact"/>
              <w:rPr>
                <w:sz w:val="20"/>
                <w:szCs w:val="20"/>
                <w:color w:val="auto"/>
              </w:rPr>
            </w:pPr>
            <w:r>
              <w:rPr>
                <w:rFonts w:ascii="Arial" w:cs="Arial" w:eastAsia="Arial" w:hAnsi="Arial"/>
                <w:sz w:val="18"/>
                <w:szCs w:val="18"/>
                <w:color w:val="auto"/>
                <w:w w:val="99"/>
              </w:rPr>
              <w:t>148</w:t>
            </w:r>
          </w:p>
        </w:tc>
        <w:tc>
          <w:tcPr>
            <w:tcW w:w="980" w:type="dxa"/>
            <w:vAlign w:val="bottom"/>
            <w:tcBorders>
              <w:bottom w:val="single" w:sz="8" w:color="0070C0"/>
            </w:tcBorders>
          </w:tcPr>
          <w:p>
            <w:pPr>
              <w:jc w:val="center"/>
              <w:ind w:left="40"/>
              <w:spacing w:after="0" w:line="196" w:lineRule="exact"/>
              <w:rPr>
                <w:sz w:val="20"/>
                <w:szCs w:val="20"/>
                <w:color w:val="auto"/>
              </w:rPr>
            </w:pPr>
            <w:r>
              <w:rPr>
                <w:rFonts w:ascii="Arial" w:cs="Arial" w:eastAsia="Arial" w:hAnsi="Arial"/>
                <w:sz w:val="18"/>
                <w:szCs w:val="18"/>
                <w:color w:val="auto"/>
                <w:w w:val="99"/>
              </w:rPr>
              <w:t>127</w:t>
            </w:r>
          </w:p>
        </w:tc>
        <w:tc>
          <w:tcPr>
            <w:tcW w:w="1420" w:type="dxa"/>
            <w:vAlign w:val="bottom"/>
            <w:tcBorders>
              <w:bottom w:val="single" w:sz="8" w:color="0070C0"/>
            </w:tcBorders>
          </w:tcPr>
          <w:p>
            <w:pPr>
              <w:jc w:val="right"/>
              <w:ind w:right="56"/>
              <w:spacing w:after="0" w:line="196" w:lineRule="exact"/>
              <w:rPr>
                <w:sz w:val="20"/>
                <w:szCs w:val="20"/>
                <w:color w:val="auto"/>
              </w:rPr>
            </w:pPr>
            <w:r>
              <w:rPr>
                <w:rFonts w:ascii="Arial" w:cs="Arial" w:eastAsia="Arial" w:hAnsi="Arial"/>
                <w:sz w:val="18"/>
                <w:szCs w:val="18"/>
                <w:color w:val="auto"/>
              </w:rPr>
              <w:t>97,200,000</w:t>
            </w:r>
          </w:p>
        </w:tc>
        <w:tc>
          <w:tcPr>
            <w:tcW w:w="1240" w:type="dxa"/>
            <w:vAlign w:val="bottom"/>
            <w:tcBorders>
              <w:bottom w:val="single" w:sz="8" w:color="0070C0"/>
            </w:tcBorders>
          </w:tcPr>
          <w:p>
            <w:pPr>
              <w:jc w:val="right"/>
              <w:ind w:right="18"/>
              <w:spacing w:after="0" w:line="196" w:lineRule="exact"/>
              <w:rPr>
                <w:sz w:val="20"/>
                <w:szCs w:val="20"/>
                <w:color w:val="auto"/>
              </w:rPr>
            </w:pPr>
            <w:r>
              <w:rPr>
                <w:rFonts w:ascii="Arial" w:cs="Arial" w:eastAsia="Arial" w:hAnsi="Arial"/>
                <w:sz w:val="18"/>
                <w:szCs w:val="18"/>
                <w:color w:val="auto"/>
              </w:rPr>
              <w:t>245,600,000</w:t>
            </w:r>
          </w:p>
        </w:tc>
      </w:tr>
    </w:tbl>
    <w:p>
      <w:pPr>
        <w:spacing w:after="0" w:line="197" w:lineRule="exact"/>
        <w:rPr>
          <w:sz w:val="20"/>
          <w:szCs w:val="20"/>
          <w:color w:val="auto"/>
        </w:rPr>
      </w:pPr>
    </w:p>
    <w:p>
      <w:pPr>
        <w:ind w:left="760" w:hanging="54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Jeffrey W. Edwards, our Chief Executive Officer, served as our PEO for each of 2023, 2022, 2021 and 2020.</w:t>
      </w:r>
    </w:p>
    <w:p>
      <w:pPr>
        <w:spacing w:after="0" w:line="13" w:lineRule="exact"/>
        <w:rPr>
          <w:rFonts w:ascii="Arial" w:cs="Arial" w:eastAsia="Arial" w:hAnsi="Arial"/>
          <w:sz w:val="18"/>
          <w:szCs w:val="18"/>
          <w:color w:val="auto"/>
        </w:rPr>
      </w:pPr>
    </w:p>
    <w:p>
      <w:pPr>
        <w:ind w:left="760" w:right="240" w:hanging="548"/>
        <w:spacing w:after="0" w:line="242"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Compensation actually paid to our PEO in each of 2023, 2022, 2021 and 2020 reflects the amounts in the </w:t>
      </w:r>
      <w:r>
        <w:rPr>
          <w:rFonts w:ascii="Arial" w:cs="Arial" w:eastAsia="Arial" w:hAnsi="Arial"/>
          <w:sz w:val="18"/>
          <w:szCs w:val="18"/>
          <w:i w:val="1"/>
          <w:iCs w:val="1"/>
          <w:color w:val="auto"/>
        </w:rPr>
        <w:t>Summary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Table </w:t>
      </w:r>
      <w:r>
        <w:rPr>
          <w:rFonts w:ascii="Arial" w:cs="Arial" w:eastAsia="Arial" w:hAnsi="Arial"/>
          <w:sz w:val="18"/>
          <w:szCs w:val="18"/>
          <w:color w:val="auto"/>
        </w:rPr>
        <w:t>Totals for PEO in the table above, adjusted as set forth in the table below, determined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SEC rules.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Pr>
          <w:p>
            <w:pPr>
              <w:spacing w:after="0"/>
              <w:rPr>
                <w:sz w:val="16"/>
                <w:szCs w:val="16"/>
                <w:color w:val="auto"/>
              </w:rPr>
            </w:pPr>
          </w:p>
        </w:tc>
        <w:tc>
          <w:tcPr>
            <w:tcW w:w="1100" w:type="dxa"/>
            <w:vAlign w:val="bottom"/>
          </w:tcPr>
          <w:p>
            <w:pPr>
              <w:jc w:val="right"/>
              <w:ind w:right="259"/>
              <w:spacing w:after="0"/>
              <w:rPr>
                <w:sz w:val="20"/>
                <w:szCs w:val="20"/>
                <w:color w:val="auto"/>
              </w:rPr>
            </w:pPr>
            <w:r>
              <w:rPr>
                <w:rFonts w:ascii="Arial" w:cs="Arial" w:eastAsia="Arial" w:hAnsi="Arial"/>
                <w:sz w:val="16"/>
                <w:szCs w:val="16"/>
                <w:b w:val="1"/>
                <w:bCs w:val="1"/>
                <w:color w:val="002060"/>
              </w:rPr>
              <w:t>2023</w:t>
            </w:r>
          </w:p>
        </w:tc>
        <w:tc>
          <w:tcPr>
            <w:tcW w:w="1060" w:type="dxa"/>
            <w:vAlign w:val="bottom"/>
          </w:tcPr>
          <w:p>
            <w:pPr>
              <w:jc w:val="right"/>
              <w:ind w:right="279"/>
              <w:spacing w:after="0"/>
              <w:rPr>
                <w:sz w:val="20"/>
                <w:szCs w:val="20"/>
                <w:color w:val="auto"/>
              </w:rPr>
            </w:pPr>
            <w:r>
              <w:rPr>
                <w:rFonts w:ascii="Arial" w:cs="Arial" w:eastAsia="Arial" w:hAnsi="Arial"/>
                <w:sz w:val="16"/>
                <w:szCs w:val="16"/>
                <w:b w:val="1"/>
                <w:bCs w:val="1"/>
                <w:color w:val="002060"/>
              </w:rPr>
              <w:t>2022</w:t>
            </w:r>
          </w:p>
        </w:tc>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002060"/>
              </w:rPr>
              <w:t>2021</w:t>
            </w:r>
          </w:p>
        </w:tc>
        <w:tc>
          <w:tcPr>
            <w:tcW w:w="1100" w:type="dxa"/>
            <w:vAlign w:val="bottom"/>
          </w:tcPr>
          <w:p>
            <w:pPr>
              <w:jc w:val="right"/>
              <w:ind w:right="259"/>
              <w:spacing w:after="0"/>
              <w:rPr>
                <w:sz w:val="20"/>
                <w:szCs w:val="20"/>
                <w:color w:val="auto"/>
              </w:rPr>
            </w:pPr>
            <w:r>
              <w:rPr>
                <w:rFonts w:ascii="Arial" w:cs="Arial" w:eastAsia="Arial" w:hAnsi="Arial"/>
                <w:sz w:val="16"/>
                <w:szCs w:val="16"/>
                <w:b w:val="1"/>
                <w:bCs w:val="1"/>
                <w:color w:val="002060"/>
              </w:rPr>
              <w:t>2020</w:t>
            </w:r>
          </w:p>
        </w:tc>
        <w:tc>
          <w:tcPr>
            <w:tcW w:w="0" w:type="dxa"/>
            <w:vAlign w:val="bottom"/>
          </w:tcPr>
          <w:p>
            <w:pPr>
              <w:spacing w:after="0"/>
              <w:rPr>
                <w:sz w:val="1"/>
                <w:szCs w:val="1"/>
                <w:color w:val="auto"/>
              </w:rPr>
            </w:pPr>
          </w:p>
        </w:tc>
      </w:tr>
      <w:tr>
        <w:trPr>
          <w:trHeight w:val="224"/>
        </w:trPr>
        <w:tc>
          <w:tcPr>
            <w:tcW w:w="6820" w:type="dxa"/>
            <w:vAlign w:val="bottom"/>
            <w:tcBorders>
              <w:bottom w:val="single" w:sz="8" w:color="0070C0"/>
            </w:tcBorders>
          </w:tcPr>
          <w:p>
            <w:pPr>
              <w:ind w:left="80"/>
              <w:spacing w:after="0"/>
              <w:rPr>
                <w:sz w:val="20"/>
                <w:szCs w:val="20"/>
                <w:color w:val="auto"/>
              </w:rPr>
            </w:pPr>
            <w:r>
              <w:rPr>
                <w:rFonts w:ascii="Arial" w:cs="Arial" w:eastAsia="Arial" w:hAnsi="Arial"/>
                <w:sz w:val="16"/>
                <w:szCs w:val="16"/>
                <w:b w:val="1"/>
                <w:bCs w:val="1"/>
                <w:color w:val="002060"/>
              </w:rPr>
              <w:t>PEO</w:t>
            </w:r>
          </w:p>
        </w:tc>
        <w:tc>
          <w:tcPr>
            <w:tcW w:w="1100" w:type="dxa"/>
            <w:vAlign w:val="bottom"/>
            <w:tcBorders>
              <w:bottom w:val="single" w:sz="8" w:color="0070C0"/>
            </w:tcBorders>
          </w:tcPr>
          <w:p>
            <w:pPr>
              <w:jc w:val="right"/>
              <w:ind w:right="339"/>
              <w:spacing w:after="0"/>
              <w:rPr>
                <w:sz w:val="20"/>
                <w:szCs w:val="20"/>
                <w:color w:val="auto"/>
              </w:rPr>
            </w:pPr>
            <w:r>
              <w:rPr>
                <w:rFonts w:ascii="Arial" w:cs="Arial" w:eastAsia="Arial" w:hAnsi="Arial"/>
                <w:sz w:val="16"/>
                <w:szCs w:val="16"/>
                <w:b w:val="1"/>
                <w:bCs w:val="1"/>
                <w:color w:val="002060"/>
              </w:rPr>
              <w:t>($)</w:t>
            </w:r>
          </w:p>
        </w:tc>
        <w:tc>
          <w:tcPr>
            <w:tcW w:w="1060" w:type="dxa"/>
            <w:vAlign w:val="bottom"/>
            <w:tcBorders>
              <w:bottom w:val="single" w:sz="8" w:color="0070C0"/>
            </w:tcBorders>
          </w:tcPr>
          <w:p>
            <w:pPr>
              <w:jc w:val="right"/>
              <w:ind w:right="359"/>
              <w:spacing w:after="0"/>
              <w:rPr>
                <w:sz w:val="20"/>
                <w:szCs w:val="20"/>
                <w:color w:val="auto"/>
              </w:rPr>
            </w:pPr>
            <w:r>
              <w:rPr>
                <w:rFonts w:ascii="Arial" w:cs="Arial" w:eastAsia="Arial" w:hAnsi="Arial"/>
                <w:sz w:val="16"/>
                <w:szCs w:val="16"/>
                <w:b w:val="1"/>
                <w:bCs w:val="1"/>
                <w:color w:val="002060"/>
              </w:rPr>
              <w:t>($)</w:t>
            </w:r>
          </w:p>
        </w:tc>
        <w:tc>
          <w:tcPr>
            <w:tcW w:w="940" w:type="dxa"/>
            <w:vAlign w:val="bottom"/>
            <w:tcBorders>
              <w:bottom w:val="single" w:sz="8" w:color="0070C0"/>
            </w:tcBorders>
          </w:tcPr>
          <w:p>
            <w:pPr>
              <w:jc w:val="right"/>
              <w:ind w:right="299"/>
              <w:spacing w:after="0"/>
              <w:rPr>
                <w:sz w:val="20"/>
                <w:szCs w:val="20"/>
                <w:color w:val="auto"/>
              </w:rPr>
            </w:pPr>
            <w:r>
              <w:rPr>
                <w:rFonts w:ascii="Arial" w:cs="Arial" w:eastAsia="Arial" w:hAnsi="Arial"/>
                <w:sz w:val="16"/>
                <w:szCs w:val="16"/>
                <w:b w:val="1"/>
                <w:bCs w:val="1"/>
                <w:color w:val="002060"/>
              </w:rPr>
              <w:t>($)</w:t>
            </w:r>
          </w:p>
        </w:tc>
        <w:tc>
          <w:tcPr>
            <w:tcW w:w="1100" w:type="dxa"/>
            <w:vAlign w:val="bottom"/>
            <w:tcBorders>
              <w:bottom w:val="single" w:sz="8" w:color="0070C0"/>
            </w:tcBorders>
          </w:tcPr>
          <w:p>
            <w:pPr>
              <w:jc w:val="right"/>
              <w:ind w:right="339"/>
              <w:spacing w:after="0"/>
              <w:rPr>
                <w:sz w:val="20"/>
                <w:szCs w:val="20"/>
                <w:color w:val="auto"/>
              </w:rPr>
            </w:pPr>
            <w:r>
              <w:rPr>
                <w:rFonts w:ascii="Arial" w:cs="Arial" w:eastAsia="Arial" w:hAnsi="Arial"/>
                <w:sz w:val="16"/>
                <w:szCs w:val="16"/>
                <w:b w:val="1"/>
                <w:bCs w:val="1"/>
                <w:color w:val="002060"/>
              </w:rPr>
              <w:t>($)</w:t>
            </w:r>
          </w:p>
        </w:tc>
        <w:tc>
          <w:tcPr>
            <w:tcW w:w="0" w:type="dxa"/>
            <w:vAlign w:val="bottom"/>
          </w:tcPr>
          <w:p>
            <w:pPr>
              <w:spacing w:after="0"/>
              <w:rPr>
                <w:sz w:val="1"/>
                <w:szCs w:val="1"/>
                <w:color w:val="auto"/>
              </w:rPr>
            </w:pPr>
          </w:p>
        </w:tc>
      </w:tr>
      <w:tr>
        <w:trPr>
          <w:trHeight w:val="189"/>
        </w:trPr>
        <w:tc>
          <w:tcPr>
            <w:tcW w:w="6820" w:type="dxa"/>
            <w:vAlign w:val="bottom"/>
            <w:tcBorders>
              <w:bottom w:val="single" w:sz="8" w:color="auto"/>
            </w:tcBorders>
            <w:shd w:val="clear" w:color="auto" w:fill="D5DCE4"/>
          </w:tcPr>
          <w:p>
            <w:pPr>
              <w:ind w:left="80"/>
              <w:spacing w:after="0"/>
              <w:rPr>
                <w:sz w:val="20"/>
                <w:szCs w:val="20"/>
                <w:color w:val="auto"/>
              </w:rPr>
            </w:pPr>
            <w:r>
              <w:rPr>
                <w:rFonts w:ascii="Arial" w:cs="Arial" w:eastAsia="Arial" w:hAnsi="Arial"/>
                <w:sz w:val="16"/>
                <w:szCs w:val="16"/>
                <w:color w:val="auto"/>
              </w:rPr>
              <w:t>Summary Compensation Table (SCT) Total Compensation</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5,932,174</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5,331,034</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4,351,277</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4,097,375 </w:t>
            </w:r>
          </w:p>
        </w:tc>
        <w:tc>
          <w:tcPr>
            <w:tcW w:w="0" w:type="dxa"/>
            <w:vAlign w:val="bottom"/>
          </w:tcPr>
          <w:p>
            <w:pPr>
              <w:spacing w:after="0"/>
              <w:rPr>
                <w:sz w:val="1"/>
                <w:szCs w:val="1"/>
                <w:color w:val="auto"/>
              </w:rPr>
            </w:pPr>
          </w:p>
        </w:tc>
      </w:tr>
      <w:tr>
        <w:trPr>
          <w:trHeight w:val="182"/>
        </w:trPr>
        <w:tc>
          <w:tcPr>
            <w:tcW w:w="6820" w:type="dxa"/>
            <w:vAlign w:val="bottom"/>
            <w:tcBorders>
              <w:bottom w:val="single" w:sz="8" w:color="auto"/>
            </w:tcBorders>
            <w:shd w:val="clear" w:color="auto" w:fill="D5DCE4"/>
          </w:tcPr>
          <w:p>
            <w:pPr>
              <w:ind w:left="80"/>
              <w:spacing w:after="0" w:line="183" w:lineRule="exact"/>
              <w:rPr>
                <w:sz w:val="20"/>
                <w:szCs w:val="20"/>
                <w:color w:val="auto"/>
              </w:rPr>
            </w:pPr>
            <w:r>
              <w:rPr>
                <w:rFonts w:ascii="Arial" w:cs="Arial" w:eastAsia="Arial" w:hAnsi="Arial"/>
                <w:sz w:val="16"/>
                <w:szCs w:val="16"/>
                <w:color w:val="auto"/>
              </w:rPr>
              <w:t>- Aggregate change in actuarial present value of pension benefits</w:t>
            </w:r>
          </w:p>
        </w:tc>
        <w:tc>
          <w:tcPr>
            <w:tcW w:w="11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83"/>
        </w:trPr>
        <w:tc>
          <w:tcPr>
            <w:tcW w:w="6820" w:type="dxa"/>
            <w:vAlign w:val="bottom"/>
            <w:tcBorders>
              <w:bottom w:val="single" w:sz="8" w:color="auto"/>
            </w:tcBorders>
            <w:shd w:val="clear" w:color="auto" w:fill="D5DCE4"/>
          </w:tcPr>
          <w:p>
            <w:pPr>
              <w:ind w:left="80"/>
              <w:spacing w:after="0" w:line="183" w:lineRule="exact"/>
              <w:rPr>
                <w:sz w:val="20"/>
                <w:szCs w:val="20"/>
                <w:color w:val="auto"/>
              </w:rPr>
            </w:pPr>
            <w:r>
              <w:rPr>
                <w:rFonts w:ascii="Arial" w:cs="Arial" w:eastAsia="Arial" w:hAnsi="Arial"/>
                <w:sz w:val="16"/>
                <w:szCs w:val="16"/>
                <w:color w:val="auto"/>
              </w:rPr>
              <w:t>+ Service cost of pension benefits</w:t>
            </w:r>
          </w:p>
        </w:tc>
        <w:tc>
          <w:tcPr>
            <w:tcW w:w="11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83"/>
        </w:trPr>
        <w:tc>
          <w:tcPr>
            <w:tcW w:w="6820" w:type="dxa"/>
            <w:vAlign w:val="bottom"/>
            <w:tcBorders>
              <w:bottom w:val="single" w:sz="8" w:color="auto"/>
            </w:tcBorders>
            <w:shd w:val="clear" w:color="auto" w:fill="D5DCE4"/>
          </w:tcPr>
          <w:p>
            <w:pPr>
              <w:ind w:left="80"/>
              <w:spacing w:after="0" w:line="183" w:lineRule="exact"/>
              <w:rPr>
                <w:sz w:val="20"/>
                <w:szCs w:val="20"/>
                <w:color w:val="auto"/>
              </w:rPr>
            </w:pPr>
            <w:r>
              <w:rPr>
                <w:rFonts w:ascii="Arial" w:cs="Arial" w:eastAsia="Arial" w:hAnsi="Arial"/>
                <w:sz w:val="16"/>
                <w:szCs w:val="16"/>
                <w:color w:val="auto"/>
              </w:rPr>
              <w:t>+ Prior service cost of pension benefits</w:t>
            </w:r>
          </w:p>
        </w:tc>
        <w:tc>
          <w:tcPr>
            <w:tcW w:w="11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83"/>
        </w:trPr>
        <w:tc>
          <w:tcPr>
            <w:tcW w:w="6820" w:type="dxa"/>
            <w:vAlign w:val="bottom"/>
            <w:tcBorders>
              <w:bottom w:val="single" w:sz="8" w:color="auto"/>
            </w:tcBorders>
            <w:shd w:val="clear" w:color="auto" w:fill="D5DCE4"/>
          </w:tcPr>
          <w:p>
            <w:pPr>
              <w:ind w:left="80"/>
              <w:spacing w:after="0" w:line="183" w:lineRule="exact"/>
              <w:rPr>
                <w:sz w:val="20"/>
                <w:szCs w:val="20"/>
                <w:color w:val="auto"/>
              </w:rPr>
            </w:pPr>
            <w:r>
              <w:rPr>
                <w:rFonts w:ascii="Arial" w:cs="Arial" w:eastAsia="Arial" w:hAnsi="Arial"/>
                <w:sz w:val="16"/>
                <w:szCs w:val="16"/>
                <w:color w:val="auto"/>
              </w:rPr>
              <w:t>- Stock award values reported in the SCT for the covered year</w:t>
            </w:r>
          </w:p>
        </w:tc>
        <w:tc>
          <w:tcPr>
            <w:tcW w:w="11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3,837,502</w:t>
            </w:r>
          </w:p>
        </w:tc>
        <w:tc>
          <w:tcPr>
            <w:tcW w:w="10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3,377,950</w:t>
            </w:r>
          </w:p>
        </w:tc>
        <w:tc>
          <w:tcPr>
            <w:tcW w:w="9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2,703,051</w:t>
            </w:r>
          </w:p>
        </w:tc>
        <w:tc>
          <w:tcPr>
            <w:tcW w:w="11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2,502,713 </w:t>
            </w:r>
          </w:p>
        </w:tc>
        <w:tc>
          <w:tcPr>
            <w:tcW w:w="0" w:type="dxa"/>
            <w:vAlign w:val="bottom"/>
          </w:tcPr>
          <w:p>
            <w:pPr>
              <w:spacing w:after="0"/>
              <w:rPr>
                <w:sz w:val="1"/>
                <w:szCs w:val="1"/>
                <w:color w:val="auto"/>
              </w:rPr>
            </w:pPr>
          </w:p>
        </w:tc>
      </w:tr>
      <w:tr>
        <w:trPr>
          <w:trHeight w:val="183"/>
        </w:trPr>
        <w:tc>
          <w:tcPr>
            <w:tcW w:w="6820" w:type="dxa"/>
            <w:vAlign w:val="bottom"/>
            <w:tcBorders>
              <w:bottom w:val="single" w:sz="8" w:color="002060"/>
            </w:tcBorders>
            <w:shd w:val="clear" w:color="auto" w:fill="D5DCE4"/>
          </w:tcPr>
          <w:p>
            <w:pPr>
              <w:ind w:left="80"/>
              <w:spacing w:after="0" w:line="183" w:lineRule="exact"/>
              <w:rPr>
                <w:sz w:val="20"/>
                <w:szCs w:val="20"/>
                <w:color w:val="auto"/>
              </w:rPr>
            </w:pPr>
            <w:r>
              <w:rPr>
                <w:rFonts w:ascii="Arial" w:cs="Arial" w:eastAsia="Arial" w:hAnsi="Arial"/>
                <w:sz w:val="16"/>
                <w:szCs w:val="16"/>
                <w:color w:val="auto"/>
              </w:rPr>
              <w:t>- Option award values reported in the SCT for the covered year</w:t>
            </w:r>
          </w:p>
        </w:tc>
        <w:tc>
          <w:tcPr>
            <w:tcW w:w="1100" w:type="dxa"/>
            <w:vAlign w:val="bottom"/>
            <w:tcBorders>
              <w:bottom w:val="single" w:sz="8" w:color="00206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002060"/>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00206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002060"/>
            </w:tcBorders>
          </w:tcPr>
          <w:p>
            <w:pPr>
              <w:jc w:val="right"/>
              <w:ind w:right="19"/>
              <w:spacing w:after="0" w:line="183" w:lineRule="exact"/>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68"/>
        </w:trPr>
        <w:tc>
          <w:tcPr>
            <w:tcW w:w="6820" w:type="dxa"/>
            <w:vAlign w:val="bottom"/>
            <w:shd w:val="clear" w:color="auto" w:fill="D5DCE4"/>
          </w:tcPr>
          <w:p>
            <w:pPr>
              <w:ind w:left="80"/>
              <w:spacing w:after="0" w:line="168" w:lineRule="exact"/>
              <w:rPr>
                <w:sz w:val="20"/>
                <w:szCs w:val="20"/>
                <w:color w:val="auto"/>
              </w:rPr>
            </w:pPr>
            <w:r>
              <w:rPr>
                <w:rFonts w:ascii="Arial" w:cs="Arial" w:eastAsia="Arial" w:hAnsi="Arial"/>
                <w:sz w:val="16"/>
                <w:szCs w:val="16"/>
                <w:color w:val="auto"/>
              </w:rPr>
              <w:t>+ Year end fair value for equity awards granted in the covered year that were outstanding and</w:t>
            </w:r>
          </w:p>
        </w:tc>
        <w:tc>
          <w:tcPr>
            <w:tcW w:w="1100" w:type="dxa"/>
            <w:vAlign w:val="bottom"/>
            <w:vMerge w:val="restart"/>
          </w:tcPr>
          <w:p>
            <w:pPr>
              <w:jc w:val="right"/>
              <w:ind w:right="19"/>
              <w:spacing w:after="0"/>
              <w:rPr>
                <w:sz w:val="20"/>
                <w:szCs w:val="20"/>
                <w:color w:val="auto"/>
              </w:rPr>
            </w:pPr>
            <w:r>
              <w:rPr>
                <w:rFonts w:ascii="Arial" w:cs="Arial" w:eastAsia="Arial" w:hAnsi="Arial"/>
                <w:sz w:val="16"/>
                <w:szCs w:val="16"/>
                <w:color w:val="auto"/>
              </w:rPr>
              <w:t>2,990,008</w:t>
            </w:r>
          </w:p>
        </w:tc>
        <w:tc>
          <w:tcPr>
            <w:tcW w:w="1060" w:type="dxa"/>
            <w:vAlign w:val="bottom"/>
            <w:vMerge w:val="restart"/>
          </w:tcPr>
          <w:p>
            <w:pPr>
              <w:jc w:val="right"/>
              <w:ind w:right="39"/>
              <w:spacing w:after="0"/>
              <w:rPr>
                <w:sz w:val="20"/>
                <w:szCs w:val="20"/>
                <w:color w:val="auto"/>
              </w:rPr>
            </w:pPr>
            <w:r>
              <w:rPr>
                <w:rFonts w:ascii="Arial" w:cs="Arial" w:eastAsia="Arial" w:hAnsi="Arial"/>
                <w:sz w:val="16"/>
                <w:szCs w:val="16"/>
                <w:color w:val="auto"/>
              </w:rPr>
              <w:t>2,807,851</w:t>
            </w: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auto"/>
              </w:rPr>
              <w:t>3,062,523</w:t>
            </w:r>
          </w:p>
        </w:tc>
        <w:tc>
          <w:tcPr>
            <w:tcW w:w="1100" w:type="dxa"/>
            <w:vAlign w:val="bottom"/>
            <w:vMerge w:val="restart"/>
          </w:tcPr>
          <w:p>
            <w:pPr>
              <w:jc w:val="right"/>
              <w:ind w:right="19"/>
              <w:spacing w:after="0"/>
              <w:rPr>
                <w:sz w:val="20"/>
                <w:szCs w:val="20"/>
                <w:color w:val="auto"/>
              </w:rPr>
            </w:pPr>
            <w:r>
              <w:rPr>
                <w:rFonts w:ascii="Arial" w:cs="Arial" w:eastAsia="Arial" w:hAnsi="Arial"/>
                <w:sz w:val="16"/>
                <w:szCs w:val="16"/>
                <w:color w:val="auto"/>
              </w:rPr>
              <w:t>3,301,003 </w:t>
            </w:r>
          </w:p>
        </w:tc>
        <w:tc>
          <w:tcPr>
            <w:tcW w:w="0" w:type="dxa"/>
            <w:vAlign w:val="bottom"/>
          </w:tcPr>
          <w:p>
            <w:pPr>
              <w:spacing w:after="0"/>
              <w:rPr>
                <w:sz w:val="1"/>
                <w:szCs w:val="1"/>
                <w:color w:val="auto"/>
              </w:rPr>
            </w:pPr>
          </w:p>
        </w:tc>
      </w:tr>
      <w:tr>
        <w:trPr>
          <w:trHeight w:val="120"/>
        </w:trPr>
        <w:tc>
          <w:tcPr>
            <w:tcW w:w="6820" w:type="dxa"/>
            <w:vAlign w:val="bottom"/>
            <w:vMerge w:val="restart"/>
            <w:shd w:val="clear" w:color="auto" w:fill="D5DCE4"/>
          </w:tcPr>
          <w:p>
            <w:pPr>
              <w:ind w:left="80"/>
              <w:spacing w:after="0"/>
              <w:rPr>
                <w:sz w:val="20"/>
                <w:szCs w:val="20"/>
                <w:color w:val="auto"/>
              </w:rPr>
            </w:pPr>
            <w:r>
              <w:rPr>
                <w:rFonts w:ascii="Arial" w:cs="Arial" w:eastAsia="Arial" w:hAnsi="Arial"/>
                <w:sz w:val="16"/>
                <w:szCs w:val="16"/>
                <w:color w:val="auto"/>
              </w:rPr>
              <w:t>unvested at year end</w:t>
            </w:r>
          </w:p>
        </w:tc>
        <w:tc>
          <w:tcPr>
            <w:tcW w:w="11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6820" w:type="dxa"/>
            <w:vAlign w:val="bottom"/>
            <w:tcBorders>
              <w:bottom w:val="single" w:sz="8" w:color="002060"/>
            </w:tcBorders>
            <w:vMerge w:val="continue"/>
            <w:shd w:val="clear" w:color="auto" w:fill="D5DCE4"/>
          </w:tcPr>
          <w:p>
            <w:pPr>
              <w:spacing w:after="0"/>
              <w:rPr>
                <w:sz w:val="7"/>
                <w:szCs w:val="7"/>
                <w:color w:val="auto"/>
              </w:rPr>
            </w:pPr>
          </w:p>
        </w:tc>
        <w:tc>
          <w:tcPr>
            <w:tcW w:w="1100" w:type="dxa"/>
            <w:vAlign w:val="bottom"/>
            <w:tcBorders>
              <w:bottom w:val="single" w:sz="8" w:color="002060"/>
            </w:tcBorders>
          </w:tcPr>
          <w:p>
            <w:pPr>
              <w:spacing w:after="0"/>
              <w:rPr>
                <w:sz w:val="7"/>
                <w:szCs w:val="7"/>
                <w:color w:val="auto"/>
              </w:rPr>
            </w:pPr>
          </w:p>
        </w:tc>
        <w:tc>
          <w:tcPr>
            <w:tcW w:w="1060" w:type="dxa"/>
            <w:vAlign w:val="bottom"/>
            <w:tcBorders>
              <w:bottom w:val="single" w:sz="8" w:color="002060"/>
            </w:tcBorders>
          </w:tcPr>
          <w:p>
            <w:pPr>
              <w:spacing w:after="0"/>
              <w:rPr>
                <w:sz w:val="7"/>
                <w:szCs w:val="7"/>
                <w:color w:val="auto"/>
              </w:rPr>
            </w:pPr>
          </w:p>
        </w:tc>
        <w:tc>
          <w:tcPr>
            <w:tcW w:w="940" w:type="dxa"/>
            <w:vAlign w:val="bottom"/>
            <w:tcBorders>
              <w:bottom w:val="single" w:sz="8" w:color="002060"/>
            </w:tcBorders>
          </w:tcPr>
          <w:p>
            <w:pPr>
              <w:spacing w:after="0"/>
              <w:rPr>
                <w:sz w:val="7"/>
                <w:szCs w:val="7"/>
                <w:color w:val="auto"/>
              </w:rPr>
            </w:pPr>
          </w:p>
        </w:tc>
        <w:tc>
          <w:tcPr>
            <w:tcW w:w="1100" w:type="dxa"/>
            <w:vAlign w:val="bottom"/>
            <w:tcBorders>
              <w:bottom w:val="single" w:sz="8" w:color="002060"/>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6820" w:type="dxa"/>
            <w:vAlign w:val="bottom"/>
            <w:shd w:val="clear" w:color="auto" w:fill="D5DCE4"/>
          </w:tcPr>
          <w:p>
            <w:pPr>
              <w:ind w:left="80"/>
              <w:spacing w:after="0" w:line="168" w:lineRule="exact"/>
              <w:rPr>
                <w:sz w:val="20"/>
                <w:szCs w:val="20"/>
                <w:color w:val="auto"/>
              </w:rPr>
            </w:pPr>
            <w:r>
              <w:rPr>
                <w:rFonts w:ascii="Arial" w:cs="Arial" w:eastAsia="Arial" w:hAnsi="Arial"/>
                <w:sz w:val="16"/>
                <w:szCs w:val="16"/>
                <w:color w:val="auto"/>
              </w:rPr>
              <w:t>+/- Year-over-year change in fair value of equity awards granted in prior years that are</w:t>
            </w:r>
          </w:p>
        </w:tc>
        <w:tc>
          <w:tcPr>
            <w:tcW w:w="1100" w:type="dxa"/>
            <w:vAlign w:val="bottom"/>
            <w:vMerge w:val="restart"/>
          </w:tcPr>
          <w:p>
            <w:pPr>
              <w:jc w:val="right"/>
              <w:ind w:right="19"/>
              <w:spacing w:after="0"/>
              <w:rPr>
                <w:sz w:val="20"/>
                <w:szCs w:val="20"/>
                <w:color w:val="auto"/>
              </w:rPr>
            </w:pPr>
            <w:r>
              <w:rPr>
                <w:rFonts w:ascii="Arial" w:cs="Arial" w:eastAsia="Arial" w:hAnsi="Arial"/>
                <w:sz w:val="16"/>
                <w:szCs w:val="16"/>
                <w:color w:val="auto"/>
              </w:rPr>
              <w:t>4,254,444</w:t>
            </w:r>
          </w:p>
        </w:tc>
        <w:tc>
          <w:tcPr>
            <w:tcW w:w="1060" w:type="dxa"/>
            <w:vAlign w:val="bottom"/>
            <w:vMerge w:val="restart"/>
          </w:tcPr>
          <w:p>
            <w:pPr>
              <w:jc w:val="right"/>
              <w:ind w:right="39"/>
              <w:spacing w:after="0"/>
              <w:rPr>
                <w:sz w:val="20"/>
                <w:szCs w:val="20"/>
                <w:color w:val="auto"/>
              </w:rPr>
            </w:pPr>
            <w:r>
              <w:rPr>
                <w:rFonts w:ascii="Arial" w:cs="Arial" w:eastAsia="Arial" w:hAnsi="Arial"/>
                <w:sz w:val="16"/>
                <w:szCs w:val="16"/>
                <w:color w:val="auto"/>
              </w:rPr>
              <w:t>(2,062,567)</w:t>
            </w: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auto"/>
              </w:rPr>
              <w:t>2,053,206</w:t>
            </w:r>
          </w:p>
        </w:tc>
        <w:tc>
          <w:tcPr>
            <w:tcW w:w="1100" w:type="dxa"/>
            <w:vAlign w:val="bottom"/>
            <w:vMerge w:val="restart"/>
          </w:tcPr>
          <w:p>
            <w:pPr>
              <w:jc w:val="right"/>
              <w:ind w:right="19"/>
              <w:spacing w:after="0"/>
              <w:rPr>
                <w:sz w:val="20"/>
                <w:szCs w:val="20"/>
                <w:color w:val="auto"/>
              </w:rPr>
            </w:pPr>
            <w:r>
              <w:rPr>
                <w:rFonts w:ascii="Arial" w:cs="Arial" w:eastAsia="Arial" w:hAnsi="Arial"/>
                <w:sz w:val="16"/>
                <w:szCs w:val="16"/>
                <w:color w:val="auto"/>
              </w:rPr>
              <w:t>1,850,633 </w:t>
            </w:r>
          </w:p>
        </w:tc>
        <w:tc>
          <w:tcPr>
            <w:tcW w:w="0" w:type="dxa"/>
            <w:vAlign w:val="bottom"/>
          </w:tcPr>
          <w:p>
            <w:pPr>
              <w:spacing w:after="0"/>
              <w:rPr>
                <w:sz w:val="1"/>
                <w:szCs w:val="1"/>
                <w:color w:val="auto"/>
              </w:rPr>
            </w:pPr>
          </w:p>
        </w:tc>
      </w:tr>
      <w:tr>
        <w:trPr>
          <w:trHeight w:val="120"/>
        </w:trPr>
        <w:tc>
          <w:tcPr>
            <w:tcW w:w="6820" w:type="dxa"/>
            <w:vAlign w:val="bottom"/>
            <w:vMerge w:val="restart"/>
            <w:shd w:val="clear" w:color="auto" w:fill="D5DCE4"/>
          </w:tcPr>
          <w:p>
            <w:pPr>
              <w:ind w:left="80"/>
              <w:spacing w:after="0"/>
              <w:rPr>
                <w:sz w:val="20"/>
                <w:szCs w:val="20"/>
                <w:color w:val="auto"/>
              </w:rPr>
            </w:pPr>
            <w:r>
              <w:rPr>
                <w:rFonts w:ascii="Arial" w:cs="Arial" w:eastAsia="Arial" w:hAnsi="Arial"/>
                <w:sz w:val="16"/>
                <w:szCs w:val="16"/>
                <w:color w:val="auto"/>
              </w:rPr>
              <w:t>outstanding and unvested as of the covered years</w:t>
            </w:r>
          </w:p>
        </w:tc>
        <w:tc>
          <w:tcPr>
            <w:tcW w:w="11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6820" w:type="dxa"/>
            <w:vAlign w:val="bottom"/>
            <w:tcBorders>
              <w:bottom w:val="single" w:sz="8" w:color="002060"/>
            </w:tcBorders>
            <w:vMerge w:val="continue"/>
            <w:shd w:val="clear" w:color="auto" w:fill="D5DCE4"/>
          </w:tcPr>
          <w:p>
            <w:pPr>
              <w:spacing w:after="0"/>
              <w:rPr>
                <w:sz w:val="7"/>
                <w:szCs w:val="7"/>
                <w:color w:val="auto"/>
              </w:rPr>
            </w:pPr>
          </w:p>
        </w:tc>
        <w:tc>
          <w:tcPr>
            <w:tcW w:w="1100" w:type="dxa"/>
            <w:vAlign w:val="bottom"/>
            <w:tcBorders>
              <w:bottom w:val="single" w:sz="8" w:color="002060"/>
            </w:tcBorders>
          </w:tcPr>
          <w:p>
            <w:pPr>
              <w:spacing w:after="0"/>
              <w:rPr>
                <w:sz w:val="7"/>
                <w:szCs w:val="7"/>
                <w:color w:val="auto"/>
              </w:rPr>
            </w:pPr>
          </w:p>
        </w:tc>
        <w:tc>
          <w:tcPr>
            <w:tcW w:w="1060" w:type="dxa"/>
            <w:vAlign w:val="bottom"/>
            <w:tcBorders>
              <w:bottom w:val="single" w:sz="8" w:color="002060"/>
            </w:tcBorders>
          </w:tcPr>
          <w:p>
            <w:pPr>
              <w:spacing w:after="0"/>
              <w:rPr>
                <w:sz w:val="7"/>
                <w:szCs w:val="7"/>
                <w:color w:val="auto"/>
              </w:rPr>
            </w:pPr>
          </w:p>
        </w:tc>
        <w:tc>
          <w:tcPr>
            <w:tcW w:w="940" w:type="dxa"/>
            <w:vAlign w:val="bottom"/>
            <w:tcBorders>
              <w:bottom w:val="single" w:sz="8" w:color="002060"/>
            </w:tcBorders>
          </w:tcPr>
          <w:p>
            <w:pPr>
              <w:spacing w:after="0"/>
              <w:rPr>
                <w:sz w:val="7"/>
                <w:szCs w:val="7"/>
                <w:color w:val="auto"/>
              </w:rPr>
            </w:pPr>
          </w:p>
        </w:tc>
        <w:tc>
          <w:tcPr>
            <w:tcW w:w="1100" w:type="dxa"/>
            <w:vAlign w:val="bottom"/>
            <w:tcBorders>
              <w:bottom w:val="single" w:sz="8" w:color="002060"/>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6820" w:type="dxa"/>
            <w:vAlign w:val="bottom"/>
            <w:tcBorders>
              <w:bottom w:val="single" w:sz="8" w:color="002060"/>
            </w:tcBorders>
            <w:shd w:val="clear" w:color="auto" w:fill="D5DCE4"/>
          </w:tcPr>
          <w:p>
            <w:pPr>
              <w:ind w:left="80"/>
              <w:spacing w:after="0" w:line="183" w:lineRule="exact"/>
              <w:rPr>
                <w:sz w:val="20"/>
                <w:szCs w:val="20"/>
                <w:color w:val="auto"/>
              </w:rPr>
            </w:pPr>
            <w:r>
              <w:rPr>
                <w:rFonts w:ascii="Arial" w:cs="Arial" w:eastAsia="Arial" w:hAnsi="Arial"/>
                <w:sz w:val="16"/>
                <w:szCs w:val="16"/>
                <w:color w:val="auto"/>
              </w:rPr>
              <w:t>+ Vesting date fair value of equity awards granted and vested in the covered year</w:t>
            </w:r>
          </w:p>
        </w:tc>
        <w:tc>
          <w:tcPr>
            <w:tcW w:w="1100" w:type="dxa"/>
            <w:vAlign w:val="bottom"/>
            <w:tcBorders>
              <w:bottom w:val="single" w:sz="8" w:color="00206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002060"/>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00206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002060"/>
            </w:tcBorders>
          </w:tcPr>
          <w:p>
            <w:pPr>
              <w:jc w:val="right"/>
              <w:ind w:right="19"/>
              <w:spacing w:after="0" w:line="183" w:lineRule="exact"/>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68"/>
        </w:trPr>
        <w:tc>
          <w:tcPr>
            <w:tcW w:w="6820" w:type="dxa"/>
            <w:vAlign w:val="bottom"/>
            <w:shd w:val="clear" w:color="auto" w:fill="D5DCE4"/>
          </w:tcPr>
          <w:p>
            <w:pPr>
              <w:ind w:left="80"/>
              <w:spacing w:after="0" w:line="168" w:lineRule="exact"/>
              <w:rPr>
                <w:sz w:val="20"/>
                <w:szCs w:val="20"/>
                <w:color w:val="auto"/>
              </w:rPr>
            </w:pPr>
            <w:r>
              <w:rPr>
                <w:rFonts w:ascii="Arial" w:cs="Arial" w:eastAsia="Arial" w:hAnsi="Arial"/>
                <w:sz w:val="16"/>
                <w:szCs w:val="16"/>
                <w:color w:val="auto"/>
              </w:rPr>
              <w:t>+/- Year-over-year change in fair value of equity awards granted in prior years that vested in</w:t>
            </w:r>
          </w:p>
        </w:tc>
        <w:tc>
          <w:tcPr>
            <w:tcW w:w="1100" w:type="dxa"/>
            <w:vAlign w:val="bottom"/>
            <w:vMerge w:val="restart"/>
          </w:tcPr>
          <w:p>
            <w:pPr>
              <w:jc w:val="right"/>
              <w:ind w:right="19"/>
              <w:spacing w:after="0"/>
              <w:rPr>
                <w:sz w:val="20"/>
                <w:szCs w:val="20"/>
                <w:color w:val="auto"/>
              </w:rPr>
            </w:pPr>
            <w:r>
              <w:rPr>
                <w:rFonts w:ascii="Arial" w:cs="Arial" w:eastAsia="Arial" w:hAnsi="Arial"/>
                <w:sz w:val="16"/>
                <w:szCs w:val="16"/>
                <w:color w:val="auto"/>
              </w:rPr>
              <w:t>983,445</w:t>
            </w:r>
          </w:p>
        </w:tc>
        <w:tc>
          <w:tcPr>
            <w:tcW w:w="1060" w:type="dxa"/>
            <w:vAlign w:val="bottom"/>
            <w:vMerge w:val="restart"/>
          </w:tcPr>
          <w:p>
            <w:pPr>
              <w:jc w:val="right"/>
              <w:ind w:right="39"/>
              <w:spacing w:after="0"/>
              <w:rPr>
                <w:sz w:val="20"/>
                <w:szCs w:val="20"/>
                <w:color w:val="auto"/>
              </w:rPr>
            </w:pPr>
            <w:r>
              <w:rPr>
                <w:rFonts w:ascii="Arial" w:cs="Arial" w:eastAsia="Arial" w:hAnsi="Arial"/>
                <w:sz w:val="16"/>
                <w:szCs w:val="16"/>
                <w:color w:val="auto"/>
              </w:rPr>
              <w:t>(2,093,505)</w:t>
            </w: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auto"/>
              </w:rPr>
              <w:t>892,293</w:t>
            </w:r>
          </w:p>
        </w:tc>
        <w:tc>
          <w:tcPr>
            <w:tcW w:w="1100" w:type="dxa"/>
            <w:vAlign w:val="bottom"/>
            <w:vMerge w:val="restart"/>
          </w:tcPr>
          <w:p>
            <w:pPr>
              <w:jc w:val="right"/>
              <w:ind w:right="19"/>
              <w:spacing w:after="0"/>
              <w:rPr>
                <w:sz w:val="20"/>
                <w:szCs w:val="20"/>
                <w:color w:val="auto"/>
              </w:rPr>
            </w:pPr>
            <w:r>
              <w:rPr>
                <w:rFonts w:ascii="Arial" w:cs="Arial" w:eastAsia="Arial" w:hAnsi="Arial"/>
                <w:sz w:val="16"/>
                <w:szCs w:val="16"/>
                <w:color w:val="auto"/>
              </w:rPr>
              <w:t xml:space="preserve">(1,198,387) </w:t>
            </w:r>
          </w:p>
        </w:tc>
        <w:tc>
          <w:tcPr>
            <w:tcW w:w="0" w:type="dxa"/>
            <w:vAlign w:val="bottom"/>
          </w:tcPr>
          <w:p>
            <w:pPr>
              <w:spacing w:after="0"/>
              <w:rPr>
                <w:sz w:val="1"/>
                <w:szCs w:val="1"/>
                <w:color w:val="auto"/>
              </w:rPr>
            </w:pPr>
          </w:p>
        </w:tc>
      </w:tr>
      <w:tr>
        <w:trPr>
          <w:trHeight w:val="120"/>
        </w:trPr>
        <w:tc>
          <w:tcPr>
            <w:tcW w:w="6820" w:type="dxa"/>
            <w:vAlign w:val="bottom"/>
            <w:vMerge w:val="restart"/>
            <w:shd w:val="clear" w:color="auto" w:fill="D5DCE4"/>
          </w:tcPr>
          <w:p>
            <w:pPr>
              <w:ind w:left="80"/>
              <w:spacing w:after="0"/>
              <w:rPr>
                <w:sz w:val="20"/>
                <w:szCs w:val="20"/>
                <w:color w:val="auto"/>
              </w:rPr>
            </w:pPr>
            <w:r>
              <w:rPr>
                <w:rFonts w:ascii="Arial" w:cs="Arial" w:eastAsia="Arial" w:hAnsi="Arial"/>
                <w:sz w:val="16"/>
                <w:szCs w:val="16"/>
                <w:color w:val="auto"/>
              </w:rPr>
              <w:t>the covered year</w:t>
            </w:r>
          </w:p>
        </w:tc>
        <w:tc>
          <w:tcPr>
            <w:tcW w:w="11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6820" w:type="dxa"/>
            <w:vAlign w:val="bottom"/>
            <w:tcBorders>
              <w:bottom w:val="single" w:sz="8" w:color="002060"/>
            </w:tcBorders>
            <w:vMerge w:val="continue"/>
            <w:shd w:val="clear" w:color="auto" w:fill="D5DCE4"/>
          </w:tcPr>
          <w:p>
            <w:pPr>
              <w:spacing w:after="0"/>
              <w:rPr>
                <w:sz w:val="7"/>
                <w:szCs w:val="7"/>
                <w:color w:val="auto"/>
              </w:rPr>
            </w:pPr>
          </w:p>
        </w:tc>
        <w:tc>
          <w:tcPr>
            <w:tcW w:w="1100" w:type="dxa"/>
            <w:vAlign w:val="bottom"/>
            <w:tcBorders>
              <w:bottom w:val="single" w:sz="8" w:color="002060"/>
            </w:tcBorders>
          </w:tcPr>
          <w:p>
            <w:pPr>
              <w:spacing w:after="0"/>
              <w:rPr>
                <w:sz w:val="7"/>
                <w:szCs w:val="7"/>
                <w:color w:val="auto"/>
              </w:rPr>
            </w:pPr>
          </w:p>
        </w:tc>
        <w:tc>
          <w:tcPr>
            <w:tcW w:w="1060" w:type="dxa"/>
            <w:vAlign w:val="bottom"/>
            <w:tcBorders>
              <w:bottom w:val="single" w:sz="8" w:color="002060"/>
            </w:tcBorders>
          </w:tcPr>
          <w:p>
            <w:pPr>
              <w:spacing w:after="0"/>
              <w:rPr>
                <w:sz w:val="7"/>
                <w:szCs w:val="7"/>
                <w:color w:val="auto"/>
              </w:rPr>
            </w:pPr>
          </w:p>
        </w:tc>
        <w:tc>
          <w:tcPr>
            <w:tcW w:w="940" w:type="dxa"/>
            <w:vAlign w:val="bottom"/>
            <w:tcBorders>
              <w:bottom w:val="single" w:sz="8" w:color="002060"/>
            </w:tcBorders>
          </w:tcPr>
          <w:p>
            <w:pPr>
              <w:spacing w:after="0"/>
              <w:rPr>
                <w:sz w:val="7"/>
                <w:szCs w:val="7"/>
                <w:color w:val="auto"/>
              </w:rPr>
            </w:pPr>
          </w:p>
        </w:tc>
        <w:tc>
          <w:tcPr>
            <w:tcW w:w="1100" w:type="dxa"/>
            <w:vAlign w:val="bottom"/>
            <w:tcBorders>
              <w:bottom w:val="single" w:sz="8" w:color="002060"/>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6820" w:type="dxa"/>
            <w:vAlign w:val="bottom"/>
            <w:shd w:val="clear" w:color="auto" w:fill="D5DCE4"/>
          </w:tcPr>
          <w:p>
            <w:pPr>
              <w:ind w:left="80"/>
              <w:spacing w:after="0" w:line="168" w:lineRule="exact"/>
              <w:rPr>
                <w:sz w:val="20"/>
                <w:szCs w:val="20"/>
                <w:color w:val="auto"/>
              </w:rPr>
            </w:pPr>
            <w:r>
              <w:rPr>
                <w:rFonts w:ascii="Arial" w:cs="Arial" w:eastAsia="Arial" w:hAnsi="Arial"/>
                <w:sz w:val="16"/>
                <w:szCs w:val="16"/>
                <w:color w:val="auto"/>
              </w:rPr>
              <w:t>- Fair value as of prior-year end of equity awards granted in prior years that failed to vest in</w:t>
            </w:r>
          </w:p>
        </w:tc>
        <w:tc>
          <w:tcPr>
            <w:tcW w:w="11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ind w:right="19"/>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20"/>
        </w:trPr>
        <w:tc>
          <w:tcPr>
            <w:tcW w:w="6820" w:type="dxa"/>
            <w:vAlign w:val="bottom"/>
            <w:vMerge w:val="restart"/>
            <w:shd w:val="clear" w:color="auto" w:fill="D5DCE4"/>
          </w:tcPr>
          <w:p>
            <w:pPr>
              <w:ind w:left="80"/>
              <w:spacing w:after="0"/>
              <w:rPr>
                <w:sz w:val="20"/>
                <w:szCs w:val="20"/>
                <w:color w:val="auto"/>
              </w:rPr>
            </w:pPr>
            <w:r>
              <w:rPr>
                <w:rFonts w:ascii="Arial" w:cs="Arial" w:eastAsia="Arial" w:hAnsi="Arial"/>
                <w:sz w:val="16"/>
                <w:szCs w:val="16"/>
                <w:color w:val="auto"/>
              </w:rPr>
              <w:t>the covered year</w:t>
            </w:r>
          </w:p>
        </w:tc>
        <w:tc>
          <w:tcPr>
            <w:tcW w:w="11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6820" w:type="dxa"/>
            <w:vAlign w:val="bottom"/>
            <w:tcBorders>
              <w:bottom w:val="single" w:sz="8" w:color="002060"/>
            </w:tcBorders>
            <w:vMerge w:val="continue"/>
            <w:shd w:val="clear" w:color="auto" w:fill="D5DCE4"/>
          </w:tcPr>
          <w:p>
            <w:pPr>
              <w:spacing w:after="0"/>
              <w:rPr>
                <w:sz w:val="7"/>
                <w:szCs w:val="7"/>
                <w:color w:val="auto"/>
              </w:rPr>
            </w:pPr>
          </w:p>
        </w:tc>
        <w:tc>
          <w:tcPr>
            <w:tcW w:w="1100" w:type="dxa"/>
            <w:vAlign w:val="bottom"/>
            <w:tcBorders>
              <w:bottom w:val="single" w:sz="8" w:color="002060"/>
            </w:tcBorders>
          </w:tcPr>
          <w:p>
            <w:pPr>
              <w:spacing w:after="0"/>
              <w:rPr>
                <w:sz w:val="7"/>
                <w:szCs w:val="7"/>
                <w:color w:val="auto"/>
              </w:rPr>
            </w:pPr>
          </w:p>
        </w:tc>
        <w:tc>
          <w:tcPr>
            <w:tcW w:w="1060" w:type="dxa"/>
            <w:vAlign w:val="bottom"/>
            <w:tcBorders>
              <w:bottom w:val="single" w:sz="8" w:color="002060"/>
            </w:tcBorders>
          </w:tcPr>
          <w:p>
            <w:pPr>
              <w:spacing w:after="0"/>
              <w:rPr>
                <w:sz w:val="7"/>
                <w:szCs w:val="7"/>
                <w:color w:val="auto"/>
              </w:rPr>
            </w:pPr>
          </w:p>
        </w:tc>
        <w:tc>
          <w:tcPr>
            <w:tcW w:w="940" w:type="dxa"/>
            <w:vAlign w:val="bottom"/>
            <w:tcBorders>
              <w:bottom w:val="single" w:sz="8" w:color="002060"/>
            </w:tcBorders>
          </w:tcPr>
          <w:p>
            <w:pPr>
              <w:spacing w:after="0"/>
              <w:rPr>
                <w:sz w:val="7"/>
                <w:szCs w:val="7"/>
                <w:color w:val="auto"/>
              </w:rPr>
            </w:pPr>
          </w:p>
        </w:tc>
        <w:tc>
          <w:tcPr>
            <w:tcW w:w="1100" w:type="dxa"/>
            <w:vAlign w:val="bottom"/>
            <w:tcBorders>
              <w:bottom w:val="single" w:sz="8" w:color="002060"/>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6820" w:type="dxa"/>
            <w:vAlign w:val="bottom"/>
            <w:tcBorders>
              <w:bottom w:val="single" w:sz="8" w:color="002060"/>
            </w:tcBorders>
            <w:shd w:val="clear" w:color="auto" w:fill="D5DCE4"/>
          </w:tcPr>
          <w:p>
            <w:pPr>
              <w:ind w:left="80"/>
              <w:spacing w:after="0" w:line="183" w:lineRule="exact"/>
              <w:rPr>
                <w:sz w:val="20"/>
                <w:szCs w:val="20"/>
                <w:color w:val="auto"/>
              </w:rPr>
            </w:pPr>
            <w:r>
              <w:rPr>
                <w:rFonts w:ascii="Arial" w:cs="Arial" w:eastAsia="Arial" w:hAnsi="Arial"/>
                <w:sz w:val="16"/>
                <w:szCs w:val="16"/>
                <w:color w:val="auto"/>
              </w:rPr>
              <w:t>+ Dollar value of dividends/earnings paid on equity awards that vested in the covered year</w:t>
            </w:r>
          </w:p>
        </w:tc>
        <w:tc>
          <w:tcPr>
            <w:tcW w:w="1100" w:type="dxa"/>
            <w:vAlign w:val="bottom"/>
            <w:tcBorders>
              <w:bottom w:val="single" w:sz="8" w:color="002060"/>
            </w:tcBorders>
          </w:tcPr>
          <w:p>
            <w:pPr>
              <w:jc w:val="right"/>
              <w:ind w:right="19"/>
              <w:spacing w:after="0" w:line="183" w:lineRule="exact"/>
              <w:rPr>
                <w:sz w:val="20"/>
                <w:szCs w:val="20"/>
                <w:color w:val="auto"/>
              </w:rPr>
            </w:pPr>
            <w:r>
              <w:rPr>
                <w:rFonts w:ascii="Arial" w:cs="Arial" w:eastAsia="Arial" w:hAnsi="Arial"/>
                <w:sz w:val="16"/>
                <w:szCs w:val="16"/>
                <w:color w:val="auto"/>
              </w:rPr>
              <w:t>111,476</w:t>
            </w:r>
          </w:p>
        </w:tc>
        <w:tc>
          <w:tcPr>
            <w:tcW w:w="1060" w:type="dxa"/>
            <w:vAlign w:val="bottom"/>
            <w:tcBorders>
              <w:bottom w:val="single" w:sz="8" w:color="002060"/>
            </w:tcBorders>
          </w:tcPr>
          <w:p>
            <w:pPr>
              <w:jc w:val="right"/>
              <w:ind w:right="39"/>
              <w:spacing w:after="0" w:line="183" w:lineRule="exact"/>
              <w:rPr>
                <w:sz w:val="20"/>
                <w:szCs w:val="20"/>
                <w:color w:val="auto"/>
              </w:rPr>
            </w:pPr>
            <w:r>
              <w:rPr>
                <w:rFonts w:ascii="Arial" w:cs="Arial" w:eastAsia="Arial" w:hAnsi="Arial"/>
                <w:sz w:val="16"/>
                <w:szCs w:val="16"/>
                <w:color w:val="auto"/>
              </w:rPr>
              <w:t>92,108</w:t>
            </w:r>
          </w:p>
        </w:tc>
        <w:tc>
          <w:tcPr>
            <w:tcW w:w="940" w:type="dxa"/>
            <w:vAlign w:val="bottom"/>
            <w:tcBorders>
              <w:bottom w:val="single" w:sz="8" w:color="002060"/>
            </w:tcBorders>
          </w:tcPr>
          <w:p>
            <w:pPr>
              <w:jc w:val="right"/>
              <w:ind w:right="19"/>
              <w:spacing w:after="0" w:line="183" w:lineRule="exact"/>
              <w:rPr>
                <w:sz w:val="20"/>
                <w:szCs w:val="20"/>
                <w:color w:val="auto"/>
              </w:rPr>
            </w:pPr>
            <w:r>
              <w:rPr>
                <w:rFonts w:ascii="Arial" w:cs="Arial" w:eastAsia="Arial" w:hAnsi="Arial"/>
                <w:sz w:val="16"/>
                <w:szCs w:val="16"/>
                <w:color w:val="auto"/>
              </w:rPr>
              <w:t>10,209</w:t>
            </w:r>
          </w:p>
        </w:tc>
        <w:tc>
          <w:tcPr>
            <w:tcW w:w="1100" w:type="dxa"/>
            <w:vAlign w:val="bottom"/>
            <w:tcBorders>
              <w:bottom w:val="single" w:sz="8" w:color="002060"/>
            </w:tcBorders>
          </w:tcPr>
          <w:p>
            <w:pPr>
              <w:jc w:val="right"/>
              <w:ind w:right="19"/>
              <w:spacing w:after="0" w:line="183" w:lineRule="exact"/>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83"/>
        </w:trPr>
        <w:tc>
          <w:tcPr>
            <w:tcW w:w="6820" w:type="dxa"/>
            <w:vAlign w:val="bottom"/>
            <w:tcBorders>
              <w:bottom w:val="single" w:sz="8" w:color="002060"/>
            </w:tcBorders>
            <w:shd w:val="clear" w:color="auto" w:fill="D5DCE4"/>
          </w:tcPr>
          <w:p>
            <w:pPr>
              <w:ind w:left="80"/>
              <w:spacing w:after="0" w:line="183" w:lineRule="exact"/>
              <w:rPr>
                <w:sz w:val="20"/>
                <w:szCs w:val="20"/>
                <w:color w:val="auto"/>
              </w:rPr>
            </w:pPr>
            <w:r>
              <w:rPr>
                <w:rFonts w:ascii="Arial" w:cs="Arial" w:eastAsia="Arial" w:hAnsi="Arial"/>
                <w:sz w:val="16"/>
                <w:szCs w:val="16"/>
                <w:color w:val="auto"/>
              </w:rPr>
              <w:t>+ Excess fair value for equity award modifications</w:t>
            </w:r>
          </w:p>
        </w:tc>
        <w:tc>
          <w:tcPr>
            <w:tcW w:w="1100" w:type="dxa"/>
            <w:vAlign w:val="bottom"/>
            <w:tcBorders>
              <w:bottom w:val="single" w:sz="8" w:color="00206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002060"/>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00206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002060"/>
            </w:tcBorders>
          </w:tcPr>
          <w:p>
            <w:pPr>
              <w:jc w:val="right"/>
              <w:ind w:right="19"/>
              <w:spacing w:after="0" w:line="183" w:lineRule="exact"/>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90"/>
        </w:trPr>
        <w:tc>
          <w:tcPr>
            <w:tcW w:w="6820" w:type="dxa"/>
            <w:vAlign w:val="bottom"/>
            <w:tcBorders>
              <w:bottom w:val="single" w:sz="8" w:color="0070C0"/>
            </w:tcBorders>
            <w:shd w:val="clear" w:color="auto" w:fill="D5DCE4"/>
          </w:tcPr>
          <w:p>
            <w:pPr>
              <w:ind w:left="80"/>
              <w:spacing w:after="0" w:line="183" w:lineRule="exact"/>
              <w:rPr>
                <w:sz w:val="20"/>
                <w:szCs w:val="20"/>
                <w:color w:val="auto"/>
              </w:rPr>
            </w:pPr>
            <w:r>
              <w:rPr>
                <w:rFonts w:ascii="Arial" w:cs="Arial" w:eastAsia="Arial" w:hAnsi="Arial"/>
                <w:sz w:val="16"/>
                <w:szCs w:val="16"/>
                <w:color w:val="auto"/>
              </w:rPr>
              <w:t>Compensation Actually Paid to PEO</w:t>
            </w:r>
          </w:p>
        </w:tc>
        <w:tc>
          <w:tcPr>
            <w:tcW w:w="1100" w:type="dxa"/>
            <w:vAlign w:val="bottom"/>
            <w:tcBorders>
              <w:bottom w:val="single" w:sz="8" w:color="0070C0"/>
            </w:tcBorders>
          </w:tcPr>
          <w:p>
            <w:pPr>
              <w:jc w:val="right"/>
              <w:ind w:right="19"/>
              <w:spacing w:after="0" w:line="183" w:lineRule="exact"/>
              <w:rPr>
                <w:sz w:val="20"/>
                <w:szCs w:val="20"/>
                <w:color w:val="auto"/>
              </w:rPr>
            </w:pPr>
            <w:r>
              <w:rPr>
                <w:rFonts w:ascii="Arial" w:cs="Arial" w:eastAsia="Arial" w:hAnsi="Arial"/>
                <w:sz w:val="16"/>
                <w:szCs w:val="16"/>
                <w:color w:val="auto"/>
              </w:rPr>
              <w:t>10,434,045</w:t>
            </w:r>
          </w:p>
        </w:tc>
        <w:tc>
          <w:tcPr>
            <w:tcW w:w="1060" w:type="dxa"/>
            <w:vAlign w:val="bottom"/>
            <w:tcBorders>
              <w:bottom w:val="single" w:sz="8" w:color="0070C0"/>
            </w:tcBorders>
          </w:tcPr>
          <w:p>
            <w:pPr>
              <w:jc w:val="right"/>
              <w:ind w:right="39"/>
              <w:spacing w:after="0" w:line="183" w:lineRule="exact"/>
              <w:rPr>
                <w:sz w:val="20"/>
                <w:szCs w:val="20"/>
                <w:color w:val="auto"/>
              </w:rPr>
            </w:pPr>
            <w:r>
              <w:rPr>
                <w:rFonts w:ascii="Arial" w:cs="Arial" w:eastAsia="Arial" w:hAnsi="Arial"/>
                <w:sz w:val="16"/>
                <w:szCs w:val="16"/>
                <w:color w:val="auto"/>
              </w:rPr>
              <w:t>696,971</w:t>
            </w:r>
          </w:p>
        </w:tc>
        <w:tc>
          <w:tcPr>
            <w:tcW w:w="940" w:type="dxa"/>
            <w:vAlign w:val="bottom"/>
            <w:tcBorders>
              <w:bottom w:val="single" w:sz="8" w:color="0070C0"/>
            </w:tcBorders>
          </w:tcPr>
          <w:p>
            <w:pPr>
              <w:jc w:val="right"/>
              <w:ind w:right="19"/>
              <w:spacing w:after="0" w:line="183" w:lineRule="exact"/>
              <w:rPr>
                <w:sz w:val="20"/>
                <w:szCs w:val="20"/>
                <w:color w:val="auto"/>
              </w:rPr>
            </w:pPr>
            <w:r>
              <w:rPr>
                <w:rFonts w:ascii="Arial" w:cs="Arial" w:eastAsia="Arial" w:hAnsi="Arial"/>
                <w:sz w:val="16"/>
                <w:szCs w:val="16"/>
                <w:color w:val="auto"/>
              </w:rPr>
              <w:t>7,666,457</w:t>
            </w:r>
          </w:p>
        </w:tc>
        <w:tc>
          <w:tcPr>
            <w:tcW w:w="1100" w:type="dxa"/>
            <w:vAlign w:val="bottom"/>
            <w:tcBorders>
              <w:bottom w:val="single" w:sz="8" w:color="0070C0"/>
            </w:tcBorders>
          </w:tcPr>
          <w:p>
            <w:pPr>
              <w:jc w:val="right"/>
              <w:ind w:right="19"/>
              <w:spacing w:after="0" w:line="183" w:lineRule="exact"/>
              <w:rPr>
                <w:sz w:val="20"/>
                <w:szCs w:val="20"/>
                <w:color w:val="auto"/>
              </w:rPr>
            </w:pPr>
            <w:r>
              <w:rPr>
                <w:rFonts w:ascii="Arial" w:cs="Arial" w:eastAsia="Arial" w:hAnsi="Arial"/>
                <w:sz w:val="16"/>
                <w:szCs w:val="16"/>
                <w:color w:val="auto"/>
              </w:rPr>
              <w:t>5,547,911 </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760" w:right="360" w:hanging="548"/>
        <w:spacing w:after="0" w:line="245"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Non-PEO Named Executive Officers were Jay Elliott, Jeffrey Hire, Michael Miller and Jason Niswonger for each of 2023, 2022, 2021 and 2020.</w:t>
      </w:r>
    </w:p>
    <w:p>
      <w:pPr>
        <w:ind w:left="760" w:right="20" w:hanging="548"/>
        <w:spacing w:after="0" w:line="242"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Average compensation actually paid to our non-PEO NEOs in each of 2023, 2022, 2021 and 2020 reflects the amounts in the </w:t>
      </w:r>
      <w:r>
        <w:rPr>
          <w:rFonts w:ascii="Arial" w:cs="Arial" w:eastAsia="Arial" w:hAnsi="Arial"/>
          <w:sz w:val="18"/>
          <w:szCs w:val="18"/>
          <w:i w:val="1"/>
          <w:iCs w:val="1"/>
          <w:color w:val="auto"/>
        </w:rPr>
        <w:t xml:space="preserve">Summary Compensation Table </w:t>
      </w:r>
      <w:r>
        <w:rPr>
          <w:rFonts w:ascii="Arial" w:cs="Arial" w:eastAsia="Arial" w:hAnsi="Arial"/>
          <w:sz w:val="18"/>
          <w:szCs w:val="18"/>
          <w:color w:val="auto"/>
        </w:rPr>
        <w:t>Totals for non-PEO NEO’s in the third column of the table above, adjusted as set forth in the table</w:t>
      </w:r>
      <w:r>
        <w:rPr>
          <w:rFonts w:ascii="Arial" w:cs="Arial" w:eastAsia="Arial" w:hAnsi="Arial"/>
          <w:sz w:val="18"/>
          <w:szCs w:val="18"/>
          <w:i w:val="1"/>
          <w:iCs w:val="1"/>
          <w:color w:val="auto"/>
        </w:rPr>
        <w:t xml:space="preserve"> </w:t>
      </w:r>
      <w:r>
        <w:rPr>
          <w:rFonts w:ascii="Arial" w:cs="Arial" w:eastAsia="Arial" w:hAnsi="Arial"/>
          <w:sz w:val="18"/>
          <w:szCs w:val="18"/>
          <w:color w:val="auto"/>
        </w:rPr>
        <w:t>below, determined in accordance with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70C0"/>
        </w:rPr>
        <w:t>IBP 2024 Proxy Statement</w:t>
      </w:r>
    </w:p>
    <w:p>
      <w:pPr>
        <w:jc w:val="center"/>
        <w:spacing w:after="0" w:line="231" w:lineRule="auto"/>
        <w:rPr>
          <w:sz w:val="20"/>
          <w:szCs w:val="20"/>
          <w:color w:val="auto"/>
        </w:rPr>
      </w:pPr>
      <w:r>
        <w:rPr>
          <w:rFonts w:ascii="Arial" w:cs="Arial" w:eastAsia="Arial" w:hAnsi="Arial"/>
          <w:sz w:val="20"/>
          <w:szCs w:val="20"/>
          <w:color w:val="0070C0"/>
        </w:rPr>
        <w:t>Executive Compensation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0070C0"/>
        </w:rPr>
        <w:t>70</w:t>
      </w:r>
    </w:p>
    <w:p>
      <w:pPr>
        <w:sectPr>
          <w:pgSz w:w="11900" w:h="16838" w:orient="portrait"/>
          <w:cols w:equalWidth="0" w:num="1">
            <w:col w:w="11020"/>
          </w:cols>
          <w:pgMar w:left="440" w:top="287"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7140" w:type="dxa"/>
            <w:vAlign w:val="bottom"/>
          </w:tcPr>
          <w:p>
            <w:pPr>
              <w:spacing w:after="0"/>
              <w:rPr>
                <w:sz w:val="16"/>
                <w:szCs w:val="16"/>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b w:val="1"/>
                <w:bCs w:val="1"/>
                <w:color w:val="002060"/>
              </w:rPr>
              <w:t>2023</w:t>
            </w:r>
          </w:p>
        </w:tc>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002060"/>
              </w:rPr>
              <w:t>2022</w:t>
            </w:r>
          </w:p>
        </w:tc>
        <w:tc>
          <w:tcPr>
            <w:tcW w:w="960" w:type="dxa"/>
            <w:vAlign w:val="bottom"/>
          </w:tcPr>
          <w:p>
            <w:pPr>
              <w:jc w:val="right"/>
              <w:ind w:right="219"/>
              <w:spacing w:after="0"/>
              <w:rPr>
                <w:sz w:val="20"/>
                <w:szCs w:val="20"/>
                <w:color w:val="auto"/>
              </w:rPr>
            </w:pPr>
            <w:r>
              <w:rPr>
                <w:rFonts w:ascii="Arial" w:cs="Arial" w:eastAsia="Arial" w:hAnsi="Arial"/>
                <w:sz w:val="16"/>
                <w:szCs w:val="16"/>
                <w:b w:val="1"/>
                <w:bCs w:val="1"/>
                <w:color w:val="002060"/>
              </w:rPr>
              <w:t>2021</w:t>
            </w:r>
          </w:p>
        </w:tc>
        <w:tc>
          <w:tcPr>
            <w:tcW w:w="980" w:type="dxa"/>
            <w:vAlign w:val="bottom"/>
          </w:tcPr>
          <w:p>
            <w:pPr>
              <w:jc w:val="right"/>
              <w:ind w:right="219"/>
              <w:spacing w:after="0"/>
              <w:rPr>
                <w:sz w:val="20"/>
                <w:szCs w:val="20"/>
                <w:color w:val="auto"/>
              </w:rPr>
            </w:pPr>
            <w:r>
              <w:rPr>
                <w:rFonts w:ascii="Arial" w:cs="Arial" w:eastAsia="Arial" w:hAnsi="Arial"/>
                <w:sz w:val="16"/>
                <w:szCs w:val="16"/>
                <w:b w:val="1"/>
                <w:bCs w:val="1"/>
                <w:color w:val="002060"/>
              </w:rPr>
              <w:t>2020</w:t>
            </w:r>
          </w:p>
        </w:tc>
        <w:tc>
          <w:tcPr>
            <w:tcW w:w="0" w:type="dxa"/>
            <w:vAlign w:val="bottom"/>
          </w:tcPr>
          <w:p>
            <w:pPr>
              <w:spacing w:after="0"/>
              <w:rPr>
                <w:sz w:val="1"/>
                <w:szCs w:val="1"/>
                <w:color w:val="auto"/>
              </w:rPr>
            </w:pPr>
          </w:p>
        </w:tc>
      </w:tr>
      <w:tr>
        <w:trPr>
          <w:trHeight w:val="224"/>
        </w:trPr>
        <w:tc>
          <w:tcPr>
            <w:tcW w:w="7140" w:type="dxa"/>
            <w:vAlign w:val="bottom"/>
            <w:tcBorders>
              <w:bottom w:val="single" w:sz="8" w:color="0070C0"/>
            </w:tcBorders>
          </w:tcPr>
          <w:p>
            <w:pPr>
              <w:ind w:left="80"/>
              <w:spacing w:after="0"/>
              <w:rPr>
                <w:sz w:val="20"/>
                <w:szCs w:val="20"/>
                <w:color w:val="auto"/>
              </w:rPr>
            </w:pPr>
            <w:r>
              <w:rPr>
                <w:rFonts w:ascii="Arial" w:cs="Arial" w:eastAsia="Arial" w:hAnsi="Arial"/>
                <w:sz w:val="16"/>
                <w:szCs w:val="16"/>
                <w:color w:val="auto"/>
              </w:rPr>
              <w:t>Average for Non-PEO NEOs</w:t>
            </w:r>
          </w:p>
        </w:tc>
        <w:tc>
          <w:tcPr>
            <w:tcW w:w="1000" w:type="dxa"/>
            <w:vAlign w:val="bottom"/>
            <w:tcBorders>
              <w:bottom w:val="single" w:sz="8" w:color="0070C0"/>
            </w:tcBorders>
          </w:tcPr>
          <w:p>
            <w:pPr>
              <w:jc w:val="right"/>
              <w:ind w:right="299"/>
              <w:spacing w:after="0"/>
              <w:rPr>
                <w:sz w:val="20"/>
                <w:szCs w:val="20"/>
                <w:color w:val="auto"/>
              </w:rPr>
            </w:pPr>
            <w:r>
              <w:rPr>
                <w:rFonts w:ascii="Arial" w:cs="Arial" w:eastAsia="Arial" w:hAnsi="Arial"/>
                <w:sz w:val="16"/>
                <w:szCs w:val="16"/>
                <w:b w:val="1"/>
                <w:bCs w:val="1"/>
                <w:color w:val="002060"/>
              </w:rPr>
              <w:t>($)</w:t>
            </w:r>
          </w:p>
        </w:tc>
        <w:tc>
          <w:tcPr>
            <w:tcW w:w="940" w:type="dxa"/>
            <w:vAlign w:val="bottom"/>
            <w:tcBorders>
              <w:bottom w:val="single" w:sz="8" w:color="0070C0"/>
            </w:tcBorders>
          </w:tcPr>
          <w:p>
            <w:pPr>
              <w:jc w:val="right"/>
              <w:ind w:right="299"/>
              <w:spacing w:after="0"/>
              <w:rPr>
                <w:sz w:val="20"/>
                <w:szCs w:val="20"/>
                <w:color w:val="auto"/>
              </w:rPr>
            </w:pPr>
            <w:r>
              <w:rPr>
                <w:rFonts w:ascii="Arial" w:cs="Arial" w:eastAsia="Arial" w:hAnsi="Arial"/>
                <w:sz w:val="16"/>
                <w:szCs w:val="16"/>
                <w:b w:val="1"/>
                <w:bCs w:val="1"/>
                <w:color w:val="002060"/>
              </w:rPr>
              <w:t>($)</w:t>
            </w:r>
          </w:p>
        </w:tc>
        <w:tc>
          <w:tcPr>
            <w:tcW w:w="960" w:type="dxa"/>
            <w:vAlign w:val="bottom"/>
            <w:tcBorders>
              <w:bottom w:val="single" w:sz="8" w:color="0070C0"/>
            </w:tcBorders>
          </w:tcPr>
          <w:p>
            <w:pPr>
              <w:jc w:val="right"/>
              <w:ind w:right="299"/>
              <w:spacing w:after="0"/>
              <w:rPr>
                <w:sz w:val="20"/>
                <w:szCs w:val="20"/>
                <w:color w:val="auto"/>
              </w:rPr>
            </w:pPr>
            <w:r>
              <w:rPr>
                <w:rFonts w:ascii="Arial" w:cs="Arial" w:eastAsia="Arial" w:hAnsi="Arial"/>
                <w:sz w:val="16"/>
                <w:szCs w:val="16"/>
                <w:b w:val="1"/>
                <w:bCs w:val="1"/>
                <w:color w:val="002060"/>
              </w:rPr>
              <w:t>($)</w:t>
            </w:r>
          </w:p>
        </w:tc>
        <w:tc>
          <w:tcPr>
            <w:tcW w:w="980" w:type="dxa"/>
            <w:vAlign w:val="bottom"/>
            <w:tcBorders>
              <w:bottom w:val="single" w:sz="8" w:color="0070C0"/>
            </w:tcBorders>
          </w:tcPr>
          <w:p>
            <w:pPr>
              <w:jc w:val="right"/>
              <w:ind w:right="299"/>
              <w:spacing w:after="0"/>
              <w:rPr>
                <w:sz w:val="20"/>
                <w:szCs w:val="20"/>
                <w:color w:val="auto"/>
              </w:rPr>
            </w:pPr>
            <w:r>
              <w:rPr>
                <w:rFonts w:ascii="Arial" w:cs="Arial" w:eastAsia="Arial" w:hAnsi="Arial"/>
                <w:sz w:val="16"/>
                <w:szCs w:val="16"/>
                <w:b w:val="1"/>
                <w:bCs w:val="1"/>
                <w:color w:val="002060"/>
              </w:rPr>
              <w:t>($)</w:t>
            </w:r>
          </w:p>
        </w:tc>
        <w:tc>
          <w:tcPr>
            <w:tcW w:w="0" w:type="dxa"/>
            <w:vAlign w:val="bottom"/>
          </w:tcPr>
          <w:p>
            <w:pPr>
              <w:spacing w:after="0"/>
              <w:rPr>
                <w:sz w:val="1"/>
                <w:szCs w:val="1"/>
                <w:color w:val="auto"/>
              </w:rPr>
            </w:pPr>
          </w:p>
        </w:tc>
      </w:tr>
      <w:tr>
        <w:trPr>
          <w:trHeight w:val="189"/>
        </w:trPr>
        <w:tc>
          <w:tcPr>
            <w:tcW w:w="7140" w:type="dxa"/>
            <w:vAlign w:val="bottom"/>
            <w:tcBorders>
              <w:bottom w:val="single" w:sz="8" w:color="auto"/>
            </w:tcBorders>
            <w:shd w:val="clear" w:color="auto" w:fill="D5DCE4"/>
          </w:tcPr>
          <w:p>
            <w:pPr>
              <w:ind w:left="80"/>
              <w:spacing w:after="0"/>
              <w:rPr>
                <w:sz w:val="20"/>
                <w:szCs w:val="20"/>
                <w:color w:val="auto"/>
              </w:rPr>
            </w:pPr>
            <w:r>
              <w:rPr>
                <w:rFonts w:ascii="Arial" w:cs="Arial" w:eastAsia="Arial" w:hAnsi="Arial"/>
                <w:sz w:val="16"/>
                <w:szCs w:val="16"/>
                <w:color w:val="auto"/>
              </w:rPr>
              <w:t>Average Summary Compensation Table (SCT) Total Compensation</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1,593,537</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1,399,047</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1,213,319</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1,149,186 </w:t>
            </w:r>
          </w:p>
        </w:tc>
        <w:tc>
          <w:tcPr>
            <w:tcW w:w="0" w:type="dxa"/>
            <w:vAlign w:val="bottom"/>
          </w:tcPr>
          <w:p>
            <w:pPr>
              <w:spacing w:after="0"/>
              <w:rPr>
                <w:sz w:val="1"/>
                <w:szCs w:val="1"/>
                <w:color w:val="auto"/>
              </w:rPr>
            </w:pPr>
          </w:p>
        </w:tc>
      </w:tr>
      <w:tr>
        <w:trPr>
          <w:trHeight w:val="183"/>
        </w:trPr>
        <w:tc>
          <w:tcPr>
            <w:tcW w:w="7140" w:type="dxa"/>
            <w:vAlign w:val="bottom"/>
            <w:tcBorders>
              <w:bottom w:val="single" w:sz="8" w:color="auto"/>
            </w:tcBorders>
            <w:shd w:val="clear" w:color="auto" w:fill="D5DCE4"/>
          </w:tcPr>
          <w:p>
            <w:pPr>
              <w:ind w:left="80"/>
              <w:spacing w:after="0" w:line="183" w:lineRule="exact"/>
              <w:rPr>
                <w:sz w:val="20"/>
                <w:szCs w:val="20"/>
                <w:color w:val="auto"/>
              </w:rPr>
            </w:pPr>
            <w:r>
              <w:rPr>
                <w:rFonts w:ascii="Arial" w:cs="Arial" w:eastAsia="Arial" w:hAnsi="Arial"/>
                <w:sz w:val="16"/>
                <w:szCs w:val="16"/>
                <w:color w:val="auto"/>
              </w:rPr>
              <w:t>- Aggregate change in actuarial present value of pension benefits</w:t>
            </w:r>
          </w:p>
        </w:tc>
        <w:tc>
          <w:tcPr>
            <w:tcW w:w="10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83"/>
        </w:trPr>
        <w:tc>
          <w:tcPr>
            <w:tcW w:w="7140" w:type="dxa"/>
            <w:vAlign w:val="bottom"/>
            <w:tcBorders>
              <w:bottom w:val="single" w:sz="8" w:color="auto"/>
            </w:tcBorders>
            <w:shd w:val="clear" w:color="auto" w:fill="D5DCE4"/>
          </w:tcPr>
          <w:p>
            <w:pPr>
              <w:ind w:left="80"/>
              <w:spacing w:after="0" w:line="183" w:lineRule="exact"/>
              <w:rPr>
                <w:sz w:val="20"/>
                <w:szCs w:val="20"/>
                <w:color w:val="auto"/>
              </w:rPr>
            </w:pPr>
            <w:r>
              <w:rPr>
                <w:rFonts w:ascii="Arial" w:cs="Arial" w:eastAsia="Arial" w:hAnsi="Arial"/>
                <w:sz w:val="16"/>
                <w:szCs w:val="16"/>
                <w:color w:val="auto"/>
              </w:rPr>
              <w:t>+ Service cost of pension benefits</w:t>
            </w:r>
          </w:p>
        </w:tc>
        <w:tc>
          <w:tcPr>
            <w:tcW w:w="10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83"/>
        </w:trPr>
        <w:tc>
          <w:tcPr>
            <w:tcW w:w="7140" w:type="dxa"/>
            <w:vAlign w:val="bottom"/>
            <w:tcBorders>
              <w:bottom w:val="single" w:sz="8" w:color="auto"/>
            </w:tcBorders>
            <w:shd w:val="clear" w:color="auto" w:fill="D5DCE4"/>
          </w:tcPr>
          <w:p>
            <w:pPr>
              <w:ind w:left="80"/>
              <w:spacing w:after="0" w:line="183" w:lineRule="exact"/>
              <w:rPr>
                <w:sz w:val="20"/>
                <w:szCs w:val="20"/>
                <w:color w:val="auto"/>
              </w:rPr>
            </w:pPr>
            <w:r>
              <w:rPr>
                <w:rFonts w:ascii="Arial" w:cs="Arial" w:eastAsia="Arial" w:hAnsi="Arial"/>
                <w:sz w:val="16"/>
                <w:szCs w:val="16"/>
                <w:color w:val="auto"/>
              </w:rPr>
              <w:t>+ Prior service cost of pension benefits</w:t>
            </w:r>
          </w:p>
        </w:tc>
        <w:tc>
          <w:tcPr>
            <w:tcW w:w="10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83"/>
        </w:trPr>
        <w:tc>
          <w:tcPr>
            <w:tcW w:w="7140" w:type="dxa"/>
            <w:vAlign w:val="bottom"/>
            <w:tcBorders>
              <w:bottom w:val="single" w:sz="8" w:color="auto"/>
            </w:tcBorders>
            <w:shd w:val="clear" w:color="auto" w:fill="D5DCE4"/>
          </w:tcPr>
          <w:p>
            <w:pPr>
              <w:ind w:left="80"/>
              <w:spacing w:after="0" w:line="183" w:lineRule="exact"/>
              <w:rPr>
                <w:sz w:val="20"/>
                <w:szCs w:val="20"/>
                <w:color w:val="auto"/>
              </w:rPr>
            </w:pPr>
            <w:r>
              <w:rPr>
                <w:rFonts w:ascii="Arial" w:cs="Arial" w:eastAsia="Arial" w:hAnsi="Arial"/>
                <w:sz w:val="16"/>
                <w:szCs w:val="16"/>
                <w:color w:val="auto"/>
              </w:rPr>
              <w:t>- Stock award values reported in the SCT for the covered year</w:t>
            </w:r>
          </w:p>
        </w:tc>
        <w:tc>
          <w:tcPr>
            <w:tcW w:w="10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804,755</w:t>
            </w:r>
          </w:p>
        </w:tc>
        <w:tc>
          <w:tcPr>
            <w:tcW w:w="9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688,190</w:t>
            </w:r>
          </w:p>
        </w:tc>
        <w:tc>
          <w:tcPr>
            <w:tcW w:w="9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556,266</w:t>
            </w:r>
          </w:p>
        </w:tc>
        <w:tc>
          <w:tcPr>
            <w:tcW w:w="9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522,471 </w:t>
            </w:r>
          </w:p>
        </w:tc>
        <w:tc>
          <w:tcPr>
            <w:tcW w:w="0" w:type="dxa"/>
            <w:vAlign w:val="bottom"/>
          </w:tcPr>
          <w:p>
            <w:pPr>
              <w:spacing w:after="0"/>
              <w:rPr>
                <w:sz w:val="1"/>
                <w:szCs w:val="1"/>
                <w:color w:val="auto"/>
              </w:rPr>
            </w:pPr>
          </w:p>
        </w:tc>
      </w:tr>
      <w:tr>
        <w:trPr>
          <w:trHeight w:val="183"/>
        </w:trPr>
        <w:tc>
          <w:tcPr>
            <w:tcW w:w="7140" w:type="dxa"/>
            <w:vAlign w:val="bottom"/>
            <w:tcBorders>
              <w:bottom w:val="single" w:sz="8" w:color="002060"/>
            </w:tcBorders>
            <w:shd w:val="clear" w:color="auto" w:fill="D5DCE4"/>
          </w:tcPr>
          <w:p>
            <w:pPr>
              <w:ind w:left="80"/>
              <w:spacing w:after="0" w:line="183" w:lineRule="exact"/>
              <w:rPr>
                <w:sz w:val="20"/>
                <w:szCs w:val="20"/>
                <w:color w:val="auto"/>
              </w:rPr>
            </w:pPr>
            <w:r>
              <w:rPr>
                <w:rFonts w:ascii="Arial" w:cs="Arial" w:eastAsia="Arial" w:hAnsi="Arial"/>
                <w:sz w:val="16"/>
                <w:szCs w:val="16"/>
                <w:color w:val="auto"/>
              </w:rPr>
              <w:t>- Option award values reported in the SCT for the covered year</w:t>
            </w:r>
          </w:p>
        </w:tc>
        <w:tc>
          <w:tcPr>
            <w:tcW w:w="1000" w:type="dxa"/>
            <w:vAlign w:val="bottom"/>
            <w:tcBorders>
              <w:bottom w:val="single" w:sz="8" w:color="002060"/>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00206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002060"/>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002060"/>
            </w:tcBorders>
          </w:tcPr>
          <w:p>
            <w:pPr>
              <w:jc w:val="right"/>
              <w:ind w:right="19"/>
              <w:spacing w:after="0" w:line="183" w:lineRule="exact"/>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68"/>
        </w:trPr>
        <w:tc>
          <w:tcPr>
            <w:tcW w:w="7140" w:type="dxa"/>
            <w:vAlign w:val="bottom"/>
            <w:shd w:val="clear" w:color="auto" w:fill="D5DCE4"/>
          </w:tcPr>
          <w:p>
            <w:pPr>
              <w:ind w:left="80"/>
              <w:spacing w:after="0" w:line="168" w:lineRule="exact"/>
              <w:rPr>
                <w:sz w:val="20"/>
                <w:szCs w:val="20"/>
                <w:color w:val="auto"/>
              </w:rPr>
            </w:pPr>
            <w:r>
              <w:rPr>
                <w:rFonts w:ascii="Arial" w:cs="Arial" w:eastAsia="Arial" w:hAnsi="Arial"/>
                <w:sz w:val="16"/>
                <w:szCs w:val="16"/>
                <w:color w:val="auto"/>
              </w:rPr>
              <w:t>+ Year end fair value for equity awards granted in the covered year that were outstanding and</w:t>
            </w:r>
          </w:p>
        </w:tc>
        <w:tc>
          <w:tcPr>
            <w:tcW w:w="1000" w:type="dxa"/>
            <w:vAlign w:val="bottom"/>
            <w:vMerge w:val="restart"/>
          </w:tcPr>
          <w:p>
            <w:pPr>
              <w:jc w:val="right"/>
              <w:ind w:right="39"/>
              <w:spacing w:after="0"/>
              <w:rPr>
                <w:sz w:val="20"/>
                <w:szCs w:val="20"/>
                <w:color w:val="auto"/>
              </w:rPr>
            </w:pPr>
            <w:r>
              <w:rPr>
                <w:rFonts w:ascii="Arial" w:cs="Arial" w:eastAsia="Arial" w:hAnsi="Arial"/>
                <w:sz w:val="16"/>
                <w:szCs w:val="16"/>
                <w:color w:val="auto"/>
              </w:rPr>
              <w:t>627,041</w:t>
            </w: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auto"/>
              </w:rPr>
              <w:t>547,498</w:t>
            </w:r>
          </w:p>
        </w:tc>
        <w:tc>
          <w:tcPr>
            <w:tcW w:w="960" w:type="dxa"/>
            <w:vAlign w:val="bottom"/>
            <w:vMerge w:val="restart"/>
          </w:tcPr>
          <w:p>
            <w:pPr>
              <w:jc w:val="right"/>
              <w:ind w:right="39"/>
              <w:spacing w:after="0"/>
              <w:rPr>
                <w:sz w:val="20"/>
                <w:szCs w:val="20"/>
                <w:color w:val="auto"/>
              </w:rPr>
            </w:pPr>
            <w:r>
              <w:rPr>
                <w:rFonts w:ascii="Arial" w:cs="Arial" w:eastAsia="Arial" w:hAnsi="Arial"/>
                <w:sz w:val="16"/>
                <w:szCs w:val="16"/>
                <w:color w:val="auto"/>
              </w:rPr>
              <w:t>630,242</w:t>
            </w:r>
          </w:p>
        </w:tc>
        <w:tc>
          <w:tcPr>
            <w:tcW w:w="980" w:type="dxa"/>
            <w:vAlign w:val="bottom"/>
            <w:vMerge w:val="restart"/>
          </w:tcPr>
          <w:p>
            <w:pPr>
              <w:jc w:val="right"/>
              <w:ind w:right="19"/>
              <w:spacing w:after="0"/>
              <w:rPr>
                <w:sz w:val="20"/>
                <w:szCs w:val="20"/>
                <w:color w:val="auto"/>
              </w:rPr>
            </w:pPr>
            <w:r>
              <w:rPr>
                <w:rFonts w:ascii="Arial" w:cs="Arial" w:eastAsia="Arial" w:hAnsi="Arial"/>
                <w:sz w:val="16"/>
                <w:szCs w:val="16"/>
                <w:color w:val="auto"/>
              </w:rPr>
              <w:t>1,308,093 </w:t>
            </w:r>
          </w:p>
        </w:tc>
        <w:tc>
          <w:tcPr>
            <w:tcW w:w="0" w:type="dxa"/>
            <w:vAlign w:val="bottom"/>
          </w:tcPr>
          <w:p>
            <w:pPr>
              <w:spacing w:after="0"/>
              <w:rPr>
                <w:sz w:val="1"/>
                <w:szCs w:val="1"/>
                <w:color w:val="auto"/>
              </w:rPr>
            </w:pPr>
          </w:p>
        </w:tc>
      </w:tr>
      <w:tr>
        <w:trPr>
          <w:trHeight w:val="120"/>
        </w:trPr>
        <w:tc>
          <w:tcPr>
            <w:tcW w:w="7140" w:type="dxa"/>
            <w:vAlign w:val="bottom"/>
            <w:vMerge w:val="restart"/>
            <w:shd w:val="clear" w:color="auto" w:fill="D5DCE4"/>
          </w:tcPr>
          <w:p>
            <w:pPr>
              <w:ind w:left="80"/>
              <w:spacing w:after="0"/>
              <w:rPr>
                <w:sz w:val="20"/>
                <w:szCs w:val="20"/>
                <w:color w:val="auto"/>
              </w:rPr>
            </w:pPr>
            <w:r>
              <w:rPr>
                <w:rFonts w:ascii="Arial" w:cs="Arial" w:eastAsia="Arial" w:hAnsi="Arial"/>
                <w:sz w:val="16"/>
                <w:szCs w:val="16"/>
                <w:color w:val="auto"/>
              </w:rPr>
              <w:t>unvested at year end</w:t>
            </w:r>
          </w:p>
        </w:tc>
        <w:tc>
          <w:tcPr>
            <w:tcW w:w="10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7140" w:type="dxa"/>
            <w:vAlign w:val="bottom"/>
            <w:tcBorders>
              <w:bottom w:val="single" w:sz="8" w:color="002060"/>
            </w:tcBorders>
            <w:vMerge w:val="continue"/>
            <w:shd w:val="clear" w:color="auto" w:fill="D5DCE4"/>
          </w:tcPr>
          <w:p>
            <w:pPr>
              <w:spacing w:after="0"/>
              <w:rPr>
                <w:sz w:val="7"/>
                <w:szCs w:val="7"/>
                <w:color w:val="auto"/>
              </w:rPr>
            </w:pPr>
          </w:p>
        </w:tc>
        <w:tc>
          <w:tcPr>
            <w:tcW w:w="1000" w:type="dxa"/>
            <w:vAlign w:val="bottom"/>
            <w:tcBorders>
              <w:bottom w:val="single" w:sz="8" w:color="002060"/>
            </w:tcBorders>
          </w:tcPr>
          <w:p>
            <w:pPr>
              <w:spacing w:after="0"/>
              <w:rPr>
                <w:sz w:val="7"/>
                <w:szCs w:val="7"/>
                <w:color w:val="auto"/>
              </w:rPr>
            </w:pPr>
          </w:p>
        </w:tc>
        <w:tc>
          <w:tcPr>
            <w:tcW w:w="940" w:type="dxa"/>
            <w:vAlign w:val="bottom"/>
            <w:tcBorders>
              <w:bottom w:val="single" w:sz="8" w:color="002060"/>
            </w:tcBorders>
          </w:tcPr>
          <w:p>
            <w:pPr>
              <w:spacing w:after="0"/>
              <w:rPr>
                <w:sz w:val="7"/>
                <w:szCs w:val="7"/>
                <w:color w:val="auto"/>
              </w:rPr>
            </w:pPr>
          </w:p>
        </w:tc>
        <w:tc>
          <w:tcPr>
            <w:tcW w:w="960" w:type="dxa"/>
            <w:vAlign w:val="bottom"/>
            <w:tcBorders>
              <w:bottom w:val="single" w:sz="8" w:color="002060"/>
            </w:tcBorders>
          </w:tcPr>
          <w:p>
            <w:pPr>
              <w:spacing w:after="0"/>
              <w:rPr>
                <w:sz w:val="7"/>
                <w:szCs w:val="7"/>
                <w:color w:val="auto"/>
              </w:rPr>
            </w:pPr>
          </w:p>
        </w:tc>
        <w:tc>
          <w:tcPr>
            <w:tcW w:w="980" w:type="dxa"/>
            <w:vAlign w:val="bottom"/>
            <w:tcBorders>
              <w:bottom w:val="single" w:sz="8" w:color="002060"/>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7140" w:type="dxa"/>
            <w:vAlign w:val="bottom"/>
            <w:shd w:val="clear" w:color="auto" w:fill="D5DCE4"/>
          </w:tcPr>
          <w:p>
            <w:pPr>
              <w:ind w:left="80"/>
              <w:spacing w:after="0" w:line="168" w:lineRule="exact"/>
              <w:rPr>
                <w:sz w:val="20"/>
                <w:szCs w:val="20"/>
                <w:color w:val="auto"/>
              </w:rPr>
            </w:pPr>
            <w:r>
              <w:rPr>
                <w:rFonts w:ascii="Arial" w:cs="Arial" w:eastAsia="Arial" w:hAnsi="Arial"/>
                <w:sz w:val="16"/>
                <w:szCs w:val="16"/>
                <w:color w:val="auto"/>
              </w:rPr>
              <w:t>+/- Year-over-year change in fair value of equity awards granted in prior years that are outstanding</w:t>
            </w:r>
          </w:p>
        </w:tc>
        <w:tc>
          <w:tcPr>
            <w:tcW w:w="1000" w:type="dxa"/>
            <w:vAlign w:val="bottom"/>
            <w:vMerge w:val="restart"/>
          </w:tcPr>
          <w:p>
            <w:pPr>
              <w:jc w:val="right"/>
              <w:ind w:right="39"/>
              <w:spacing w:after="0"/>
              <w:rPr>
                <w:sz w:val="20"/>
                <w:szCs w:val="20"/>
                <w:color w:val="auto"/>
              </w:rPr>
            </w:pPr>
            <w:r>
              <w:rPr>
                <w:rFonts w:ascii="Arial" w:cs="Arial" w:eastAsia="Arial" w:hAnsi="Arial"/>
                <w:sz w:val="16"/>
                <w:szCs w:val="16"/>
                <w:color w:val="auto"/>
              </w:rPr>
              <w:t>999,592</w:t>
            </w: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auto"/>
              </w:rPr>
              <w:t>(755,678)</w:t>
            </w:r>
          </w:p>
        </w:tc>
        <w:tc>
          <w:tcPr>
            <w:tcW w:w="960" w:type="dxa"/>
            <w:vAlign w:val="bottom"/>
            <w:vMerge w:val="restart"/>
          </w:tcPr>
          <w:p>
            <w:pPr>
              <w:jc w:val="right"/>
              <w:ind w:right="39"/>
              <w:spacing w:after="0"/>
              <w:rPr>
                <w:sz w:val="20"/>
                <w:szCs w:val="20"/>
                <w:color w:val="auto"/>
              </w:rPr>
            </w:pPr>
            <w:r>
              <w:rPr>
                <w:rFonts w:ascii="Arial" w:cs="Arial" w:eastAsia="Arial" w:hAnsi="Arial"/>
                <w:sz w:val="16"/>
                <w:szCs w:val="16"/>
                <w:color w:val="auto"/>
              </w:rPr>
              <w:t>658,604</w:t>
            </w:r>
          </w:p>
        </w:tc>
        <w:tc>
          <w:tcPr>
            <w:tcW w:w="980" w:type="dxa"/>
            <w:vAlign w:val="bottom"/>
            <w:vMerge w:val="restart"/>
          </w:tcPr>
          <w:p>
            <w:pPr>
              <w:jc w:val="right"/>
              <w:ind w:right="19"/>
              <w:spacing w:after="0"/>
              <w:rPr>
                <w:sz w:val="20"/>
                <w:szCs w:val="20"/>
                <w:color w:val="auto"/>
              </w:rPr>
            </w:pPr>
            <w:r>
              <w:rPr>
                <w:rFonts w:ascii="Arial" w:cs="Arial" w:eastAsia="Arial" w:hAnsi="Arial"/>
                <w:sz w:val="16"/>
                <w:szCs w:val="16"/>
                <w:color w:val="auto"/>
              </w:rPr>
              <w:t>393,249 </w:t>
            </w:r>
          </w:p>
        </w:tc>
        <w:tc>
          <w:tcPr>
            <w:tcW w:w="0" w:type="dxa"/>
            <w:vAlign w:val="bottom"/>
          </w:tcPr>
          <w:p>
            <w:pPr>
              <w:spacing w:after="0"/>
              <w:rPr>
                <w:sz w:val="1"/>
                <w:szCs w:val="1"/>
                <w:color w:val="auto"/>
              </w:rPr>
            </w:pPr>
          </w:p>
        </w:tc>
      </w:tr>
      <w:tr>
        <w:trPr>
          <w:trHeight w:val="120"/>
        </w:trPr>
        <w:tc>
          <w:tcPr>
            <w:tcW w:w="7140" w:type="dxa"/>
            <w:vAlign w:val="bottom"/>
            <w:vMerge w:val="restart"/>
            <w:shd w:val="clear" w:color="auto" w:fill="D5DCE4"/>
          </w:tcPr>
          <w:p>
            <w:pPr>
              <w:ind w:left="80"/>
              <w:spacing w:after="0"/>
              <w:rPr>
                <w:sz w:val="20"/>
                <w:szCs w:val="20"/>
                <w:color w:val="auto"/>
              </w:rPr>
            </w:pPr>
            <w:r>
              <w:rPr>
                <w:rFonts w:ascii="Arial" w:cs="Arial" w:eastAsia="Arial" w:hAnsi="Arial"/>
                <w:sz w:val="16"/>
                <w:szCs w:val="16"/>
                <w:color w:val="auto"/>
              </w:rPr>
              <w:t>and unvested as of the covered years</w:t>
            </w:r>
          </w:p>
        </w:tc>
        <w:tc>
          <w:tcPr>
            <w:tcW w:w="10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7140" w:type="dxa"/>
            <w:vAlign w:val="bottom"/>
            <w:tcBorders>
              <w:bottom w:val="single" w:sz="8" w:color="002060"/>
            </w:tcBorders>
            <w:vMerge w:val="continue"/>
            <w:shd w:val="clear" w:color="auto" w:fill="D5DCE4"/>
          </w:tcPr>
          <w:p>
            <w:pPr>
              <w:spacing w:after="0"/>
              <w:rPr>
                <w:sz w:val="7"/>
                <w:szCs w:val="7"/>
                <w:color w:val="auto"/>
              </w:rPr>
            </w:pPr>
          </w:p>
        </w:tc>
        <w:tc>
          <w:tcPr>
            <w:tcW w:w="1000" w:type="dxa"/>
            <w:vAlign w:val="bottom"/>
            <w:tcBorders>
              <w:bottom w:val="single" w:sz="8" w:color="002060"/>
            </w:tcBorders>
          </w:tcPr>
          <w:p>
            <w:pPr>
              <w:spacing w:after="0"/>
              <w:rPr>
                <w:sz w:val="7"/>
                <w:szCs w:val="7"/>
                <w:color w:val="auto"/>
              </w:rPr>
            </w:pPr>
          </w:p>
        </w:tc>
        <w:tc>
          <w:tcPr>
            <w:tcW w:w="940" w:type="dxa"/>
            <w:vAlign w:val="bottom"/>
            <w:tcBorders>
              <w:bottom w:val="single" w:sz="8" w:color="002060"/>
            </w:tcBorders>
          </w:tcPr>
          <w:p>
            <w:pPr>
              <w:spacing w:after="0"/>
              <w:rPr>
                <w:sz w:val="7"/>
                <w:szCs w:val="7"/>
                <w:color w:val="auto"/>
              </w:rPr>
            </w:pPr>
          </w:p>
        </w:tc>
        <w:tc>
          <w:tcPr>
            <w:tcW w:w="960" w:type="dxa"/>
            <w:vAlign w:val="bottom"/>
            <w:tcBorders>
              <w:bottom w:val="single" w:sz="8" w:color="002060"/>
            </w:tcBorders>
          </w:tcPr>
          <w:p>
            <w:pPr>
              <w:spacing w:after="0"/>
              <w:rPr>
                <w:sz w:val="7"/>
                <w:szCs w:val="7"/>
                <w:color w:val="auto"/>
              </w:rPr>
            </w:pPr>
          </w:p>
        </w:tc>
        <w:tc>
          <w:tcPr>
            <w:tcW w:w="980" w:type="dxa"/>
            <w:vAlign w:val="bottom"/>
            <w:tcBorders>
              <w:bottom w:val="single" w:sz="8" w:color="002060"/>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7140" w:type="dxa"/>
            <w:vAlign w:val="bottom"/>
            <w:tcBorders>
              <w:bottom w:val="single" w:sz="8" w:color="002060"/>
            </w:tcBorders>
            <w:shd w:val="clear" w:color="auto" w:fill="D5DCE4"/>
          </w:tcPr>
          <w:p>
            <w:pPr>
              <w:ind w:left="80"/>
              <w:spacing w:after="0" w:line="183" w:lineRule="exact"/>
              <w:rPr>
                <w:sz w:val="20"/>
                <w:szCs w:val="20"/>
                <w:color w:val="auto"/>
              </w:rPr>
            </w:pPr>
            <w:r>
              <w:rPr>
                <w:rFonts w:ascii="Arial" w:cs="Arial" w:eastAsia="Arial" w:hAnsi="Arial"/>
                <w:sz w:val="16"/>
                <w:szCs w:val="16"/>
                <w:color w:val="auto"/>
              </w:rPr>
              <w:t>+ Vesting date fair value of equity awards granted and vested in the covered year</w:t>
            </w:r>
          </w:p>
        </w:tc>
        <w:tc>
          <w:tcPr>
            <w:tcW w:w="1000" w:type="dxa"/>
            <w:vAlign w:val="bottom"/>
            <w:tcBorders>
              <w:bottom w:val="single" w:sz="8" w:color="002060"/>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00206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002060"/>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002060"/>
            </w:tcBorders>
          </w:tcPr>
          <w:p>
            <w:pPr>
              <w:jc w:val="right"/>
              <w:ind w:right="19"/>
              <w:spacing w:after="0" w:line="183" w:lineRule="exact"/>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68"/>
        </w:trPr>
        <w:tc>
          <w:tcPr>
            <w:tcW w:w="7140" w:type="dxa"/>
            <w:vAlign w:val="bottom"/>
            <w:shd w:val="clear" w:color="auto" w:fill="D5DCE4"/>
          </w:tcPr>
          <w:p>
            <w:pPr>
              <w:ind w:left="80"/>
              <w:spacing w:after="0" w:line="168" w:lineRule="exact"/>
              <w:rPr>
                <w:sz w:val="20"/>
                <w:szCs w:val="20"/>
                <w:color w:val="auto"/>
              </w:rPr>
            </w:pPr>
            <w:r>
              <w:rPr>
                <w:rFonts w:ascii="Arial" w:cs="Arial" w:eastAsia="Arial" w:hAnsi="Arial"/>
                <w:sz w:val="16"/>
                <w:szCs w:val="16"/>
                <w:color w:val="auto"/>
              </w:rPr>
              <w:t>+/- Year-over-year change in fair value of equity awards granted in prior years that vested in the</w:t>
            </w:r>
          </w:p>
        </w:tc>
        <w:tc>
          <w:tcPr>
            <w:tcW w:w="1000" w:type="dxa"/>
            <w:vAlign w:val="bottom"/>
            <w:vMerge w:val="restart"/>
          </w:tcPr>
          <w:p>
            <w:pPr>
              <w:jc w:val="right"/>
              <w:ind w:right="39"/>
              <w:spacing w:after="0"/>
              <w:rPr>
                <w:sz w:val="20"/>
                <w:szCs w:val="20"/>
                <w:color w:val="auto"/>
              </w:rPr>
            </w:pPr>
            <w:r>
              <w:rPr>
                <w:rFonts w:ascii="Arial" w:cs="Arial" w:eastAsia="Arial" w:hAnsi="Arial"/>
                <w:sz w:val="16"/>
                <w:szCs w:val="16"/>
                <w:color w:val="auto"/>
              </w:rPr>
              <w:t>424,055</w:t>
            </w: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auto"/>
              </w:rPr>
              <w:t>(437,789)</w:t>
            </w:r>
          </w:p>
        </w:tc>
        <w:tc>
          <w:tcPr>
            <w:tcW w:w="960" w:type="dxa"/>
            <w:vAlign w:val="bottom"/>
            <w:vMerge w:val="restart"/>
          </w:tcPr>
          <w:p>
            <w:pPr>
              <w:jc w:val="right"/>
              <w:ind w:right="39"/>
              <w:spacing w:after="0"/>
              <w:rPr>
                <w:sz w:val="20"/>
                <w:szCs w:val="20"/>
                <w:color w:val="auto"/>
              </w:rPr>
            </w:pPr>
            <w:r>
              <w:rPr>
                <w:rFonts w:ascii="Arial" w:cs="Arial" w:eastAsia="Arial" w:hAnsi="Arial"/>
                <w:sz w:val="16"/>
                <w:szCs w:val="16"/>
                <w:color w:val="auto"/>
              </w:rPr>
              <w:t>191,413</w:t>
            </w:r>
          </w:p>
        </w:tc>
        <w:tc>
          <w:tcPr>
            <w:tcW w:w="980" w:type="dxa"/>
            <w:vAlign w:val="bottom"/>
            <w:vMerge w:val="restart"/>
          </w:tcPr>
          <w:p>
            <w:pPr>
              <w:jc w:val="right"/>
              <w:ind w:right="19"/>
              <w:spacing w:after="0"/>
              <w:rPr>
                <w:sz w:val="20"/>
                <w:szCs w:val="20"/>
                <w:color w:val="auto"/>
              </w:rPr>
            </w:pPr>
            <w:r>
              <w:rPr>
                <w:rFonts w:ascii="Arial" w:cs="Arial" w:eastAsia="Arial" w:hAnsi="Arial"/>
                <w:sz w:val="16"/>
                <w:szCs w:val="16"/>
                <w:color w:val="auto"/>
              </w:rPr>
              <w:t xml:space="preserve">(238,121) </w:t>
            </w:r>
          </w:p>
        </w:tc>
        <w:tc>
          <w:tcPr>
            <w:tcW w:w="0" w:type="dxa"/>
            <w:vAlign w:val="bottom"/>
          </w:tcPr>
          <w:p>
            <w:pPr>
              <w:spacing w:after="0"/>
              <w:rPr>
                <w:sz w:val="1"/>
                <w:szCs w:val="1"/>
                <w:color w:val="auto"/>
              </w:rPr>
            </w:pPr>
          </w:p>
        </w:tc>
      </w:tr>
      <w:tr>
        <w:trPr>
          <w:trHeight w:val="120"/>
        </w:trPr>
        <w:tc>
          <w:tcPr>
            <w:tcW w:w="7140" w:type="dxa"/>
            <w:vAlign w:val="bottom"/>
            <w:vMerge w:val="restart"/>
            <w:shd w:val="clear" w:color="auto" w:fill="D5DCE4"/>
          </w:tcPr>
          <w:p>
            <w:pPr>
              <w:ind w:left="80"/>
              <w:spacing w:after="0"/>
              <w:rPr>
                <w:sz w:val="20"/>
                <w:szCs w:val="20"/>
                <w:color w:val="auto"/>
              </w:rPr>
            </w:pPr>
            <w:r>
              <w:rPr>
                <w:rFonts w:ascii="Arial" w:cs="Arial" w:eastAsia="Arial" w:hAnsi="Arial"/>
                <w:sz w:val="16"/>
                <w:szCs w:val="16"/>
                <w:color w:val="auto"/>
              </w:rPr>
              <w:t>covered year</w:t>
            </w:r>
          </w:p>
        </w:tc>
        <w:tc>
          <w:tcPr>
            <w:tcW w:w="10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7140" w:type="dxa"/>
            <w:vAlign w:val="bottom"/>
            <w:tcBorders>
              <w:bottom w:val="single" w:sz="8" w:color="002060"/>
            </w:tcBorders>
            <w:vMerge w:val="continue"/>
            <w:shd w:val="clear" w:color="auto" w:fill="D5DCE4"/>
          </w:tcPr>
          <w:p>
            <w:pPr>
              <w:spacing w:after="0"/>
              <w:rPr>
                <w:sz w:val="7"/>
                <w:szCs w:val="7"/>
                <w:color w:val="auto"/>
              </w:rPr>
            </w:pPr>
          </w:p>
        </w:tc>
        <w:tc>
          <w:tcPr>
            <w:tcW w:w="1000" w:type="dxa"/>
            <w:vAlign w:val="bottom"/>
            <w:tcBorders>
              <w:bottom w:val="single" w:sz="8" w:color="002060"/>
            </w:tcBorders>
          </w:tcPr>
          <w:p>
            <w:pPr>
              <w:spacing w:after="0"/>
              <w:rPr>
                <w:sz w:val="7"/>
                <w:szCs w:val="7"/>
                <w:color w:val="auto"/>
              </w:rPr>
            </w:pPr>
          </w:p>
        </w:tc>
        <w:tc>
          <w:tcPr>
            <w:tcW w:w="940" w:type="dxa"/>
            <w:vAlign w:val="bottom"/>
            <w:tcBorders>
              <w:bottom w:val="single" w:sz="8" w:color="002060"/>
            </w:tcBorders>
          </w:tcPr>
          <w:p>
            <w:pPr>
              <w:spacing w:after="0"/>
              <w:rPr>
                <w:sz w:val="7"/>
                <w:szCs w:val="7"/>
                <w:color w:val="auto"/>
              </w:rPr>
            </w:pPr>
          </w:p>
        </w:tc>
        <w:tc>
          <w:tcPr>
            <w:tcW w:w="960" w:type="dxa"/>
            <w:vAlign w:val="bottom"/>
            <w:tcBorders>
              <w:bottom w:val="single" w:sz="8" w:color="002060"/>
            </w:tcBorders>
          </w:tcPr>
          <w:p>
            <w:pPr>
              <w:spacing w:after="0"/>
              <w:rPr>
                <w:sz w:val="7"/>
                <w:szCs w:val="7"/>
                <w:color w:val="auto"/>
              </w:rPr>
            </w:pPr>
          </w:p>
        </w:tc>
        <w:tc>
          <w:tcPr>
            <w:tcW w:w="980" w:type="dxa"/>
            <w:vAlign w:val="bottom"/>
            <w:tcBorders>
              <w:bottom w:val="single" w:sz="8" w:color="002060"/>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7140" w:type="dxa"/>
            <w:vAlign w:val="bottom"/>
            <w:shd w:val="clear" w:color="auto" w:fill="D5DCE4"/>
          </w:tcPr>
          <w:p>
            <w:pPr>
              <w:ind w:left="80"/>
              <w:spacing w:after="0" w:line="168" w:lineRule="exact"/>
              <w:rPr>
                <w:sz w:val="20"/>
                <w:szCs w:val="20"/>
                <w:color w:val="auto"/>
              </w:rPr>
            </w:pPr>
            <w:r>
              <w:rPr>
                <w:rFonts w:ascii="Arial" w:cs="Arial" w:eastAsia="Arial" w:hAnsi="Arial"/>
                <w:sz w:val="16"/>
                <w:szCs w:val="16"/>
                <w:color w:val="auto"/>
              </w:rPr>
              <w:t>- Fair value as of prior-year end of equity awards granted in prior years that failed to vest in the</w:t>
            </w:r>
          </w:p>
        </w:tc>
        <w:tc>
          <w:tcPr>
            <w:tcW w:w="100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19"/>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20"/>
        </w:trPr>
        <w:tc>
          <w:tcPr>
            <w:tcW w:w="7140" w:type="dxa"/>
            <w:vAlign w:val="bottom"/>
            <w:vMerge w:val="restart"/>
            <w:shd w:val="clear" w:color="auto" w:fill="D5DCE4"/>
          </w:tcPr>
          <w:p>
            <w:pPr>
              <w:ind w:left="80"/>
              <w:spacing w:after="0"/>
              <w:rPr>
                <w:sz w:val="20"/>
                <w:szCs w:val="20"/>
                <w:color w:val="auto"/>
              </w:rPr>
            </w:pPr>
            <w:r>
              <w:rPr>
                <w:rFonts w:ascii="Arial" w:cs="Arial" w:eastAsia="Arial" w:hAnsi="Arial"/>
                <w:sz w:val="16"/>
                <w:szCs w:val="16"/>
                <w:color w:val="auto"/>
              </w:rPr>
              <w:t>covered year</w:t>
            </w:r>
          </w:p>
        </w:tc>
        <w:tc>
          <w:tcPr>
            <w:tcW w:w="10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7140" w:type="dxa"/>
            <w:vAlign w:val="bottom"/>
            <w:tcBorders>
              <w:bottom w:val="single" w:sz="8" w:color="002060"/>
            </w:tcBorders>
            <w:vMerge w:val="continue"/>
            <w:shd w:val="clear" w:color="auto" w:fill="D5DCE4"/>
          </w:tcPr>
          <w:p>
            <w:pPr>
              <w:spacing w:after="0"/>
              <w:rPr>
                <w:sz w:val="7"/>
                <w:szCs w:val="7"/>
                <w:color w:val="auto"/>
              </w:rPr>
            </w:pPr>
          </w:p>
        </w:tc>
        <w:tc>
          <w:tcPr>
            <w:tcW w:w="1000" w:type="dxa"/>
            <w:vAlign w:val="bottom"/>
            <w:tcBorders>
              <w:bottom w:val="single" w:sz="8" w:color="002060"/>
            </w:tcBorders>
          </w:tcPr>
          <w:p>
            <w:pPr>
              <w:spacing w:after="0"/>
              <w:rPr>
                <w:sz w:val="7"/>
                <w:szCs w:val="7"/>
                <w:color w:val="auto"/>
              </w:rPr>
            </w:pPr>
          </w:p>
        </w:tc>
        <w:tc>
          <w:tcPr>
            <w:tcW w:w="940" w:type="dxa"/>
            <w:vAlign w:val="bottom"/>
            <w:tcBorders>
              <w:bottom w:val="single" w:sz="8" w:color="002060"/>
            </w:tcBorders>
          </w:tcPr>
          <w:p>
            <w:pPr>
              <w:spacing w:after="0"/>
              <w:rPr>
                <w:sz w:val="7"/>
                <w:szCs w:val="7"/>
                <w:color w:val="auto"/>
              </w:rPr>
            </w:pPr>
          </w:p>
        </w:tc>
        <w:tc>
          <w:tcPr>
            <w:tcW w:w="960" w:type="dxa"/>
            <w:vAlign w:val="bottom"/>
            <w:tcBorders>
              <w:bottom w:val="single" w:sz="8" w:color="002060"/>
            </w:tcBorders>
          </w:tcPr>
          <w:p>
            <w:pPr>
              <w:spacing w:after="0"/>
              <w:rPr>
                <w:sz w:val="7"/>
                <w:szCs w:val="7"/>
                <w:color w:val="auto"/>
              </w:rPr>
            </w:pPr>
          </w:p>
        </w:tc>
        <w:tc>
          <w:tcPr>
            <w:tcW w:w="980" w:type="dxa"/>
            <w:vAlign w:val="bottom"/>
            <w:tcBorders>
              <w:bottom w:val="single" w:sz="8" w:color="002060"/>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7140" w:type="dxa"/>
            <w:vAlign w:val="bottom"/>
            <w:tcBorders>
              <w:bottom w:val="single" w:sz="8" w:color="002060"/>
            </w:tcBorders>
            <w:shd w:val="clear" w:color="auto" w:fill="D5DCE4"/>
          </w:tcPr>
          <w:p>
            <w:pPr>
              <w:ind w:left="80"/>
              <w:spacing w:after="0" w:line="183" w:lineRule="exact"/>
              <w:rPr>
                <w:sz w:val="20"/>
                <w:szCs w:val="20"/>
                <w:color w:val="auto"/>
              </w:rPr>
            </w:pPr>
            <w:r>
              <w:rPr>
                <w:rFonts w:ascii="Arial" w:cs="Arial" w:eastAsia="Arial" w:hAnsi="Arial"/>
                <w:sz w:val="16"/>
                <w:szCs w:val="16"/>
                <w:color w:val="auto"/>
              </w:rPr>
              <w:t>+ Dollar value of dividends /earnings paid on equity awards that vested in the covered year</w:t>
            </w:r>
          </w:p>
        </w:tc>
        <w:tc>
          <w:tcPr>
            <w:tcW w:w="1000" w:type="dxa"/>
            <w:vAlign w:val="bottom"/>
            <w:tcBorders>
              <w:bottom w:val="single" w:sz="8" w:color="002060"/>
            </w:tcBorders>
          </w:tcPr>
          <w:p>
            <w:pPr>
              <w:jc w:val="right"/>
              <w:ind w:right="39"/>
              <w:spacing w:after="0" w:line="183" w:lineRule="exact"/>
              <w:rPr>
                <w:sz w:val="20"/>
                <w:szCs w:val="20"/>
                <w:color w:val="auto"/>
              </w:rPr>
            </w:pPr>
            <w:r>
              <w:rPr>
                <w:rFonts w:ascii="Arial" w:cs="Arial" w:eastAsia="Arial" w:hAnsi="Arial"/>
                <w:sz w:val="16"/>
                <w:szCs w:val="16"/>
                <w:color w:val="auto"/>
              </w:rPr>
              <w:t>51,032</w:t>
            </w:r>
          </w:p>
        </w:tc>
        <w:tc>
          <w:tcPr>
            <w:tcW w:w="940" w:type="dxa"/>
            <w:vAlign w:val="bottom"/>
            <w:tcBorders>
              <w:bottom w:val="single" w:sz="8" w:color="002060"/>
            </w:tcBorders>
          </w:tcPr>
          <w:p>
            <w:pPr>
              <w:jc w:val="right"/>
              <w:ind w:right="19"/>
              <w:spacing w:after="0" w:line="183" w:lineRule="exact"/>
              <w:rPr>
                <w:sz w:val="20"/>
                <w:szCs w:val="20"/>
                <w:color w:val="auto"/>
              </w:rPr>
            </w:pPr>
            <w:r>
              <w:rPr>
                <w:rFonts w:ascii="Arial" w:cs="Arial" w:eastAsia="Arial" w:hAnsi="Arial"/>
                <w:sz w:val="16"/>
                <w:szCs w:val="16"/>
                <w:color w:val="auto"/>
              </w:rPr>
              <w:t>19,261</w:t>
            </w:r>
          </w:p>
        </w:tc>
        <w:tc>
          <w:tcPr>
            <w:tcW w:w="960" w:type="dxa"/>
            <w:vAlign w:val="bottom"/>
            <w:tcBorders>
              <w:bottom w:val="single" w:sz="8" w:color="002060"/>
            </w:tcBorders>
          </w:tcPr>
          <w:p>
            <w:pPr>
              <w:jc w:val="right"/>
              <w:ind w:right="39"/>
              <w:spacing w:after="0" w:line="183" w:lineRule="exact"/>
              <w:rPr>
                <w:sz w:val="20"/>
                <w:szCs w:val="20"/>
                <w:color w:val="auto"/>
              </w:rPr>
            </w:pPr>
            <w:r>
              <w:rPr>
                <w:rFonts w:ascii="Arial" w:cs="Arial" w:eastAsia="Arial" w:hAnsi="Arial"/>
                <w:sz w:val="16"/>
                <w:szCs w:val="16"/>
                <w:color w:val="auto"/>
              </w:rPr>
              <w:t>2,190</w:t>
            </w:r>
          </w:p>
        </w:tc>
        <w:tc>
          <w:tcPr>
            <w:tcW w:w="980" w:type="dxa"/>
            <w:vAlign w:val="bottom"/>
            <w:tcBorders>
              <w:bottom w:val="single" w:sz="8" w:color="002060"/>
            </w:tcBorders>
          </w:tcPr>
          <w:p>
            <w:pPr>
              <w:jc w:val="right"/>
              <w:ind w:right="19"/>
              <w:spacing w:after="0" w:line="183" w:lineRule="exact"/>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83"/>
        </w:trPr>
        <w:tc>
          <w:tcPr>
            <w:tcW w:w="7140" w:type="dxa"/>
            <w:vAlign w:val="bottom"/>
            <w:tcBorders>
              <w:bottom w:val="single" w:sz="8" w:color="002060"/>
            </w:tcBorders>
            <w:shd w:val="clear" w:color="auto" w:fill="D5DCE4"/>
          </w:tcPr>
          <w:p>
            <w:pPr>
              <w:ind w:left="80"/>
              <w:spacing w:after="0" w:line="183" w:lineRule="exact"/>
              <w:rPr>
                <w:sz w:val="20"/>
                <w:szCs w:val="20"/>
                <w:color w:val="auto"/>
              </w:rPr>
            </w:pPr>
            <w:r>
              <w:rPr>
                <w:rFonts w:ascii="Arial" w:cs="Arial" w:eastAsia="Arial" w:hAnsi="Arial"/>
                <w:sz w:val="16"/>
                <w:szCs w:val="16"/>
                <w:color w:val="auto"/>
              </w:rPr>
              <w:t>+ Excess fair value for equity award modifications</w:t>
            </w:r>
          </w:p>
        </w:tc>
        <w:tc>
          <w:tcPr>
            <w:tcW w:w="1000" w:type="dxa"/>
            <w:vAlign w:val="bottom"/>
            <w:tcBorders>
              <w:bottom w:val="single" w:sz="8" w:color="002060"/>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00206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002060"/>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002060"/>
            </w:tcBorders>
          </w:tcPr>
          <w:p>
            <w:pPr>
              <w:jc w:val="right"/>
              <w:ind w:right="19"/>
              <w:spacing w:after="0" w:line="183" w:lineRule="exact"/>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90"/>
        </w:trPr>
        <w:tc>
          <w:tcPr>
            <w:tcW w:w="7140" w:type="dxa"/>
            <w:vAlign w:val="bottom"/>
            <w:tcBorders>
              <w:bottom w:val="single" w:sz="8" w:color="0070C0"/>
            </w:tcBorders>
            <w:shd w:val="clear" w:color="auto" w:fill="D5DCE4"/>
          </w:tcPr>
          <w:p>
            <w:pPr>
              <w:ind w:left="80"/>
              <w:spacing w:after="0" w:line="183" w:lineRule="exact"/>
              <w:rPr>
                <w:sz w:val="20"/>
                <w:szCs w:val="20"/>
                <w:color w:val="auto"/>
              </w:rPr>
            </w:pPr>
            <w:r>
              <w:rPr>
                <w:rFonts w:ascii="Arial" w:cs="Arial" w:eastAsia="Arial" w:hAnsi="Arial"/>
                <w:sz w:val="16"/>
                <w:szCs w:val="16"/>
                <w:color w:val="auto"/>
              </w:rPr>
              <w:t>Average Compensation Actually Paid to Non-PEO NEOs</w:t>
            </w:r>
          </w:p>
        </w:tc>
        <w:tc>
          <w:tcPr>
            <w:tcW w:w="1000" w:type="dxa"/>
            <w:vAlign w:val="bottom"/>
            <w:tcBorders>
              <w:bottom w:val="single" w:sz="8" w:color="0070C0"/>
            </w:tcBorders>
          </w:tcPr>
          <w:p>
            <w:pPr>
              <w:jc w:val="right"/>
              <w:ind w:right="39"/>
              <w:spacing w:after="0" w:line="183" w:lineRule="exact"/>
              <w:rPr>
                <w:sz w:val="20"/>
                <w:szCs w:val="20"/>
                <w:color w:val="auto"/>
              </w:rPr>
            </w:pPr>
            <w:r>
              <w:rPr>
                <w:rFonts w:ascii="Arial" w:cs="Arial" w:eastAsia="Arial" w:hAnsi="Arial"/>
                <w:sz w:val="16"/>
                <w:szCs w:val="16"/>
                <w:color w:val="auto"/>
              </w:rPr>
              <w:t>2,890,502</w:t>
            </w:r>
          </w:p>
        </w:tc>
        <w:tc>
          <w:tcPr>
            <w:tcW w:w="940" w:type="dxa"/>
            <w:vAlign w:val="bottom"/>
            <w:tcBorders>
              <w:bottom w:val="single" w:sz="8" w:color="0070C0"/>
            </w:tcBorders>
          </w:tcPr>
          <w:p>
            <w:pPr>
              <w:jc w:val="right"/>
              <w:ind w:right="19"/>
              <w:spacing w:after="0" w:line="183" w:lineRule="exact"/>
              <w:rPr>
                <w:sz w:val="20"/>
                <w:szCs w:val="20"/>
                <w:color w:val="auto"/>
              </w:rPr>
            </w:pPr>
            <w:r>
              <w:rPr>
                <w:rFonts w:ascii="Arial" w:cs="Arial" w:eastAsia="Arial" w:hAnsi="Arial"/>
                <w:sz w:val="16"/>
                <w:szCs w:val="16"/>
                <w:color w:val="auto"/>
              </w:rPr>
              <w:t>84,150</w:t>
            </w:r>
          </w:p>
        </w:tc>
        <w:tc>
          <w:tcPr>
            <w:tcW w:w="960" w:type="dxa"/>
            <w:vAlign w:val="bottom"/>
            <w:tcBorders>
              <w:bottom w:val="single" w:sz="8" w:color="0070C0"/>
            </w:tcBorders>
          </w:tcPr>
          <w:p>
            <w:pPr>
              <w:jc w:val="right"/>
              <w:ind w:right="39"/>
              <w:spacing w:after="0" w:line="183" w:lineRule="exact"/>
              <w:rPr>
                <w:sz w:val="20"/>
                <w:szCs w:val="20"/>
                <w:color w:val="auto"/>
              </w:rPr>
            </w:pPr>
            <w:r>
              <w:rPr>
                <w:rFonts w:ascii="Arial" w:cs="Arial" w:eastAsia="Arial" w:hAnsi="Arial"/>
                <w:sz w:val="16"/>
                <w:szCs w:val="16"/>
                <w:color w:val="auto"/>
              </w:rPr>
              <w:t>2,139,501</w:t>
            </w:r>
          </w:p>
        </w:tc>
        <w:tc>
          <w:tcPr>
            <w:tcW w:w="980" w:type="dxa"/>
            <w:vAlign w:val="bottom"/>
            <w:tcBorders>
              <w:bottom w:val="single" w:sz="8" w:color="0070C0"/>
            </w:tcBorders>
          </w:tcPr>
          <w:p>
            <w:pPr>
              <w:jc w:val="right"/>
              <w:ind w:right="19"/>
              <w:spacing w:after="0" w:line="183" w:lineRule="exact"/>
              <w:rPr>
                <w:sz w:val="20"/>
                <w:szCs w:val="20"/>
                <w:color w:val="auto"/>
              </w:rPr>
            </w:pPr>
            <w:r>
              <w:rPr>
                <w:rFonts w:ascii="Arial" w:cs="Arial" w:eastAsia="Arial" w:hAnsi="Arial"/>
                <w:sz w:val="16"/>
                <w:szCs w:val="16"/>
                <w:color w:val="auto"/>
              </w:rPr>
              <w:t>2,089,937 </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880" w:right="80" w:hanging="548"/>
        <w:spacing w:after="0" w:line="239"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each of the four fiscal years presented in the table, total shareholder return was calculated in accordance with Item 402(v) of Regulation S-K under the Exchange Act. For purposes of this pay versus performance disclosure, the peer group used was the S&amp;P 600 Building Products Sub Industry GICS Level 4 Index, which we also utilize in the stock performance graph required by Item 201(e) of Regulation S-K included in our Annual Report for the year ended December 31, 2023. The comparison assumes $100 was invested for the period starting December 31, 2019, through the end of the listed year in the Company and in the S&amp;P 600 Building Products Sub Industry GICS Level 4 Index, respectively. In 2022, our peer group consisted of two published industry indices: the Russell 2000 and the S&amp;P 600 Building Products Sub Industry GICS Level 4 Index. TSR performance for these indexes, for the years ending December 31, 2020, 2021, 2022, and 2023, would have been: $120, $138, $110, and $129, respectively.</w:t>
      </w:r>
    </w:p>
    <w:p>
      <w:pPr>
        <w:spacing w:after="0" w:line="88" w:lineRule="exact"/>
        <w:rPr>
          <w:rFonts w:ascii="Arial" w:cs="Arial" w:eastAsia="Arial" w:hAnsi="Arial"/>
          <w:sz w:val="18"/>
          <w:szCs w:val="18"/>
          <w:color w:val="auto"/>
        </w:rPr>
      </w:pPr>
    </w:p>
    <w:p>
      <w:pPr>
        <w:ind w:left="880" w:hanging="548"/>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Net income is rounded to the nearest hundred thousand.</w:t>
      </w:r>
    </w:p>
    <w:p>
      <w:pPr>
        <w:spacing w:after="0" w:line="117" w:lineRule="exact"/>
        <w:rPr>
          <w:rFonts w:ascii="Arial" w:cs="Arial" w:eastAsia="Arial" w:hAnsi="Arial"/>
          <w:sz w:val="18"/>
          <w:szCs w:val="18"/>
          <w:color w:val="auto"/>
        </w:rPr>
      </w:pPr>
    </w:p>
    <w:p>
      <w:pPr>
        <w:ind w:left="880" w:right="180" w:hanging="548"/>
        <w:spacing w:after="0" w:line="24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CHC Committee has selected Adjusted EBITDA as the most important financial performance measure used to link our executive compensation to Company performance. See “</w:t>
      </w:r>
      <w:r>
        <w:rPr>
          <w:rFonts w:ascii="Arial" w:cs="Arial" w:eastAsia="Arial" w:hAnsi="Arial"/>
          <w:sz w:val="18"/>
          <w:szCs w:val="18"/>
          <w:i w:val="1"/>
          <w:iCs w:val="1"/>
          <w:color w:val="auto"/>
        </w:rPr>
        <w:t>Additional Information – Use of Non-GAAP Financial Measures</w:t>
      </w:r>
      <w:r>
        <w:rPr>
          <w:rFonts w:ascii="Arial" w:cs="Arial" w:eastAsia="Arial" w:hAnsi="Arial"/>
          <w:sz w:val="18"/>
          <w:szCs w:val="18"/>
          <w:color w:val="auto"/>
        </w:rPr>
        <w:t>” for a reconciliation of Adjusted EBITDA to the most directly comparable GAAP measure. Adjusted EBITDA is rounded to the nearest hundred thousand.</w:t>
      </w:r>
    </w:p>
    <w:p>
      <w:pPr>
        <w:spacing w:after="0" w:line="174"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The following graphs describe the relationships between executive compensation actually paid as listed above in the pay versus performance table to Company Adjusted EBITDA, Company Net Income and Company and Peer Group Total Shareholder Return and the relationship between Company Total Shareholder Return to Peer Group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110490</wp:posOffset>
            </wp:positionV>
            <wp:extent cx="699516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0070C0"/>
        </w:rPr>
        <w:t>IBP 2024 Proxy Statement</w:t>
      </w:r>
    </w:p>
    <w:p>
      <w:pPr>
        <w:jc w:val="center"/>
        <w:ind w:right="-99"/>
        <w:spacing w:after="0" w:line="231" w:lineRule="auto"/>
        <w:rPr>
          <w:sz w:val="20"/>
          <w:szCs w:val="20"/>
          <w:color w:val="auto"/>
        </w:rPr>
      </w:pPr>
      <w:r>
        <w:rPr>
          <w:rFonts w:ascii="Arial" w:cs="Arial" w:eastAsia="Arial" w:hAnsi="Arial"/>
          <w:sz w:val="20"/>
          <w:szCs w:val="20"/>
          <w:color w:val="0070C0"/>
        </w:rPr>
        <w:t>Executive Compensation</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0070C0"/>
        </w:rPr>
        <w:t>71</w:t>
      </w:r>
    </w:p>
    <w:p>
      <w:pPr>
        <w:sectPr>
          <w:pgSz w:w="11900" w:h="16838" w:orient="portrait"/>
          <w:cols w:equalWidth="0" w:num="1">
            <w:col w:w="11140"/>
          </w:cols>
          <w:pgMar w:left="320" w:top="482"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242570</wp:posOffset>
            </wp:positionV>
            <wp:extent cx="6677660" cy="59664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677660" cy="5966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0" w:right="800"/>
        <w:spacing w:after="0" w:line="271"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Additional Information – Use of Non-GAAP Financial Measures</w:t>
      </w:r>
      <w:r>
        <w:rPr>
          <w:rFonts w:ascii="Arial" w:cs="Arial" w:eastAsia="Arial" w:hAnsi="Arial"/>
          <w:sz w:val="18"/>
          <w:szCs w:val="18"/>
          <w:color w:val="auto"/>
        </w:rPr>
        <w:t>” for a reconciliation of Adjusted EBITDA to the most directly comparable GAAP measure.</w:t>
      </w:r>
    </w:p>
    <w:p>
      <w:pPr>
        <w:spacing w:after="0" w:line="154"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auto"/>
        </w:rPr>
        <w:t>The following table lists the financial performance measure that we believe represents the most important financial measure used to link compensation actually paid to our executives to Company performance.</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92"/>
        </w:trPr>
        <w:tc>
          <w:tcPr>
            <w:tcW w:w="2100" w:type="dxa"/>
            <w:vAlign w:val="bottom"/>
          </w:tcPr>
          <w:p>
            <w:pPr>
              <w:spacing w:after="0"/>
              <w:rPr>
                <w:sz w:val="24"/>
                <w:szCs w:val="24"/>
                <w:color w:val="auto"/>
              </w:rPr>
            </w:pPr>
          </w:p>
        </w:tc>
        <w:tc>
          <w:tcPr>
            <w:tcW w:w="1780" w:type="dxa"/>
            <w:vAlign w:val="bottom"/>
            <w:shd w:val="clear" w:color="auto" w:fill="D5DCE4"/>
          </w:tcPr>
          <w:p>
            <w:pPr>
              <w:jc w:val="center"/>
              <w:ind w:left="30"/>
              <w:spacing w:after="0"/>
              <w:rPr>
                <w:sz w:val="20"/>
                <w:szCs w:val="20"/>
                <w:color w:val="auto"/>
              </w:rPr>
            </w:pPr>
            <w:r>
              <w:rPr>
                <w:rFonts w:ascii="Arial" w:cs="Arial" w:eastAsia="Arial" w:hAnsi="Arial"/>
                <w:sz w:val="18"/>
                <w:szCs w:val="18"/>
                <w:b w:val="1"/>
                <w:bCs w:val="1"/>
                <w:color w:val="auto"/>
              </w:rPr>
              <w:t>Adjusted</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Performance-based incentive cash awards</w:t>
            </w:r>
          </w:p>
        </w:tc>
      </w:tr>
      <w:tr>
        <w:trPr>
          <w:trHeight w:val="252"/>
        </w:trPr>
        <w:tc>
          <w:tcPr>
            <w:tcW w:w="2100" w:type="dxa"/>
            <w:vAlign w:val="bottom"/>
          </w:tcPr>
          <w:p>
            <w:pPr>
              <w:spacing w:after="0"/>
              <w:rPr>
                <w:sz w:val="21"/>
                <w:szCs w:val="21"/>
                <w:color w:val="auto"/>
              </w:rPr>
            </w:pPr>
          </w:p>
        </w:tc>
        <w:tc>
          <w:tcPr>
            <w:tcW w:w="1780" w:type="dxa"/>
            <w:vAlign w:val="bottom"/>
            <w:shd w:val="clear" w:color="auto" w:fill="D5DCE4"/>
          </w:tcPr>
          <w:p>
            <w:pPr>
              <w:jc w:val="center"/>
              <w:ind w:left="30"/>
              <w:spacing w:after="0"/>
              <w:rPr>
                <w:sz w:val="20"/>
                <w:szCs w:val="20"/>
                <w:color w:val="auto"/>
              </w:rPr>
            </w:pPr>
            <w:r>
              <w:rPr>
                <w:rFonts w:ascii="Arial" w:cs="Arial" w:eastAsia="Arial" w:hAnsi="Arial"/>
                <w:sz w:val="18"/>
                <w:szCs w:val="18"/>
                <w:b w:val="1"/>
                <w:bCs w:val="1"/>
                <w:color w:val="auto"/>
                <w:w w:val="98"/>
              </w:rPr>
              <w:t>EBITDA</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Performance-based incentive equity awards</w:t>
            </w:r>
          </w:p>
        </w:tc>
      </w:tr>
      <w:tr>
        <w:trPr>
          <w:trHeight w:val="118"/>
        </w:trPr>
        <w:tc>
          <w:tcPr>
            <w:tcW w:w="2100" w:type="dxa"/>
            <w:vAlign w:val="bottom"/>
          </w:tcPr>
          <w:p>
            <w:pPr>
              <w:spacing w:after="0"/>
              <w:rPr>
                <w:sz w:val="10"/>
                <w:szCs w:val="10"/>
                <w:color w:val="auto"/>
              </w:rPr>
            </w:pPr>
          </w:p>
        </w:tc>
        <w:tc>
          <w:tcPr>
            <w:tcW w:w="1780" w:type="dxa"/>
            <w:vAlign w:val="bottom"/>
            <w:shd w:val="clear" w:color="auto" w:fill="D5DCE4"/>
          </w:tcPr>
          <w:p>
            <w:pPr>
              <w:spacing w:after="0"/>
              <w:rPr>
                <w:sz w:val="10"/>
                <w:szCs w:val="10"/>
                <w:color w:val="auto"/>
              </w:rPr>
            </w:pPr>
          </w:p>
        </w:tc>
        <w:tc>
          <w:tcPr>
            <w:tcW w:w="7140" w:type="dxa"/>
            <w:vAlign w:val="bottom"/>
          </w:tcPr>
          <w:p>
            <w:pPr>
              <w:spacing w:after="0"/>
              <w:rPr>
                <w:sz w:val="10"/>
                <w:szCs w:val="10"/>
                <w:color w:val="auto"/>
              </w:rPr>
            </w:pPr>
          </w:p>
        </w:tc>
      </w:tr>
      <w:tr>
        <w:trPr>
          <w:trHeight w:val="203"/>
        </w:trPr>
        <w:tc>
          <w:tcPr>
            <w:tcW w:w="2100" w:type="dxa"/>
            <w:vAlign w:val="bottom"/>
            <w:tcBorders>
              <w:bottom w:val="single" w:sz="8" w:color="0070C0"/>
            </w:tcBorders>
          </w:tcPr>
          <w:p>
            <w:pPr>
              <w:spacing w:after="0"/>
              <w:rPr>
                <w:sz w:val="17"/>
                <w:szCs w:val="17"/>
                <w:color w:val="auto"/>
              </w:rPr>
            </w:pPr>
          </w:p>
        </w:tc>
        <w:tc>
          <w:tcPr>
            <w:tcW w:w="1780" w:type="dxa"/>
            <w:vAlign w:val="bottom"/>
            <w:tcBorders>
              <w:bottom w:val="single" w:sz="8" w:color="0070C0"/>
            </w:tcBorders>
          </w:tcPr>
          <w:p>
            <w:pPr>
              <w:spacing w:after="0"/>
              <w:rPr>
                <w:sz w:val="17"/>
                <w:szCs w:val="17"/>
                <w:color w:val="auto"/>
              </w:rPr>
            </w:pPr>
          </w:p>
        </w:tc>
        <w:tc>
          <w:tcPr>
            <w:tcW w:w="7140" w:type="dxa"/>
            <w:vAlign w:val="bottom"/>
            <w:tcBorders>
              <w:bottom w:val="single" w:sz="8" w:color="0070C0"/>
            </w:tcBorders>
          </w:tcPr>
          <w:p>
            <w:pPr>
              <w:spacing w:after="0"/>
              <w:rPr>
                <w:sz w:val="17"/>
                <w:szCs w:val="17"/>
                <w:color w:val="auto"/>
              </w:rPr>
            </w:pPr>
          </w:p>
        </w:tc>
      </w:tr>
    </w:tbl>
    <w:p>
      <w:pPr>
        <w:spacing w:after="0" w:line="84" w:lineRule="exact"/>
        <w:rPr>
          <w:sz w:val="20"/>
          <w:szCs w:val="20"/>
          <w:color w:val="auto"/>
        </w:rPr>
      </w:pPr>
    </w:p>
    <w:p>
      <w:pPr>
        <w:sectPr>
          <w:pgSz w:w="11900" w:h="16838" w:orient="portrait"/>
          <w:cols w:equalWidth="0" w:num="1">
            <w:col w:w="11140"/>
          </w:cols>
          <w:pgMar w:left="320" w:top="482" w:right="439" w:bottom="1440" w:gutter="0" w:footer="0" w:header="0"/>
        </w:sectPr>
      </w:pPr>
    </w:p>
    <w:p>
      <w:pPr>
        <w:jc w:val="center"/>
        <w:ind w:right="-99"/>
        <w:spacing w:after="0"/>
        <w:rPr>
          <w:sz w:val="20"/>
          <w:szCs w:val="20"/>
          <w:color w:val="auto"/>
        </w:rPr>
      </w:pPr>
      <w:r>
        <w:rPr>
          <w:rFonts w:ascii="Arial" w:cs="Arial" w:eastAsia="Arial" w:hAnsi="Arial"/>
          <w:sz w:val="19"/>
          <w:szCs w:val="19"/>
          <w:b w:val="1"/>
          <w:bCs w:val="1"/>
          <w:color w:val="0070C0"/>
        </w:rPr>
        <w:t>IBP 2024 Proxy Statement</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0070C0"/>
        </w:rPr>
        <w:t>Executive Compensation</w:t>
      </w:r>
    </w:p>
    <w:p>
      <w:pPr>
        <w:jc w:val="center"/>
        <w:ind w:right="-99"/>
        <w:spacing w:after="0"/>
        <w:rPr>
          <w:sz w:val="20"/>
          <w:szCs w:val="20"/>
          <w:color w:val="auto"/>
        </w:rPr>
      </w:pPr>
      <w:r>
        <w:rPr>
          <w:rFonts w:ascii="Arial" w:cs="Arial" w:eastAsia="Arial" w:hAnsi="Arial"/>
          <w:sz w:val="20"/>
          <w:szCs w:val="20"/>
          <w:color w:val="0070C0"/>
        </w:rPr>
        <w:t>72</w:t>
      </w:r>
    </w:p>
    <w:p>
      <w:pPr>
        <w:sectPr>
          <w:pgSz w:w="11900" w:h="16838" w:orient="portrait"/>
          <w:cols w:equalWidth="0" w:num="1">
            <w:col w:w="11140"/>
          </w:cols>
          <w:pgMar w:left="320" w:top="482" w:right="439" w:bottom="1440" w:gutter="0" w:footer="0" w:header="0"/>
          <w:type w:val="continuous"/>
        </w:sectPr>
      </w:pPr>
    </w:p>
    <w:bookmarkStart w:id="80" w:name="page81"/>
    <w:bookmarkEnd w:id="80"/>
    <w:p>
      <w:pPr>
        <w:jc w:val="center"/>
        <w:spacing w:after="0"/>
        <w:rPr>
          <w:sz w:val="20"/>
          <w:szCs w:val="20"/>
          <w:color w:val="auto"/>
        </w:rPr>
      </w:pPr>
      <w:r>
        <w:rPr>
          <w:rFonts w:ascii="Times New Roman" w:cs="Times New Roman" w:eastAsia="Times New Roman" w:hAnsi="Times New Roman"/>
          <w:sz w:val="40"/>
          <w:szCs w:val="40"/>
          <w:b w:val="1"/>
          <w:bCs w:val="1"/>
          <w:color w:val="0070C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STOCK OWNERSHIP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69951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Stock Ownership Table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beneficial ownership of our common stock as of March 28, 2024 held by:</w:t>
      </w:r>
    </w:p>
    <w:p>
      <w:pPr>
        <w:spacing w:after="0" w:line="169" w:lineRule="exact"/>
        <w:rPr>
          <w:sz w:val="20"/>
          <w:szCs w:val="20"/>
          <w:color w:val="auto"/>
        </w:rPr>
      </w:pPr>
    </w:p>
    <w:p>
      <w:pPr>
        <w:ind w:left="960" w:hanging="424"/>
        <w:spacing w:after="0"/>
        <w:tabs>
          <w:tab w:leader="none" w:pos="960" w:val="left"/>
        </w:tabs>
        <w:numPr>
          <w:ilvl w:val="0"/>
          <w:numId w:val="44"/>
        </w:numPr>
        <w:rPr>
          <w:rFonts w:ascii="MS PGothic" w:cs="MS PGothic" w:eastAsia="MS PGothic" w:hAnsi="MS PGothic"/>
          <w:sz w:val="29"/>
          <w:szCs w:val="29"/>
          <w:color w:val="002060"/>
          <w:vertAlign w:val="superscript"/>
        </w:rPr>
      </w:pPr>
      <w:r>
        <w:rPr>
          <w:rFonts w:ascii="Arial" w:cs="Arial" w:eastAsia="Arial" w:hAnsi="Arial"/>
          <w:sz w:val="18"/>
          <w:szCs w:val="18"/>
          <w:color w:val="auto"/>
        </w:rPr>
        <w:t>each person whom we know to beneficially own more than 5% of our outstanding common stock;</w:t>
      </w:r>
    </w:p>
    <w:p>
      <w:pPr>
        <w:ind w:left="960" w:hanging="424"/>
        <w:spacing w:after="0" w:line="180" w:lineRule="auto"/>
        <w:tabs>
          <w:tab w:leader="none" w:pos="960" w:val="left"/>
        </w:tabs>
        <w:numPr>
          <w:ilvl w:val="0"/>
          <w:numId w:val="44"/>
        </w:numPr>
        <w:rPr>
          <w:rFonts w:ascii="MS PGothic" w:cs="MS PGothic" w:eastAsia="MS PGothic" w:hAnsi="MS PGothic"/>
          <w:sz w:val="27"/>
          <w:szCs w:val="27"/>
          <w:color w:val="002060"/>
          <w:vertAlign w:val="superscript"/>
        </w:rPr>
      </w:pPr>
      <w:r>
        <w:rPr>
          <w:rFonts w:ascii="Arial" w:cs="Arial" w:eastAsia="Arial" w:hAnsi="Arial"/>
          <w:sz w:val="17"/>
          <w:szCs w:val="17"/>
          <w:color w:val="auto"/>
        </w:rPr>
        <w:t>each director;</w:t>
      </w:r>
    </w:p>
    <w:p>
      <w:pPr>
        <w:ind w:left="960" w:hanging="424"/>
        <w:spacing w:after="0" w:line="180" w:lineRule="auto"/>
        <w:tabs>
          <w:tab w:leader="none" w:pos="960" w:val="left"/>
        </w:tabs>
        <w:numPr>
          <w:ilvl w:val="0"/>
          <w:numId w:val="44"/>
        </w:numPr>
        <w:rPr>
          <w:rFonts w:ascii="MS PGothic" w:cs="MS PGothic" w:eastAsia="MS PGothic" w:hAnsi="MS PGothic"/>
          <w:sz w:val="27"/>
          <w:szCs w:val="27"/>
          <w:color w:val="002060"/>
          <w:vertAlign w:val="superscript"/>
        </w:rPr>
      </w:pPr>
      <w:r>
        <w:rPr>
          <w:rFonts w:ascii="Arial" w:cs="Arial" w:eastAsia="Arial" w:hAnsi="Arial"/>
          <w:sz w:val="17"/>
          <w:szCs w:val="17"/>
          <w:color w:val="auto"/>
        </w:rPr>
        <w:t>each named executive officer; and</w:t>
      </w:r>
    </w:p>
    <w:p>
      <w:pPr>
        <w:ind w:left="960" w:hanging="424"/>
        <w:spacing w:after="0" w:line="182" w:lineRule="auto"/>
        <w:tabs>
          <w:tab w:leader="none" w:pos="960" w:val="left"/>
        </w:tabs>
        <w:numPr>
          <w:ilvl w:val="0"/>
          <w:numId w:val="44"/>
        </w:numPr>
        <w:rPr>
          <w:rFonts w:ascii="MS PGothic" w:cs="MS PGothic" w:eastAsia="MS PGothic" w:hAnsi="MS PGothic"/>
          <w:sz w:val="29"/>
          <w:szCs w:val="29"/>
          <w:color w:val="002060"/>
          <w:vertAlign w:val="superscript"/>
        </w:rPr>
      </w:pPr>
      <w:r>
        <w:rPr>
          <w:rFonts w:ascii="Arial" w:cs="Arial" w:eastAsia="Arial" w:hAnsi="Arial"/>
          <w:sz w:val="18"/>
          <w:szCs w:val="18"/>
          <w:color w:val="auto"/>
        </w:rPr>
        <w:t>all directors and executive officers as a group.</w:t>
      </w:r>
    </w:p>
    <w:p>
      <w:pPr>
        <w:spacing w:after="0" w:line="182" w:lineRule="exact"/>
        <w:rPr>
          <w:sz w:val="20"/>
          <w:szCs w:val="20"/>
          <w:color w:val="auto"/>
        </w:rPr>
      </w:pPr>
    </w:p>
    <w:p>
      <w:pPr>
        <w:ind w:right="480"/>
        <w:spacing w:after="0" w:line="269" w:lineRule="auto"/>
        <w:rPr>
          <w:sz w:val="20"/>
          <w:szCs w:val="20"/>
          <w:color w:val="auto"/>
        </w:rPr>
      </w:pPr>
      <w:r>
        <w:rPr>
          <w:rFonts w:ascii="Arial" w:cs="Arial" w:eastAsia="Arial" w:hAnsi="Arial"/>
          <w:sz w:val="18"/>
          <w:szCs w:val="18"/>
          <w:color w:val="auto"/>
        </w:rPr>
        <w:t>Unless otherwise indicated, the address of each director and executive officer is c/o Installed Building Products, Inc., 495 South High Street, Suite 50, Columbus, Ohio 43215.</w:t>
      </w:r>
    </w:p>
    <w:p>
      <w:pPr>
        <w:spacing w:after="0" w:line="155"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number of shares of common stock “beneficially owned” is determined under certain SEC rules and is not necessarily indicative of ownership for any other purpose. Under these rules, beneficial ownership includes shares as to which the stockholder has sole or shared voting power or investment power and shares as to which the stockholder has the right to acquire beneficial ownership within 60 days after March 28, 2024, including shares that could be purchased by the exercise of options or warrants. Unless otherwise indicated, to our knowledge all persons named in the table have sole voting and investment power with respect to their shares of our common stock. Each stockholder’s percentage ownership is based on 28,436,558 shares of common stock outstanding as of March 28, 2024.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tcPr>
          <w:p>
            <w:pPr>
              <w:spacing w:after="0"/>
              <w:rPr>
                <w:sz w:val="17"/>
                <w:szCs w:val="17"/>
                <w:color w:val="auto"/>
              </w:rPr>
            </w:pPr>
          </w:p>
        </w:tc>
        <w:tc>
          <w:tcPr>
            <w:tcW w:w="336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002060"/>
              </w:rPr>
              <w:t>Shares of Common Stock</w:t>
            </w:r>
          </w:p>
        </w:tc>
        <w:tc>
          <w:tcPr>
            <w:tcW w:w="0" w:type="dxa"/>
            <w:vAlign w:val="bottom"/>
          </w:tcPr>
          <w:p>
            <w:pPr>
              <w:spacing w:after="0"/>
              <w:rPr>
                <w:sz w:val="1"/>
                <w:szCs w:val="1"/>
                <w:color w:val="auto"/>
              </w:rPr>
            </w:pPr>
          </w:p>
        </w:tc>
      </w:tr>
      <w:tr>
        <w:trPr>
          <w:trHeight w:val="247"/>
        </w:trPr>
        <w:tc>
          <w:tcPr>
            <w:tcW w:w="7660" w:type="dxa"/>
            <w:vAlign w:val="bottom"/>
          </w:tcPr>
          <w:p>
            <w:pPr>
              <w:spacing w:after="0"/>
              <w:rPr>
                <w:sz w:val="21"/>
                <w:szCs w:val="21"/>
                <w:color w:val="auto"/>
              </w:rPr>
            </w:pPr>
          </w:p>
        </w:tc>
        <w:tc>
          <w:tcPr>
            <w:tcW w:w="336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002060"/>
              </w:rPr>
              <w:t>Beneficially Owned</w:t>
            </w:r>
          </w:p>
        </w:tc>
        <w:tc>
          <w:tcPr>
            <w:tcW w:w="0" w:type="dxa"/>
            <w:vAlign w:val="bottom"/>
          </w:tcPr>
          <w:p>
            <w:pPr>
              <w:spacing w:after="0"/>
              <w:rPr>
                <w:sz w:val="1"/>
                <w:szCs w:val="1"/>
                <w:color w:val="auto"/>
              </w:rPr>
            </w:pPr>
          </w:p>
        </w:tc>
      </w:tr>
      <w:tr>
        <w:trPr>
          <w:trHeight w:val="49"/>
        </w:trPr>
        <w:tc>
          <w:tcPr>
            <w:tcW w:w="7660" w:type="dxa"/>
            <w:vAlign w:val="bottom"/>
            <w:vMerge w:val="restart"/>
          </w:tcPr>
          <w:p>
            <w:pPr>
              <w:spacing w:after="0"/>
              <w:rPr>
                <w:sz w:val="20"/>
                <w:szCs w:val="20"/>
                <w:color w:val="auto"/>
              </w:rPr>
            </w:pPr>
            <w:r>
              <w:rPr>
                <w:rFonts w:ascii="Arial" w:cs="Arial" w:eastAsia="Arial" w:hAnsi="Arial"/>
                <w:sz w:val="18"/>
                <w:szCs w:val="18"/>
                <w:b w:val="1"/>
                <w:bCs w:val="1"/>
                <w:color w:val="002060"/>
              </w:rPr>
              <w:t> Name of Beneficial Owner</w:t>
            </w:r>
          </w:p>
        </w:tc>
        <w:tc>
          <w:tcPr>
            <w:tcW w:w="2040" w:type="dxa"/>
            <w:vAlign w:val="bottom"/>
            <w:tcBorders>
              <w:bottom w:val="single" w:sz="8" w:color="0070C0"/>
            </w:tcBorders>
          </w:tcPr>
          <w:p>
            <w:pPr>
              <w:spacing w:after="0"/>
              <w:rPr>
                <w:sz w:val="4"/>
                <w:szCs w:val="4"/>
                <w:color w:val="auto"/>
              </w:rPr>
            </w:pPr>
          </w:p>
        </w:tc>
        <w:tc>
          <w:tcPr>
            <w:tcW w:w="1320" w:type="dxa"/>
            <w:vAlign w:val="bottom"/>
            <w:tcBorders>
              <w:bottom w:val="single" w:sz="8" w:color="0070C0"/>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7660" w:type="dxa"/>
            <w:vAlign w:val="bottom"/>
            <w:tcBorders>
              <w:bottom w:val="single" w:sz="8" w:color="0070C0"/>
            </w:tcBorders>
            <w:vMerge w:val="continue"/>
          </w:tcPr>
          <w:p>
            <w:pPr>
              <w:spacing w:after="0"/>
              <w:rPr>
                <w:sz w:val="22"/>
                <w:szCs w:val="22"/>
                <w:color w:val="auto"/>
              </w:rPr>
            </w:pPr>
          </w:p>
        </w:tc>
        <w:tc>
          <w:tcPr>
            <w:tcW w:w="2040" w:type="dxa"/>
            <w:vAlign w:val="bottom"/>
            <w:tcBorders>
              <w:bottom w:val="single" w:sz="8" w:color="0070C0"/>
            </w:tcBorders>
          </w:tcPr>
          <w:p>
            <w:pPr>
              <w:jc w:val="right"/>
              <w:ind w:right="450"/>
              <w:spacing w:after="0"/>
              <w:rPr>
                <w:sz w:val="20"/>
                <w:szCs w:val="20"/>
                <w:color w:val="auto"/>
              </w:rPr>
            </w:pPr>
            <w:r>
              <w:rPr>
                <w:rFonts w:ascii="Arial" w:cs="Arial" w:eastAsia="Arial" w:hAnsi="Arial"/>
                <w:sz w:val="18"/>
                <w:szCs w:val="18"/>
                <w:b w:val="1"/>
                <w:bCs w:val="1"/>
                <w:color w:val="002060"/>
              </w:rPr>
              <w:t>Number</w:t>
            </w:r>
          </w:p>
        </w:tc>
        <w:tc>
          <w:tcPr>
            <w:tcW w:w="1320" w:type="dxa"/>
            <w:vAlign w:val="bottom"/>
            <w:tcBorders>
              <w:bottom w:val="single" w:sz="8" w:color="0070C0"/>
            </w:tcBorders>
          </w:tcPr>
          <w:p>
            <w:pPr>
              <w:jc w:val="right"/>
              <w:ind w:right="110"/>
              <w:spacing w:after="0"/>
              <w:rPr>
                <w:sz w:val="20"/>
                <w:szCs w:val="20"/>
                <w:color w:val="auto"/>
              </w:rPr>
            </w:pPr>
            <w:r>
              <w:rPr>
                <w:rFonts w:ascii="Arial" w:cs="Arial" w:eastAsia="Arial" w:hAnsi="Arial"/>
                <w:sz w:val="18"/>
                <w:szCs w:val="18"/>
                <w:b w:val="1"/>
                <w:bCs w:val="1"/>
                <w:color w:val="002060"/>
              </w:rPr>
              <w:t>Percent</w:t>
            </w:r>
          </w:p>
        </w:tc>
        <w:tc>
          <w:tcPr>
            <w:tcW w:w="0" w:type="dxa"/>
            <w:vAlign w:val="bottom"/>
          </w:tcPr>
          <w:p>
            <w:pPr>
              <w:spacing w:after="0"/>
              <w:rPr>
                <w:sz w:val="1"/>
                <w:szCs w:val="1"/>
                <w:color w:val="auto"/>
              </w:rPr>
            </w:pPr>
          </w:p>
        </w:tc>
      </w:tr>
      <w:tr>
        <w:trPr>
          <w:trHeight w:val="243"/>
        </w:trPr>
        <w:tc>
          <w:tcPr>
            <w:tcW w:w="7660" w:type="dxa"/>
            <w:vAlign w:val="bottom"/>
            <w:shd w:val="clear" w:color="auto" w:fill="E5F0F8"/>
          </w:tcPr>
          <w:p>
            <w:pPr>
              <w:spacing w:after="0"/>
              <w:rPr>
                <w:sz w:val="20"/>
                <w:szCs w:val="20"/>
                <w:color w:val="auto"/>
              </w:rPr>
            </w:pPr>
            <w:r>
              <w:rPr>
                <w:rFonts w:ascii="Arial" w:cs="Arial" w:eastAsia="Arial" w:hAnsi="Arial"/>
                <w:sz w:val="18"/>
                <w:szCs w:val="18"/>
                <w:b w:val="1"/>
                <w:bCs w:val="1"/>
                <w:color w:val="002060"/>
              </w:rPr>
              <w:t> 5% Stockholders:</w:t>
            </w:r>
          </w:p>
        </w:tc>
        <w:tc>
          <w:tcPr>
            <w:tcW w:w="2040" w:type="dxa"/>
            <w:vAlign w:val="bottom"/>
            <w:shd w:val="clear" w:color="auto" w:fill="E5F0F8"/>
          </w:tcPr>
          <w:p>
            <w:pPr>
              <w:spacing w:after="0"/>
              <w:rPr>
                <w:sz w:val="21"/>
                <w:szCs w:val="21"/>
                <w:color w:val="auto"/>
              </w:rPr>
            </w:pPr>
          </w:p>
        </w:tc>
        <w:tc>
          <w:tcPr>
            <w:tcW w:w="1320" w:type="dxa"/>
            <w:vAlign w:val="bottom"/>
            <w:shd w:val="clear" w:color="auto" w:fill="E5F0F8"/>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BlackRock, Inc.(1)</w:t>
            </w:r>
          </w:p>
        </w:tc>
        <w:tc>
          <w:tcPr>
            <w:tcW w:w="2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4,106,184</w:t>
            </w:r>
          </w:p>
        </w:tc>
        <w:tc>
          <w:tcPr>
            <w:tcW w:w="132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96"/>
              </w:rPr>
              <w:t>14.4</w:t>
            </w:r>
          </w:p>
        </w:tc>
        <w:tc>
          <w:tcPr>
            <w:tcW w:w="0" w:type="dxa"/>
            <w:vAlign w:val="bottom"/>
          </w:tcPr>
          <w:p>
            <w:pPr>
              <w:spacing w:after="0"/>
              <w:rPr>
                <w:sz w:val="1"/>
                <w:szCs w:val="1"/>
                <w:color w:val="auto"/>
              </w:rPr>
            </w:pPr>
          </w:p>
        </w:tc>
      </w:tr>
      <w:tr>
        <w:trPr>
          <w:trHeight w:val="237"/>
        </w:trPr>
        <w:tc>
          <w:tcPr>
            <w:tcW w:w="7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PJAM IBP Holdings, Inc.(2)</w:t>
            </w:r>
          </w:p>
        </w:tc>
        <w:tc>
          <w:tcPr>
            <w:tcW w:w="2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2,677,819</w:t>
            </w: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7"/>
        </w:trPr>
        <w:tc>
          <w:tcPr>
            <w:tcW w:w="7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The Vanguard Group, Inc.(3)</w:t>
            </w:r>
          </w:p>
        </w:tc>
        <w:tc>
          <w:tcPr>
            <w:tcW w:w="2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2,622,555</w:t>
            </w: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6"/>
        </w:trPr>
        <w:tc>
          <w:tcPr>
            <w:tcW w:w="7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Installed Building Systems, Inc.(2)</w:t>
            </w:r>
          </w:p>
        </w:tc>
        <w:tc>
          <w:tcPr>
            <w:tcW w:w="2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1,416,194</w:t>
            </w: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7660" w:type="dxa"/>
            <w:vAlign w:val="bottom"/>
            <w:shd w:val="clear" w:color="auto" w:fill="E5F0F8"/>
          </w:tcPr>
          <w:p>
            <w:pPr>
              <w:spacing w:after="0"/>
              <w:rPr>
                <w:sz w:val="20"/>
                <w:szCs w:val="20"/>
                <w:color w:val="auto"/>
              </w:rPr>
            </w:pPr>
            <w:r>
              <w:rPr>
                <w:rFonts w:ascii="Arial" w:cs="Arial" w:eastAsia="Arial" w:hAnsi="Arial"/>
                <w:sz w:val="18"/>
                <w:szCs w:val="18"/>
                <w:b w:val="1"/>
                <w:bCs w:val="1"/>
                <w:color w:val="002060"/>
              </w:rPr>
              <w:t> Directors and Named Executive Officers:</w:t>
            </w:r>
          </w:p>
        </w:tc>
        <w:tc>
          <w:tcPr>
            <w:tcW w:w="2040" w:type="dxa"/>
            <w:vAlign w:val="bottom"/>
            <w:shd w:val="clear" w:color="auto" w:fill="E5F0F8"/>
          </w:tcPr>
          <w:p>
            <w:pPr>
              <w:spacing w:after="0"/>
              <w:rPr>
                <w:sz w:val="20"/>
                <w:szCs w:val="20"/>
                <w:color w:val="auto"/>
              </w:rPr>
            </w:pPr>
          </w:p>
        </w:tc>
        <w:tc>
          <w:tcPr>
            <w:tcW w:w="1320" w:type="dxa"/>
            <w:vAlign w:val="bottom"/>
            <w:shd w:val="clear" w:color="auto" w:fill="E5F0F8"/>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Margot L. Carter(4)</w:t>
            </w:r>
          </w:p>
        </w:tc>
        <w:tc>
          <w:tcPr>
            <w:tcW w:w="2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8,040</w:t>
            </w:r>
          </w:p>
        </w:tc>
        <w:tc>
          <w:tcPr>
            <w:tcW w:w="132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37"/>
        </w:trPr>
        <w:tc>
          <w:tcPr>
            <w:tcW w:w="7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Jeffrey W. Edwards(2)(5)</w:t>
            </w:r>
          </w:p>
        </w:tc>
        <w:tc>
          <w:tcPr>
            <w:tcW w:w="2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4,470,562</w:t>
            </w:r>
          </w:p>
        </w:tc>
        <w:tc>
          <w:tcPr>
            <w:tcW w:w="132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96"/>
              </w:rPr>
              <w:t>15.7</w:t>
            </w:r>
          </w:p>
        </w:tc>
        <w:tc>
          <w:tcPr>
            <w:tcW w:w="0" w:type="dxa"/>
            <w:vAlign w:val="bottom"/>
          </w:tcPr>
          <w:p>
            <w:pPr>
              <w:spacing w:after="0"/>
              <w:rPr>
                <w:sz w:val="1"/>
                <w:szCs w:val="1"/>
                <w:color w:val="auto"/>
              </w:rPr>
            </w:pPr>
          </w:p>
        </w:tc>
      </w:tr>
      <w:tr>
        <w:trPr>
          <w:trHeight w:val="237"/>
        </w:trPr>
        <w:tc>
          <w:tcPr>
            <w:tcW w:w="7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Jay P. Elliott(6)</w:t>
            </w:r>
          </w:p>
        </w:tc>
        <w:tc>
          <w:tcPr>
            <w:tcW w:w="2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31,995</w:t>
            </w:r>
          </w:p>
        </w:tc>
        <w:tc>
          <w:tcPr>
            <w:tcW w:w="132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36"/>
        </w:trPr>
        <w:tc>
          <w:tcPr>
            <w:tcW w:w="7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 Jeffrey Hire(7)</w:t>
            </w:r>
          </w:p>
        </w:tc>
        <w:tc>
          <w:tcPr>
            <w:tcW w:w="2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44,785</w:t>
            </w:r>
          </w:p>
        </w:tc>
        <w:tc>
          <w:tcPr>
            <w:tcW w:w="132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37"/>
        </w:trPr>
        <w:tc>
          <w:tcPr>
            <w:tcW w:w="7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Lawrence A. Hilsheimer(4)</w:t>
            </w:r>
          </w:p>
        </w:tc>
        <w:tc>
          <w:tcPr>
            <w:tcW w:w="2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26,550</w:t>
            </w:r>
          </w:p>
        </w:tc>
        <w:tc>
          <w:tcPr>
            <w:tcW w:w="132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36"/>
        </w:trPr>
        <w:tc>
          <w:tcPr>
            <w:tcW w:w="7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Janet E. Jackson(4)</w:t>
            </w:r>
          </w:p>
        </w:tc>
        <w:tc>
          <w:tcPr>
            <w:tcW w:w="2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9,168</w:t>
            </w:r>
          </w:p>
        </w:tc>
        <w:tc>
          <w:tcPr>
            <w:tcW w:w="132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37"/>
        </w:trPr>
        <w:tc>
          <w:tcPr>
            <w:tcW w:w="7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David R. Meuse(4)</w:t>
            </w:r>
          </w:p>
        </w:tc>
        <w:tc>
          <w:tcPr>
            <w:tcW w:w="2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4,374</w:t>
            </w:r>
          </w:p>
        </w:tc>
        <w:tc>
          <w:tcPr>
            <w:tcW w:w="132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36"/>
        </w:trPr>
        <w:tc>
          <w:tcPr>
            <w:tcW w:w="7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Michael T. Miller(8)</w:t>
            </w:r>
          </w:p>
        </w:tc>
        <w:tc>
          <w:tcPr>
            <w:tcW w:w="2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58,913</w:t>
            </w:r>
          </w:p>
        </w:tc>
        <w:tc>
          <w:tcPr>
            <w:tcW w:w="132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37"/>
        </w:trPr>
        <w:tc>
          <w:tcPr>
            <w:tcW w:w="7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Marchelle E. Moore(4)</w:t>
            </w:r>
          </w:p>
        </w:tc>
        <w:tc>
          <w:tcPr>
            <w:tcW w:w="2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934</w:t>
            </w:r>
          </w:p>
        </w:tc>
        <w:tc>
          <w:tcPr>
            <w:tcW w:w="132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36"/>
        </w:trPr>
        <w:tc>
          <w:tcPr>
            <w:tcW w:w="7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Jason R. Niswonger(9)</w:t>
            </w:r>
          </w:p>
        </w:tc>
        <w:tc>
          <w:tcPr>
            <w:tcW w:w="2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20,118</w:t>
            </w:r>
          </w:p>
        </w:tc>
        <w:tc>
          <w:tcPr>
            <w:tcW w:w="132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37"/>
        </w:trPr>
        <w:tc>
          <w:tcPr>
            <w:tcW w:w="7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Robert H. Schottenstein(4)</w:t>
            </w:r>
          </w:p>
        </w:tc>
        <w:tc>
          <w:tcPr>
            <w:tcW w:w="2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1,904</w:t>
            </w:r>
          </w:p>
        </w:tc>
        <w:tc>
          <w:tcPr>
            <w:tcW w:w="132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37"/>
        </w:trPr>
        <w:tc>
          <w:tcPr>
            <w:tcW w:w="7660" w:type="dxa"/>
            <w:vAlign w:val="bottom"/>
          </w:tcPr>
          <w:p>
            <w:pPr>
              <w:ind w:left="540"/>
              <w:spacing w:after="0"/>
              <w:rPr>
                <w:sz w:val="20"/>
                <w:szCs w:val="20"/>
                <w:color w:val="auto"/>
              </w:rPr>
            </w:pPr>
            <w:r>
              <w:rPr>
                <w:rFonts w:ascii="Arial" w:cs="Arial" w:eastAsia="Arial" w:hAnsi="Arial"/>
                <w:sz w:val="18"/>
                <w:szCs w:val="18"/>
                <w:color w:val="auto"/>
              </w:rPr>
              <w:t>Michael H. Thomas(4)</w:t>
            </w:r>
          </w:p>
        </w:tc>
        <w:tc>
          <w:tcPr>
            <w:tcW w:w="2040" w:type="dxa"/>
            <w:vAlign w:val="bottom"/>
          </w:tcPr>
          <w:p>
            <w:pPr>
              <w:jc w:val="right"/>
              <w:ind w:right="370"/>
              <w:spacing w:after="0"/>
              <w:rPr>
                <w:sz w:val="20"/>
                <w:szCs w:val="20"/>
                <w:color w:val="auto"/>
              </w:rPr>
            </w:pPr>
            <w:r>
              <w:rPr>
                <w:rFonts w:ascii="Arial" w:cs="Arial" w:eastAsia="Arial" w:hAnsi="Arial"/>
                <w:sz w:val="18"/>
                <w:szCs w:val="18"/>
                <w:color w:val="auto"/>
              </w:rPr>
              <w:t>9,001</w:t>
            </w:r>
          </w:p>
        </w:tc>
        <w:tc>
          <w:tcPr>
            <w:tcW w:w="1320" w:type="dxa"/>
            <w:vAlign w:val="bottom"/>
          </w:tcPr>
          <w:p>
            <w:pPr>
              <w:jc w:val="center"/>
              <w:ind w:left="2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63"/>
        </w:trPr>
        <w:tc>
          <w:tcPr>
            <w:tcW w:w="7660" w:type="dxa"/>
            <w:vAlign w:val="bottom"/>
            <w:tcBorders>
              <w:bottom w:val="single" w:sz="8" w:color="0070C0"/>
            </w:tcBorders>
            <w:shd w:val="clear" w:color="auto" w:fill="E5F0F8"/>
          </w:tcPr>
          <w:p>
            <w:pPr>
              <w:spacing w:after="0"/>
              <w:rPr>
                <w:sz w:val="20"/>
                <w:szCs w:val="20"/>
                <w:color w:val="auto"/>
              </w:rPr>
            </w:pPr>
            <w:r>
              <w:rPr>
                <w:rFonts w:ascii="Arial" w:cs="Arial" w:eastAsia="Arial" w:hAnsi="Arial"/>
                <w:sz w:val="18"/>
                <w:szCs w:val="18"/>
                <w:b w:val="1"/>
                <w:bCs w:val="1"/>
                <w:color w:val="002060"/>
              </w:rPr>
              <w:t> Directors and Executive Officers as a Group (14 persons)</w:t>
            </w:r>
          </w:p>
        </w:tc>
        <w:tc>
          <w:tcPr>
            <w:tcW w:w="2040" w:type="dxa"/>
            <w:vAlign w:val="bottom"/>
            <w:tcBorders>
              <w:bottom w:val="single" w:sz="8" w:color="0070C0"/>
            </w:tcBorders>
            <w:shd w:val="clear" w:color="auto" w:fill="E5F0F8"/>
          </w:tcPr>
          <w:p>
            <w:pPr>
              <w:jc w:val="right"/>
              <w:ind w:right="370"/>
              <w:spacing w:after="0"/>
              <w:rPr>
                <w:sz w:val="20"/>
                <w:szCs w:val="20"/>
                <w:color w:val="auto"/>
              </w:rPr>
            </w:pPr>
            <w:r>
              <w:rPr>
                <w:rFonts w:ascii="Arial" w:cs="Arial" w:eastAsia="Arial" w:hAnsi="Arial"/>
                <w:sz w:val="18"/>
                <w:szCs w:val="18"/>
                <w:color w:val="auto"/>
              </w:rPr>
              <w:t>4,700,199</w:t>
            </w:r>
          </w:p>
        </w:tc>
        <w:tc>
          <w:tcPr>
            <w:tcW w:w="1320" w:type="dxa"/>
            <w:vAlign w:val="bottom"/>
            <w:tcBorders>
              <w:bottom w:val="single" w:sz="8" w:color="0070C0"/>
            </w:tcBorders>
            <w:shd w:val="clear" w:color="auto" w:fill="E5F0F8"/>
          </w:tcPr>
          <w:p>
            <w:pPr>
              <w:jc w:val="center"/>
              <w:ind w:left="210"/>
              <w:spacing w:after="0"/>
              <w:rPr>
                <w:sz w:val="20"/>
                <w:szCs w:val="20"/>
                <w:color w:val="auto"/>
              </w:rPr>
            </w:pPr>
            <w:r>
              <w:rPr>
                <w:rFonts w:ascii="Arial" w:cs="Arial" w:eastAsia="Arial" w:hAnsi="Arial"/>
                <w:sz w:val="18"/>
                <w:szCs w:val="18"/>
                <w:color w:val="auto"/>
                <w:w w:val="96"/>
              </w:rPr>
              <w:t>16.5</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699516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0"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ind w:left="4340"/>
        <w:spacing w:after="0"/>
        <w:rPr>
          <w:sz w:val="20"/>
          <w:szCs w:val="20"/>
          <w:color w:val="auto"/>
        </w:rPr>
      </w:pPr>
      <w:r>
        <w:rPr>
          <w:rFonts w:ascii="Arial" w:cs="Arial" w:eastAsia="Arial" w:hAnsi="Arial"/>
          <w:sz w:val="18"/>
          <w:szCs w:val="18"/>
          <w:color w:val="0070C0"/>
        </w:rPr>
        <w:t>Stock Ownerhsip Information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73</w:t>
      </w:r>
    </w:p>
    <w:p>
      <w:pPr>
        <w:sectPr>
          <w:pgSz w:w="11900" w:h="16838" w:orient="portrait"/>
          <w:cols w:equalWidth="0" w:num="1">
            <w:col w:w="11020"/>
          </w:cols>
          <w:pgMar w:left="440" w:top="261" w:right="439" w:bottom="1440" w:gutter="0" w:footer="0" w:header="0"/>
        </w:sectPr>
      </w:pPr>
    </w:p>
    <w:bookmarkStart w:id="81" w:name="page82"/>
    <w:bookmarkEnd w:id="81"/>
    <w:p>
      <w:pPr>
        <w:ind w:left="424" w:right="60" w:hanging="424"/>
        <w:spacing w:after="0" w:line="247" w:lineRule="auto"/>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Information reported is based on a Schedule 13G/A, as filed with the SEC on January 23, 2024, reporting beneficial ownership as of December 31, 2023, in which BlackRock, Inc. reported sole voting power over 4,025,875 shares of our common stock and sole dispositive power over 4,106,184 shares of our common stock. The address for BlackRock, Inc. is 50 Hudson Yards, New York, NY 10001.</w:t>
      </w:r>
    </w:p>
    <w:p>
      <w:pPr>
        <w:spacing w:after="0" w:line="79" w:lineRule="exact"/>
        <w:rPr>
          <w:rFonts w:ascii="Arial" w:cs="Arial" w:eastAsia="Arial" w:hAnsi="Arial"/>
          <w:sz w:val="18"/>
          <w:szCs w:val="18"/>
          <w:color w:val="auto"/>
        </w:rPr>
      </w:pPr>
    </w:p>
    <w:p>
      <w:pPr>
        <w:ind w:left="424" w:right="80" w:hanging="424"/>
        <w:spacing w:after="0" w:line="239" w:lineRule="auto"/>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Information reported is based on a Schedule 13G/A as filed with the SEC on January 31, 2024, reporting beneficial ownership as of December 31, 2023, as updated by Form 4 as filed with the SEC on March 7, 2024, in which PJAM IBP Holdings, Inc. (“PJAM”) and IBP Holding Company, the sole shareholder of PJAM, reported shared voting and dispositive power over 2,677,819 shares of our common stock, Installed Building Systems, Inc. (“IBS”) reported shared voting and dispositive power over 1,416,194 shares of our common stock and Jeffrey W. Edwards reported (i) sole voting and dispositive power over 203,141 shares of our common stock, (ii) shared voting and dispositive power over 4,094,013 shares of our common stock directly held by PJAM and IBS, and (iii) shared voting and dispositive power over 173,408 shares of our common stock held by Tremont FT, Inc. as trustee. Mr. Edwards disclaims any beneficial ownership of shares in which he does not have a pecuniary interest. The address for PJAM, IBP Holding Company, IBS and Jeffrey W. Edwards is 495 South High Street, Suite 150, Columbus, OH 43215.</w:t>
      </w:r>
    </w:p>
    <w:p>
      <w:pPr>
        <w:spacing w:after="0" w:line="75" w:lineRule="exact"/>
        <w:rPr>
          <w:sz w:val="20"/>
          <w:szCs w:val="20"/>
          <w:color w:val="auto"/>
        </w:rPr>
      </w:pPr>
    </w:p>
    <w:p>
      <w:pPr>
        <w:ind w:left="444" w:right="20"/>
        <w:spacing w:after="0" w:line="259" w:lineRule="auto"/>
        <w:rPr>
          <w:sz w:val="20"/>
          <w:szCs w:val="20"/>
          <w:color w:val="auto"/>
        </w:rPr>
      </w:pPr>
      <w:r>
        <w:rPr>
          <w:rFonts w:ascii="Arial" w:cs="Arial" w:eastAsia="Arial" w:hAnsi="Arial"/>
          <w:sz w:val="17"/>
          <w:szCs w:val="17"/>
          <w:color w:val="auto"/>
        </w:rPr>
        <w:t>The Board has made two exceptions to our Insider Trading Policy for Mr. Edwards in connection with certain financing arrangements made by a family-owned investment vehicle. In each of September and November 2023, IBS, an investment vehicle owned by</w:t>
      </w:r>
    </w:p>
    <w:p>
      <w:pPr>
        <w:spacing w:after="0" w:line="1" w:lineRule="exact"/>
        <w:rPr>
          <w:sz w:val="20"/>
          <w:szCs w:val="20"/>
          <w:color w:val="auto"/>
        </w:rPr>
      </w:pPr>
    </w:p>
    <w:p>
      <w:pPr>
        <w:jc w:val="both"/>
        <w:ind w:left="444"/>
        <w:spacing w:after="0" w:line="238" w:lineRule="auto"/>
        <w:rPr>
          <w:sz w:val="20"/>
          <w:szCs w:val="20"/>
          <w:color w:val="auto"/>
        </w:rPr>
      </w:pPr>
      <w:r>
        <w:rPr>
          <w:rFonts w:ascii="Arial" w:cs="Arial" w:eastAsia="Arial" w:hAnsi="Arial"/>
          <w:sz w:val="18"/>
          <w:szCs w:val="18"/>
          <w:color w:val="auto"/>
        </w:rPr>
        <w:t>Mr. Edwards and his siblings, entered into prepaid variable forward sale contracts with an unaffiliated third party buyer. In each of the September and November transactions, IBS pledged 450,000 shares, or 900,000 shares in the aggregate (collectively, the “Pledged Shares”) of our common stock to secure its obligations under the contracts, but retained ownership, dividend and voting rights in the Pledged Shares. The contracts obligate IBS to deliver to the buyer, on the applicable settlement date for each of the 12 components in the September transaction and each of the 15 components in the November transaction, up to one hundred percent of the number of Pledged Shares for such component or, at IBS’ option, an equivalent amount of cash.</w:t>
      </w:r>
    </w:p>
    <w:p>
      <w:pPr>
        <w:spacing w:after="0" w:line="73" w:lineRule="exact"/>
        <w:rPr>
          <w:sz w:val="20"/>
          <w:szCs w:val="20"/>
          <w:color w:val="auto"/>
        </w:rPr>
      </w:pPr>
    </w:p>
    <w:p>
      <w:pPr>
        <w:ind w:left="444" w:right="20"/>
        <w:spacing w:after="0" w:line="237" w:lineRule="auto"/>
        <w:rPr>
          <w:sz w:val="20"/>
          <w:szCs w:val="20"/>
          <w:color w:val="auto"/>
        </w:rPr>
      </w:pPr>
      <w:r>
        <w:rPr>
          <w:rFonts w:ascii="Arial" w:cs="Arial" w:eastAsia="Arial" w:hAnsi="Arial"/>
          <w:sz w:val="18"/>
          <w:szCs w:val="18"/>
          <w:color w:val="auto"/>
        </w:rPr>
        <w:t>For the September transaction, the number of shares of our common stock to be delivered to the buyer on the settlement date (or on which to base the amount of cash to be delivered to the buyer on the settlement date) is determined as follows: (a) if the closing price of our common stock on the designated valuation date for the applicable component (each, a “September Settlement Price”) is less than or equal to $120.9623 (the “September Floor Price”), IBS will deliver to the buyer all of the Pledged Shares for the applicable component; (b) if such September Settlement Price is greater than the September Floor Price but less than or equal to $152.7944 (the “September Cap Price”), IBS will deliver to the buyer the number of shares equal to one hundred percent of the Pledged Shares for the applicable component multiplied by a fraction, the numerator of which is the September Floor Price and the denominator of which is such September Settlement Price and (c) if such September Settlement Price is greater than the September Cap Price, IBS will deliver to the buyer the number of shares equal to one hundred percent of Pledged Shares for the applicable component multiplied by a fraction, the numerator of which is the September Floor Price plus the excess of such September Settlement Price over the September Cap Price, and the denominator of which is such September Settlement Price. In connection with the entry into the forward contracts, IBS was entitled to receive aggregate net cash payments (amounts receivable by it upon entry into the forward contract) of $46,869,694. Such amount was determined based on the market value of our common stock on September 13, 2023. Each component is exercisable on the same date as it expires, and the expiration dates for the components, occur from August 14, 2025 to August 22, 2025 under one contract and from March 9, 2026 to March 13, 2026 under the other contract.</w:t>
      </w:r>
    </w:p>
    <w:p>
      <w:pPr>
        <w:spacing w:after="0" w:line="78" w:lineRule="exact"/>
        <w:rPr>
          <w:sz w:val="20"/>
          <w:szCs w:val="20"/>
          <w:color w:val="auto"/>
        </w:rPr>
      </w:pPr>
    </w:p>
    <w:p>
      <w:pPr>
        <w:ind w:left="444"/>
        <w:spacing w:after="0" w:line="238" w:lineRule="auto"/>
        <w:rPr>
          <w:sz w:val="20"/>
          <w:szCs w:val="20"/>
          <w:color w:val="auto"/>
        </w:rPr>
      </w:pPr>
      <w:r>
        <w:rPr>
          <w:rFonts w:ascii="Arial" w:cs="Arial" w:eastAsia="Arial" w:hAnsi="Arial"/>
          <w:sz w:val="18"/>
          <w:szCs w:val="18"/>
          <w:color w:val="auto"/>
        </w:rPr>
        <w:t>For the November transaction, the number of shares of our common stock to be delivered to the buyer on the settlement date (or on which to base the amount of cash to be delivered to the buyer on the settlement date) is determined as follows: (a) if the volume-weighted average price of our common stock on the designated valuation date for the applicable component (each, a “November Settlement Price”) is less than or equal to $ 131.9962 (the “ November Floor Price”), IBS will deliver to the buyer all of the Pledged Shares for the applicable component; (b) if such November Settlement Price is greater than the November Floor Price but less than or equal to $166.7321 (the “ November Cap Price”), IBS will deliver to the buyer the number of shares equal to one hundred percent of the Pledged Shares for the applicable component multiplied by a fraction, the numerator of which is the November Floor Price and the denominator of which is such November Settlement Price and (c) if such November Settlement Price is greater than the November Cap Price, IBS will deliver to the buyer the number of shares equal to one hundred percent of Pledged Shares for the applicable component multiplied by a fraction, the numerator of which is the November Floor Price plus the excess of such November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699516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4" w:lineRule="exact"/>
        <w:rPr>
          <w:sz w:val="20"/>
          <w:szCs w:val="20"/>
          <w:color w:val="auto"/>
        </w:rPr>
      </w:pPr>
    </w:p>
    <w:p>
      <w:pPr>
        <w:ind w:left="4404"/>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ind w:left="4344"/>
        <w:spacing w:after="0"/>
        <w:rPr>
          <w:sz w:val="20"/>
          <w:szCs w:val="20"/>
          <w:color w:val="auto"/>
        </w:rPr>
      </w:pPr>
      <w:r>
        <w:rPr>
          <w:rFonts w:ascii="Arial" w:cs="Arial" w:eastAsia="Arial" w:hAnsi="Arial"/>
          <w:sz w:val="18"/>
          <w:szCs w:val="18"/>
          <w:color w:val="0070C0"/>
        </w:rPr>
        <w:t>Stock Ownerhsip Information</w:t>
      </w:r>
    </w:p>
    <w:p>
      <w:pPr>
        <w:spacing w:after="0" w:line="5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0070C0"/>
        </w:rPr>
        <w:t>74</w:t>
      </w:r>
    </w:p>
    <w:p>
      <w:pPr>
        <w:sectPr>
          <w:pgSz w:w="11900" w:h="16838" w:orient="portrait"/>
          <w:cols w:equalWidth="0" w:num="1">
            <w:col w:w="10984"/>
          </w:cols>
          <w:pgMar w:left="436" w:top="296" w:right="479" w:bottom="1440" w:gutter="0" w:footer="0" w:header="0"/>
        </w:sectPr>
      </w:pPr>
    </w:p>
    <w:bookmarkStart w:id="82" w:name="page83"/>
    <w:bookmarkEnd w:id="82"/>
    <w:p>
      <w:pPr>
        <w:ind w:left="444" w:right="120"/>
        <w:spacing w:after="0" w:line="24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Price over the November Cap Price, and the denominator of which is such November Settlement Price. In connection with the entry into the forward contracts, IBS is entitled to receive aggregate net cash payments (amounts receivable by it upon entry into the forward contract) of $48,769,133. Such amount was determined based on the market value of our common stock on November 20, 2023. Each component is exercisable on the same date as it expires, and the expiration dates for the components occur from November 16, 2026 to November 23, 2026 under one contract and from May 24, 2027 to June 4, 2027 under the other.</w:t>
      </w:r>
    </w:p>
    <w:p>
      <w:pPr>
        <w:spacing w:after="0" w:line="82" w:lineRule="exact"/>
        <w:rPr>
          <w:sz w:val="20"/>
          <w:szCs w:val="20"/>
          <w:color w:val="auto"/>
        </w:rPr>
      </w:pPr>
    </w:p>
    <w:p>
      <w:pPr>
        <w:ind w:left="424" w:right="60" w:hanging="424"/>
        <w:spacing w:after="0" w:line="247" w:lineRule="auto"/>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Information reported is based on a Schedule 13G/A as filed with the SEC on February 13, 2024, reporting beneficial ownership as of December 29, 2023, in which The Vanguard Group reported shared voting power over 43,733 shares of our common stock, sole dispositive power over 2,553,720 shares of our common stock and shared dispositive power over 68,835 shares of our common stock. The address for The Vanguard Group is 100 Vanguard Blvd., Malvern, PA 19355.</w:t>
      </w:r>
    </w:p>
    <w:p>
      <w:pPr>
        <w:spacing w:after="0" w:line="79" w:lineRule="exact"/>
        <w:rPr>
          <w:rFonts w:ascii="Arial" w:cs="Arial" w:eastAsia="Arial" w:hAnsi="Arial"/>
          <w:sz w:val="18"/>
          <w:szCs w:val="18"/>
          <w:color w:val="auto"/>
        </w:rPr>
      </w:pPr>
    </w:p>
    <w:p>
      <w:pPr>
        <w:ind w:left="424" w:hanging="424"/>
        <w:spacing w:after="0"/>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934 shares of restricted stock that vest on May 23, 2024.</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10,959 shares of restricted stock that vest on April 20, 2024, 32,802 shares of restricted stock that vest in equal installments (rounded to the nearest whole share) on each of April 20, 2024 and 2025, and 34,963 shares of restricted stock that vest in equal installments (rounded to the nearest whole share) on each of April 20, 2025 and 2026, generally subject to Mr. Edwards’ continued employment on the applicable vesting date. These shares of restricted stock are included in the 168,178 shares reflected in note</w:t>
      </w:r>
    </w:p>
    <w:p>
      <w:pPr>
        <w:ind w:left="424"/>
        <w:spacing w:after="0"/>
        <w:rPr>
          <w:rFonts w:ascii="Arial" w:cs="Arial" w:eastAsia="Arial" w:hAnsi="Arial"/>
          <w:sz w:val="18"/>
          <w:szCs w:val="18"/>
          <w:color w:val="auto"/>
        </w:rPr>
      </w:pPr>
      <w:r>
        <w:rPr>
          <w:rFonts w:ascii="Arial" w:cs="Arial" w:eastAsia="Arial" w:hAnsi="Arial"/>
          <w:sz w:val="18"/>
          <w:szCs w:val="18"/>
          <w:color w:val="auto"/>
        </w:rPr>
        <w:t>(2) with respect to which Mr. Edwards has sole voting and dispositive power.</w:t>
      </w:r>
    </w:p>
    <w:p>
      <w:pPr>
        <w:spacing w:after="0" w:line="99" w:lineRule="exact"/>
        <w:rPr>
          <w:rFonts w:ascii="Arial" w:cs="Arial" w:eastAsia="Arial" w:hAnsi="Arial"/>
          <w:sz w:val="18"/>
          <w:szCs w:val="18"/>
          <w:color w:val="auto"/>
        </w:rPr>
      </w:pPr>
    </w:p>
    <w:p>
      <w:pPr>
        <w:ind w:left="424" w:right="100" w:hanging="424"/>
        <w:spacing w:after="0" w:line="247" w:lineRule="auto"/>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4,070 shares of restricted stock that vest on April 20, 2024, 10,933 shares of restricted stock that vest in equal installments (rounded to the nearest whole share) on each of April 20, 2024 and 2025, and 11,654 shares of restricted stock that vest in equal installments (rounded to the nearest whole share) on each of April 20, 2025 and 2026, generally subject to Mr. Elliott’s continued employment on the applicable vesting date.</w:t>
      </w:r>
    </w:p>
    <w:p>
      <w:pPr>
        <w:spacing w:after="0" w:line="79" w:lineRule="exact"/>
        <w:rPr>
          <w:rFonts w:ascii="Arial" w:cs="Arial" w:eastAsia="Arial" w:hAnsi="Arial"/>
          <w:sz w:val="18"/>
          <w:szCs w:val="18"/>
          <w:color w:val="auto"/>
        </w:rPr>
      </w:pPr>
    </w:p>
    <w:p>
      <w:pPr>
        <w:ind w:left="424" w:right="20" w:hanging="424"/>
        <w:spacing w:after="0" w:line="247" w:lineRule="auto"/>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587 shares of restricted stock that vest on April 20, 2024, 2,187 shares of restricted stock that vest in equal installments (rounded to the nearest whole share) on each of April 20, 2024 and 2025, 5,375 shares of restricted stock that vest on April 20, 2026 and 2,427 shares of restricted stock that vest in equal installments (rounded to the nearest whole share) on each of April 20, 2025 and 2026, generally subject to Mr. Hire’s continued employment on the applicable vesting date.</w:t>
      </w:r>
    </w:p>
    <w:p>
      <w:pPr>
        <w:spacing w:after="0" w:line="79" w:lineRule="exact"/>
        <w:rPr>
          <w:rFonts w:ascii="Arial" w:cs="Arial" w:eastAsia="Arial" w:hAnsi="Arial"/>
          <w:sz w:val="18"/>
          <w:szCs w:val="18"/>
          <w:color w:val="auto"/>
        </w:rPr>
      </w:pPr>
    </w:p>
    <w:p>
      <w:pPr>
        <w:ind w:left="424" w:right="100" w:hanging="424"/>
        <w:spacing w:after="0" w:line="244" w:lineRule="auto"/>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3,777 shares of restricted stock that vest on April 20, 2024, 10,551 shares of restricted stock that vest in equal installments (rounded to the nearest whole share) on each of April 20, 2024 and 2025, and 11,265 shares of restricted stock that vest in equal installments (rounded to the nearest whole share) on each of April 20, 2025 and 2026, generally subject to Mr. Miller’s continued employment on the applicable vesting date. Includes 43,320 shares of common stock held by a trust of which Mr. Miller is the sole trustee and sole beneficiary and exercises sole voting and investment power.</w:t>
      </w:r>
    </w:p>
    <w:p>
      <w:pPr>
        <w:spacing w:after="0" w:line="81" w:lineRule="exact"/>
        <w:rPr>
          <w:rFonts w:ascii="Arial" w:cs="Arial" w:eastAsia="Arial" w:hAnsi="Arial"/>
          <w:sz w:val="18"/>
          <w:szCs w:val="18"/>
          <w:color w:val="auto"/>
        </w:rPr>
      </w:pPr>
    </w:p>
    <w:p>
      <w:pPr>
        <w:ind w:left="424" w:right="360" w:hanging="424"/>
        <w:spacing w:after="0" w:line="247" w:lineRule="auto"/>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587 shares of restricted stock that vest on April 20, 2024, 3,060 shares of restricted stock that vest in equal installments (rounded to the nearest whole share) on each of April 20, 2024 and 2025 and 3,982 shares of restricted stock that vest in equal installments (rounded to the nearest whole share) on each of April 20, 2025 and 2026, generally subject to Mr. Niswonger’s continued employment on the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699516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2" w:lineRule="exact"/>
        <w:rPr>
          <w:sz w:val="20"/>
          <w:szCs w:val="20"/>
          <w:color w:val="auto"/>
        </w:rPr>
      </w:pPr>
    </w:p>
    <w:p>
      <w:pPr>
        <w:ind w:left="4404"/>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ind w:left="4344"/>
        <w:spacing w:after="0"/>
        <w:rPr>
          <w:sz w:val="20"/>
          <w:szCs w:val="20"/>
          <w:color w:val="auto"/>
        </w:rPr>
      </w:pPr>
      <w:r>
        <w:rPr>
          <w:rFonts w:ascii="Arial" w:cs="Arial" w:eastAsia="Arial" w:hAnsi="Arial"/>
          <w:sz w:val="18"/>
          <w:szCs w:val="18"/>
          <w:color w:val="0070C0"/>
        </w:rPr>
        <w:t>Stock Ownerhsip Information</w:t>
      </w:r>
    </w:p>
    <w:p>
      <w:pPr>
        <w:spacing w:after="0" w:line="5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0070C0"/>
        </w:rPr>
        <w:t>75</w:t>
      </w:r>
    </w:p>
    <w:p>
      <w:pPr>
        <w:sectPr>
          <w:pgSz w:w="11900" w:h="16838" w:orient="portrait"/>
          <w:cols w:equalWidth="0" w:num="1">
            <w:col w:w="11004"/>
          </w:cols>
          <w:pgMar w:left="436" w:top="296" w:right="459" w:bottom="1440" w:gutter="0" w:footer="0" w:header="0"/>
        </w:sectPr>
      </w:pPr>
    </w:p>
    <w:bookmarkStart w:id="83" w:name="page84"/>
    <w:bookmarkEnd w:id="83"/>
    <w:p>
      <w:pPr>
        <w:spacing w:after="0"/>
        <w:rPr>
          <w:sz w:val="20"/>
          <w:szCs w:val="20"/>
          <w:color w:val="auto"/>
        </w:rPr>
      </w:pPr>
      <w:r>
        <w:rPr>
          <w:rFonts w:ascii="Arial" w:cs="Arial" w:eastAsia="Arial" w:hAnsi="Arial"/>
          <w:sz w:val="22"/>
          <w:szCs w:val="22"/>
          <w:b w:val="1"/>
          <w:bCs w:val="1"/>
          <w:color w:val="00206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Securities Authorized for Issuance under Equity Compensation Plans</w:t>
      </w:r>
    </w:p>
    <w:p>
      <w:pPr>
        <w:spacing w:after="0" w:line="216"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The following table sets forth information regarding the shares of our common stock issuable under our 2023 Omnibus Incentive Plan as of December 31, 2023. The plan authorizes the grant of stock options, stock appreciation rights, stock equivalent units, restricted stock, restricted stock units, bonus awards, performance shares, performance units and other stock-based awards.</w:t>
      </w:r>
    </w:p>
    <w:p>
      <w:pPr>
        <w:spacing w:after="0" w:line="169" w:lineRule="exact"/>
        <w:rPr>
          <w:sz w:val="20"/>
          <w:szCs w:val="20"/>
          <w:color w:val="auto"/>
        </w:rPr>
      </w:pPr>
    </w:p>
    <w:p>
      <w:pPr>
        <w:ind w:right="420"/>
        <w:spacing w:after="0" w:line="247" w:lineRule="auto"/>
        <w:rPr>
          <w:sz w:val="20"/>
          <w:szCs w:val="20"/>
          <w:color w:val="auto"/>
        </w:rPr>
      </w:pPr>
      <w:r>
        <w:rPr>
          <w:rFonts w:ascii="Arial" w:cs="Arial" w:eastAsia="Arial" w:hAnsi="Arial"/>
          <w:sz w:val="18"/>
          <w:szCs w:val="18"/>
          <w:color w:val="auto"/>
        </w:rPr>
        <w:t>The aggregate number of shares of our common stock initially reserved for issuance under the 2023 Omnibus Incentive Plan was 2,098,116. As of December 31, 2023, there were 194,645 shares issuable under the 2023 Omnibus Incentive Plan pursuant to outstanding restricted stock awards granted under the plan, and 14,382 shares issuable pursuant to outstanding restricted stock units granted under the plan. No other equity-based awards have been issued under the 2023 Omnibus Incentive Plan.</w:t>
      </w:r>
    </w:p>
    <w:p>
      <w:pPr>
        <w:spacing w:after="0" w:line="17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line item in the table below relating to our 2014 Omnibus Incentive Plan are shares that are subject to outstanding awards. The shares subject to outstanding awards under the 2014 Omnibus Incentive Plan will become available for issuance under the 2023 Omnibus Incentive Plan if the underlying outstanding awards are forfeited.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20" w:type="dxa"/>
            <w:vAlign w:val="bottom"/>
          </w:tcPr>
          <w:p>
            <w:pPr>
              <w:spacing w:after="0"/>
              <w:rPr>
                <w:sz w:val="16"/>
                <w:szCs w:val="16"/>
                <w:color w:val="auto"/>
              </w:rPr>
            </w:pPr>
          </w:p>
        </w:tc>
        <w:tc>
          <w:tcPr>
            <w:tcW w:w="3000" w:type="dxa"/>
            <w:vAlign w:val="bottom"/>
          </w:tcPr>
          <w:p>
            <w:pPr>
              <w:jc w:val="center"/>
              <w:ind w:left="215"/>
              <w:spacing w:after="0"/>
              <w:rPr>
                <w:sz w:val="20"/>
                <w:szCs w:val="20"/>
                <w:color w:val="auto"/>
              </w:rPr>
            </w:pPr>
            <w:r>
              <w:rPr>
                <w:rFonts w:ascii="Arial" w:cs="Arial" w:eastAsia="Arial" w:hAnsi="Arial"/>
                <w:sz w:val="16"/>
                <w:szCs w:val="16"/>
                <w:b w:val="1"/>
                <w:bCs w:val="1"/>
                <w:color w:val="1F4E79"/>
              </w:rPr>
              <w:t>Number of Securities Remaining</w:t>
            </w:r>
          </w:p>
        </w:tc>
        <w:tc>
          <w:tcPr>
            <w:tcW w:w="200" w:type="dxa"/>
            <w:vAlign w:val="bottom"/>
          </w:tcPr>
          <w:p>
            <w:pPr>
              <w:spacing w:after="0"/>
              <w:rPr>
                <w:sz w:val="16"/>
                <w:szCs w:val="16"/>
                <w:color w:val="auto"/>
              </w:rPr>
            </w:pPr>
          </w:p>
        </w:tc>
      </w:tr>
      <w:tr>
        <w:trPr>
          <w:trHeight w:val="189"/>
        </w:trPr>
        <w:tc>
          <w:tcPr>
            <w:tcW w:w="7820" w:type="dxa"/>
            <w:vAlign w:val="bottom"/>
          </w:tcPr>
          <w:p>
            <w:pPr>
              <w:spacing w:after="0"/>
              <w:rPr>
                <w:sz w:val="16"/>
                <w:szCs w:val="16"/>
                <w:color w:val="auto"/>
              </w:rPr>
            </w:pPr>
          </w:p>
        </w:tc>
        <w:tc>
          <w:tcPr>
            <w:tcW w:w="3000" w:type="dxa"/>
            <w:vAlign w:val="bottom"/>
          </w:tcPr>
          <w:p>
            <w:pPr>
              <w:jc w:val="center"/>
              <w:ind w:left="215"/>
              <w:spacing w:after="0"/>
              <w:rPr>
                <w:sz w:val="20"/>
                <w:szCs w:val="20"/>
                <w:color w:val="auto"/>
              </w:rPr>
            </w:pPr>
            <w:r>
              <w:rPr>
                <w:rFonts w:ascii="Arial" w:cs="Arial" w:eastAsia="Arial" w:hAnsi="Arial"/>
                <w:sz w:val="16"/>
                <w:szCs w:val="16"/>
                <w:b w:val="1"/>
                <w:bCs w:val="1"/>
                <w:color w:val="1F4E79"/>
              </w:rPr>
              <w:t>Available for Future Issuance</w:t>
            </w:r>
          </w:p>
        </w:tc>
        <w:tc>
          <w:tcPr>
            <w:tcW w:w="200" w:type="dxa"/>
            <w:vAlign w:val="bottom"/>
          </w:tcPr>
          <w:p>
            <w:pPr>
              <w:spacing w:after="0"/>
              <w:rPr>
                <w:sz w:val="16"/>
                <w:szCs w:val="16"/>
                <w:color w:val="auto"/>
              </w:rPr>
            </w:pPr>
          </w:p>
        </w:tc>
      </w:tr>
      <w:tr>
        <w:trPr>
          <w:trHeight w:val="189"/>
        </w:trPr>
        <w:tc>
          <w:tcPr>
            <w:tcW w:w="7820" w:type="dxa"/>
            <w:vAlign w:val="bottom"/>
          </w:tcPr>
          <w:p>
            <w:pPr>
              <w:spacing w:after="0"/>
              <w:rPr>
                <w:sz w:val="16"/>
                <w:szCs w:val="16"/>
                <w:color w:val="auto"/>
              </w:rPr>
            </w:pPr>
          </w:p>
        </w:tc>
        <w:tc>
          <w:tcPr>
            <w:tcW w:w="3000" w:type="dxa"/>
            <w:vAlign w:val="bottom"/>
          </w:tcPr>
          <w:p>
            <w:pPr>
              <w:jc w:val="center"/>
              <w:ind w:left="235"/>
              <w:spacing w:after="0"/>
              <w:rPr>
                <w:sz w:val="20"/>
                <w:szCs w:val="20"/>
                <w:color w:val="auto"/>
              </w:rPr>
            </w:pPr>
            <w:r>
              <w:rPr>
                <w:rFonts w:ascii="Arial" w:cs="Arial" w:eastAsia="Arial" w:hAnsi="Arial"/>
                <w:sz w:val="16"/>
                <w:szCs w:val="16"/>
                <w:b w:val="1"/>
                <w:bCs w:val="1"/>
                <w:color w:val="1F4E79"/>
              </w:rPr>
              <w:t>under Equity Compensation Plans</w:t>
            </w:r>
          </w:p>
        </w:tc>
        <w:tc>
          <w:tcPr>
            <w:tcW w:w="200" w:type="dxa"/>
            <w:vAlign w:val="bottom"/>
          </w:tcPr>
          <w:p>
            <w:pPr>
              <w:spacing w:after="0"/>
              <w:rPr>
                <w:sz w:val="16"/>
                <w:szCs w:val="16"/>
                <w:color w:val="auto"/>
              </w:rPr>
            </w:pPr>
          </w:p>
        </w:tc>
      </w:tr>
      <w:tr>
        <w:trPr>
          <w:trHeight w:val="210"/>
        </w:trPr>
        <w:tc>
          <w:tcPr>
            <w:tcW w:w="7820" w:type="dxa"/>
            <w:vAlign w:val="bottom"/>
            <w:tcBorders>
              <w:bottom w:val="single" w:sz="8" w:color="0070C0"/>
            </w:tcBorders>
          </w:tcPr>
          <w:p>
            <w:pPr>
              <w:spacing w:after="0"/>
              <w:rPr>
                <w:sz w:val="18"/>
                <w:szCs w:val="18"/>
                <w:color w:val="auto"/>
              </w:rPr>
            </w:pPr>
          </w:p>
        </w:tc>
        <w:tc>
          <w:tcPr>
            <w:tcW w:w="3000" w:type="dxa"/>
            <w:vAlign w:val="bottom"/>
            <w:tcBorders>
              <w:bottom w:val="single" w:sz="8" w:color="0070C0"/>
            </w:tcBorders>
          </w:tcPr>
          <w:p>
            <w:pPr>
              <w:jc w:val="center"/>
              <w:ind w:left="235"/>
              <w:spacing w:after="0"/>
              <w:rPr>
                <w:sz w:val="20"/>
                <w:szCs w:val="20"/>
                <w:color w:val="auto"/>
              </w:rPr>
            </w:pPr>
            <w:r>
              <w:rPr>
                <w:rFonts w:ascii="Arial" w:cs="Arial" w:eastAsia="Arial" w:hAnsi="Arial"/>
                <w:sz w:val="16"/>
                <w:szCs w:val="16"/>
                <w:b w:val="1"/>
                <w:bCs w:val="1"/>
                <w:color w:val="1F4E79"/>
              </w:rPr>
              <w:t>(#)</w:t>
            </w:r>
          </w:p>
        </w:tc>
        <w:tc>
          <w:tcPr>
            <w:tcW w:w="200" w:type="dxa"/>
            <w:vAlign w:val="bottom"/>
            <w:tcBorders>
              <w:bottom w:val="single" w:sz="8" w:color="0070C0"/>
            </w:tcBorders>
          </w:tcPr>
          <w:p>
            <w:pPr>
              <w:spacing w:after="0"/>
              <w:rPr>
                <w:sz w:val="18"/>
                <w:szCs w:val="18"/>
                <w:color w:val="auto"/>
              </w:rPr>
            </w:pPr>
          </w:p>
        </w:tc>
      </w:tr>
      <w:tr>
        <w:trPr>
          <w:trHeight w:val="243"/>
        </w:trPr>
        <w:tc>
          <w:tcPr>
            <w:tcW w:w="7820" w:type="dxa"/>
            <w:vAlign w:val="bottom"/>
            <w:tcBorders>
              <w:bottom w:val="single" w:sz="8" w:color="auto"/>
            </w:tcBorders>
            <w:shd w:val="clear" w:color="auto" w:fill="D5DCE4"/>
          </w:tcPr>
          <w:p>
            <w:pPr>
              <w:spacing w:after="0"/>
              <w:rPr>
                <w:sz w:val="20"/>
                <w:szCs w:val="20"/>
                <w:color w:val="auto"/>
              </w:rPr>
            </w:pPr>
            <w:r>
              <w:rPr>
                <w:rFonts w:ascii="Arial" w:cs="Arial" w:eastAsia="Arial" w:hAnsi="Arial"/>
                <w:sz w:val="18"/>
                <w:szCs w:val="18"/>
                <w:color w:val="auto"/>
              </w:rPr>
              <w:t>   Equity compensation plans approved by security holders:</w:t>
            </w:r>
          </w:p>
        </w:tc>
        <w:tc>
          <w:tcPr>
            <w:tcW w:w="30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r>
      <w:tr>
        <w:trPr>
          <w:trHeight w:val="237"/>
        </w:trPr>
        <w:tc>
          <w:tcPr>
            <w:tcW w:w="7820" w:type="dxa"/>
            <w:vAlign w:val="bottom"/>
            <w:tcBorders>
              <w:bottom w:val="single" w:sz="8" w:color="auto"/>
            </w:tcBorders>
            <w:shd w:val="clear" w:color="auto" w:fill="D5DCE4"/>
          </w:tcPr>
          <w:p>
            <w:pPr>
              <w:ind w:left="720"/>
              <w:spacing w:after="0"/>
              <w:rPr>
                <w:sz w:val="20"/>
                <w:szCs w:val="20"/>
                <w:color w:val="auto"/>
              </w:rPr>
            </w:pPr>
            <w:r>
              <w:rPr>
                <w:rFonts w:ascii="Arial" w:cs="Arial" w:eastAsia="Arial" w:hAnsi="Arial"/>
                <w:sz w:val="18"/>
                <w:szCs w:val="18"/>
                <w:color w:val="auto"/>
              </w:rPr>
              <w:t>2014 Omnibus Incentive Plan</w:t>
            </w:r>
          </w:p>
        </w:tc>
        <w:tc>
          <w:tcPr>
            <w:tcW w:w="3200" w:type="dxa"/>
            <w:vAlign w:val="bottom"/>
            <w:tcBorders>
              <w:bottom w:val="single" w:sz="8" w:color="auto"/>
            </w:tcBorders>
            <w:gridSpan w:val="2"/>
          </w:tcPr>
          <w:p>
            <w:pPr>
              <w:jc w:val="right"/>
              <w:ind w:right="118"/>
              <w:spacing w:after="0"/>
              <w:rPr>
                <w:sz w:val="20"/>
                <w:szCs w:val="20"/>
                <w:color w:val="auto"/>
              </w:rPr>
            </w:pPr>
            <w:r>
              <w:rPr>
                <w:rFonts w:ascii="Arial" w:cs="Arial" w:eastAsia="Arial" w:hAnsi="Arial"/>
                <w:sz w:val="18"/>
                <w:szCs w:val="18"/>
                <w:color w:val="auto"/>
              </w:rPr>
              <w:t xml:space="preserve">141,136                </w:t>
            </w:r>
          </w:p>
        </w:tc>
      </w:tr>
      <w:tr>
        <w:trPr>
          <w:trHeight w:val="236"/>
        </w:trPr>
        <w:tc>
          <w:tcPr>
            <w:tcW w:w="7820" w:type="dxa"/>
            <w:vAlign w:val="bottom"/>
            <w:tcBorders>
              <w:bottom w:val="single" w:sz="8" w:color="auto"/>
            </w:tcBorders>
            <w:shd w:val="clear" w:color="auto" w:fill="D5DCE4"/>
          </w:tcPr>
          <w:p>
            <w:pPr>
              <w:ind w:left="720"/>
              <w:spacing w:after="0"/>
              <w:rPr>
                <w:sz w:val="20"/>
                <w:szCs w:val="20"/>
                <w:color w:val="auto"/>
              </w:rPr>
            </w:pPr>
            <w:r>
              <w:rPr>
                <w:rFonts w:ascii="Arial" w:cs="Arial" w:eastAsia="Arial" w:hAnsi="Arial"/>
                <w:sz w:val="18"/>
                <w:szCs w:val="18"/>
                <w:color w:val="auto"/>
              </w:rPr>
              <w:t>2023 Omnibus Incentive Plan</w:t>
            </w:r>
          </w:p>
        </w:tc>
        <w:tc>
          <w:tcPr>
            <w:tcW w:w="300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 xml:space="preserve">1,762,335             </w:t>
            </w:r>
          </w:p>
        </w:tc>
        <w:tc>
          <w:tcPr>
            <w:tcW w:w="200" w:type="dxa"/>
            <w:vAlign w:val="bottom"/>
            <w:tcBorders>
              <w:bottom w:val="single" w:sz="8" w:color="auto"/>
            </w:tcBorders>
          </w:tcPr>
          <w:p>
            <w:pPr>
              <w:jc w:val="right"/>
              <w:ind w:right="118"/>
              <w:spacing w:after="0"/>
              <w:rPr>
                <w:sz w:val="20"/>
                <w:szCs w:val="20"/>
                <w:color w:val="auto"/>
              </w:rPr>
            </w:pPr>
            <w:r>
              <w:rPr>
                <w:rFonts w:ascii="Arial" w:cs="Arial" w:eastAsia="Arial" w:hAnsi="Arial"/>
                <w:sz w:val="4"/>
                <w:szCs w:val="4"/>
                <w:color w:val="auto"/>
                <w:w w:val="98"/>
              </w:rPr>
              <w:t> </w:t>
            </w:r>
          </w:p>
        </w:tc>
      </w:tr>
      <w:tr>
        <w:trPr>
          <w:trHeight w:val="237"/>
        </w:trPr>
        <w:tc>
          <w:tcPr>
            <w:tcW w:w="7820" w:type="dxa"/>
            <w:vAlign w:val="bottom"/>
            <w:tcBorders>
              <w:bottom w:val="single" w:sz="8" w:color="auto"/>
            </w:tcBorders>
            <w:shd w:val="clear" w:color="auto" w:fill="D5DCE4"/>
          </w:tcPr>
          <w:p>
            <w:pPr>
              <w:ind w:left="720"/>
              <w:spacing w:after="0"/>
              <w:rPr>
                <w:sz w:val="20"/>
                <w:szCs w:val="20"/>
                <w:color w:val="auto"/>
              </w:rPr>
            </w:pPr>
            <w:r>
              <w:rPr>
                <w:rFonts w:ascii="Arial" w:cs="Arial" w:eastAsia="Arial" w:hAnsi="Arial"/>
                <w:sz w:val="18"/>
                <w:szCs w:val="18"/>
                <w:color w:val="auto"/>
              </w:rPr>
              <w:t>Equity compensation plans not approved by stockholders</w:t>
            </w:r>
          </w:p>
        </w:tc>
        <w:tc>
          <w:tcPr>
            <w:tcW w:w="3200" w:type="dxa"/>
            <w:vAlign w:val="bottom"/>
            <w:tcBorders>
              <w:bottom w:val="single" w:sz="8" w:color="auto"/>
            </w:tcBorders>
            <w:gridSpan w:val="2"/>
          </w:tcPr>
          <w:p>
            <w:pPr>
              <w:jc w:val="right"/>
              <w:ind w:right="118"/>
              <w:spacing w:after="0"/>
              <w:rPr>
                <w:sz w:val="20"/>
                <w:szCs w:val="20"/>
                <w:color w:val="auto"/>
              </w:rPr>
            </w:pPr>
            <w:r>
              <w:rPr>
                <w:rFonts w:ascii="Arial" w:cs="Arial" w:eastAsia="Arial" w:hAnsi="Arial"/>
                <w:sz w:val="18"/>
                <w:szCs w:val="18"/>
                <w:color w:val="auto"/>
              </w:rPr>
              <w:t xml:space="preserve">-                </w:t>
            </w:r>
          </w:p>
        </w:tc>
      </w:tr>
      <w:tr>
        <w:trPr>
          <w:trHeight w:val="243"/>
        </w:trPr>
        <w:tc>
          <w:tcPr>
            <w:tcW w:w="7820" w:type="dxa"/>
            <w:vAlign w:val="bottom"/>
            <w:tcBorders>
              <w:bottom w:val="single" w:sz="8" w:color="0070C0"/>
            </w:tcBorders>
            <w:shd w:val="clear" w:color="auto" w:fill="D5DCE4"/>
          </w:tcPr>
          <w:p>
            <w:pPr>
              <w:spacing w:after="0"/>
              <w:rPr>
                <w:sz w:val="20"/>
                <w:szCs w:val="20"/>
                <w:color w:val="auto"/>
              </w:rPr>
            </w:pPr>
            <w:r>
              <w:rPr>
                <w:rFonts w:ascii="Arial" w:cs="Arial" w:eastAsia="Arial" w:hAnsi="Arial"/>
                <w:sz w:val="18"/>
                <w:szCs w:val="18"/>
                <w:color w:val="auto"/>
              </w:rPr>
              <w:t>   Total</w:t>
            </w:r>
          </w:p>
        </w:tc>
        <w:tc>
          <w:tcPr>
            <w:tcW w:w="3000" w:type="dxa"/>
            <w:vAlign w:val="bottom"/>
            <w:tcBorders>
              <w:bottom w:val="single" w:sz="8" w:color="0070C0"/>
            </w:tcBorders>
          </w:tcPr>
          <w:p>
            <w:pPr>
              <w:ind w:left="1320"/>
              <w:spacing w:after="0"/>
              <w:rPr>
                <w:sz w:val="20"/>
                <w:szCs w:val="20"/>
                <w:color w:val="auto"/>
              </w:rPr>
            </w:pPr>
            <w:r>
              <w:rPr>
                <w:rFonts w:ascii="Arial" w:cs="Arial" w:eastAsia="Arial" w:hAnsi="Arial"/>
                <w:sz w:val="18"/>
                <w:szCs w:val="18"/>
                <w:color w:val="auto"/>
              </w:rPr>
              <w:t xml:space="preserve">1,903,471             </w:t>
            </w:r>
          </w:p>
        </w:tc>
        <w:tc>
          <w:tcPr>
            <w:tcW w:w="200" w:type="dxa"/>
            <w:vAlign w:val="bottom"/>
            <w:tcBorders>
              <w:bottom w:val="single" w:sz="8" w:color="0070C0"/>
            </w:tcBorders>
          </w:tcPr>
          <w:p>
            <w:pPr>
              <w:jc w:val="right"/>
              <w:ind w:right="118"/>
              <w:spacing w:after="0"/>
              <w:rPr>
                <w:sz w:val="20"/>
                <w:szCs w:val="20"/>
                <w:color w:val="auto"/>
              </w:rPr>
            </w:pPr>
            <w:r>
              <w:rPr>
                <w:rFonts w:ascii="Arial" w:cs="Arial" w:eastAsia="Arial" w:hAnsi="Arial"/>
                <w:sz w:val="4"/>
                <w:szCs w:val="4"/>
                <w:color w:val="auto"/>
                <w:w w:val="98"/>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99516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8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ind w:left="4340"/>
        <w:spacing w:after="0"/>
        <w:rPr>
          <w:sz w:val="20"/>
          <w:szCs w:val="20"/>
          <w:color w:val="auto"/>
        </w:rPr>
      </w:pPr>
      <w:r>
        <w:rPr>
          <w:rFonts w:ascii="Arial" w:cs="Arial" w:eastAsia="Arial" w:hAnsi="Arial"/>
          <w:sz w:val="18"/>
          <w:szCs w:val="18"/>
          <w:color w:val="0070C0"/>
        </w:rPr>
        <w:t>Stock Ownerhsip Information</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76</w:t>
      </w:r>
    </w:p>
    <w:p>
      <w:pPr>
        <w:sectPr>
          <w:pgSz w:w="11900" w:h="16838" w:orient="portrait"/>
          <w:cols w:equalWidth="0" w:num="1">
            <w:col w:w="11020"/>
          </w:cols>
          <w:pgMar w:left="440" w:top="287" w:right="4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40"/>
          <w:szCs w:val="40"/>
          <w:b w:val="1"/>
          <w:bCs w:val="1"/>
          <w:color w:val="0070C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69951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i w:val="1"/>
          <w:iCs w:val="1"/>
          <w:color w:val="auto"/>
        </w:rPr>
        <w:t>Jeff Edwards, Peter Edwards Jr., Anne Edwards and Michael Edwards, and the investment entities through which they directly and indirectly beneficially own shares of our common stock, are referred to below as the Edwards Investors. Peter Edwards Jr., Anne Edwards and Michael Edwards are siblings of Jeff Edwards.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Affiliate Sales</w:t>
      </w:r>
    </w:p>
    <w:p>
      <w:pPr>
        <w:spacing w:after="0" w:line="216"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Our operating subsidiaries install building products in the ordinary course of their businesses for certain of our directors and executive officers or their affiliated entities. These transactions are performed on terms comparable to those that could be obtained in an arm’s-length transaction with an unrelated third party. In 2023, these sales were to:</w:t>
      </w:r>
    </w:p>
    <w:p>
      <w:pPr>
        <w:spacing w:after="0" w:line="23" w:lineRule="exact"/>
        <w:rPr>
          <w:sz w:val="20"/>
          <w:szCs w:val="20"/>
          <w:color w:val="auto"/>
        </w:rPr>
      </w:pPr>
    </w:p>
    <w:p>
      <w:pPr>
        <w:ind w:left="860" w:hanging="432"/>
        <w:spacing w:after="0"/>
        <w:tabs>
          <w:tab w:leader="none" w:pos="860" w:val="left"/>
        </w:tabs>
        <w:numPr>
          <w:ilvl w:val="0"/>
          <w:numId w:val="47"/>
        </w:numPr>
        <w:rPr>
          <w:rFonts w:ascii="MS PGothic" w:cs="MS PGothic" w:eastAsia="MS PGothic" w:hAnsi="MS PGothic"/>
          <w:sz w:val="29"/>
          <w:szCs w:val="29"/>
          <w:color w:val="002060"/>
          <w:vertAlign w:val="superscript"/>
        </w:rPr>
      </w:pPr>
      <w:r>
        <w:rPr>
          <w:rFonts w:ascii="Arial" w:cs="Arial" w:eastAsia="Arial" w:hAnsi="Arial"/>
          <w:sz w:val="18"/>
          <w:szCs w:val="18"/>
          <w:color w:val="auto"/>
        </w:rPr>
        <w:t>Edwards Investors affiliates: $2,137,711</w:t>
      </w:r>
    </w:p>
    <w:p>
      <w:pPr>
        <w:spacing w:after="0" w:line="103" w:lineRule="exact"/>
        <w:rPr>
          <w:rFonts w:ascii="MS PGothic" w:cs="MS PGothic" w:eastAsia="MS PGothic" w:hAnsi="MS PGothic"/>
          <w:sz w:val="29"/>
          <w:szCs w:val="29"/>
          <w:color w:val="002060"/>
          <w:vertAlign w:val="superscript"/>
        </w:rPr>
      </w:pPr>
    </w:p>
    <w:p>
      <w:pPr>
        <w:ind w:left="860" w:hanging="432"/>
        <w:spacing w:after="0" w:line="182" w:lineRule="auto"/>
        <w:tabs>
          <w:tab w:leader="none" w:pos="860" w:val="left"/>
        </w:tabs>
        <w:numPr>
          <w:ilvl w:val="0"/>
          <w:numId w:val="47"/>
        </w:numPr>
        <w:rPr>
          <w:rFonts w:ascii="MS PGothic" w:cs="MS PGothic" w:eastAsia="MS PGothic" w:hAnsi="MS PGothic"/>
          <w:sz w:val="29"/>
          <w:szCs w:val="29"/>
          <w:color w:val="002060"/>
          <w:vertAlign w:val="superscript"/>
        </w:rPr>
      </w:pPr>
      <w:r>
        <w:rPr>
          <w:rFonts w:ascii="Arial" w:cs="Arial" w:eastAsia="Arial" w:hAnsi="Arial"/>
          <w:sz w:val="18"/>
          <w:szCs w:val="18"/>
          <w:color w:val="auto"/>
        </w:rPr>
        <w:t>Vikas Verma (a director until May 2023) affiliated entities: $406,955</w:t>
      </w:r>
    </w:p>
    <w:p>
      <w:pPr>
        <w:spacing w:after="0" w:line="104" w:lineRule="exact"/>
        <w:rPr>
          <w:rFonts w:ascii="MS PGothic" w:cs="MS PGothic" w:eastAsia="MS PGothic" w:hAnsi="MS PGothic"/>
          <w:sz w:val="29"/>
          <w:szCs w:val="29"/>
          <w:color w:val="002060"/>
          <w:vertAlign w:val="superscript"/>
        </w:rPr>
      </w:pPr>
    </w:p>
    <w:p>
      <w:pPr>
        <w:ind w:left="860" w:hanging="432"/>
        <w:spacing w:after="0" w:line="182" w:lineRule="auto"/>
        <w:tabs>
          <w:tab w:leader="none" w:pos="860" w:val="left"/>
        </w:tabs>
        <w:numPr>
          <w:ilvl w:val="0"/>
          <w:numId w:val="47"/>
        </w:numPr>
        <w:rPr>
          <w:rFonts w:ascii="MS PGothic" w:cs="MS PGothic" w:eastAsia="MS PGothic" w:hAnsi="MS PGothic"/>
          <w:sz w:val="29"/>
          <w:szCs w:val="29"/>
          <w:color w:val="002060"/>
          <w:vertAlign w:val="superscript"/>
        </w:rPr>
      </w:pPr>
      <w:r>
        <w:rPr>
          <w:rFonts w:ascii="Arial" w:cs="Arial" w:eastAsia="Arial" w:hAnsi="Arial"/>
          <w:sz w:val="18"/>
          <w:szCs w:val="18"/>
          <w:color w:val="auto"/>
        </w:rPr>
        <w:t>Robert H. Schottenstein affiliates (including MI Homes, Inc. and affiliated entities): $18,097,996</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Real Property Leases</w:t>
      </w:r>
    </w:p>
    <w:p>
      <w:pPr>
        <w:spacing w:after="0" w:line="204"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Our headquarters building in Columbus, Ohio is subject to a master lease agreement between an unrelated third party owner and The Edwards Companies, LLC, an entity affiliated with the Edwards Investors, to which we pay rent payments. In 2023, we paid $679,816 in base rent payments to The Edwards Companies, LLC.</w:t>
      </w:r>
    </w:p>
    <w:p>
      <w:pPr>
        <w:spacing w:after="0" w:line="169"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We lease two branch locations in Columbus, Ohio from Peter H. Edwards, an immediate family member of the Edwards Investors. We paid base rent payments for these facilities in 2023 of $236,490 and $128,179, respectively.</w:t>
      </w:r>
    </w:p>
    <w:p>
      <w:pPr>
        <w:spacing w:after="0" w:line="15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2023 we leased two locations – one in Charlotte, North Carolina and one in Universal City, Texas—from entities in which Vikas Verma, a director until May 2023, has a 75% interest. Base rent payments for 2023 were $42,000 and $123,498, respectively. The Charlotte, North Carolina property was sold to a third party in April 2023.</w:t>
      </w:r>
    </w:p>
    <w:p>
      <w:pPr>
        <w:spacing w:after="0" w:line="169"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In each case under the applicable lease, we are also obligated to pay our proportionate share of certain common area maintenance charges, taxes, insurance premiums and other costs of operation, depending on the terms of the lease.</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Estimating Agreement</w:t>
      </w:r>
    </w:p>
    <w:p>
      <w:pPr>
        <w:spacing w:after="0" w:line="216"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Alpha Insulation and Water Proofing, Inc., one of our commercial operations subsidiaries, is a party to an Independent Contract Agreement for job estimating services with an entity in which Vikas Verma, a director until May 2023, has a 75% interest. In 2023, the annual fee under this agreement was $700,800, subject to adjustment if the number of estimating jobs exceeded a prescribed amount. Payments under this contract in 2023 totaled $700,800. The contract automatically renews from year to year unless either party provides notice of termination at least 180 days in advance of the expiration date.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Aircraft Lease</w:t>
      </w:r>
    </w:p>
    <w:p>
      <w:pPr>
        <w:spacing w:after="0" w:line="21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In 2019, we entered into an aircraft lease agreement with an affiliate of the Edwards Investors, pursuant to which we lease the use of an aircraft for business travel on a non-priority basis. The lease agreement automatically renews every 29 days unless terminated on ten days’ notice by either party and is updated for current rental rate charges each year. In 2023, we paid lease payments, including operating expenses, of $250,905.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69951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ind w:left="4420"/>
        <w:spacing w:after="0"/>
        <w:rPr>
          <w:sz w:val="20"/>
          <w:szCs w:val="20"/>
          <w:color w:val="auto"/>
        </w:rPr>
      </w:pPr>
      <w:r>
        <w:rPr>
          <w:rFonts w:ascii="Arial" w:cs="Arial" w:eastAsia="Arial" w:hAnsi="Arial"/>
          <w:sz w:val="18"/>
          <w:szCs w:val="18"/>
          <w:color w:val="0070C0"/>
        </w:rPr>
        <w:t>Related Party Transactions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77</w:t>
      </w:r>
    </w:p>
    <w:p>
      <w:pPr>
        <w:sectPr>
          <w:pgSz w:w="11900" w:h="16838" w:orient="portrait"/>
          <w:cols w:equalWidth="0" w:num="1">
            <w:col w:w="11000"/>
          </w:cols>
          <w:pgMar w:left="440" w:top="261" w:right="459" w:bottom="1440" w:gutter="0" w:footer="0" w:header="0"/>
        </w:sectPr>
      </w:pPr>
    </w:p>
    <w:bookmarkStart w:id="85" w:name="page86"/>
    <w:bookmarkEnd w:id="85"/>
    <w:p>
      <w:pPr>
        <w:spacing w:after="0"/>
        <w:rPr>
          <w:sz w:val="20"/>
          <w:szCs w:val="20"/>
          <w:color w:val="auto"/>
        </w:rPr>
      </w:pPr>
      <w:r>
        <w:rPr>
          <w:rFonts w:ascii="Arial" w:cs="Arial" w:eastAsia="Arial" w:hAnsi="Arial"/>
          <w:sz w:val="22"/>
          <w:szCs w:val="22"/>
          <w:b w:val="1"/>
          <w:bCs w:val="1"/>
          <w:color w:val="00206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Policies and Procedures for Related Party Transactions</w:t>
      </w:r>
    </w:p>
    <w:p>
      <w:pPr>
        <w:spacing w:after="0" w:line="21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Board of Directors has adopted a Related Party Transaction Policy (“Policy”) for the review and approval or ratification of certain related party transactions. The Policy is administered by the Audit Committee with the assistance of our General Counsel, Chief Financial Officer and Chief Accounting Officer.</w:t>
      </w:r>
    </w:p>
    <w:p>
      <w:pPr>
        <w:spacing w:after="0" w:line="16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Policy applies to any transaction, arrangement or relationship (or any series of similar transactions, arrangements or relationships) in which the Company or one of our subsidiaries is a participant; the amount involved exceeds $120,000; and a Related Party (as defined below) had, has or will have a direct or indirect material interest. Any transaction meeting these criteria is a “Related Party Transaction.”</w:t>
      </w:r>
    </w:p>
    <w:p>
      <w:pPr>
        <w:spacing w:after="0" w:line="15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Under the Policy, a “Related Party” is any person who: (i) is, or, at any time since the beginning of our last fiscal year, was, a director, executive officer or director nominee, or an immediate family member of any such person; or (ii) is known by us to be the beneficial owner of more than 5% of our common stock, or an immediate family member of such person.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Prior to entering into a potential Related Party Transaction, the Related Party (or the person whose immediate family member is the Related Party) or any member of management aware of the transaction must provide notice of the facts and circumstances of the proposed transaction to our General Counsel, Chief Financial Officer or Chief Accounting Officer, who will assess whether the proposed transaction is subject to the Policy. If it is determined that the proposed transaction is a Related Party Transaction, it is submitted to the Audit Committee for consideration at its next meeting. If it is not practicable or desirable to wait until the next Audit Committee meeting, the transaction may be submitted to the Chair of the Audit Committee for consideration (with any action taken by the Chair reported to the Audit Committee at its next regular meeting).</w:t>
      </w:r>
    </w:p>
    <w:p>
      <w:pPr>
        <w:spacing w:after="0" w:line="185" w:lineRule="exact"/>
        <w:rPr>
          <w:sz w:val="20"/>
          <w:szCs w:val="20"/>
          <w:color w:val="auto"/>
        </w:rPr>
      </w:pPr>
    </w:p>
    <w:p>
      <w:pPr>
        <w:ind w:right="1140"/>
        <w:spacing w:after="0" w:line="271" w:lineRule="auto"/>
        <w:rPr>
          <w:sz w:val="20"/>
          <w:szCs w:val="20"/>
          <w:color w:val="auto"/>
        </w:rPr>
      </w:pPr>
      <w:r>
        <w:rPr>
          <w:rFonts w:ascii="Arial" w:cs="Arial" w:eastAsia="Arial" w:hAnsi="Arial"/>
          <w:sz w:val="18"/>
          <w:szCs w:val="18"/>
          <w:color w:val="auto"/>
        </w:rPr>
        <w:t>When considering a proposed Related Party Transaction, the Audit Committee reviews all of the relevant available facts and circumstances, including:</w:t>
      </w:r>
    </w:p>
    <w:p>
      <w:pPr>
        <w:spacing w:after="0" w:line="8" w:lineRule="exact"/>
        <w:rPr>
          <w:sz w:val="20"/>
          <w:szCs w:val="20"/>
          <w:color w:val="auto"/>
        </w:rPr>
      </w:pPr>
    </w:p>
    <w:p>
      <w:pPr>
        <w:ind w:left="860" w:hanging="432"/>
        <w:spacing w:after="0"/>
        <w:tabs>
          <w:tab w:leader="none" w:pos="860" w:val="left"/>
        </w:tabs>
        <w:numPr>
          <w:ilvl w:val="0"/>
          <w:numId w:val="48"/>
        </w:numPr>
        <w:rPr>
          <w:rFonts w:ascii="MS PGothic" w:cs="MS PGothic" w:eastAsia="MS PGothic" w:hAnsi="MS PGothic"/>
          <w:sz w:val="29"/>
          <w:szCs w:val="29"/>
          <w:color w:val="002060"/>
          <w:vertAlign w:val="superscript"/>
        </w:rPr>
      </w:pPr>
      <w:r>
        <w:rPr>
          <w:rFonts w:ascii="Arial" w:cs="Arial" w:eastAsia="Arial" w:hAnsi="Arial"/>
          <w:sz w:val="18"/>
          <w:szCs w:val="18"/>
          <w:color w:val="auto"/>
        </w:rPr>
        <w:t>the benefits of the transaction to the Company;</w:t>
      </w:r>
    </w:p>
    <w:p>
      <w:pPr>
        <w:spacing w:after="0" w:line="103" w:lineRule="exact"/>
        <w:rPr>
          <w:rFonts w:ascii="MS PGothic" w:cs="MS PGothic" w:eastAsia="MS PGothic" w:hAnsi="MS PGothic"/>
          <w:sz w:val="29"/>
          <w:szCs w:val="29"/>
          <w:color w:val="002060"/>
          <w:vertAlign w:val="superscript"/>
        </w:rPr>
      </w:pPr>
    </w:p>
    <w:p>
      <w:pPr>
        <w:ind w:left="860" w:hanging="432"/>
        <w:spacing w:after="0" w:line="182" w:lineRule="auto"/>
        <w:tabs>
          <w:tab w:leader="none" w:pos="860" w:val="left"/>
        </w:tabs>
        <w:numPr>
          <w:ilvl w:val="0"/>
          <w:numId w:val="48"/>
        </w:numPr>
        <w:rPr>
          <w:rFonts w:ascii="MS PGothic" w:cs="MS PGothic" w:eastAsia="MS PGothic" w:hAnsi="MS PGothic"/>
          <w:sz w:val="29"/>
          <w:szCs w:val="29"/>
          <w:color w:val="002060"/>
          <w:vertAlign w:val="superscript"/>
        </w:rPr>
      </w:pPr>
      <w:r>
        <w:rPr>
          <w:rFonts w:ascii="Arial" w:cs="Arial" w:eastAsia="Arial" w:hAnsi="Arial"/>
          <w:sz w:val="18"/>
          <w:szCs w:val="18"/>
          <w:color w:val="auto"/>
        </w:rPr>
        <w:t>any impact on a director’s independence;</w:t>
      </w:r>
    </w:p>
    <w:p>
      <w:pPr>
        <w:spacing w:after="0" w:line="104" w:lineRule="exact"/>
        <w:rPr>
          <w:rFonts w:ascii="MS PGothic" w:cs="MS PGothic" w:eastAsia="MS PGothic" w:hAnsi="MS PGothic"/>
          <w:sz w:val="29"/>
          <w:szCs w:val="29"/>
          <w:color w:val="002060"/>
          <w:vertAlign w:val="superscript"/>
        </w:rPr>
      </w:pPr>
    </w:p>
    <w:p>
      <w:pPr>
        <w:ind w:left="860" w:hanging="432"/>
        <w:spacing w:after="0" w:line="182" w:lineRule="auto"/>
        <w:tabs>
          <w:tab w:leader="none" w:pos="860" w:val="left"/>
        </w:tabs>
        <w:numPr>
          <w:ilvl w:val="0"/>
          <w:numId w:val="48"/>
        </w:numPr>
        <w:rPr>
          <w:rFonts w:ascii="MS PGothic" w:cs="MS PGothic" w:eastAsia="MS PGothic" w:hAnsi="MS PGothic"/>
          <w:sz w:val="29"/>
          <w:szCs w:val="29"/>
          <w:color w:val="002060"/>
          <w:vertAlign w:val="superscript"/>
        </w:rPr>
      </w:pPr>
      <w:r>
        <w:rPr>
          <w:rFonts w:ascii="Arial" w:cs="Arial" w:eastAsia="Arial" w:hAnsi="Arial"/>
          <w:sz w:val="18"/>
          <w:szCs w:val="18"/>
          <w:color w:val="auto"/>
        </w:rPr>
        <w:t>the availability of other sellers or purchasers of comparable products or services;</w:t>
      </w:r>
    </w:p>
    <w:p>
      <w:pPr>
        <w:spacing w:after="0" w:line="104" w:lineRule="exact"/>
        <w:rPr>
          <w:rFonts w:ascii="MS PGothic" w:cs="MS PGothic" w:eastAsia="MS PGothic" w:hAnsi="MS PGothic"/>
          <w:sz w:val="29"/>
          <w:szCs w:val="29"/>
          <w:color w:val="002060"/>
          <w:vertAlign w:val="superscript"/>
        </w:rPr>
      </w:pPr>
    </w:p>
    <w:p>
      <w:pPr>
        <w:ind w:left="860" w:hanging="432"/>
        <w:spacing w:after="0" w:line="182" w:lineRule="auto"/>
        <w:tabs>
          <w:tab w:leader="none" w:pos="860" w:val="left"/>
        </w:tabs>
        <w:numPr>
          <w:ilvl w:val="0"/>
          <w:numId w:val="48"/>
        </w:numPr>
        <w:rPr>
          <w:rFonts w:ascii="MS PGothic" w:cs="MS PGothic" w:eastAsia="MS PGothic" w:hAnsi="MS PGothic"/>
          <w:sz w:val="29"/>
          <w:szCs w:val="29"/>
          <w:color w:val="002060"/>
          <w:vertAlign w:val="superscript"/>
        </w:rPr>
      </w:pPr>
      <w:r>
        <w:rPr>
          <w:rFonts w:ascii="Arial" w:cs="Arial" w:eastAsia="Arial" w:hAnsi="Arial"/>
          <w:sz w:val="18"/>
          <w:szCs w:val="18"/>
          <w:color w:val="auto"/>
        </w:rPr>
        <w:t>the terms of the transaction;</w:t>
      </w:r>
    </w:p>
    <w:p>
      <w:pPr>
        <w:spacing w:after="0" w:line="104" w:lineRule="exact"/>
        <w:rPr>
          <w:rFonts w:ascii="MS PGothic" w:cs="MS PGothic" w:eastAsia="MS PGothic" w:hAnsi="MS PGothic"/>
          <w:sz w:val="29"/>
          <w:szCs w:val="29"/>
          <w:color w:val="002060"/>
          <w:vertAlign w:val="superscript"/>
        </w:rPr>
      </w:pPr>
    </w:p>
    <w:p>
      <w:pPr>
        <w:ind w:left="860" w:hanging="432"/>
        <w:spacing w:after="0" w:line="182" w:lineRule="auto"/>
        <w:tabs>
          <w:tab w:leader="none" w:pos="860" w:val="left"/>
        </w:tabs>
        <w:numPr>
          <w:ilvl w:val="0"/>
          <w:numId w:val="48"/>
        </w:numPr>
        <w:rPr>
          <w:rFonts w:ascii="MS PGothic" w:cs="MS PGothic" w:eastAsia="MS PGothic" w:hAnsi="MS PGothic"/>
          <w:sz w:val="29"/>
          <w:szCs w:val="29"/>
          <w:color w:val="002060"/>
          <w:vertAlign w:val="superscript"/>
        </w:rPr>
      </w:pPr>
      <w:r>
        <w:rPr>
          <w:rFonts w:ascii="Arial" w:cs="Arial" w:eastAsia="Arial" w:hAnsi="Arial"/>
          <w:sz w:val="18"/>
          <w:szCs w:val="18"/>
          <w:color w:val="auto"/>
        </w:rPr>
        <w:t>whether the transaction is on terms comparable to those obtainable in an arm’s-length transaction with an unrelated party; and</w:t>
      </w:r>
    </w:p>
    <w:p>
      <w:pPr>
        <w:spacing w:after="0" w:line="104" w:lineRule="exact"/>
        <w:rPr>
          <w:rFonts w:ascii="MS PGothic" w:cs="MS PGothic" w:eastAsia="MS PGothic" w:hAnsi="MS PGothic"/>
          <w:sz w:val="29"/>
          <w:szCs w:val="29"/>
          <w:color w:val="002060"/>
          <w:vertAlign w:val="superscript"/>
        </w:rPr>
      </w:pPr>
    </w:p>
    <w:p>
      <w:pPr>
        <w:ind w:left="860" w:hanging="432"/>
        <w:spacing w:after="0" w:line="182" w:lineRule="auto"/>
        <w:tabs>
          <w:tab w:leader="none" w:pos="860" w:val="left"/>
        </w:tabs>
        <w:numPr>
          <w:ilvl w:val="0"/>
          <w:numId w:val="48"/>
        </w:numPr>
        <w:rPr>
          <w:rFonts w:ascii="MS PGothic" w:cs="MS PGothic" w:eastAsia="MS PGothic" w:hAnsi="MS PGothic"/>
          <w:sz w:val="29"/>
          <w:szCs w:val="29"/>
          <w:color w:val="002060"/>
          <w:vertAlign w:val="superscript"/>
        </w:rPr>
      </w:pPr>
      <w:r>
        <w:rPr>
          <w:rFonts w:ascii="Arial" w:cs="Arial" w:eastAsia="Arial" w:hAnsi="Arial"/>
          <w:sz w:val="18"/>
          <w:szCs w:val="18"/>
          <w:color w:val="auto"/>
        </w:rPr>
        <w:t>the extent of the Related Party’s interest in the transaction.</w:t>
      </w:r>
    </w:p>
    <w:p>
      <w:pPr>
        <w:spacing w:after="0" w:line="18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Audit Committee will approve a Related Party Transaction if it determines that the transaction is in, or is not inconsistent with, the best interests of the Company and our stockholders. No member of the Audit Committee may participate in the consideration or approval of a transaction as to which he or she or any member of his or her immediate family is the Related Party, but may participate in the discussion of the transaction at the Audit Committee meeting if requested by the Chair of the Audit Committee.</w:t>
      </w:r>
    </w:p>
    <w:p>
      <w:pPr>
        <w:spacing w:after="0" w:line="176"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The Related Party Transaction Policy prohibits the Company from directly or indirectly extending credit to, arranging for the extension of credit for, or renewing an extension of credit, in each case in the form of a personal loan, to any director or executive officer of the Company, except in the case of a trade receivable relating to work performed by the Company for the director or executive officer or an affiliate thereof in the ordinary course of the Company’s business on terms comparable to those that could be obtained in an arm’s length transaction with an unrelated party.</w:t>
      </w:r>
    </w:p>
    <w:p>
      <w:pPr>
        <w:spacing w:after="0" w:line="176"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If a director or a member of management becomes aware of a Related Party Transaction that has not been approved by the Audit Committee, he or she must promptly notify our General Counsel, Chief Financial Officer or Chief Accounting Officer. If the transaction is pending or ongoing, it is submitted to the Audit Committee for review, and the Audit Committee will consider the relevant facts and circumstances and evaluate all options, including ratification, amendment or termination of the transaction.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699516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ind w:left="4420"/>
        <w:spacing w:after="0"/>
        <w:rPr>
          <w:sz w:val="20"/>
          <w:szCs w:val="20"/>
          <w:color w:val="auto"/>
        </w:rPr>
      </w:pPr>
      <w:r>
        <w:rPr>
          <w:rFonts w:ascii="Arial" w:cs="Arial" w:eastAsia="Arial" w:hAnsi="Arial"/>
          <w:sz w:val="18"/>
          <w:szCs w:val="18"/>
          <w:color w:val="0070C0"/>
        </w:rPr>
        <w:t>Related Party Transactions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78</w:t>
      </w:r>
    </w:p>
    <w:p>
      <w:pPr>
        <w:sectPr>
          <w:pgSz w:w="11900" w:h="16838" w:orient="portrait"/>
          <w:cols w:equalWidth="0" w:num="1">
            <w:col w:w="11000"/>
          </w:cols>
          <w:pgMar w:left="440" w:top="287" w:right="459" w:bottom="1440" w:gutter="0" w:footer="0" w:header="0"/>
        </w:sectPr>
      </w:pPr>
    </w:p>
    <w:bookmarkStart w:id="86" w:name="page87"/>
    <w:bookmarkEnd w:id="8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transaction is completed, the Audit Committee will determine if rescission of the transaction and/or disciplinary action is appropriate.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All of the transactions described in this section were approved by the Audit Committee in accordance with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351790</wp:posOffset>
            </wp:positionV>
            <wp:extent cx="6995160" cy="19799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20"/>
        <w:spacing w:after="0"/>
        <w:tabs>
          <w:tab w:leader="none" w:pos="7540" w:val="left"/>
        </w:tabs>
        <w:rPr>
          <w:sz w:val="20"/>
          <w:szCs w:val="20"/>
          <w:color w:val="auto"/>
        </w:rPr>
      </w:pPr>
      <w:r>
        <w:rPr>
          <w:rFonts w:ascii="Arial" w:cs="Arial" w:eastAsia="Arial" w:hAnsi="Arial"/>
          <w:sz w:val="35"/>
          <w:szCs w:val="35"/>
          <w:b w:val="1"/>
          <w:bCs w:val="1"/>
          <w:color w:val="0070C0"/>
          <w:vertAlign w:val="subscript"/>
        </w:rPr>
        <w:t xml:space="preserve">                  Gutters</w:t>
      </w:r>
      <w:r>
        <w:rPr>
          <w:sz w:val="20"/>
          <w:szCs w:val="20"/>
          <w:color w:val="auto"/>
        </w:rPr>
        <w:tab/>
      </w:r>
      <w:r>
        <w:rPr>
          <w:rFonts w:ascii="Arial" w:cs="Arial" w:eastAsia="Arial" w:hAnsi="Arial"/>
          <w:sz w:val="18"/>
          <w:szCs w:val="18"/>
          <w:b w:val="1"/>
          <w:bCs w:val="1"/>
          <w:color w:val="0070C0"/>
        </w:rPr>
        <w:t xml:space="preserve">Gutters 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117475</wp:posOffset>
            </wp:positionV>
            <wp:extent cx="5623560" cy="178308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623560"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720"/>
        <w:spacing w:after="0"/>
        <w:tabs>
          <w:tab w:leader="none" w:pos="7340" w:val="left"/>
        </w:tabs>
        <w:rPr>
          <w:sz w:val="20"/>
          <w:szCs w:val="20"/>
          <w:color w:val="auto"/>
        </w:rPr>
      </w:pPr>
      <w:r>
        <w:rPr>
          <w:rFonts w:ascii="Arial" w:cs="Arial" w:eastAsia="Arial" w:hAnsi="Arial"/>
          <w:sz w:val="18"/>
          <w:szCs w:val="18"/>
          <w:b w:val="1"/>
          <w:bCs w:val="1"/>
          <w:color w:val="0070C0"/>
        </w:rPr>
        <w:t>                  Insulation</w:t>
      </w:r>
      <w:r>
        <w:rPr>
          <w:sz w:val="20"/>
          <w:szCs w:val="20"/>
          <w:color w:val="auto"/>
        </w:rPr>
        <w:tab/>
      </w:r>
      <w:r>
        <w:rPr>
          <w:rFonts w:ascii="Arial" w:cs="Arial" w:eastAsia="Arial" w:hAnsi="Arial"/>
          <w:sz w:val="18"/>
          <w:szCs w:val="18"/>
          <w:b w:val="1"/>
          <w:bCs w:val="1"/>
          <w:color w:val="0070C0"/>
        </w:rPr>
        <w:t xml:space="preserve">Spray Foam 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154940</wp:posOffset>
            </wp:positionV>
            <wp:extent cx="69951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ind w:left="4420"/>
        <w:spacing w:after="0"/>
        <w:rPr>
          <w:sz w:val="20"/>
          <w:szCs w:val="20"/>
          <w:color w:val="auto"/>
        </w:rPr>
      </w:pPr>
      <w:r>
        <w:rPr>
          <w:rFonts w:ascii="Arial" w:cs="Arial" w:eastAsia="Arial" w:hAnsi="Arial"/>
          <w:sz w:val="18"/>
          <w:szCs w:val="18"/>
          <w:color w:val="0070C0"/>
        </w:rPr>
        <w:t>Related Party Transactions</w:t>
      </w:r>
    </w:p>
    <w:p>
      <w:pPr>
        <w:spacing w:after="0" w:line="5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0070C0"/>
        </w:rPr>
        <w:t>79</w:t>
      </w:r>
    </w:p>
    <w:p>
      <w:pPr>
        <w:sectPr>
          <w:pgSz w:w="11900" w:h="16838" w:orient="portrait"/>
          <w:cols w:equalWidth="0" w:num="1">
            <w:col w:w="10760"/>
          </w:cols>
          <w:pgMar w:left="440" w:top="296" w:right="69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40"/>
          <w:szCs w:val="40"/>
          <w:b w:val="1"/>
          <w:bCs w:val="1"/>
          <w:color w:val="0070C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STOCKHOLDER PROPOSALS FOR THE 2025</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0070C0"/>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9516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Proposals for Inclusion in our Proxy Statement</w:t>
      </w:r>
    </w:p>
    <w:p>
      <w:pPr>
        <w:spacing w:after="0" w:line="216"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 xml:space="preserve">SEC Rule 14a-8 permits stockholders to submit proposals for inclusion in our proxy statement if the stockholders and the proposals meet certain requirements specified in the rule. If a stockholder wishes to present a proposal to be included in our proxy statement for our 2025 Annual Meeting of Stockholders (the “2025 Annual Meeting”), the proposal must be received in writing by our Corporate Secretary at Installed Building Products, Inc., 495 South High Street, Suite 50, Columbus, Ohio 43215 no later than December 12, 2024. Proposals must conform to and include the information required by SEC Rule 14a-8. </w:t>
      </w:r>
      <w:r>
        <w:rPr>
          <w:rFonts w:ascii="Arial" w:cs="Arial" w:eastAsia="Arial" w:hAnsi="Arial"/>
          <w:sz w:val="18"/>
          <w:szCs w:val="18"/>
          <w:i w:val="1"/>
          <w:iCs w:val="1"/>
          <w:color w:val="auto"/>
        </w:rPr>
        <w:t>See also</w:t>
      </w:r>
      <w:r>
        <w:rPr>
          <w:rFonts w:ascii="Arial" w:cs="Arial" w:eastAsia="Arial" w:hAnsi="Arial"/>
          <w:sz w:val="18"/>
          <w:szCs w:val="18"/>
          <w:color w:val="auto"/>
        </w:rPr>
        <w:t xml:space="preserve"> Article I, Section 1.03 of our Bylaws.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Director Nominees for Inclusion in our Proxy Statement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In order to nominate a candidate for director at our 2025 Annual Meeting, stockholders must comply with Article I, Section 1.03 of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Bylaws. Stockholders wishing to nominate a candidate for director must provide notice no earlier than the close of business on</w:t>
      </w:r>
    </w:p>
    <w:p>
      <w:pPr>
        <w:ind w:right="20"/>
        <w:spacing w:after="0" w:line="237" w:lineRule="auto"/>
        <w:rPr>
          <w:sz w:val="20"/>
          <w:szCs w:val="20"/>
          <w:color w:val="auto"/>
        </w:rPr>
      </w:pPr>
      <w:r>
        <w:rPr>
          <w:rFonts w:ascii="Arial" w:cs="Arial" w:eastAsia="Arial" w:hAnsi="Arial"/>
          <w:sz w:val="18"/>
          <w:szCs w:val="18"/>
          <w:color w:val="auto"/>
        </w:rPr>
        <w:t>January 23, 2025, and no later than the close of business on February 24, 2025. If the 2025 Annual Meeting is more than 30 days before, or more than 70 days after, the anniversary of this Annual Meeting, then notice must be received no earlier than the close of business 120 days prior to the 2025 Annual Meeting and no later than the close of business 90 days prior to the 2025 Annual Meeting (or 10 days following the date on which we publicly disclose the date of the 2025 Annual Meeting). Under our Bylaws, if the number of directors to be elected at an annual meeting of stockholders is increased and we do not make a public announcement naming the nominees for the additional directorship(s) at least 100 days prior to the anniversary of the previous year’s annual meeting, a stockholder nomination with respect to the additional directorship(s) will be considered timely if delivered to our Corporate Secretary no later than 10 days following the date when we publicly announce the increase in the number of directors.</w:t>
      </w:r>
    </w:p>
    <w:p>
      <w:pPr>
        <w:spacing w:after="0" w:line="18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All stockholder nominations must set forth the information specified in Article I, Section 1.03 of our Bylaws and must be submitted in writing to our Corporate Secretary, Installed Building Products, Inc., 495 South High Street, Suite 50, Columbus, Ohio 43215. In addition to satisfying the requirements under our Bylaws, stockholders who intend to solicit proxies in support of director nominees other than the Company’s nominees must provide notice that sets forth the information required by Rule 14a-19 under the Exchange Act no later than March 24, 2025.</w:t>
      </w:r>
    </w:p>
    <w:p>
      <w:pPr>
        <w:spacing w:after="0" w:line="176"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 xml:space="preserve">A copy of our Bylaws may be obtained without charge from our Corporate Secretary at Installed Building Products, Inc., 495 South High Street, Suite 50, Columbus, Ohio 43215, or may be found on our website at </w:t>
      </w:r>
      <w:r>
        <w:rPr>
          <w:rFonts w:ascii="Arial" w:cs="Arial" w:eastAsia="Arial" w:hAnsi="Arial"/>
          <w:sz w:val="18"/>
          <w:szCs w:val="18"/>
          <w:i w:val="1"/>
          <w:iCs w:val="1"/>
          <w:u w:val="single" w:color="auto"/>
          <w:color w:val="0070C0"/>
        </w:rPr>
        <w:t>www.installedbuildingproducts.com</w:t>
      </w:r>
      <w:r>
        <w:rPr>
          <w:rFonts w:ascii="Arial" w:cs="Arial" w:eastAsia="Arial" w:hAnsi="Arial"/>
          <w:sz w:val="18"/>
          <w:szCs w:val="18"/>
          <w:color w:val="auto"/>
        </w:rPr>
        <w:t xml:space="preserve"> under the “Investors” section. A nomination or proposal that does not comply with our Bylaws and/or applicable SEC rules may be excluded from our proxy materials in accordance with applicable SEC rules. Please carefully review our Bylaws and applicable SEC rules prior to submitting any nominations or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3808095</wp:posOffset>
            </wp:positionH>
            <wp:positionV relativeFrom="paragraph">
              <wp:posOffset>-415290</wp:posOffset>
            </wp:positionV>
            <wp:extent cx="3175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1750"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Other Proposals for the 2025 Annual Meeting</w:t>
      </w:r>
    </w:p>
    <w:p>
      <w:pPr>
        <w:spacing w:after="0" w:line="21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Article I, Section 1.03 of our Bylaws requires that any stockholder proposal that is not submitted for inclusion in our proxy statement, but is instead sought to be presented directly at the 2025 Annual Meeting must provide notice in writing to our Corporate Secretary, Installed Building Products, Inc., 495 South High Street, Suite 50, Columbus, Ohio 43215 no later than the close of business on December 12, 2024. If the 2025 Annual Meeting is more than 30 days before, or more than 70 days after, the anniversary of this Annual Meeting, then notice must be received no earlier than the close of business 120 days prior to the 2025 Annual Meeting and no later than the close of business 90 days prior to the 2025 Annual Meeting (or 10 days following the date on which we publicly disclose the date of the 2025 Annual Meeting). The notice must provide the information required by Article I, Section 1.03 of our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699516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70C0"/>
        </w:rPr>
        <w:t>Stockholder Proposal for the 2025 Annual Meeting</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70C0"/>
        </w:rPr>
        <w:t>80</w:t>
      </w:r>
    </w:p>
    <w:p>
      <w:pPr>
        <w:sectPr>
          <w:pgSz w:w="11900" w:h="16838" w:orient="portrait"/>
          <w:cols w:equalWidth="0" w:num="1">
            <w:col w:w="11000"/>
          </w:cols>
          <w:pgMar w:left="440" w:top="261" w:right="459"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40"/>
          <w:szCs w:val="40"/>
          <w:b w:val="1"/>
          <w:bCs w:val="1"/>
          <w:color w:val="0070C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699516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Householding of Proxy Materials</w:t>
      </w:r>
    </w:p>
    <w:p>
      <w:pPr>
        <w:spacing w:after="0" w:line="108"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We have adopted a “householding” procedure, approved by the SEC, relating to the delivery of our proxy materials, which conserves natural resources and reduces our printing and mailing costs. Under this procedure, stockholders with the same last name and address will receive only one copy of our proxy materials unless we receive instructions to the contrary from any stockholder at that address. A stockholder who wishes to receive a separate copy of our proxy materials, or wishes to stop receiving separate copies of our proxy materials, may make a request by writing to Computershare Investor Services, P.O. Box 43006, Providence, Rhode Island 02940-3006 or by calling (781) 575-3100.</w:t>
      </w:r>
    </w:p>
    <w:p>
      <w:pPr>
        <w:spacing w:after="0" w:line="17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 number of brokerage firms have also instituted householding. If you and members of your household have multiple accounts holding shares of our common stock, you may have received a householding notification from your broker, bank or other nominee. Please contact that organization if you have questions, or wish to opt in our opt out of householding.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Solicitation of Proxies</w:t>
      </w:r>
    </w:p>
    <w:p>
      <w:pPr>
        <w:spacing w:after="0" w:line="216"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Our Board of Directors is soliciting your vote for the proposals being submitted at the Annual Meeting. Solicitation is being made by mail or internet but could also be made by our directors, officers and select other employees telephonically, electronically or by other means of communication. The Company will bear the cost of soliciting proxies. Directors, officers and employees who assist in the solicitation will not be specially compensated for those services, but may be reimbursed for out-of-pocket expenses. We are requesting brokers, banks and other nominees to forward our proxy materials to beneficial owners and will reimburse them for their reasonable out-of-pocket expenses.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Incorporation by Reference</w:t>
      </w:r>
    </w:p>
    <w:p>
      <w:pPr>
        <w:spacing w:after="0" w:line="216"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The CHC Committee Report and the Audit Committee Report included in this Proxy Statement are not “soliciting material,” and are not deemed filed with the SEC. The reports shall not be deemed incorporated by reference into any of our prior or future filings made with the SEC except to the extent that we specifically incorporate such reports by reference. Any references in this Proxy Statement to website addresses are intended to provide textual references only. Information contained on our website or any other website that may be referenced herein is not incorporated into this Proxy Statement.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Forward Looking Statements</w:t>
      </w:r>
    </w:p>
    <w:p>
      <w:pPr>
        <w:spacing w:after="0" w:line="21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This Proxy Statement contains certain forward-looking statements, including with respect to the housing and commercial construction market, our operations, our ESG related initiatives, our business model, expansion of our footprint and end markets, our product diversification and our pursuit of value enhancing acquisitions. These statements are based on management’s current expectations, beliefs, estimates and projections. These statements include all matters that are not historical facts, are not guarantees and are subject to certain uncertainties and other factors, many of which are beyond our control. Please refer to our Annual Report on Form 10-K for the year ended December 31, 2023, including the sections captioned “Risk Factors” and “Information Regarding Forward-Looking Statements and Risk Factors Summary” for a description of the risks and uncertainties related to any forward-looking statements included herein. Our actual performance, including the development of any program or initiative, may differ materially in the future. Forward-looking and other statements in this Proxy Statement regarding our ESG and sustainability plans and goals are not an indication that these statements are material to investors or required to be disclosed in our filings with the SEC. Historical, current, and forward-looking ESG and sustainability-related statements may be based on standards for measuring progress that are still developing, internal controls and processes that continue to evolve, and assumptions that are subject to change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699516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70C0"/>
        </w:rPr>
        <w:t>Additional Information</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70C0"/>
        </w:rPr>
        <w:t>81</w:t>
      </w:r>
    </w:p>
    <w:p>
      <w:pPr>
        <w:sectPr>
          <w:pgSz w:w="11900" w:h="16838" w:orient="portrait"/>
          <w:cols w:equalWidth="0" w:num="1">
            <w:col w:w="11000"/>
          </w:cols>
          <w:pgMar w:left="440" w:top="261" w:right="459" w:bottom="1440" w:gutter="0" w:footer="0" w:header="0"/>
        </w:sectPr>
      </w:pPr>
    </w:p>
    <w:bookmarkStart w:id="89" w:name="page90"/>
    <w:bookmarkEnd w:id="89"/>
    <w:p>
      <w:pPr>
        <w:spacing w:after="0"/>
        <w:rPr>
          <w:sz w:val="20"/>
          <w:szCs w:val="20"/>
          <w:color w:val="auto"/>
        </w:rPr>
      </w:pPr>
      <w:r>
        <w:rPr>
          <w:rFonts w:ascii="Arial" w:cs="Arial" w:eastAsia="Arial" w:hAnsi="Arial"/>
          <w:sz w:val="22"/>
          <w:szCs w:val="22"/>
          <w:b w:val="1"/>
          <w:bCs w:val="1"/>
          <w:color w:val="00206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Availability of SEC Filings and Corporate Governance Documents</w:t>
      </w:r>
    </w:p>
    <w:p>
      <w:pPr>
        <w:spacing w:after="0" w:line="216"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 xml:space="preserve">Copies of our SEC filings on Forms 10-K, 10-Q and 8-K, and any amendments to those reports, as well as copies of our governing documents and reports of beneficial ownership of our common stock filed by our executive officers, directors and beneficial owners of more than 10% of our outstanding common stock are available on our website at </w:t>
      </w:r>
      <w:r>
        <w:rPr>
          <w:rFonts w:ascii="Arial" w:cs="Arial" w:eastAsia="Arial" w:hAnsi="Arial"/>
          <w:sz w:val="18"/>
          <w:szCs w:val="18"/>
          <w:i w:val="1"/>
          <w:iCs w:val="1"/>
          <w:u w:val="single" w:color="auto"/>
          <w:color w:val="0070C0"/>
        </w:rPr>
        <w:t>www.installedbuildingsproducts.com</w:t>
      </w:r>
      <w:r>
        <w:rPr>
          <w:rFonts w:ascii="Arial" w:cs="Arial" w:eastAsia="Arial" w:hAnsi="Arial"/>
          <w:sz w:val="18"/>
          <w:szCs w:val="18"/>
          <w:color w:val="auto"/>
        </w:rPr>
        <w:t xml:space="preserve"> under the “Investors” section. This information may also be requested at no cost by calling (614) 221-3399, by emailing </w:t>
      </w:r>
      <w:r>
        <w:rPr>
          <w:rFonts w:ascii="Arial" w:cs="Arial" w:eastAsia="Arial" w:hAnsi="Arial"/>
          <w:sz w:val="18"/>
          <w:szCs w:val="18"/>
          <w:i w:val="1"/>
          <w:iCs w:val="1"/>
          <w:u w:val="single" w:color="auto"/>
          <w:color w:val="0070C0"/>
        </w:rPr>
        <w:t>InvestorRelations@installed.net</w:t>
      </w:r>
      <w:r>
        <w:rPr>
          <w:rFonts w:ascii="Arial" w:cs="Arial" w:eastAsia="Arial" w:hAnsi="Arial"/>
          <w:sz w:val="18"/>
          <w:szCs w:val="18"/>
          <w:i w:val="1"/>
          <w:iCs w:val="1"/>
          <w:color w:val="0070C0"/>
        </w:rPr>
        <w:t xml:space="preserve"> </w:t>
      </w:r>
      <w:r>
        <w:rPr>
          <w:rFonts w:ascii="Arial" w:cs="Arial" w:eastAsia="Arial" w:hAnsi="Arial"/>
          <w:sz w:val="18"/>
          <w:szCs w:val="18"/>
          <w:color w:val="000000"/>
        </w:rPr>
        <w:t>or by mailing Installed Building Products, Inc., 495 South High Street, Suite 50, Columbus, Ohio 43215,</w:t>
      </w:r>
      <w:r>
        <w:rPr>
          <w:rFonts w:ascii="Arial" w:cs="Arial" w:eastAsia="Arial" w:hAnsi="Arial"/>
          <w:sz w:val="18"/>
          <w:szCs w:val="18"/>
          <w:i w:val="1"/>
          <w:iCs w:val="1"/>
          <w:color w:val="0070C0"/>
        </w:rPr>
        <w:t xml:space="preserve"> </w:t>
      </w:r>
      <w:r>
        <w:rPr>
          <w:rFonts w:ascii="Arial" w:cs="Arial" w:eastAsia="Arial" w:hAnsi="Arial"/>
          <w:sz w:val="18"/>
          <w:szCs w:val="18"/>
          <w:color w:val="000000"/>
        </w:rPr>
        <w:t>Attention: Investor Relations.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Use of Non-GAAP Financial Measures</w:t>
      </w:r>
    </w:p>
    <w:p>
      <w:pPr>
        <w:spacing w:after="0" w:line="21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This Proxy Statement uses the financial measure of “Adjusted EBITDA,” which is not calculated in accordance with GAAP. The reasons for the use of this measure and reconciliation to the most directly comparable GAAP measure is set forth below.</w:t>
      </w:r>
    </w:p>
    <w:p>
      <w:pPr>
        <w:spacing w:after="0" w:line="154" w:lineRule="exact"/>
        <w:rPr>
          <w:sz w:val="20"/>
          <w:szCs w:val="20"/>
          <w:color w:val="auto"/>
        </w:rPr>
      </w:pPr>
    </w:p>
    <w:p>
      <w:pPr>
        <w:ind w:right="360"/>
        <w:spacing w:after="0" w:line="247" w:lineRule="auto"/>
        <w:rPr>
          <w:sz w:val="20"/>
          <w:szCs w:val="20"/>
          <w:color w:val="auto"/>
        </w:rPr>
      </w:pPr>
      <w:r>
        <w:rPr>
          <w:rFonts w:ascii="Arial" w:cs="Arial" w:eastAsia="Arial" w:hAnsi="Arial"/>
          <w:sz w:val="18"/>
          <w:szCs w:val="18"/>
          <w:color w:val="auto"/>
        </w:rPr>
        <w:t>Adjusted EBITDA measures performance by adjusting EBITDA for certain income or expense items that are not considered part of our core operations. We believe that this measure assists both management and the CHC Committee in analyzing and benchmarking the performance and value of our business and the performance of our executive team. We use Adjusted EBITDA-based measures in determining the achievement of awards under our executive incentive compensation programs.</w:t>
      </w:r>
    </w:p>
    <w:p>
      <w:pPr>
        <w:spacing w:after="0" w:line="17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 believe the Adjusted EBITDA measure is useful to investors and to us as a measure of comparative operating performance from period to period, because it measures our changes in pricing decisions, cost controls and other factors that impact operating performance, and removes the effect of our capital structure (primarily interest expense), asset base (primarily depreciation and amortization), items outside our control (primarily income taxes) and volatility related to the timing and extent of other activities such as asset impairments and non-core income and expenses. Accordingly, we believe that this measure is useful for comparing general operating performance from period to period. Other companies may define Adjusted EBITDA differently and, as a result, our measure may not be directly comparable to measures of other companies.</w:t>
      </w:r>
    </w:p>
    <w:p>
      <w:pPr>
        <w:spacing w:after="0" w:line="216" w:lineRule="exact"/>
        <w:rPr>
          <w:sz w:val="20"/>
          <w:szCs w:val="20"/>
          <w:color w:val="auto"/>
        </w:rPr>
      </w:pPr>
    </w:p>
    <w:tbl>
      <w:tblPr>
        <w:tblLayout w:type="fixed"/>
        <w:tblInd w:w="540" w:type="dxa"/>
        <w:tblCellMar>
          <w:top w:w="0" w:type="dxa"/>
          <w:left w:w="0" w:type="dxa"/>
          <w:bottom w:w="0" w:type="dxa"/>
          <w:right w:w="0" w:type="dxa"/>
        </w:tblCellMar>
      </w:tblPr>
      <w:tr>
        <w:trPr>
          <w:trHeight w:val="189"/>
        </w:trPr>
        <w:tc>
          <w:tcPr>
            <w:tcW w:w="7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 xml:space="preserve">    </w:t>
            </w:r>
          </w:p>
        </w:tc>
        <w:tc>
          <w:tcPr>
            <w:tcW w:w="200" w:type="dxa"/>
            <w:vAlign w:val="bottom"/>
          </w:tcPr>
          <w:p>
            <w:pPr>
              <w:jc w:val="right"/>
              <w:ind w:right="23"/>
              <w:spacing w:after="0"/>
              <w:rPr>
                <w:sz w:val="20"/>
                <w:szCs w:val="20"/>
                <w:color w:val="auto"/>
              </w:rPr>
            </w:pPr>
            <w:r>
              <w:rPr>
                <w:rFonts w:ascii="Arial" w:cs="Arial" w:eastAsia="Arial" w:hAnsi="Arial"/>
                <w:sz w:val="11"/>
                <w:szCs w:val="11"/>
                <w:b w:val="1"/>
                <w:bCs w:val="1"/>
                <w:color w:val="auto"/>
                <w:w w:val="72"/>
              </w:rPr>
              <w:t> </w:t>
            </w: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 xml:space="preserve">    </w:t>
            </w:r>
          </w:p>
        </w:tc>
        <w:tc>
          <w:tcPr>
            <w:tcW w:w="180" w:type="dxa"/>
            <w:vAlign w:val="bottom"/>
          </w:tcPr>
          <w:p>
            <w:pPr>
              <w:jc w:val="right"/>
              <w:ind w:right="24"/>
              <w:spacing w:after="0"/>
              <w:rPr>
                <w:sz w:val="20"/>
                <w:szCs w:val="20"/>
                <w:color w:val="auto"/>
              </w:rPr>
            </w:pPr>
            <w:r>
              <w:rPr>
                <w:rFonts w:ascii="Arial" w:cs="Arial" w:eastAsia="Arial" w:hAnsi="Arial"/>
                <w:sz w:val="11"/>
                <w:szCs w:val="11"/>
                <w:b w:val="1"/>
                <w:bCs w:val="1"/>
                <w:color w:val="auto"/>
                <w:w w:val="72"/>
              </w:rPr>
              <w:t> </w:t>
            </w:r>
          </w:p>
        </w:tc>
        <w:tc>
          <w:tcPr>
            <w:tcW w:w="320" w:type="dxa"/>
            <w:vAlign w:val="bottom"/>
          </w:tcPr>
          <w:p>
            <w:pPr>
              <w:spacing w:after="0"/>
              <w:rPr>
                <w:sz w:val="16"/>
                <w:szCs w:val="16"/>
                <w:color w:val="auto"/>
              </w:rPr>
            </w:pPr>
          </w:p>
        </w:tc>
      </w:tr>
      <w:tr>
        <w:trPr>
          <w:trHeight w:val="210"/>
        </w:trPr>
        <w:tc>
          <w:tcPr>
            <w:tcW w:w="7320" w:type="dxa"/>
            <w:vAlign w:val="bottom"/>
            <w:tcBorders>
              <w:bottom w:val="single" w:sz="8" w:color="0070C0"/>
            </w:tcBorders>
          </w:tcPr>
          <w:p>
            <w:pPr>
              <w:spacing w:after="0"/>
              <w:rPr>
                <w:sz w:val="20"/>
                <w:szCs w:val="20"/>
                <w:color w:val="auto"/>
              </w:rPr>
            </w:pPr>
            <w:r>
              <w:rPr>
                <w:rFonts w:ascii="Arial" w:cs="Arial" w:eastAsia="Arial" w:hAnsi="Arial"/>
                <w:sz w:val="16"/>
                <w:szCs w:val="16"/>
                <w:color w:val="auto"/>
              </w:rPr>
              <w:t> ($ in millions)</w:t>
            </w:r>
          </w:p>
        </w:tc>
        <w:tc>
          <w:tcPr>
            <w:tcW w:w="1080" w:type="dxa"/>
            <w:vAlign w:val="bottom"/>
            <w:tcBorders>
              <w:bottom w:val="single" w:sz="8" w:color="0070C0"/>
            </w:tcBorders>
          </w:tcPr>
          <w:p>
            <w:pPr>
              <w:jc w:val="right"/>
              <w:spacing w:after="0"/>
              <w:rPr>
                <w:sz w:val="20"/>
                <w:szCs w:val="20"/>
                <w:color w:val="auto"/>
              </w:rPr>
            </w:pPr>
            <w:r>
              <w:rPr>
                <w:rFonts w:ascii="Arial" w:cs="Arial" w:eastAsia="Arial" w:hAnsi="Arial"/>
                <w:sz w:val="16"/>
                <w:szCs w:val="16"/>
                <w:b w:val="1"/>
                <w:bCs w:val="1"/>
                <w:color w:val="auto"/>
              </w:rPr>
              <w:t>2023 </w:t>
            </w:r>
          </w:p>
        </w:tc>
        <w:tc>
          <w:tcPr>
            <w:tcW w:w="200" w:type="dxa"/>
            <w:vAlign w:val="bottom"/>
            <w:tcBorders>
              <w:bottom w:val="single" w:sz="8" w:color="0070C0"/>
            </w:tcBorders>
          </w:tcPr>
          <w:p>
            <w:pPr>
              <w:jc w:val="right"/>
              <w:ind w:right="3"/>
              <w:spacing w:after="0"/>
              <w:rPr>
                <w:sz w:val="20"/>
                <w:szCs w:val="20"/>
                <w:color w:val="auto"/>
              </w:rPr>
            </w:pPr>
            <w:r>
              <w:rPr>
                <w:rFonts w:ascii="Arial" w:cs="Arial" w:eastAsia="Arial" w:hAnsi="Arial"/>
                <w:sz w:val="14"/>
                <w:szCs w:val="14"/>
                <w:b w:val="1"/>
                <w:bCs w:val="1"/>
                <w:color w:val="auto"/>
                <w:w w:val="71"/>
              </w:rPr>
              <w:t> </w:t>
            </w:r>
          </w:p>
        </w:tc>
        <w:tc>
          <w:tcPr>
            <w:tcW w:w="520" w:type="dxa"/>
            <w:vAlign w:val="bottom"/>
            <w:tcBorders>
              <w:bottom w:val="single" w:sz="8" w:color="0070C0"/>
            </w:tcBorders>
          </w:tcPr>
          <w:p>
            <w:pPr>
              <w:ind w:left="20"/>
              <w:spacing w:after="0"/>
              <w:rPr>
                <w:sz w:val="20"/>
                <w:szCs w:val="20"/>
                <w:color w:val="auto"/>
              </w:rPr>
            </w:pPr>
            <w:r>
              <w:rPr>
                <w:rFonts w:ascii="Arial" w:cs="Arial" w:eastAsia="Arial" w:hAnsi="Arial"/>
                <w:sz w:val="16"/>
                <w:szCs w:val="16"/>
                <w:b w:val="1"/>
                <w:bCs w:val="1"/>
                <w:color w:val="auto"/>
              </w:rPr>
              <w:t> </w:t>
            </w:r>
          </w:p>
        </w:tc>
        <w:tc>
          <w:tcPr>
            <w:tcW w:w="860" w:type="dxa"/>
            <w:vAlign w:val="bottom"/>
            <w:tcBorders>
              <w:bottom w:val="single" w:sz="8" w:color="0070C0"/>
            </w:tcBorders>
          </w:tcPr>
          <w:p>
            <w:pPr>
              <w:jc w:val="right"/>
              <w:spacing w:after="0"/>
              <w:rPr>
                <w:sz w:val="20"/>
                <w:szCs w:val="20"/>
                <w:color w:val="auto"/>
              </w:rPr>
            </w:pPr>
            <w:r>
              <w:rPr>
                <w:rFonts w:ascii="Arial" w:cs="Arial" w:eastAsia="Arial" w:hAnsi="Arial"/>
                <w:sz w:val="16"/>
                <w:szCs w:val="16"/>
                <w:b w:val="1"/>
                <w:bCs w:val="1"/>
                <w:color w:val="auto"/>
              </w:rPr>
              <w:t>2022 </w:t>
            </w:r>
          </w:p>
        </w:tc>
        <w:tc>
          <w:tcPr>
            <w:tcW w:w="180" w:type="dxa"/>
            <w:vAlign w:val="bottom"/>
            <w:tcBorders>
              <w:bottom w:val="single" w:sz="8" w:color="0070C0"/>
            </w:tcBorders>
          </w:tcPr>
          <w:p>
            <w:pPr>
              <w:jc w:val="right"/>
              <w:ind w:right="24"/>
              <w:spacing w:after="0"/>
              <w:rPr>
                <w:sz w:val="20"/>
                <w:szCs w:val="20"/>
                <w:color w:val="auto"/>
              </w:rPr>
            </w:pPr>
            <w:r>
              <w:rPr>
                <w:rFonts w:ascii="Arial" w:cs="Arial" w:eastAsia="Arial" w:hAnsi="Arial"/>
                <w:sz w:val="11"/>
                <w:szCs w:val="11"/>
                <w:b w:val="1"/>
                <w:bCs w:val="1"/>
                <w:color w:val="auto"/>
                <w:w w:val="72"/>
              </w:rPr>
              <w:t> </w:t>
            </w:r>
          </w:p>
        </w:tc>
        <w:tc>
          <w:tcPr>
            <w:tcW w:w="320" w:type="dxa"/>
            <w:vAlign w:val="bottom"/>
            <w:tcBorders>
              <w:bottom w:val="single" w:sz="8" w:color="0070C0"/>
            </w:tcBorders>
          </w:tcPr>
          <w:p>
            <w:pPr>
              <w:ind w:left="40"/>
              <w:spacing w:after="0"/>
              <w:rPr>
                <w:sz w:val="20"/>
                <w:szCs w:val="20"/>
                <w:color w:val="auto"/>
              </w:rPr>
            </w:pPr>
            <w:r>
              <w:rPr>
                <w:rFonts w:ascii="Arial" w:cs="Arial" w:eastAsia="Arial" w:hAnsi="Arial"/>
                <w:sz w:val="16"/>
                <w:szCs w:val="16"/>
                <w:b w:val="1"/>
                <w:bCs w:val="1"/>
                <w:color w:val="auto"/>
              </w:rPr>
              <w:t> </w:t>
            </w:r>
          </w:p>
        </w:tc>
      </w:tr>
      <w:tr>
        <w:trPr>
          <w:trHeight w:val="268"/>
        </w:trPr>
        <w:tc>
          <w:tcPr>
            <w:tcW w:w="7320" w:type="dxa"/>
            <w:vAlign w:val="bottom"/>
            <w:shd w:val="clear" w:color="auto" w:fill="D5DCE4"/>
          </w:tcPr>
          <w:p>
            <w:pPr>
              <w:spacing w:after="0"/>
              <w:rPr>
                <w:sz w:val="20"/>
                <w:szCs w:val="20"/>
                <w:color w:val="auto"/>
              </w:rPr>
            </w:pPr>
            <w:r>
              <w:rPr>
                <w:rFonts w:ascii="Arial" w:cs="Arial" w:eastAsia="Arial" w:hAnsi="Arial"/>
                <w:sz w:val="18"/>
                <w:szCs w:val="18"/>
                <w:b w:val="1"/>
                <w:bCs w:val="1"/>
                <w:color w:val="auto"/>
              </w:rPr>
              <w:t> Adjusted EBITDA</w:t>
            </w: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302"/>
        </w:trPr>
        <w:tc>
          <w:tcPr>
            <w:tcW w:w="7320" w:type="dxa"/>
            <w:vAlign w:val="bottom"/>
            <w:shd w:val="clear" w:color="auto" w:fill="D5DCE4"/>
          </w:tcPr>
          <w:p>
            <w:pPr>
              <w:spacing w:after="0"/>
              <w:rPr>
                <w:sz w:val="20"/>
                <w:szCs w:val="20"/>
                <w:color w:val="auto"/>
              </w:rPr>
            </w:pPr>
            <w:r>
              <w:rPr>
                <w:rFonts w:ascii="Arial" w:cs="Arial" w:eastAsia="Arial" w:hAnsi="Arial"/>
                <w:sz w:val="18"/>
                <w:szCs w:val="18"/>
                <w:color w:val="auto"/>
              </w:rPr>
              <w:t> Net income, as reported</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$243.7 </w:t>
            </w:r>
          </w:p>
        </w:tc>
        <w:tc>
          <w:tcPr>
            <w:tcW w:w="520" w:type="dxa"/>
            <w:vAlign w:val="bottom"/>
          </w:tcPr>
          <w:p>
            <w:pPr>
              <w:ind w:left="12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ind w:right="4"/>
              <w:spacing w:after="0"/>
              <w:rPr>
                <w:sz w:val="20"/>
                <w:szCs w:val="20"/>
                <w:color w:val="auto"/>
              </w:rPr>
            </w:pPr>
            <w:r>
              <w:rPr>
                <w:rFonts w:ascii="Arial" w:cs="Arial" w:eastAsia="Arial" w:hAnsi="Arial"/>
                <w:sz w:val="18"/>
                <w:szCs w:val="18"/>
                <w:color w:val="auto"/>
              </w:rPr>
              <w:t>$ 223.4 </w:t>
            </w:r>
          </w:p>
        </w:tc>
        <w:tc>
          <w:tcPr>
            <w:tcW w:w="320" w:type="dxa"/>
            <w:vAlign w:val="bottom"/>
          </w:tcPr>
          <w:p>
            <w:pPr>
              <w:ind w:left="80"/>
              <w:spacing w:after="0"/>
              <w:rPr>
                <w:sz w:val="20"/>
                <w:szCs w:val="20"/>
                <w:color w:val="auto"/>
              </w:rPr>
            </w:pPr>
            <w:r>
              <w:rPr>
                <w:rFonts w:ascii="Arial" w:cs="Arial" w:eastAsia="Arial" w:hAnsi="Arial"/>
                <w:sz w:val="18"/>
                <w:szCs w:val="18"/>
                <w:color w:val="auto"/>
              </w:rPr>
              <w:t> </w:t>
            </w:r>
          </w:p>
        </w:tc>
      </w:tr>
      <w:tr>
        <w:trPr>
          <w:trHeight w:val="311"/>
        </w:trPr>
        <w:tc>
          <w:tcPr>
            <w:tcW w:w="7320" w:type="dxa"/>
            <w:vAlign w:val="bottom"/>
            <w:shd w:val="clear" w:color="auto" w:fill="D5DCE4"/>
          </w:tcPr>
          <w:p>
            <w:pPr>
              <w:ind w:left="180"/>
              <w:spacing w:after="0"/>
              <w:rPr>
                <w:sz w:val="20"/>
                <w:szCs w:val="20"/>
                <w:color w:val="auto"/>
              </w:rPr>
            </w:pPr>
            <w:r>
              <w:rPr>
                <w:rFonts w:ascii="Arial" w:cs="Arial" w:eastAsia="Arial" w:hAnsi="Arial"/>
                <w:sz w:val="18"/>
                <w:szCs w:val="18"/>
                <w:color w:val="auto"/>
              </w:rPr>
              <w:t>Interest expense</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37.0 </w:t>
            </w:r>
          </w:p>
        </w:tc>
        <w:tc>
          <w:tcPr>
            <w:tcW w:w="520" w:type="dxa"/>
            <w:vAlign w:val="bottom"/>
          </w:tcPr>
          <w:p>
            <w:pPr>
              <w:ind w:left="12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ind w:right="4"/>
              <w:spacing w:after="0"/>
              <w:rPr>
                <w:sz w:val="20"/>
                <w:szCs w:val="20"/>
                <w:color w:val="auto"/>
              </w:rPr>
            </w:pPr>
            <w:r>
              <w:rPr>
                <w:rFonts w:ascii="Arial" w:cs="Arial" w:eastAsia="Arial" w:hAnsi="Arial"/>
                <w:sz w:val="18"/>
                <w:szCs w:val="18"/>
                <w:color w:val="auto"/>
              </w:rPr>
              <w:t>41.6 </w:t>
            </w:r>
          </w:p>
        </w:tc>
        <w:tc>
          <w:tcPr>
            <w:tcW w:w="320" w:type="dxa"/>
            <w:vAlign w:val="bottom"/>
          </w:tcPr>
          <w:p>
            <w:pPr>
              <w:ind w:left="80"/>
              <w:spacing w:after="0"/>
              <w:rPr>
                <w:sz w:val="20"/>
                <w:szCs w:val="20"/>
                <w:color w:val="auto"/>
              </w:rPr>
            </w:pPr>
            <w:r>
              <w:rPr>
                <w:rFonts w:ascii="Arial" w:cs="Arial" w:eastAsia="Arial" w:hAnsi="Arial"/>
                <w:sz w:val="18"/>
                <w:szCs w:val="18"/>
                <w:color w:val="auto"/>
              </w:rPr>
              <w:t> </w:t>
            </w:r>
          </w:p>
        </w:tc>
      </w:tr>
      <w:tr>
        <w:trPr>
          <w:trHeight w:val="310"/>
        </w:trPr>
        <w:tc>
          <w:tcPr>
            <w:tcW w:w="7320" w:type="dxa"/>
            <w:vAlign w:val="bottom"/>
            <w:shd w:val="clear" w:color="auto" w:fill="D5DCE4"/>
          </w:tcPr>
          <w:p>
            <w:pPr>
              <w:ind w:left="180"/>
              <w:spacing w:after="0"/>
              <w:rPr>
                <w:sz w:val="20"/>
                <w:szCs w:val="20"/>
                <w:color w:val="auto"/>
              </w:rPr>
            </w:pPr>
            <w:r>
              <w:rPr>
                <w:rFonts w:ascii="Arial" w:cs="Arial" w:eastAsia="Arial" w:hAnsi="Arial"/>
                <w:sz w:val="18"/>
                <w:szCs w:val="18"/>
                <w:color w:val="auto"/>
              </w:rPr>
              <w:t>Provision for income tax</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89.4 </w:t>
            </w:r>
          </w:p>
        </w:tc>
        <w:tc>
          <w:tcPr>
            <w:tcW w:w="520" w:type="dxa"/>
            <w:vAlign w:val="bottom"/>
          </w:tcPr>
          <w:p>
            <w:pPr>
              <w:ind w:left="12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ind w:right="4"/>
              <w:spacing w:after="0"/>
              <w:rPr>
                <w:sz w:val="20"/>
                <w:szCs w:val="20"/>
                <w:color w:val="auto"/>
              </w:rPr>
            </w:pPr>
            <w:r>
              <w:rPr>
                <w:rFonts w:ascii="Arial" w:cs="Arial" w:eastAsia="Arial" w:hAnsi="Arial"/>
                <w:sz w:val="18"/>
                <w:szCs w:val="18"/>
                <w:color w:val="auto"/>
              </w:rPr>
              <w:t>79.9 </w:t>
            </w:r>
          </w:p>
        </w:tc>
        <w:tc>
          <w:tcPr>
            <w:tcW w:w="320" w:type="dxa"/>
            <w:vAlign w:val="bottom"/>
          </w:tcPr>
          <w:p>
            <w:pPr>
              <w:ind w:left="80"/>
              <w:spacing w:after="0"/>
              <w:rPr>
                <w:sz w:val="20"/>
                <w:szCs w:val="20"/>
                <w:color w:val="auto"/>
              </w:rPr>
            </w:pPr>
            <w:r>
              <w:rPr>
                <w:rFonts w:ascii="Arial" w:cs="Arial" w:eastAsia="Arial" w:hAnsi="Arial"/>
                <w:sz w:val="18"/>
                <w:szCs w:val="18"/>
                <w:color w:val="auto"/>
              </w:rPr>
              <w:t> </w:t>
            </w:r>
          </w:p>
        </w:tc>
      </w:tr>
      <w:tr>
        <w:trPr>
          <w:trHeight w:val="310"/>
        </w:trPr>
        <w:tc>
          <w:tcPr>
            <w:tcW w:w="7320" w:type="dxa"/>
            <w:vAlign w:val="bottom"/>
            <w:shd w:val="clear" w:color="auto" w:fill="D5DCE4"/>
          </w:tcPr>
          <w:p>
            <w:pPr>
              <w:ind w:left="180"/>
              <w:spacing w:after="0"/>
              <w:rPr>
                <w:sz w:val="20"/>
                <w:szCs w:val="20"/>
                <w:color w:val="auto"/>
              </w:rPr>
            </w:pPr>
            <w:r>
              <w:rPr>
                <w:rFonts w:ascii="Arial" w:cs="Arial" w:eastAsia="Arial" w:hAnsi="Arial"/>
                <w:sz w:val="18"/>
                <w:szCs w:val="18"/>
                <w:color w:val="auto"/>
              </w:rPr>
              <w:t>Depreciation and amortization</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96.7 </w:t>
            </w:r>
          </w:p>
        </w:tc>
        <w:tc>
          <w:tcPr>
            <w:tcW w:w="520" w:type="dxa"/>
            <w:vAlign w:val="bottom"/>
          </w:tcPr>
          <w:p>
            <w:pPr>
              <w:ind w:left="12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ind w:right="4"/>
              <w:spacing w:after="0"/>
              <w:rPr>
                <w:sz w:val="20"/>
                <w:szCs w:val="20"/>
                <w:color w:val="auto"/>
              </w:rPr>
            </w:pPr>
            <w:r>
              <w:rPr>
                <w:rFonts w:ascii="Arial" w:cs="Arial" w:eastAsia="Arial" w:hAnsi="Arial"/>
                <w:sz w:val="18"/>
                <w:szCs w:val="18"/>
                <w:color w:val="auto"/>
              </w:rPr>
              <w:t>91.0 </w:t>
            </w:r>
          </w:p>
        </w:tc>
        <w:tc>
          <w:tcPr>
            <w:tcW w:w="320" w:type="dxa"/>
            <w:vAlign w:val="bottom"/>
          </w:tcPr>
          <w:p>
            <w:pPr>
              <w:ind w:left="80"/>
              <w:spacing w:after="0"/>
              <w:rPr>
                <w:sz w:val="20"/>
                <w:szCs w:val="20"/>
                <w:color w:val="auto"/>
              </w:rPr>
            </w:pPr>
            <w:r>
              <w:rPr>
                <w:rFonts w:ascii="Arial" w:cs="Arial" w:eastAsia="Arial" w:hAnsi="Arial"/>
                <w:sz w:val="18"/>
                <w:szCs w:val="18"/>
                <w:color w:val="auto"/>
              </w:rPr>
              <w:t> </w:t>
            </w:r>
          </w:p>
        </w:tc>
      </w:tr>
      <w:tr>
        <w:trPr>
          <w:trHeight w:val="37"/>
        </w:trPr>
        <w:tc>
          <w:tcPr>
            <w:tcW w:w="7320" w:type="dxa"/>
            <w:vAlign w:val="bottom"/>
            <w:tcBorders>
              <w:bottom w:val="single" w:sz="8" w:color="D5DCE4"/>
            </w:tcBorders>
            <w:shd w:val="clear" w:color="auto" w:fill="D5DCE4"/>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r>
      <w:tr>
        <w:trPr>
          <w:trHeight w:val="254"/>
        </w:trPr>
        <w:tc>
          <w:tcPr>
            <w:tcW w:w="7320" w:type="dxa"/>
            <w:vAlign w:val="bottom"/>
            <w:shd w:val="clear" w:color="auto" w:fill="D5DCE4"/>
          </w:tcPr>
          <w:p>
            <w:pPr>
              <w:spacing w:after="0"/>
              <w:rPr>
                <w:sz w:val="20"/>
                <w:szCs w:val="20"/>
                <w:color w:val="auto"/>
              </w:rPr>
            </w:pPr>
            <w:r>
              <w:rPr>
                <w:rFonts w:ascii="Arial" w:cs="Arial" w:eastAsia="Arial" w:hAnsi="Arial"/>
                <w:sz w:val="18"/>
                <w:szCs w:val="18"/>
                <w:color w:val="auto"/>
              </w:rPr>
              <w:t> EBITDA</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466.8 </w:t>
            </w:r>
          </w:p>
        </w:tc>
        <w:tc>
          <w:tcPr>
            <w:tcW w:w="520" w:type="dxa"/>
            <w:vAlign w:val="bottom"/>
          </w:tcPr>
          <w:p>
            <w:pPr>
              <w:ind w:left="12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ind w:right="4"/>
              <w:spacing w:after="0"/>
              <w:rPr>
                <w:sz w:val="20"/>
                <w:szCs w:val="20"/>
                <w:color w:val="auto"/>
              </w:rPr>
            </w:pPr>
            <w:r>
              <w:rPr>
                <w:rFonts w:ascii="Arial" w:cs="Arial" w:eastAsia="Arial" w:hAnsi="Arial"/>
                <w:sz w:val="18"/>
                <w:szCs w:val="18"/>
                <w:color w:val="auto"/>
              </w:rPr>
              <w:t>435.9 </w:t>
            </w:r>
          </w:p>
        </w:tc>
        <w:tc>
          <w:tcPr>
            <w:tcW w:w="320" w:type="dxa"/>
            <w:vAlign w:val="bottom"/>
          </w:tcPr>
          <w:p>
            <w:pPr>
              <w:ind w:left="80"/>
              <w:spacing w:after="0"/>
              <w:rPr>
                <w:sz w:val="20"/>
                <w:szCs w:val="20"/>
                <w:color w:val="auto"/>
              </w:rPr>
            </w:pPr>
            <w:r>
              <w:rPr>
                <w:rFonts w:ascii="Arial" w:cs="Arial" w:eastAsia="Arial" w:hAnsi="Arial"/>
                <w:sz w:val="18"/>
                <w:szCs w:val="18"/>
                <w:color w:val="auto"/>
              </w:rPr>
              <w:t> </w:t>
            </w:r>
          </w:p>
        </w:tc>
      </w:tr>
      <w:tr>
        <w:trPr>
          <w:trHeight w:val="37"/>
        </w:trPr>
        <w:tc>
          <w:tcPr>
            <w:tcW w:w="7320" w:type="dxa"/>
            <w:vAlign w:val="bottom"/>
            <w:tcBorders>
              <w:bottom w:val="single" w:sz="8" w:color="D5DCE4"/>
            </w:tcBorders>
            <w:shd w:val="clear" w:color="auto" w:fill="D5DCE4"/>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r>
      <w:tr>
        <w:trPr>
          <w:trHeight w:val="254"/>
        </w:trPr>
        <w:tc>
          <w:tcPr>
            <w:tcW w:w="7320" w:type="dxa"/>
            <w:vAlign w:val="bottom"/>
            <w:shd w:val="clear" w:color="auto" w:fill="D5DCE4"/>
          </w:tcPr>
          <w:p>
            <w:pPr>
              <w:ind w:left="180"/>
              <w:spacing w:after="0"/>
              <w:rPr>
                <w:sz w:val="20"/>
                <w:szCs w:val="20"/>
                <w:color w:val="auto"/>
              </w:rPr>
            </w:pPr>
            <w:r>
              <w:rPr>
                <w:rFonts w:ascii="Arial" w:cs="Arial" w:eastAsia="Arial" w:hAnsi="Arial"/>
                <w:sz w:val="18"/>
                <w:szCs w:val="18"/>
                <w:color w:val="auto"/>
              </w:rPr>
              <w:t>Acquisition related expenses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520" w:type="dxa"/>
            <w:vAlign w:val="bottom"/>
          </w:tcPr>
          <w:p>
            <w:pPr>
              <w:ind w:left="12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ind w:right="4"/>
              <w:spacing w:after="0"/>
              <w:rPr>
                <w:sz w:val="20"/>
                <w:szCs w:val="20"/>
                <w:color w:val="auto"/>
              </w:rPr>
            </w:pPr>
            <w:r>
              <w:rPr>
                <w:rFonts w:ascii="Arial" w:cs="Arial" w:eastAsia="Arial" w:hAnsi="Arial"/>
                <w:sz w:val="18"/>
                <w:szCs w:val="18"/>
                <w:color w:val="auto"/>
              </w:rPr>
              <w:t>3.0 </w:t>
            </w:r>
          </w:p>
        </w:tc>
        <w:tc>
          <w:tcPr>
            <w:tcW w:w="320" w:type="dxa"/>
            <w:vAlign w:val="bottom"/>
          </w:tcPr>
          <w:p>
            <w:pPr>
              <w:ind w:left="80"/>
              <w:spacing w:after="0"/>
              <w:rPr>
                <w:sz w:val="20"/>
                <w:szCs w:val="20"/>
                <w:color w:val="auto"/>
              </w:rPr>
            </w:pPr>
            <w:r>
              <w:rPr>
                <w:rFonts w:ascii="Arial" w:cs="Arial" w:eastAsia="Arial" w:hAnsi="Arial"/>
                <w:sz w:val="18"/>
                <w:szCs w:val="18"/>
                <w:color w:val="auto"/>
              </w:rPr>
              <w:t> </w:t>
            </w:r>
          </w:p>
        </w:tc>
      </w:tr>
      <w:tr>
        <w:trPr>
          <w:trHeight w:val="310"/>
        </w:trPr>
        <w:tc>
          <w:tcPr>
            <w:tcW w:w="7320" w:type="dxa"/>
            <w:vAlign w:val="bottom"/>
            <w:shd w:val="clear" w:color="auto" w:fill="D5DCE4"/>
          </w:tcPr>
          <w:p>
            <w:pPr>
              <w:ind w:left="180"/>
              <w:spacing w:after="0"/>
              <w:rPr>
                <w:sz w:val="20"/>
                <w:szCs w:val="20"/>
                <w:color w:val="auto"/>
              </w:rPr>
            </w:pPr>
            <w:r>
              <w:rPr>
                <w:rFonts w:ascii="Arial" w:cs="Arial" w:eastAsia="Arial" w:hAnsi="Arial"/>
                <w:sz w:val="18"/>
                <w:szCs w:val="18"/>
                <w:color w:val="auto"/>
              </w:rPr>
              <w:t>Gains on acquisition earnout</w:t>
            </w:r>
          </w:p>
        </w:tc>
        <w:tc>
          <w:tcPr>
            <w:tcW w:w="10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 xml:space="preserve">- </w:t>
            </w:r>
          </w:p>
        </w:tc>
        <w:tc>
          <w:tcPr>
            <w:tcW w:w="520" w:type="dxa"/>
            <w:vAlign w:val="bottom"/>
          </w:tcPr>
          <w:p>
            <w:pPr>
              <w:ind w:left="12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ind w:right="4"/>
              <w:spacing w:after="0"/>
              <w:rPr>
                <w:sz w:val="20"/>
                <w:szCs w:val="20"/>
                <w:color w:val="auto"/>
              </w:rPr>
            </w:pPr>
            <w:r>
              <w:rPr>
                <w:rFonts w:ascii="Arial" w:cs="Arial" w:eastAsia="Arial" w:hAnsi="Arial"/>
                <w:sz w:val="18"/>
                <w:szCs w:val="18"/>
                <w:color w:val="auto"/>
              </w:rPr>
              <w:t xml:space="preserve">(16.1) </w:t>
            </w:r>
          </w:p>
        </w:tc>
        <w:tc>
          <w:tcPr>
            <w:tcW w:w="320" w:type="dxa"/>
            <w:vAlign w:val="bottom"/>
          </w:tcPr>
          <w:p>
            <w:pPr>
              <w:ind w:left="80"/>
              <w:spacing w:after="0"/>
              <w:rPr>
                <w:sz w:val="20"/>
                <w:szCs w:val="20"/>
                <w:color w:val="auto"/>
              </w:rPr>
            </w:pPr>
            <w:r>
              <w:rPr>
                <w:rFonts w:ascii="Arial" w:cs="Arial" w:eastAsia="Arial" w:hAnsi="Arial"/>
                <w:sz w:val="18"/>
                <w:szCs w:val="18"/>
                <w:color w:val="auto"/>
              </w:rPr>
              <w:t> </w:t>
            </w:r>
          </w:p>
        </w:tc>
      </w:tr>
      <w:tr>
        <w:trPr>
          <w:trHeight w:val="310"/>
        </w:trPr>
        <w:tc>
          <w:tcPr>
            <w:tcW w:w="7320" w:type="dxa"/>
            <w:vAlign w:val="bottom"/>
            <w:shd w:val="clear" w:color="auto" w:fill="D5DCE4"/>
          </w:tcPr>
          <w:p>
            <w:pPr>
              <w:ind w:left="180"/>
              <w:spacing w:after="0"/>
              <w:rPr>
                <w:sz w:val="20"/>
                <w:szCs w:val="20"/>
                <w:color w:val="auto"/>
              </w:rPr>
            </w:pPr>
            <w:r>
              <w:rPr>
                <w:rFonts w:ascii="Arial" w:cs="Arial" w:eastAsia="Arial" w:hAnsi="Arial"/>
                <w:sz w:val="18"/>
                <w:szCs w:val="18"/>
                <w:color w:val="auto"/>
              </w:rPr>
              <w:t>Share based compensation expense</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15.9 </w:t>
            </w:r>
          </w:p>
        </w:tc>
        <w:tc>
          <w:tcPr>
            <w:tcW w:w="520" w:type="dxa"/>
            <w:vAlign w:val="bottom"/>
          </w:tcPr>
          <w:p>
            <w:pPr>
              <w:ind w:left="12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ind w:right="4"/>
              <w:spacing w:after="0"/>
              <w:rPr>
                <w:sz w:val="20"/>
                <w:szCs w:val="20"/>
                <w:color w:val="auto"/>
              </w:rPr>
            </w:pPr>
            <w:r>
              <w:rPr>
                <w:rFonts w:ascii="Arial" w:cs="Arial" w:eastAsia="Arial" w:hAnsi="Arial"/>
                <w:sz w:val="18"/>
                <w:szCs w:val="18"/>
                <w:color w:val="auto"/>
              </w:rPr>
              <w:t>  13.8 </w:t>
            </w:r>
          </w:p>
        </w:tc>
        <w:tc>
          <w:tcPr>
            <w:tcW w:w="320" w:type="dxa"/>
            <w:vAlign w:val="bottom"/>
          </w:tcPr>
          <w:p>
            <w:pPr>
              <w:ind w:left="80"/>
              <w:spacing w:after="0"/>
              <w:rPr>
                <w:sz w:val="20"/>
                <w:szCs w:val="20"/>
                <w:color w:val="auto"/>
              </w:rPr>
            </w:pPr>
            <w:r>
              <w:rPr>
                <w:rFonts w:ascii="Arial" w:cs="Arial" w:eastAsia="Arial" w:hAnsi="Arial"/>
                <w:sz w:val="18"/>
                <w:szCs w:val="18"/>
                <w:color w:val="auto"/>
              </w:rPr>
              <w:t> </w:t>
            </w:r>
          </w:p>
        </w:tc>
      </w:tr>
      <w:tr>
        <w:trPr>
          <w:trHeight w:val="311"/>
        </w:trPr>
        <w:tc>
          <w:tcPr>
            <w:tcW w:w="7320" w:type="dxa"/>
            <w:vAlign w:val="bottom"/>
            <w:shd w:val="clear" w:color="auto" w:fill="D5DCE4"/>
          </w:tcPr>
          <w:p>
            <w:pPr>
              <w:ind w:left="180"/>
              <w:spacing w:after="0"/>
              <w:rPr>
                <w:sz w:val="20"/>
                <w:szCs w:val="20"/>
                <w:color w:val="auto"/>
              </w:rPr>
            </w:pPr>
            <w:r>
              <w:rPr>
                <w:rFonts w:ascii="Arial" w:cs="Arial" w:eastAsia="Arial" w:hAnsi="Arial"/>
                <w:sz w:val="18"/>
                <w:szCs w:val="18"/>
                <w:color w:val="auto"/>
              </w:rPr>
              <w:t>COVID-19 expenses(1)</w:t>
            </w:r>
          </w:p>
        </w:tc>
        <w:tc>
          <w:tcPr>
            <w:tcW w:w="10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 xml:space="preserve">- </w:t>
            </w:r>
          </w:p>
        </w:tc>
        <w:tc>
          <w:tcPr>
            <w:tcW w:w="520" w:type="dxa"/>
            <w:vAlign w:val="bottom"/>
          </w:tcPr>
          <w:p>
            <w:pPr>
              <w:ind w:left="12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ind w:right="4"/>
              <w:spacing w:after="0"/>
              <w:rPr>
                <w:sz w:val="20"/>
                <w:szCs w:val="20"/>
                <w:color w:val="auto"/>
              </w:rPr>
            </w:pPr>
            <w:r>
              <w:rPr>
                <w:rFonts w:ascii="Arial" w:cs="Arial" w:eastAsia="Arial" w:hAnsi="Arial"/>
                <w:sz w:val="18"/>
                <w:szCs w:val="18"/>
                <w:color w:val="auto"/>
              </w:rPr>
              <w:t>0.3 </w:t>
            </w:r>
          </w:p>
        </w:tc>
        <w:tc>
          <w:tcPr>
            <w:tcW w:w="320" w:type="dxa"/>
            <w:vAlign w:val="bottom"/>
          </w:tcPr>
          <w:p>
            <w:pPr>
              <w:ind w:left="80"/>
              <w:spacing w:after="0"/>
              <w:rPr>
                <w:sz w:val="20"/>
                <w:szCs w:val="20"/>
                <w:color w:val="auto"/>
              </w:rPr>
            </w:pPr>
            <w:r>
              <w:rPr>
                <w:rFonts w:ascii="Arial" w:cs="Arial" w:eastAsia="Arial" w:hAnsi="Arial"/>
                <w:sz w:val="18"/>
                <w:szCs w:val="18"/>
                <w:color w:val="auto"/>
              </w:rPr>
              <w:t> </w:t>
            </w:r>
          </w:p>
        </w:tc>
      </w:tr>
      <w:tr>
        <w:trPr>
          <w:trHeight w:val="310"/>
        </w:trPr>
        <w:tc>
          <w:tcPr>
            <w:tcW w:w="7320" w:type="dxa"/>
            <w:vAlign w:val="bottom"/>
            <w:shd w:val="clear" w:color="auto" w:fill="D5DCE4"/>
          </w:tcPr>
          <w:p>
            <w:pPr>
              <w:ind w:left="180"/>
              <w:spacing w:after="0"/>
              <w:rPr>
                <w:sz w:val="20"/>
                <w:szCs w:val="20"/>
                <w:color w:val="auto"/>
              </w:rPr>
            </w:pPr>
            <w:r>
              <w:rPr>
                <w:rFonts w:ascii="Arial" w:cs="Arial" w:eastAsia="Arial" w:hAnsi="Arial"/>
                <w:sz w:val="18"/>
                <w:szCs w:val="18"/>
                <w:color w:val="auto"/>
              </w:rPr>
              <w:t>Legal reserve</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520" w:type="dxa"/>
            <w:vAlign w:val="bottom"/>
          </w:tcPr>
          <w:p>
            <w:pPr>
              <w:ind w:left="12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ind w:right="4"/>
              <w:spacing w:after="0"/>
              <w:rPr>
                <w:sz w:val="20"/>
                <w:szCs w:val="20"/>
                <w:color w:val="auto"/>
              </w:rPr>
            </w:pPr>
            <w:r>
              <w:rPr>
                <w:rFonts w:ascii="Arial" w:cs="Arial" w:eastAsia="Arial" w:hAnsi="Arial"/>
                <w:sz w:val="18"/>
                <w:szCs w:val="18"/>
                <w:color w:val="auto"/>
              </w:rPr>
              <w:t>2.3 </w:t>
            </w:r>
          </w:p>
        </w:tc>
        <w:tc>
          <w:tcPr>
            <w:tcW w:w="320" w:type="dxa"/>
            <w:vAlign w:val="bottom"/>
          </w:tcPr>
          <w:p>
            <w:pPr>
              <w:ind w:left="80"/>
              <w:spacing w:after="0"/>
              <w:rPr>
                <w:sz w:val="20"/>
                <w:szCs w:val="20"/>
                <w:color w:val="auto"/>
              </w:rPr>
            </w:pPr>
            <w:r>
              <w:rPr>
                <w:rFonts w:ascii="Arial" w:cs="Arial" w:eastAsia="Arial" w:hAnsi="Arial"/>
                <w:sz w:val="18"/>
                <w:szCs w:val="18"/>
                <w:color w:val="auto"/>
              </w:rPr>
              <w:t> </w:t>
            </w:r>
          </w:p>
        </w:tc>
      </w:tr>
      <w:tr>
        <w:trPr>
          <w:trHeight w:val="37"/>
        </w:trPr>
        <w:tc>
          <w:tcPr>
            <w:tcW w:w="7320" w:type="dxa"/>
            <w:vAlign w:val="bottom"/>
            <w:tcBorders>
              <w:bottom w:val="single" w:sz="8" w:color="D5DCE4"/>
            </w:tcBorders>
            <w:shd w:val="clear" w:color="auto" w:fill="D5DCE4"/>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r>
      <w:tr>
        <w:trPr>
          <w:trHeight w:val="270"/>
        </w:trPr>
        <w:tc>
          <w:tcPr>
            <w:tcW w:w="7320" w:type="dxa"/>
            <w:vAlign w:val="bottom"/>
            <w:tcBorders>
              <w:bottom w:val="single" w:sz="8" w:color="D5DCE4"/>
            </w:tcBorders>
            <w:shd w:val="clear" w:color="auto" w:fill="D5DCE4"/>
          </w:tcPr>
          <w:p>
            <w:pPr>
              <w:spacing w:after="0"/>
              <w:rPr>
                <w:sz w:val="20"/>
                <w:szCs w:val="20"/>
                <w:color w:val="auto"/>
              </w:rPr>
            </w:pPr>
            <w:r>
              <w:rPr>
                <w:rFonts w:ascii="Arial" w:cs="Arial" w:eastAsia="Arial" w:hAnsi="Arial"/>
                <w:sz w:val="18"/>
                <w:szCs w:val="18"/>
                <w:color w:val="auto"/>
              </w:rPr>
              <w:t> Adjusted EBITDA</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$485.9 </w:t>
            </w:r>
          </w:p>
        </w:tc>
        <w:tc>
          <w:tcPr>
            <w:tcW w:w="520" w:type="dxa"/>
            <w:vAlign w:val="bottom"/>
          </w:tcPr>
          <w:p>
            <w:pPr>
              <w:ind w:left="12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ind w:right="4"/>
              <w:spacing w:after="0"/>
              <w:rPr>
                <w:sz w:val="20"/>
                <w:szCs w:val="20"/>
                <w:color w:val="auto"/>
              </w:rPr>
            </w:pPr>
            <w:r>
              <w:rPr>
                <w:rFonts w:ascii="Arial" w:cs="Arial" w:eastAsia="Arial" w:hAnsi="Arial"/>
                <w:sz w:val="18"/>
                <w:szCs w:val="18"/>
                <w:color w:val="auto"/>
              </w:rPr>
              <w:t>$ 439.2 </w:t>
            </w:r>
          </w:p>
        </w:tc>
        <w:tc>
          <w:tcPr>
            <w:tcW w:w="320" w:type="dxa"/>
            <w:vAlign w:val="bottom"/>
          </w:tcPr>
          <w:p>
            <w:pPr>
              <w:ind w:left="80"/>
              <w:spacing w:after="0"/>
              <w:rPr>
                <w:sz w:val="20"/>
                <w:szCs w:val="20"/>
                <w:color w:val="auto"/>
              </w:rPr>
            </w:pPr>
            <w:r>
              <w:rPr>
                <w:rFonts w:ascii="Arial" w:cs="Arial" w:eastAsia="Arial" w:hAnsi="Arial"/>
                <w:sz w:val="18"/>
                <w:szCs w:val="18"/>
                <w:color w:val="auto"/>
              </w:rPr>
              <w:t> </w:t>
            </w:r>
          </w:p>
        </w:tc>
      </w:tr>
      <w:tr>
        <w:trPr>
          <w:trHeight w:val="27"/>
        </w:trPr>
        <w:tc>
          <w:tcPr>
            <w:tcW w:w="7320" w:type="dxa"/>
            <w:vAlign w:val="bottom"/>
            <w:shd w:val="clear" w:color="auto" w:fill="0070C0"/>
          </w:tcPr>
          <w:p>
            <w:pPr>
              <w:spacing w:after="0"/>
              <w:rPr>
                <w:sz w:val="2"/>
                <w:szCs w:val="2"/>
                <w:color w:val="auto"/>
              </w:rPr>
            </w:pPr>
          </w:p>
        </w:tc>
        <w:tc>
          <w:tcPr>
            <w:tcW w:w="1080" w:type="dxa"/>
            <w:vAlign w:val="bottom"/>
            <w:shd w:val="clear" w:color="auto" w:fill="0070C0"/>
          </w:tcPr>
          <w:p>
            <w:pPr>
              <w:spacing w:after="0"/>
              <w:rPr>
                <w:sz w:val="2"/>
                <w:szCs w:val="2"/>
                <w:color w:val="auto"/>
              </w:rPr>
            </w:pPr>
          </w:p>
        </w:tc>
        <w:tc>
          <w:tcPr>
            <w:tcW w:w="200" w:type="dxa"/>
            <w:vAlign w:val="bottom"/>
            <w:shd w:val="clear" w:color="auto" w:fill="0070C0"/>
          </w:tcPr>
          <w:p>
            <w:pPr>
              <w:spacing w:after="0"/>
              <w:rPr>
                <w:sz w:val="2"/>
                <w:szCs w:val="2"/>
                <w:color w:val="auto"/>
              </w:rPr>
            </w:pPr>
          </w:p>
        </w:tc>
        <w:tc>
          <w:tcPr>
            <w:tcW w:w="520" w:type="dxa"/>
            <w:vAlign w:val="bottom"/>
            <w:shd w:val="clear" w:color="auto" w:fill="0070C0"/>
          </w:tcPr>
          <w:p>
            <w:pPr>
              <w:spacing w:after="0"/>
              <w:rPr>
                <w:sz w:val="2"/>
                <w:szCs w:val="2"/>
                <w:color w:val="auto"/>
              </w:rPr>
            </w:pPr>
          </w:p>
        </w:tc>
        <w:tc>
          <w:tcPr>
            <w:tcW w:w="860" w:type="dxa"/>
            <w:vAlign w:val="bottom"/>
            <w:shd w:val="clear" w:color="auto" w:fill="0070C0"/>
          </w:tcPr>
          <w:p>
            <w:pPr>
              <w:spacing w:after="0"/>
              <w:rPr>
                <w:sz w:val="2"/>
                <w:szCs w:val="2"/>
                <w:color w:val="auto"/>
              </w:rPr>
            </w:pPr>
          </w:p>
        </w:tc>
        <w:tc>
          <w:tcPr>
            <w:tcW w:w="180" w:type="dxa"/>
            <w:vAlign w:val="bottom"/>
            <w:shd w:val="clear" w:color="auto" w:fill="0070C0"/>
          </w:tcPr>
          <w:p>
            <w:pPr>
              <w:spacing w:after="0"/>
              <w:rPr>
                <w:sz w:val="2"/>
                <w:szCs w:val="2"/>
                <w:color w:val="auto"/>
              </w:rPr>
            </w:pPr>
          </w:p>
        </w:tc>
        <w:tc>
          <w:tcPr>
            <w:tcW w:w="320" w:type="dxa"/>
            <w:vAlign w:val="bottom"/>
            <w:shd w:val="clear" w:color="auto" w:fill="0070C0"/>
          </w:tcPr>
          <w:p>
            <w:pPr>
              <w:spacing w:after="0"/>
              <w:rPr>
                <w:sz w:val="2"/>
                <w:szCs w:val="2"/>
                <w:color w:val="auto"/>
              </w:rPr>
            </w:pPr>
          </w:p>
        </w:tc>
      </w:tr>
    </w:tbl>
    <w:p>
      <w:pPr>
        <w:spacing w:after="0" w:line="1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 Addback of employee pay, employee medical expenses and legal fees directly attributable to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699516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Additional Information</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82</w:t>
      </w:r>
    </w:p>
    <w:p>
      <w:pPr>
        <w:sectPr>
          <w:pgSz w:w="11900" w:h="16838" w:orient="portrait"/>
          <w:cols w:equalWidth="0" w:num="1">
            <w:col w:w="11020"/>
          </w:cols>
          <w:pgMar w:left="440" w:top="287" w:right="4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40"/>
          <w:szCs w:val="40"/>
          <w:b w:val="1"/>
          <w:bCs w:val="1"/>
          <w:color w:val="0070C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MEETING AND VOTING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69951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Certain of the topics below refer to “stockholders of record” or “beneficial owners.” If your shares were registered directly in your name with our transfer agent on the record date, then you are a “stockholder of record” with respect to those shares. If your shares were held in an account at a brokerage firm, bank or other nominee on the record date, then you are a “beneficial owner” of those shares.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Attending the Annual Meeting</w:t>
      </w:r>
    </w:p>
    <w:p>
      <w:pPr>
        <w:spacing w:after="0" w:line="212" w:lineRule="exact"/>
        <w:rPr>
          <w:sz w:val="20"/>
          <w:szCs w:val="20"/>
          <w:color w:val="auto"/>
        </w:rPr>
      </w:pPr>
    </w:p>
    <w:p>
      <w:pPr>
        <w:ind w:left="440" w:right="100"/>
        <w:spacing w:after="0" w:line="244" w:lineRule="auto"/>
        <w:rPr>
          <w:sz w:val="20"/>
          <w:szCs w:val="20"/>
          <w:color w:val="auto"/>
        </w:rPr>
      </w:pPr>
      <w:r>
        <w:rPr>
          <w:rFonts w:ascii="Arial" w:cs="Arial" w:eastAsia="Arial" w:hAnsi="Arial"/>
          <w:sz w:val="18"/>
          <w:szCs w:val="18"/>
          <w:color w:val="auto"/>
        </w:rPr>
        <w:t>Our Annual Meeting is conducted virtually by a live audio webcast in lieu of an in-person meeting. This format promotes stockholder participation by enabling stockholders to conveniently attend from any location. The virtual format results in cost savings to the Company and stockholders and is designed to enhance stockholder access and participation. You will be afforded the same rights and opportunities to participate in the virtual meeting as you would at an in-person meeting. You may attend and participate in the Annual Meeting in the following ways:</w:t>
      </w:r>
    </w:p>
    <w:p>
      <w:pPr>
        <w:spacing w:after="0" w:line="176" w:lineRule="exact"/>
        <w:rPr>
          <w:sz w:val="20"/>
          <w:szCs w:val="20"/>
          <w:color w:val="auto"/>
        </w:rPr>
      </w:pPr>
    </w:p>
    <w:p>
      <w:pPr>
        <w:ind w:left="440"/>
        <w:spacing w:after="0" w:line="253" w:lineRule="auto"/>
        <w:rPr>
          <w:sz w:val="20"/>
          <w:szCs w:val="20"/>
          <w:color w:val="auto"/>
        </w:rPr>
      </w:pPr>
      <w:r>
        <w:rPr>
          <w:rFonts w:ascii="Arial" w:cs="Arial" w:eastAsia="Arial" w:hAnsi="Arial"/>
          <w:sz w:val="18"/>
          <w:szCs w:val="18"/>
          <w:i w:val="1"/>
          <w:iCs w:val="1"/>
          <w:u w:val="single" w:color="auto"/>
          <w:color w:val="auto"/>
        </w:rPr>
        <w:t>Stockholders of Record</w:t>
      </w:r>
      <w:r>
        <w:rPr>
          <w:rFonts w:ascii="Arial" w:cs="Arial" w:eastAsia="Arial" w:hAnsi="Arial"/>
          <w:sz w:val="18"/>
          <w:szCs w:val="18"/>
          <w:color w:val="auto"/>
        </w:rPr>
        <w:t>. You can listen to the Annual Meeting, submit questions and vote by going to</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0070C0"/>
        </w:rPr>
        <w:t>https://meetnow.global/MJUTAUG</w:t>
      </w:r>
      <w:r>
        <w:rPr>
          <w:rFonts w:ascii="Arial" w:cs="Arial" w:eastAsia="Arial" w:hAnsi="Arial"/>
          <w:sz w:val="18"/>
          <w:szCs w:val="18"/>
          <w:color w:val="000000"/>
        </w:rPr>
        <w:t>, clicking on “Join Meeting Now” and entering under the stockholder tab the 15-digit control number</w:t>
      </w:r>
      <w:r>
        <w:rPr>
          <w:rFonts w:ascii="Arial" w:cs="Arial" w:eastAsia="Arial" w:hAnsi="Arial"/>
          <w:sz w:val="18"/>
          <w:szCs w:val="18"/>
          <w:i w:val="1"/>
          <w:iCs w:val="1"/>
          <w:color w:val="0070C0"/>
        </w:rPr>
        <w:t xml:space="preserve"> </w:t>
      </w:r>
      <w:r>
        <w:rPr>
          <w:rFonts w:ascii="Arial" w:cs="Arial" w:eastAsia="Arial" w:hAnsi="Arial"/>
          <w:sz w:val="18"/>
          <w:szCs w:val="18"/>
          <w:color w:val="000000"/>
        </w:rPr>
        <w:t>found on your proxy card.</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Beneficial Owners</w:t>
      </w:r>
      <w:r>
        <w:rPr>
          <w:rFonts w:ascii="Arial" w:cs="Arial" w:eastAsia="Arial" w:hAnsi="Arial"/>
          <w:sz w:val="18"/>
          <w:szCs w:val="18"/>
          <w:color w:val="auto"/>
        </w:rPr>
        <w:t>. You may participate in the Annual Meeting in one of two ways:</w:t>
      </w:r>
    </w:p>
    <w:p>
      <w:pPr>
        <w:spacing w:after="0" w:line="239" w:lineRule="exact"/>
        <w:rPr>
          <w:sz w:val="20"/>
          <w:szCs w:val="20"/>
          <w:color w:val="auto"/>
        </w:rPr>
      </w:pPr>
    </w:p>
    <w:p>
      <w:pPr>
        <w:ind w:left="1200" w:right="140" w:hanging="327"/>
        <w:spacing w:after="0" w:line="230" w:lineRule="auto"/>
        <w:tabs>
          <w:tab w:leader="none" w:pos="1200" w:val="left"/>
        </w:tabs>
        <w:numPr>
          <w:ilvl w:val="0"/>
          <w:numId w:val="49"/>
        </w:numPr>
        <w:rPr>
          <w:rFonts w:ascii="MS PGothic" w:cs="MS PGothic" w:eastAsia="MS PGothic" w:hAnsi="MS PGothic"/>
          <w:sz w:val="29"/>
          <w:szCs w:val="29"/>
          <w:color w:val="002060"/>
          <w:vertAlign w:val="superscript"/>
        </w:rPr>
      </w:pPr>
      <w:r>
        <w:rPr>
          <w:rFonts w:ascii="Arial" w:cs="Arial" w:eastAsia="Arial" w:hAnsi="Arial"/>
          <w:sz w:val="18"/>
          <w:szCs w:val="18"/>
          <w:color w:val="auto"/>
        </w:rPr>
        <w:t xml:space="preserve">If you wish to submit questions or vote during the Annual Meeting (rather than instructing your brokerage firm, bank or other nominee how to vote your shares), you must register in advance by providing our transfer agent, Computershare Trust Company, N.A. (“Computershare”) with your name, email address and a copy of a legal proxy from your brokerage firm, bank or other nominee reflecting your beneficial ownership. Registration requests must be in writing and mailed to Computershare Investor Services, Installed Building Products, Inc. – Legal Proxy, P.O. Box 43001, Providence, Rhode Island 02940-3001. Alternatively, you may forward a copy of the email from your broker granting you a legal proxy or forward an image of your legal proxy to legalproxy@computershare.com. Requests must be labeled “Legal Proxy” and be received no later than 5:00 p.m., Eastern Time, on May 13, 2024. You will receive an email from Computershare acknowledging your registration and providing you with a 15-digit control number. You can then listen to the Annual Meeting, submit questions and vote by going to </w:t>
      </w:r>
      <w:r>
        <w:rPr>
          <w:rFonts w:ascii="Arial" w:cs="Arial" w:eastAsia="Arial" w:hAnsi="Arial"/>
          <w:sz w:val="18"/>
          <w:szCs w:val="18"/>
          <w:i w:val="1"/>
          <w:iCs w:val="1"/>
          <w:u w:val="single" w:color="auto"/>
          <w:color w:val="0070C0"/>
        </w:rPr>
        <w:t>https://meetnow.global/MJUTAUG</w:t>
      </w:r>
      <w:r>
        <w:rPr>
          <w:rFonts w:ascii="Arial" w:cs="Arial" w:eastAsia="Arial" w:hAnsi="Arial"/>
          <w:sz w:val="18"/>
          <w:szCs w:val="18"/>
          <w:color w:val="auto"/>
        </w:rPr>
        <w:t>, clicking on “Join Meeting Now” and entering under the stockholder tab your 15-digit control number.</w:t>
      </w:r>
    </w:p>
    <w:p>
      <w:pPr>
        <w:spacing w:after="0" w:line="208" w:lineRule="exact"/>
        <w:rPr>
          <w:rFonts w:ascii="MS PGothic" w:cs="MS PGothic" w:eastAsia="MS PGothic" w:hAnsi="MS PGothic"/>
          <w:sz w:val="29"/>
          <w:szCs w:val="29"/>
          <w:color w:val="002060"/>
          <w:vertAlign w:val="superscript"/>
        </w:rPr>
      </w:pPr>
    </w:p>
    <w:p>
      <w:pPr>
        <w:ind w:left="1200" w:right="40" w:hanging="327"/>
        <w:spacing w:after="0" w:line="213" w:lineRule="auto"/>
        <w:tabs>
          <w:tab w:leader="none" w:pos="1200" w:val="left"/>
        </w:tabs>
        <w:numPr>
          <w:ilvl w:val="0"/>
          <w:numId w:val="49"/>
        </w:numPr>
        <w:rPr>
          <w:rFonts w:ascii="MS PGothic" w:cs="MS PGothic" w:eastAsia="MS PGothic" w:hAnsi="MS PGothic"/>
          <w:sz w:val="29"/>
          <w:szCs w:val="29"/>
          <w:color w:val="002060"/>
          <w:vertAlign w:val="superscript"/>
        </w:rPr>
      </w:pPr>
      <w:r>
        <w:rPr>
          <w:rFonts w:ascii="Arial" w:cs="Arial" w:eastAsia="Arial" w:hAnsi="Arial"/>
          <w:sz w:val="18"/>
          <w:szCs w:val="18"/>
          <w:color w:val="auto"/>
        </w:rPr>
        <w:t xml:space="preserve">If you wish to listen to the Annual Meeting, but do not wish to submit questions or vote during the Annual Meeting, you may go to </w:t>
      </w:r>
      <w:r>
        <w:rPr>
          <w:rFonts w:ascii="Arial" w:cs="Arial" w:eastAsia="Arial" w:hAnsi="Arial"/>
          <w:sz w:val="18"/>
          <w:szCs w:val="18"/>
          <w:i w:val="1"/>
          <w:iCs w:val="1"/>
          <w:u w:val="single" w:color="auto"/>
          <w:color w:val="0070C0"/>
        </w:rPr>
        <w:t>https://meetnow.global/MJUTAUG</w:t>
      </w:r>
      <w:r>
        <w:rPr>
          <w:rFonts w:ascii="Arial" w:cs="Arial" w:eastAsia="Arial" w:hAnsi="Arial"/>
          <w:sz w:val="18"/>
          <w:szCs w:val="18"/>
          <w:i w:val="1"/>
          <w:iCs w:val="1"/>
          <w:color w:val="auto"/>
        </w:rPr>
        <w:t>,</w:t>
      </w:r>
      <w:r>
        <w:rPr>
          <w:rFonts w:ascii="Arial" w:cs="Arial" w:eastAsia="Arial" w:hAnsi="Arial"/>
          <w:sz w:val="18"/>
          <w:szCs w:val="18"/>
          <w:color w:val="auto"/>
        </w:rPr>
        <w:t xml:space="preserve"> click on “Join Meeting Now” and then click on “Guest.”</w:t>
      </w:r>
    </w:p>
    <w:p>
      <w:pPr>
        <w:spacing w:after="0" w:line="180" w:lineRule="exact"/>
        <w:rPr>
          <w:sz w:val="20"/>
          <w:szCs w:val="20"/>
          <w:color w:val="auto"/>
        </w:rPr>
      </w:pPr>
    </w:p>
    <w:p>
      <w:pPr>
        <w:ind w:left="440" w:right="180"/>
        <w:spacing w:after="0" w:line="244" w:lineRule="auto"/>
        <w:rPr>
          <w:sz w:val="20"/>
          <w:szCs w:val="20"/>
          <w:color w:val="auto"/>
        </w:rPr>
      </w:pPr>
      <w:r>
        <w:rPr>
          <w:rFonts w:ascii="Arial" w:cs="Arial" w:eastAsia="Arial" w:hAnsi="Arial"/>
          <w:sz w:val="18"/>
          <w:szCs w:val="18"/>
          <w:color w:val="auto"/>
        </w:rPr>
        <w:t xml:space="preserve">The virtual meeting platform is fully supported across browsers (MS Edge, Firefox, Chrome and Safari) and devices (desktops, laptops, tablets and cell phones) running the most up-to-date version of applicable software and plugins. Internet Explorer is not a supported browser. Participants should ensure that they have a strong Wi-Fi connection. We encourage you to access the meeting prior to the start time. For further assistance you may call 1-888-724-2416 within the U.S. or 1-781-575-2748 outside the U.S. An audio replay of the Annual Meeting will be available at </w:t>
      </w:r>
      <w:r>
        <w:rPr>
          <w:rFonts w:ascii="Arial" w:cs="Arial" w:eastAsia="Arial" w:hAnsi="Arial"/>
          <w:sz w:val="18"/>
          <w:szCs w:val="18"/>
          <w:i w:val="1"/>
          <w:iCs w:val="1"/>
          <w:u w:val="single" w:color="auto"/>
          <w:color w:val="0070C0"/>
        </w:rPr>
        <w:t>https://edge.media-server.com/mmc/p/fcj75eem</w:t>
      </w:r>
      <w:r>
        <w:rPr>
          <w:rFonts w:ascii="Arial" w:cs="Arial" w:eastAsia="Arial" w:hAnsi="Arial"/>
          <w:sz w:val="18"/>
          <w:szCs w:val="18"/>
          <w:color w:val="auto"/>
        </w:rPr>
        <w:t xml:space="preserve"> for one year.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Who is Entitled to Vote; Quorum</w:t>
      </w:r>
    </w:p>
    <w:p>
      <w:pPr>
        <w:spacing w:after="0" w:line="212" w:lineRule="exact"/>
        <w:rPr>
          <w:sz w:val="20"/>
          <w:szCs w:val="20"/>
          <w:color w:val="auto"/>
        </w:rPr>
      </w:pPr>
    </w:p>
    <w:p>
      <w:pPr>
        <w:jc w:val="both"/>
        <w:ind w:left="440" w:right="60"/>
        <w:spacing w:after="0" w:line="253" w:lineRule="auto"/>
        <w:rPr>
          <w:sz w:val="20"/>
          <w:szCs w:val="20"/>
          <w:color w:val="auto"/>
        </w:rPr>
      </w:pPr>
      <w:r>
        <w:rPr>
          <w:rFonts w:ascii="Arial" w:cs="Arial" w:eastAsia="Arial" w:hAnsi="Arial"/>
          <w:sz w:val="18"/>
          <w:szCs w:val="18"/>
          <w:color w:val="auto"/>
        </w:rPr>
        <w:t>Only holders of record of our common stock at the close of business on March 28, 2024, the record date for the Annual Meeting, are entitled to notice of and to vote at the Annual Meeting. Each share of common stock is entitled to one vote for each director nominee and one vote for each other matter to be voted on at the Annual Meeting.</w:t>
      </w:r>
    </w:p>
    <w:p>
      <w:pPr>
        <w:spacing w:after="0" w:line="169" w:lineRule="exact"/>
        <w:rPr>
          <w:sz w:val="20"/>
          <w:szCs w:val="20"/>
          <w:color w:val="auto"/>
        </w:rPr>
      </w:pPr>
    </w:p>
    <w:p>
      <w:pPr>
        <w:ind w:left="440" w:right="200"/>
        <w:spacing w:after="0" w:line="271" w:lineRule="auto"/>
        <w:rPr>
          <w:sz w:val="20"/>
          <w:szCs w:val="20"/>
          <w:color w:val="auto"/>
        </w:rPr>
      </w:pPr>
      <w:r>
        <w:rPr>
          <w:rFonts w:ascii="Arial" w:cs="Arial" w:eastAsia="Arial" w:hAnsi="Arial"/>
          <w:sz w:val="18"/>
          <w:szCs w:val="18"/>
          <w:color w:val="auto"/>
        </w:rPr>
        <w:t>A list of our stockholders entitled to vote at the Annual Meeting will be available for examination by any stockholder during ordinary business hours at our principal executive offices at 495 S. High Street, Suite 50, Columbus, Ohio 43215 for a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100965</wp:posOffset>
            </wp:positionV>
            <wp:extent cx="699516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Meeting and Voting Information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83</w:t>
      </w:r>
    </w:p>
    <w:p>
      <w:pPr>
        <w:sectPr>
          <w:pgSz w:w="11900" w:h="16838" w:orient="portrait"/>
          <w:cols w:equalWidth="0" w:num="1">
            <w:col w:w="11000"/>
          </w:cols>
          <w:pgMar w:left="440" w:top="261" w:right="459" w:bottom="1440" w:gutter="0" w:footer="0" w:header="0"/>
        </w:sectPr>
      </w:pPr>
    </w:p>
    <w:bookmarkStart w:id="91" w:name="page92"/>
    <w:bookmarkEnd w:id="9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of ten days prior to the Annual Meeting. During the Annual Meeting, the list will be available at </w:t>
      </w:r>
      <w:r>
        <w:rPr>
          <w:rFonts w:ascii="Arial" w:cs="Arial" w:eastAsia="Arial" w:hAnsi="Arial"/>
          <w:sz w:val="18"/>
          <w:szCs w:val="18"/>
          <w:i w:val="1"/>
          <w:iCs w:val="1"/>
          <w:u w:val="single" w:color="auto"/>
          <w:color w:val="0070C0"/>
        </w:rPr>
        <w:t>https://meetnow.global/MJUTAUG</w:t>
      </w:r>
      <w:r>
        <w:rPr>
          <w:rFonts w:ascii="Arial" w:cs="Arial" w:eastAsia="Arial" w:hAnsi="Arial"/>
          <w:sz w:val="18"/>
          <w:szCs w:val="18"/>
          <w:i w:val="1"/>
          <w:iCs w:val="1"/>
          <w:color w:val="auto"/>
        </w:rPr>
        <w:t>.</w:t>
      </w:r>
    </w:p>
    <w:p>
      <w:pPr>
        <w:spacing w:after="0" w:line="212" w:lineRule="exact"/>
        <w:rPr>
          <w:sz w:val="20"/>
          <w:szCs w:val="20"/>
          <w:color w:val="auto"/>
        </w:rPr>
      </w:pPr>
    </w:p>
    <w:p>
      <w:pPr>
        <w:ind w:left="440" w:right="160"/>
        <w:spacing w:after="0" w:line="244" w:lineRule="auto"/>
        <w:rPr>
          <w:sz w:val="20"/>
          <w:szCs w:val="20"/>
          <w:color w:val="auto"/>
        </w:rPr>
      </w:pPr>
      <w:r>
        <w:rPr>
          <w:rFonts w:ascii="Arial" w:cs="Arial" w:eastAsia="Arial" w:hAnsi="Arial"/>
          <w:sz w:val="18"/>
          <w:szCs w:val="18"/>
          <w:color w:val="auto"/>
        </w:rPr>
        <w:t>In order to carry out the business of the Annual Meeting, a quorum must be present. A quorum is present if holders of at least a majority of the outstanding shares entitled to vote are present or represented by proxy at the Annual Meeting. Abstentions and broker non-votes are counted as present for purposes of determining a quorum. On the record date, we had 28,436,558 shares entitled to vote, meaning that at least 14,218,280 shares must be present or represented by proxy to have a quorum. If a quorum is not present, the Annual Meeting may be adjourned from time to time until a quorum is present.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How to Vote</w:t>
      </w:r>
    </w:p>
    <w:p>
      <w:pPr>
        <w:spacing w:after="0" w:line="216" w:lineRule="exact"/>
        <w:rPr>
          <w:sz w:val="20"/>
          <w:szCs w:val="20"/>
          <w:color w:val="auto"/>
        </w:rPr>
      </w:pPr>
    </w:p>
    <w:p>
      <w:pPr>
        <w:ind w:left="440" w:right="220"/>
        <w:spacing w:after="0" w:line="271" w:lineRule="auto"/>
        <w:rPr>
          <w:sz w:val="20"/>
          <w:szCs w:val="20"/>
          <w:color w:val="auto"/>
        </w:rPr>
      </w:pPr>
      <w:r>
        <w:rPr>
          <w:rFonts w:ascii="Arial" w:cs="Arial" w:eastAsia="Arial" w:hAnsi="Arial"/>
          <w:sz w:val="18"/>
          <w:szCs w:val="18"/>
          <w:i w:val="1"/>
          <w:iCs w:val="1"/>
          <w:u w:val="single" w:color="auto"/>
          <w:color w:val="auto"/>
        </w:rPr>
        <w:t>Stockholders of Record</w:t>
      </w:r>
      <w:r>
        <w:rPr>
          <w:rFonts w:ascii="Arial" w:cs="Arial" w:eastAsia="Arial" w:hAnsi="Arial"/>
          <w:sz w:val="18"/>
          <w:szCs w:val="18"/>
          <w:color w:val="auto"/>
        </w:rPr>
        <w:t>. You may vote in any of the following ways. Votes must be received no later than the closing of the polls at</w:t>
      </w:r>
      <w:r>
        <w:rPr>
          <w:rFonts w:ascii="Arial" w:cs="Arial" w:eastAsia="Arial" w:hAnsi="Arial"/>
          <w:sz w:val="18"/>
          <w:szCs w:val="18"/>
          <w:i w:val="1"/>
          <w:iCs w:val="1"/>
          <w:color w:val="auto"/>
        </w:rPr>
        <w:t xml:space="preserve"> </w:t>
      </w:r>
      <w:r>
        <w:rPr>
          <w:rFonts w:ascii="Arial" w:cs="Arial" w:eastAsia="Arial" w:hAnsi="Arial"/>
          <w:sz w:val="18"/>
          <w:szCs w:val="18"/>
          <w:color w:val="auto"/>
        </w:rPr>
        <w:t>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126365</wp:posOffset>
            </wp:positionV>
            <wp:extent cx="6711950" cy="187769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711950" cy="187769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540" w:hanging="99"/>
        <w:spacing w:after="0"/>
        <w:tabs>
          <w:tab w:leader="none" w:pos="5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Online</w:t>
      </w:r>
      <w:r>
        <w:rPr>
          <w:rFonts w:ascii="Arial" w:cs="Arial" w:eastAsia="Arial" w:hAnsi="Arial"/>
          <w:sz w:val="17"/>
          <w:szCs w:val="17"/>
          <w:color w:val="auto"/>
        </w:rPr>
        <w:t xml:space="preserve">You may vote online at </w:t>
      </w:r>
      <w:r>
        <w:rPr>
          <w:rFonts w:ascii="Arial" w:cs="Arial" w:eastAsia="Arial" w:hAnsi="Arial"/>
          <w:sz w:val="17"/>
          <w:szCs w:val="17"/>
          <w:i w:val="1"/>
          <w:iCs w:val="1"/>
          <w:u w:val="single" w:color="auto"/>
          <w:color w:val="0070C0"/>
        </w:rPr>
        <w:t>www.envisionreports.com/IBP</w:t>
      </w:r>
      <w:r>
        <w:rPr>
          <w:rFonts w:ascii="Arial" w:cs="Arial" w:eastAsia="Arial" w:hAnsi="Arial"/>
          <w:sz w:val="17"/>
          <w:szCs w:val="17"/>
          <w:color w:val="auto"/>
        </w:rPr>
        <w:t>, 24 hours a day, seven days a week.</w:t>
      </w:r>
    </w:p>
    <w:p>
      <w:pPr>
        <w:spacing w:after="0" w:line="200" w:lineRule="exact"/>
        <w:rPr>
          <w:rFonts w:ascii="Arial" w:cs="Arial" w:eastAsia="Arial" w:hAnsi="Arial"/>
          <w:sz w:val="18"/>
          <w:szCs w:val="18"/>
          <w:b w:val="1"/>
          <w:bCs w:val="1"/>
          <w:color w:val="auto"/>
        </w:rPr>
      </w:pPr>
    </w:p>
    <w:p>
      <w:pPr>
        <w:spacing w:after="0" w:line="322" w:lineRule="exact"/>
        <w:rPr>
          <w:rFonts w:ascii="Arial" w:cs="Arial" w:eastAsia="Arial" w:hAnsi="Arial"/>
          <w:sz w:val="18"/>
          <w:szCs w:val="18"/>
          <w:b w:val="1"/>
          <w:bCs w:val="1"/>
          <w:color w:val="auto"/>
        </w:rPr>
      </w:pPr>
    </w:p>
    <w:p>
      <w:pPr>
        <w:ind w:left="540" w:hanging="99"/>
        <w:spacing w:after="0"/>
        <w:tabs>
          <w:tab w:leader="none" w:pos="5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By Phone    </w:t>
      </w:r>
      <w:r>
        <w:rPr>
          <w:rFonts w:ascii="Arial" w:cs="Arial" w:eastAsia="Arial" w:hAnsi="Arial"/>
          <w:sz w:val="18"/>
          <w:szCs w:val="18"/>
          <w:color w:val="auto"/>
        </w:rPr>
        <w:t>You may vote by calling 1-800-652-8683, 24 hours a day, seven days a week.</w:t>
      </w:r>
    </w:p>
    <w:p>
      <w:pPr>
        <w:spacing w:after="0" w:line="27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If you received printed proxy materials, you may vote by completing, signing and dating each proxy card and</w:t>
      </w:r>
    </w:p>
    <w:p>
      <w:pPr>
        <w:spacing w:after="0" w:line="14" w:lineRule="exact"/>
        <w:rPr>
          <w:sz w:val="20"/>
          <w:szCs w:val="20"/>
          <w:color w:val="auto"/>
        </w:rPr>
      </w:pPr>
    </w:p>
    <w:p>
      <w:pPr>
        <w:ind w:left="1720" w:hanging="1268"/>
        <w:spacing w:after="0" w:line="250" w:lineRule="auto"/>
        <w:tabs>
          <w:tab w:leader="none" w:pos="1700" w:val="left"/>
        </w:tabs>
        <w:rPr>
          <w:sz w:val="20"/>
          <w:szCs w:val="20"/>
          <w:color w:val="auto"/>
        </w:rPr>
      </w:pPr>
      <w:r>
        <w:rPr>
          <w:rFonts w:ascii="Arial" w:cs="Arial" w:eastAsia="Arial" w:hAnsi="Arial"/>
          <w:sz w:val="35"/>
          <w:szCs w:val="35"/>
          <w:b w:val="1"/>
          <w:bCs w:val="1"/>
          <w:color w:val="auto"/>
          <w:vertAlign w:val="subscript"/>
        </w:rPr>
        <w:t xml:space="preserve">  By Mail</w:t>
      </w:r>
      <w:r>
        <w:rPr>
          <w:sz w:val="20"/>
          <w:szCs w:val="20"/>
          <w:color w:val="auto"/>
        </w:rPr>
        <w:tab/>
      </w:r>
      <w:r>
        <w:rPr>
          <w:rFonts w:ascii="Arial" w:cs="Arial" w:eastAsia="Arial" w:hAnsi="Arial"/>
          <w:sz w:val="18"/>
          <w:szCs w:val="18"/>
          <w:color w:val="auto"/>
        </w:rPr>
        <w:t>returning it in the prepaid envelope to Computershare Investor Services. Sign your name exactly as it appears on the proxy card.</w:t>
      </w:r>
    </w:p>
    <w:p>
      <w:pPr>
        <w:spacing w:after="0" w:line="172" w:lineRule="exact"/>
        <w:rPr>
          <w:sz w:val="20"/>
          <w:szCs w:val="20"/>
          <w:color w:val="auto"/>
        </w:rPr>
      </w:pPr>
    </w:p>
    <w:p>
      <w:pPr>
        <w:ind w:left="440"/>
        <w:spacing w:after="0"/>
        <w:tabs>
          <w:tab w:leader="none" w:pos="1700" w:val="left"/>
        </w:tabs>
        <w:rPr>
          <w:sz w:val="20"/>
          <w:szCs w:val="20"/>
          <w:color w:val="auto"/>
        </w:rPr>
      </w:pPr>
      <w:r>
        <w:rPr>
          <w:rFonts w:ascii="Arial" w:cs="Arial" w:eastAsia="Arial" w:hAnsi="Arial"/>
          <w:sz w:val="18"/>
          <w:szCs w:val="18"/>
          <w:b w:val="1"/>
          <w:bCs w:val="1"/>
          <w:color w:val="auto"/>
        </w:rPr>
        <w:t>  At the</w:t>
      </w:r>
      <w:r>
        <w:rPr>
          <w:sz w:val="20"/>
          <w:szCs w:val="20"/>
          <w:color w:val="auto"/>
        </w:rPr>
        <w:tab/>
      </w:r>
      <w:r>
        <w:rPr>
          <w:rFonts w:ascii="Arial" w:cs="Arial" w:eastAsia="Arial" w:hAnsi="Arial"/>
          <w:sz w:val="17"/>
          <w:szCs w:val="17"/>
          <w:color w:val="auto"/>
        </w:rPr>
        <w:t xml:space="preserve">Instructions on how to vote during the Annual Meeting are posted at </w:t>
      </w:r>
      <w:r>
        <w:rPr>
          <w:rFonts w:ascii="Arial" w:cs="Arial" w:eastAsia="Arial" w:hAnsi="Arial"/>
          <w:sz w:val="17"/>
          <w:szCs w:val="17"/>
          <w:i w:val="1"/>
          <w:iCs w:val="1"/>
          <w:u w:val="single" w:color="auto"/>
          <w:color w:val="0070C0"/>
        </w:rPr>
        <w:t>https://meetnow.global/MJUTAUG</w:t>
      </w:r>
      <w:r>
        <w:rPr>
          <w:rFonts w:ascii="Arial" w:cs="Arial" w:eastAsia="Arial" w:hAnsi="Arial"/>
          <w:sz w:val="17"/>
          <w:szCs w:val="17"/>
          <w:i w:val="1"/>
          <w:iCs w:val="1"/>
          <w:color w:val="0070C0"/>
        </w:rPr>
        <w:t>.</w:t>
      </w:r>
    </w:p>
    <w:p>
      <w:pPr>
        <w:spacing w:after="0" w:line="14" w:lineRule="exact"/>
        <w:rPr>
          <w:sz w:val="20"/>
          <w:szCs w:val="20"/>
          <w:color w:val="auto"/>
        </w:rPr>
      </w:pPr>
    </w:p>
    <w:p>
      <w:pPr>
        <w:ind w:left="520" w:hanging="79"/>
        <w:spacing w:after="0"/>
        <w:tabs>
          <w:tab w:leader="none" w:pos="520" w:val="left"/>
        </w:tabs>
        <w:numPr>
          <w:ilvl w:val="0"/>
          <w:numId w:val="51"/>
        </w:numPr>
        <w:rPr>
          <w:rFonts w:ascii="Arial" w:cs="Arial" w:eastAsia="Arial" w:hAnsi="Arial"/>
          <w:sz w:val="15"/>
          <w:szCs w:val="15"/>
          <w:b w:val="1"/>
          <w:bCs w:val="1"/>
          <w:color w:val="auto"/>
        </w:rPr>
      </w:pPr>
      <w:r>
        <w:rPr>
          <w:rFonts w:ascii="Arial" w:cs="Arial" w:eastAsia="Arial" w:hAnsi="Arial"/>
          <w:sz w:val="15"/>
          <w:szCs w:val="15"/>
          <w:b w:val="1"/>
          <w:bCs w:val="1"/>
          <w:color w:val="auto"/>
        </w:rPr>
        <w:t>Annual</w:t>
      </w:r>
    </w:p>
    <w:p>
      <w:pPr>
        <w:spacing w:after="0" w:line="30" w:lineRule="exact"/>
        <w:rPr>
          <w:rFonts w:ascii="Arial" w:cs="Arial" w:eastAsia="Arial" w:hAnsi="Arial"/>
          <w:sz w:val="15"/>
          <w:szCs w:val="15"/>
          <w:b w:val="1"/>
          <w:bCs w:val="1"/>
          <w:color w:val="auto"/>
        </w:rPr>
      </w:pPr>
    </w:p>
    <w:p>
      <w:pPr>
        <w:ind w:left="540" w:hanging="99"/>
        <w:spacing w:after="0"/>
        <w:tabs>
          <w:tab w:leader="none" w:pos="5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Meeting</w:t>
      </w:r>
    </w:p>
    <w:p>
      <w:pPr>
        <w:spacing w:after="0" w:line="234" w:lineRule="exact"/>
        <w:rPr>
          <w:sz w:val="20"/>
          <w:szCs w:val="20"/>
          <w:color w:val="auto"/>
        </w:rPr>
      </w:pPr>
    </w:p>
    <w:p>
      <w:pPr>
        <w:ind w:left="440" w:right="40"/>
        <w:spacing w:after="0" w:line="266" w:lineRule="auto"/>
        <w:rPr>
          <w:sz w:val="20"/>
          <w:szCs w:val="20"/>
          <w:color w:val="auto"/>
        </w:rPr>
      </w:pPr>
      <w:r>
        <w:rPr>
          <w:rFonts w:ascii="Arial" w:cs="Arial" w:eastAsia="Arial" w:hAnsi="Arial"/>
          <w:sz w:val="17"/>
          <w:szCs w:val="17"/>
          <w:color w:val="auto"/>
        </w:rPr>
        <w:t>Voting online, by phone or at the Annual Meeting authorizes the persons named as proxies to vote as you direct in the same manner as if you had completed, signed, dated and returned a proxy card. If you vote online or by phone, or plan to vote during the Annual Meeting, do not return your proxy card(s). If you do not vote by any of the methods listed above, your shares will not be voted. If you submit a proxy but fail to provide voting instructions, your proxy will be voted in the manner recommended by the Board of Directors.</w:t>
      </w:r>
    </w:p>
    <w:p>
      <w:pPr>
        <w:spacing w:after="0" w:line="159" w:lineRule="exact"/>
        <w:rPr>
          <w:sz w:val="20"/>
          <w:szCs w:val="20"/>
          <w:color w:val="auto"/>
        </w:rPr>
      </w:pPr>
    </w:p>
    <w:p>
      <w:pPr>
        <w:ind w:left="440" w:right="60"/>
        <w:spacing w:after="0" w:line="253" w:lineRule="auto"/>
        <w:rPr>
          <w:sz w:val="20"/>
          <w:szCs w:val="20"/>
          <w:color w:val="auto"/>
        </w:rPr>
      </w:pPr>
      <w:r>
        <w:rPr>
          <w:rFonts w:ascii="Arial" w:cs="Arial" w:eastAsia="Arial" w:hAnsi="Arial"/>
          <w:sz w:val="18"/>
          <w:szCs w:val="18"/>
          <w:color w:val="auto"/>
        </w:rPr>
        <w:t>If you received more than one proxy card or Notice, your shares are registered in more than one name or are registered in multiple accounts. To make certain all of your shares are voted, please complete, sign, date and return each proxy card, or if you vote online, by telephone or at the Annual Meeting, vote once for each Notice you received.</w:t>
      </w:r>
    </w:p>
    <w:p>
      <w:pPr>
        <w:spacing w:after="0" w:line="169" w:lineRule="exact"/>
        <w:rPr>
          <w:sz w:val="20"/>
          <w:szCs w:val="20"/>
          <w:color w:val="auto"/>
        </w:rPr>
      </w:pPr>
    </w:p>
    <w:p>
      <w:pPr>
        <w:ind w:left="440" w:right="20"/>
        <w:spacing w:after="0" w:line="242" w:lineRule="auto"/>
        <w:rPr>
          <w:sz w:val="20"/>
          <w:szCs w:val="20"/>
          <w:color w:val="auto"/>
        </w:rPr>
      </w:pPr>
      <w:r>
        <w:rPr>
          <w:rFonts w:ascii="Arial" w:cs="Arial" w:eastAsia="Arial" w:hAnsi="Arial"/>
          <w:sz w:val="18"/>
          <w:szCs w:val="18"/>
          <w:i w:val="1"/>
          <w:iCs w:val="1"/>
          <w:u w:val="single" w:color="auto"/>
          <w:color w:val="auto"/>
        </w:rPr>
        <w:t>Beneficial Owners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If you are a beneficial owner, the organization holding your account is the stockholder of record for purposes of</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in and voting at the Annual Meeting; however, you have the right to direct that organization how to vote the shares in your account by following the instructions provided by the organization. Alternatively, you may vote your shares directly at the Annual Meeting by obtaining a legal proxy from your brokerage firm, bank or other nominee and registering in advance to participate in the Annual Meeting. See “</w:t>
      </w:r>
      <w:r>
        <w:rPr>
          <w:rFonts w:ascii="Arial" w:cs="Arial" w:eastAsia="Arial" w:hAnsi="Arial"/>
          <w:sz w:val="18"/>
          <w:szCs w:val="18"/>
          <w:i w:val="1"/>
          <w:iCs w:val="1"/>
          <w:color w:val="auto"/>
        </w:rPr>
        <w:t>Attending the Annual Meeting</w:t>
      </w:r>
      <w:r>
        <w:rPr>
          <w:rFonts w:ascii="Arial" w:cs="Arial" w:eastAsia="Arial" w:hAnsi="Arial"/>
          <w:sz w:val="18"/>
          <w:szCs w:val="18"/>
          <w:color w:val="auto"/>
        </w:rPr>
        <w:t>” above. When you receive your registration confirmation, you may vote in any of the ways in which a stockholder of record may vote described above (except by mail).</w:t>
      </w:r>
    </w:p>
    <w:p>
      <w:pPr>
        <w:spacing w:after="0" w:line="179" w:lineRule="exact"/>
        <w:rPr>
          <w:sz w:val="20"/>
          <w:szCs w:val="20"/>
          <w:color w:val="auto"/>
        </w:rPr>
      </w:pPr>
    </w:p>
    <w:p>
      <w:pPr>
        <w:ind w:left="440" w:right="20"/>
        <w:spacing w:after="0" w:line="244" w:lineRule="auto"/>
        <w:rPr>
          <w:sz w:val="20"/>
          <w:szCs w:val="20"/>
          <w:color w:val="auto"/>
        </w:rPr>
      </w:pPr>
      <w:r>
        <w:rPr>
          <w:rFonts w:ascii="Arial" w:cs="Arial" w:eastAsia="Arial" w:hAnsi="Arial"/>
          <w:sz w:val="18"/>
          <w:szCs w:val="18"/>
          <w:color w:val="auto"/>
        </w:rPr>
        <w:t>The availability of online and telephone voting will depend on the voting procedures established by your broker, bank or other nominee. If you do not provide voting instructions to the organization holding your account, the organization may vote your shares on certain routine, or “discretionary,” matters. The ratification of the appointment of our independent registered public accounting firm is a discretionary matter. On this proposal, the organization holding your account may either vote your shares in the absence of your instructions or may choose not to vote your shares. The remaining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69951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Meeting and Voting Information</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84</w:t>
      </w:r>
    </w:p>
    <w:p>
      <w:pPr>
        <w:sectPr>
          <w:pgSz w:w="11900" w:h="16838" w:orient="portrait"/>
          <w:cols w:equalWidth="0" w:num="1">
            <w:col w:w="11000"/>
          </w:cols>
          <w:pgMar w:left="440" w:top="296" w:right="459" w:bottom="1440" w:gutter="0" w:footer="0" w:header="0"/>
        </w:sectPr>
      </w:pPr>
    </w:p>
    <w:bookmarkStart w:id="92" w:name="page93"/>
    <w:bookmarkEnd w:id="92"/>
    <w:p>
      <w:pPr>
        <w:ind w:left="440" w:right="2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are not considered discretionary and cannot be voted without your instructions, which is called a “broker non-vote.” In the case of a broker non-vote, your shares will not have any effect on the outcome of the proposal. If you registered in advance to participate in the Annual Meeting but do not vote your shares online, by phone or during the Annual Meeting, your shares will not be voted.</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Revoking your Proxy or Changing your Vote</w:t>
      </w:r>
    </w:p>
    <w:p>
      <w:pPr>
        <w:spacing w:after="0" w:line="216" w:lineRule="exact"/>
        <w:rPr>
          <w:sz w:val="20"/>
          <w:szCs w:val="20"/>
          <w:color w:val="auto"/>
        </w:rPr>
      </w:pPr>
    </w:p>
    <w:p>
      <w:pPr>
        <w:ind w:left="440" w:right="360"/>
        <w:spacing w:after="0" w:line="271" w:lineRule="auto"/>
        <w:rPr>
          <w:sz w:val="20"/>
          <w:szCs w:val="20"/>
          <w:color w:val="auto"/>
        </w:rPr>
      </w:pPr>
      <w:r>
        <w:rPr>
          <w:rFonts w:ascii="Arial" w:cs="Arial" w:eastAsia="Arial" w:hAnsi="Arial"/>
          <w:sz w:val="18"/>
          <w:szCs w:val="18"/>
          <w:i w:val="1"/>
          <w:iCs w:val="1"/>
          <w:u w:val="single" w:color="auto"/>
          <w:color w:val="auto"/>
        </w:rPr>
        <w:t>Stockholders of Record</w:t>
      </w:r>
      <w:r>
        <w:rPr>
          <w:rFonts w:ascii="Arial" w:cs="Arial" w:eastAsia="Arial" w:hAnsi="Arial"/>
          <w:sz w:val="18"/>
          <w:szCs w:val="18"/>
          <w:color w:val="auto"/>
        </w:rPr>
        <w:t>. You may revoke your proxy or change your vote at any time before the closing of the polls at the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by:</w:t>
      </w:r>
    </w:p>
    <w:p>
      <w:pPr>
        <w:spacing w:after="0" w:line="129" w:lineRule="exact"/>
        <w:rPr>
          <w:sz w:val="20"/>
          <w:szCs w:val="20"/>
          <w:color w:val="auto"/>
        </w:rPr>
      </w:pPr>
    </w:p>
    <w:p>
      <w:pPr>
        <w:ind w:left="960" w:hanging="424"/>
        <w:spacing w:after="0"/>
        <w:tabs>
          <w:tab w:leader="none" w:pos="960" w:val="left"/>
        </w:tabs>
        <w:numPr>
          <w:ilvl w:val="0"/>
          <w:numId w:val="52"/>
        </w:numPr>
        <w:rPr>
          <w:rFonts w:ascii="MS PGothic" w:cs="MS PGothic" w:eastAsia="MS PGothic" w:hAnsi="MS PGothic"/>
          <w:sz w:val="29"/>
          <w:szCs w:val="29"/>
          <w:color w:val="002060"/>
          <w:vertAlign w:val="superscript"/>
        </w:rPr>
      </w:pPr>
      <w:r>
        <w:rPr>
          <w:rFonts w:ascii="Arial" w:cs="Arial" w:eastAsia="Arial" w:hAnsi="Arial"/>
          <w:sz w:val="18"/>
          <w:szCs w:val="18"/>
          <w:color w:val="auto"/>
        </w:rPr>
        <w:t>signing and returning a new proxy card with a later date;</w:t>
      </w:r>
    </w:p>
    <w:p>
      <w:pPr>
        <w:spacing w:after="0" w:line="181" w:lineRule="exact"/>
        <w:rPr>
          <w:rFonts w:ascii="MS PGothic" w:cs="MS PGothic" w:eastAsia="MS PGothic" w:hAnsi="MS PGothic"/>
          <w:sz w:val="29"/>
          <w:szCs w:val="29"/>
          <w:color w:val="002060"/>
          <w:vertAlign w:val="superscript"/>
        </w:rPr>
      </w:pPr>
    </w:p>
    <w:p>
      <w:pPr>
        <w:ind w:left="960" w:hanging="424"/>
        <w:spacing w:after="0" w:line="218" w:lineRule="auto"/>
        <w:tabs>
          <w:tab w:leader="none" w:pos="960" w:val="left"/>
        </w:tabs>
        <w:numPr>
          <w:ilvl w:val="0"/>
          <w:numId w:val="52"/>
        </w:numPr>
        <w:rPr>
          <w:rFonts w:ascii="MS PGothic" w:cs="MS PGothic" w:eastAsia="MS PGothic" w:hAnsi="MS PGothic"/>
          <w:sz w:val="29"/>
          <w:szCs w:val="29"/>
          <w:color w:val="002060"/>
          <w:vertAlign w:val="superscript"/>
        </w:rPr>
      </w:pPr>
      <w:r>
        <w:rPr>
          <w:rFonts w:ascii="Arial" w:cs="Arial" w:eastAsia="Arial" w:hAnsi="Arial"/>
          <w:sz w:val="18"/>
          <w:szCs w:val="18"/>
          <w:color w:val="auto"/>
        </w:rPr>
        <w:t>submitting a later-dated vote online or by phone — only your latest vote will be counted;</w:t>
      </w:r>
    </w:p>
    <w:p>
      <w:pPr>
        <w:spacing w:after="0" w:line="182" w:lineRule="exact"/>
        <w:rPr>
          <w:rFonts w:ascii="MS PGothic" w:cs="MS PGothic" w:eastAsia="MS PGothic" w:hAnsi="MS PGothic"/>
          <w:sz w:val="29"/>
          <w:szCs w:val="29"/>
          <w:color w:val="002060"/>
          <w:vertAlign w:val="superscript"/>
        </w:rPr>
      </w:pPr>
    </w:p>
    <w:p>
      <w:pPr>
        <w:ind w:left="960" w:hanging="424"/>
        <w:spacing w:after="0" w:line="218" w:lineRule="auto"/>
        <w:tabs>
          <w:tab w:leader="none" w:pos="960" w:val="left"/>
        </w:tabs>
        <w:numPr>
          <w:ilvl w:val="0"/>
          <w:numId w:val="52"/>
        </w:numPr>
        <w:rPr>
          <w:rFonts w:ascii="MS PGothic" w:cs="MS PGothic" w:eastAsia="MS PGothic" w:hAnsi="MS PGothic"/>
          <w:sz w:val="29"/>
          <w:szCs w:val="29"/>
          <w:color w:val="002060"/>
          <w:vertAlign w:val="superscript"/>
        </w:rPr>
      </w:pPr>
      <w:r>
        <w:rPr>
          <w:rFonts w:ascii="Arial" w:cs="Arial" w:eastAsia="Arial" w:hAnsi="Arial"/>
          <w:sz w:val="18"/>
          <w:szCs w:val="18"/>
          <w:color w:val="auto"/>
        </w:rPr>
        <w:t>participating in the Annual Meeting and voting during the meeting; or</w:t>
      </w:r>
    </w:p>
    <w:p>
      <w:pPr>
        <w:spacing w:after="0" w:line="207" w:lineRule="exact"/>
        <w:rPr>
          <w:rFonts w:ascii="MS PGothic" w:cs="MS PGothic" w:eastAsia="MS PGothic" w:hAnsi="MS PGothic"/>
          <w:sz w:val="29"/>
          <w:szCs w:val="29"/>
          <w:color w:val="002060"/>
          <w:vertAlign w:val="superscript"/>
        </w:rPr>
      </w:pPr>
    </w:p>
    <w:p>
      <w:pPr>
        <w:ind w:left="960" w:right="60" w:hanging="424"/>
        <w:spacing w:after="0" w:line="213" w:lineRule="auto"/>
        <w:tabs>
          <w:tab w:leader="none" w:pos="960" w:val="left"/>
        </w:tabs>
        <w:numPr>
          <w:ilvl w:val="0"/>
          <w:numId w:val="52"/>
        </w:numPr>
        <w:rPr>
          <w:rFonts w:ascii="MS PGothic" w:cs="MS PGothic" w:eastAsia="MS PGothic" w:hAnsi="MS PGothic"/>
          <w:sz w:val="29"/>
          <w:szCs w:val="29"/>
          <w:color w:val="002060"/>
          <w:vertAlign w:val="superscript"/>
        </w:rPr>
      </w:pPr>
      <w:r>
        <w:rPr>
          <w:rFonts w:ascii="Arial" w:cs="Arial" w:eastAsia="Arial" w:hAnsi="Arial"/>
          <w:sz w:val="18"/>
          <w:szCs w:val="18"/>
          <w:color w:val="auto"/>
        </w:rPr>
        <w:t>delivering a written revocation to our Corporate Secretary at Installed Building Products, Inc., 495 South High Street, Suite 50, Columbus, Ohio 43215, which must be received no later than May 22, 2024.</w:t>
      </w:r>
    </w:p>
    <w:p>
      <w:pPr>
        <w:spacing w:after="0" w:line="180" w:lineRule="exact"/>
        <w:rPr>
          <w:sz w:val="20"/>
          <w:szCs w:val="20"/>
          <w:color w:val="auto"/>
        </w:rPr>
      </w:pPr>
    </w:p>
    <w:p>
      <w:pPr>
        <w:ind w:left="440" w:right="40"/>
        <w:spacing w:after="0" w:line="271" w:lineRule="auto"/>
        <w:rPr>
          <w:sz w:val="20"/>
          <w:szCs w:val="20"/>
          <w:color w:val="auto"/>
        </w:rPr>
      </w:pPr>
      <w:r>
        <w:rPr>
          <w:rFonts w:ascii="Arial" w:cs="Arial" w:eastAsia="Arial" w:hAnsi="Arial"/>
          <w:sz w:val="18"/>
          <w:szCs w:val="18"/>
          <w:color w:val="auto"/>
        </w:rPr>
        <w:t>Participating in the Annual Meeting without voting during the meeting will not cause a previously submitted vote to be revoked unless you specifically request that your prior vote be revoked.</w:t>
      </w:r>
    </w:p>
    <w:p>
      <w:pPr>
        <w:spacing w:after="0" w:line="154" w:lineRule="exact"/>
        <w:rPr>
          <w:sz w:val="20"/>
          <w:szCs w:val="20"/>
          <w:color w:val="auto"/>
        </w:rPr>
      </w:pPr>
    </w:p>
    <w:p>
      <w:pPr>
        <w:jc w:val="both"/>
        <w:ind w:left="440" w:right="160"/>
        <w:spacing w:after="0" w:line="253" w:lineRule="auto"/>
        <w:rPr>
          <w:sz w:val="20"/>
          <w:szCs w:val="20"/>
          <w:color w:val="auto"/>
        </w:rPr>
      </w:pPr>
      <w:r>
        <w:rPr>
          <w:rFonts w:ascii="Arial" w:cs="Arial" w:eastAsia="Arial" w:hAnsi="Arial"/>
          <w:sz w:val="18"/>
          <w:szCs w:val="18"/>
          <w:i w:val="1"/>
          <w:iCs w:val="1"/>
          <w:u w:val="single" w:color="auto"/>
          <w:color w:val="auto"/>
        </w:rPr>
        <w:t>Beneficial Owners</w:t>
      </w:r>
      <w:r>
        <w:rPr>
          <w:rFonts w:ascii="Arial" w:cs="Arial" w:eastAsia="Arial" w:hAnsi="Arial"/>
          <w:sz w:val="18"/>
          <w:szCs w:val="18"/>
          <w:color w:val="auto"/>
        </w:rPr>
        <w:t>. You should contact the broker, bank or other nominee holding your shares to obtain instructions for revoking or</w:t>
      </w:r>
      <w:r>
        <w:rPr>
          <w:rFonts w:ascii="Arial" w:cs="Arial" w:eastAsia="Arial" w:hAnsi="Arial"/>
          <w:sz w:val="18"/>
          <w:szCs w:val="18"/>
          <w:i w:val="1"/>
          <w:iCs w:val="1"/>
          <w:color w:val="auto"/>
        </w:rPr>
        <w:t xml:space="preserve"> </w:t>
      </w:r>
      <w:r>
        <w:rPr>
          <w:rFonts w:ascii="Arial" w:cs="Arial" w:eastAsia="Arial" w:hAnsi="Arial"/>
          <w:sz w:val="18"/>
          <w:szCs w:val="18"/>
          <w:color w:val="auto"/>
        </w:rPr>
        <w:t>changing your vote. If you register in advance to participate in the Annual Meeting, you may change your vote by submitting a later-dated vote online, by phone or by voting during the meeting.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Votes Required to Approve each Proposal</w:t>
      </w:r>
    </w:p>
    <w:p>
      <w:pPr>
        <w:spacing w:after="0" w:line="238" w:lineRule="exact"/>
        <w:rPr>
          <w:sz w:val="20"/>
          <w:szCs w:val="20"/>
          <w:color w:val="auto"/>
        </w:rPr>
      </w:pPr>
    </w:p>
    <w:tbl>
      <w:tblPr>
        <w:tblLayout w:type="fixed"/>
        <w:tblInd w:w="440" w:type="dxa"/>
        <w:tblCellMar>
          <w:top w:w="0" w:type="dxa"/>
          <w:left w:w="0" w:type="dxa"/>
          <w:bottom w:w="0" w:type="dxa"/>
          <w:right w:w="0" w:type="dxa"/>
        </w:tblCellMar>
      </w:tblPr>
      <w:tr>
        <w:trPr>
          <w:trHeight w:val="273"/>
        </w:trPr>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560" w:type="dxa"/>
            <w:vAlign w:val="bottom"/>
          </w:tcPr>
          <w:p>
            <w:pPr>
              <w:ind w:left="1280"/>
              <w:spacing w:after="0"/>
              <w:rPr>
                <w:sz w:val="20"/>
                <w:szCs w:val="20"/>
                <w:color w:val="auto"/>
              </w:rPr>
            </w:pPr>
            <w:r>
              <w:rPr>
                <w:rFonts w:ascii="Arial" w:cs="Arial" w:eastAsia="Arial" w:hAnsi="Arial"/>
                <w:sz w:val="20"/>
                <w:szCs w:val="20"/>
                <w:b w:val="1"/>
                <w:bCs w:val="1"/>
                <w:color w:val="0070C0"/>
              </w:rPr>
              <w:t>Proposal</w:t>
            </w:r>
          </w:p>
        </w:tc>
        <w:tc>
          <w:tcPr>
            <w:tcW w:w="5080" w:type="dxa"/>
            <w:vAlign w:val="bottom"/>
          </w:tcPr>
          <w:p>
            <w:pPr>
              <w:ind w:left="1980"/>
              <w:spacing w:after="0"/>
              <w:rPr>
                <w:sz w:val="20"/>
                <w:szCs w:val="20"/>
                <w:color w:val="auto"/>
              </w:rPr>
            </w:pPr>
            <w:r>
              <w:rPr>
                <w:rFonts w:ascii="Arial" w:cs="Arial" w:eastAsia="Arial" w:hAnsi="Arial"/>
                <w:sz w:val="20"/>
                <w:szCs w:val="20"/>
                <w:b w:val="1"/>
                <w:bCs w:val="1"/>
                <w:color w:val="0070C0"/>
              </w:rPr>
              <w:t>Required Vote</w:t>
            </w:r>
          </w:p>
        </w:tc>
      </w:tr>
      <w:tr>
        <w:trPr>
          <w:trHeight w:val="28"/>
        </w:trPr>
        <w:tc>
          <w:tcPr>
            <w:tcW w:w="920" w:type="dxa"/>
            <w:vAlign w:val="bottom"/>
            <w:tcBorders>
              <w:bottom w:val="single" w:sz="8" w:color="0070C0"/>
            </w:tcBorders>
          </w:tcPr>
          <w:p>
            <w:pPr>
              <w:spacing w:after="0"/>
              <w:rPr>
                <w:sz w:val="2"/>
                <w:szCs w:val="2"/>
                <w:color w:val="auto"/>
              </w:rPr>
            </w:pPr>
          </w:p>
        </w:tc>
        <w:tc>
          <w:tcPr>
            <w:tcW w:w="20" w:type="dxa"/>
            <w:vAlign w:val="bottom"/>
            <w:tcBorders>
              <w:bottom w:val="single" w:sz="8" w:color="0070C0"/>
            </w:tcBorders>
          </w:tcPr>
          <w:p>
            <w:pPr>
              <w:spacing w:after="0"/>
              <w:rPr>
                <w:sz w:val="2"/>
                <w:szCs w:val="2"/>
                <w:color w:val="auto"/>
              </w:rPr>
            </w:pPr>
          </w:p>
        </w:tc>
        <w:tc>
          <w:tcPr>
            <w:tcW w:w="4560" w:type="dxa"/>
            <w:vAlign w:val="bottom"/>
            <w:tcBorders>
              <w:bottom w:val="single" w:sz="8" w:color="0070C0"/>
            </w:tcBorders>
          </w:tcPr>
          <w:p>
            <w:pPr>
              <w:spacing w:after="0"/>
              <w:rPr>
                <w:sz w:val="2"/>
                <w:szCs w:val="2"/>
                <w:color w:val="auto"/>
              </w:rPr>
            </w:pPr>
          </w:p>
        </w:tc>
        <w:tc>
          <w:tcPr>
            <w:tcW w:w="5080" w:type="dxa"/>
            <w:vAlign w:val="bottom"/>
            <w:tcBorders>
              <w:bottom w:val="single" w:sz="8" w:color="0070C0"/>
            </w:tcBorders>
          </w:tcPr>
          <w:p>
            <w:pPr>
              <w:spacing w:after="0"/>
              <w:rPr>
                <w:sz w:val="2"/>
                <w:szCs w:val="2"/>
                <w:color w:val="auto"/>
              </w:rPr>
            </w:pPr>
          </w:p>
        </w:tc>
      </w:tr>
      <w:tr>
        <w:trPr>
          <w:trHeight w:val="216"/>
        </w:trPr>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Proposal 1</w:t>
            </w:r>
          </w:p>
        </w:tc>
        <w:tc>
          <w:tcPr>
            <w:tcW w:w="4560" w:type="dxa"/>
            <w:vAlign w:val="bottom"/>
          </w:tcPr>
          <w:p>
            <w:pPr>
              <w:ind w:left="40"/>
              <w:spacing w:after="0"/>
              <w:rPr>
                <w:sz w:val="20"/>
                <w:szCs w:val="20"/>
                <w:color w:val="auto"/>
              </w:rPr>
            </w:pPr>
            <w:r>
              <w:rPr>
                <w:rFonts w:ascii="Arial" w:cs="Arial" w:eastAsia="Arial" w:hAnsi="Arial"/>
                <w:sz w:val="18"/>
                <w:szCs w:val="18"/>
                <w:color w:val="auto"/>
              </w:rPr>
              <w:t>– Election of Margot L. Carter, David R. Meuse and</w:t>
            </w:r>
          </w:p>
        </w:tc>
        <w:tc>
          <w:tcPr>
            <w:tcW w:w="5080" w:type="dxa"/>
            <w:vAlign w:val="bottom"/>
          </w:tcPr>
          <w:p>
            <w:pPr>
              <w:ind w:left="220"/>
              <w:spacing w:after="0"/>
              <w:rPr>
                <w:sz w:val="20"/>
                <w:szCs w:val="20"/>
                <w:color w:val="auto"/>
              </w:rPr>
            </w:pPr>
            <w:r>
              <w:rPr>
                <w:rFonts w:ascii="Arial" w:cs="Arial" w:eastAsia="Arial" w:hAnsi="Arial"/>
                <w:sz w:val="18"/>
                <w:szCs w:val="18"/>
                <w:color w:val="auto"/>
              </w:rPr>
              <w:t>Majority of the votes cast at the Annual Meeting</w:t>
            </w:r>
          </w:p>
        </w:tc>
      </w:tr>
      <w:tr>
        <w:trPr>
          <w:trHeight w:val="232"/>
        </w:trPr>
        <w:tc>
          <w:tcPr>
            <w:tcW w:w="940" w:type="dxa"/>
            <w:vAlign w:val="bottom"/>
            <w:gridSpan w:val="2"/>
          </w:tcPr>
          <w:p>
            <w:pPr>
              <w:spacing w:after="0"/>
              <w:rPr>
                <w:sz w:val="20"/>
                <w:szCs w:val="20"/>
                <w:color w:val="auto"/>
              </w:rPr>
            </w:pPr>
            <w:r>
              <w:rPr>
                <w:rFonts w:ascii="Arial" w:cs="Arial" w:eastAsia="Arial" w:hAnsi="Arial"/>
                <w:sz w:val="18"/>
                <w:szCs w:val="18"/>
                <w:color w:val="auto"/>
              </w:rPr>
              <w:t>Michael H.</w:t>
            </w:r>
          </w:p>
        </w:tc>
        <w:tc>
          <w:tcPr>
            <w:tcW w:w="4560" w:type="dxa"/>
            <w:vAlign w:val="bottom"/>
          </w:tcPr>
          <w:p>
            <w:pPr>
              <w:spacing w:after="0"/>
              <w:rPr>
                <w:sz w:val="20"/>
                <w:szCs w:val="20"/>
                <w:color w:val="auto"/>
              </w:rPr>
            </w:pPr>
            <w:r>
              <w:rPr>
                <w:rFonts w:ascii="Arial" w:cs="Arial" w:eastAsia="Arial" w:hAnsi="Arial"/>
                <w:sz w:val="18"/>
                <w:szCs w:val="18"/>
                <w:color w:val="auto"/>
              </w:rPr>
              <w:t>Thomas as directors to serve for three-year terms</w:t>
            </w:r>
          </w:p>
        </w:tc>
        <w:tc>
          <w:tcPr>
            <w:tcW w:w="5080" w:type="dxa"/>
            <w:vAlign w:val="bottom"/>
          </w:tcPr>
          <w:p>
            <w:pPr>
              <w:spacing w:after="0"/>
              <w:rPr>
                <w:sz w:val="20"/>
                <w:szCs w:val="20"/>
                <w:color w:val="auto"/>
              </w:rPr>
            </w:pPr>
          </w:p>
        </w:tc>
      </w:tr>
      <w:tr>
        <w:trPr>
          <w:trHeight w:val="31"/>
        </w:trPr>
        <w:tc>
          <w:tcPr>
            <w:tcW w:w="920" w:type="dxa"/>
            <w:vAlign w:val="bottom"/>
            <w:tcBorders>
              <w:bottom w:val="single" w:sz="8" w:color="002060"/>
            </w:tcBorders>
          </w:tcPr>
          <w:p>
            <w:pPr>
              <w:spacing w:after="0"/>
              <w:rPr>
                <w:sz w:val="2"/>
                <w:szCs w:val="2"/>
                <w:color w:val="auto"/>
              </w:rPr>
            </w:pPr>
          </w:p>
        </w:tc>
        <w:tc>
          <w:tcPr>
            <w:tcW w:w="20" w:type="dxa"/>
            <w:vAlign w:val="bottom"/>
            <w:tcBorders>
              <w:bottom w:val="single" w:sz="8" w:color="002060"/>
            </w:tcBorders>
          </w:tcPr>
          <w:p>
            <w:pPr>
              <w:spacing w:after="0"/>
              <w:rPr>
                <w:sz w:val="2"/>
                <w:szCs w:val="2"/>
                <w:color w:val="auto"/>
              </w:rPr>
            </w:pPr>
          </w:p>
        </w:tc>
        <w:tc>
          <w:tcPr>
            <w:tcW w:w="4560" w:type="dxa"/>
            <w:vAlign w:val="bottom"/>
            <w:tcBorders>
              <w:bottom w:val="single" w:sz="8" w:color="002060"/>
            </w:tcBorders>
          </w:tcPr>
          <w:p>
            <w:pPr>
              <w:spacing w:after="0"/>
              <w:rPr>
                <w:sz w:val="2"/>
                <w:szCs w:val="2"/>
                <w:color w:val="auto"/>
              </w:rPr>
            </w:pPr>
          </w:p>
        </w:tc>
        <w:tc>
          <w:tcPr>
            <w:tcW w:w="5080" w:type="dxa"/>
            <w:vAlign w:val="bottom"/>
            <w:tcBorders>
              <w:bottom w:val="single" w:sz="8" w:color="002060"/>
            </w:tcBorders>
          </w:tcPr>
          <w:p>
            <w:pPr>
              <w:spacing w:after="0"/>
              <w:rPr>
                <w:sz w:val="2"/>
                <w:szCs w:val="2"/>
                <w:color w:val="auto"/>
              </w:rPr>
            </w:pPr>
          </w:p>
        </w:tc>
      </w:tr>
      <w:tr>
        <w:trPr>
          <w:trHeight w:val="210"/>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w w:val="99"/>
              </w:rPr>
              <w:t>Proposal 2</w:t>
            </w:r>
          </w:p>
        </w:tc>
        <w:tc>
          <w:tcPr>
            <w:tcW w:w="4560" w:type="dxa"/>
            <w:vAlign w:val="bottom"/>
          </w:tcPr>
          <w:p>
            <w:pPr>
              <w:ind w:left="40"/>
              <w:spacing w:after="0"/>
              <w:rPr>
                <w:sz w:val="20"/>
                <w:szCs w:val="20"/>
                <w:color w:val="auto"/>
              </w:rPr>
            </w:pPr>
            <w:r>
              <w:rPr>
                <w:rFonts w:ascii="Arial" w:cs="Arial" w:eastAsia="Arial" w:hAnsi="Arial"/>
                <w:sz w:val="18"/>
                <w:szCs w:val="18"/>
                <w:color w:val="auto"/>
              </w:rPr>
              <w:t>– Ratification of the appointment of Deloitte &amp; Touche</w:t>
            </w:r>
          </w:p>
        </w:tc>
        <w:tc>
          <w:tcPr>
            <w:tcW w:w="5080" w:type="dxa"/>
            <w:vAlign w:val="bottom"/>
          </w:tcPr>
          <w:p>
            <w:pPr>
              <w:ind w:left="220"/>
              <w:spacing w:after="0"/>
              <w:rPr>
                <w:sz w:val="20"/>
                <w:szCs w:val="20"/>
                <w:color w:val="auto"/>
              </w:rPr>
            </w:pPr>
            <w:r>
              <w:rPr>
                <w:rFonts w:ascii="Arial" w:cs="Arial" w:eastAsia="Arial" w:hAnsi="Arial"/>
                <w:sz w:val="18"/>
                <w:szCs w:val="18"/>
                <w:color w:val="auto"/>
              </w:rPr>
              <w:t>Majority of the shares present or represented by proxy at the</w:t>
            </w:r>
          </w:p>
        </w:tc>
      </w:tr>
      <w:tr>
        <w:trPr>
          <w:trHeight w:val="232"/>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LLP as our</w:t>
            </w:r>
          </w:p>
        </w:tc>
        <w:tc>
          <w:tcPr>
            <w:tcW w:w="4580" w:type="dxa"/>
            <w:vAlign w:val="bottom"/>
            <w:gridSpan w:val="2"/>
          </w:tcPr>
          <w:p>
            <w:pPr>
              <w:spacing w:after="0"/>
              <w:rPr>
                <w:sz w:val="20"/>
                <w:szCs w:val="20"/>
                <w:color w:val="auto"/>
              </w:rPr>
            </w:pPr>
            <w:r>
              <w:rPr>
                <w:rFonts w:ascii="Arial" w:cs="Arial" w:eastAsia="Arial" w:hAnsi="Arial"/>
                <w:sz w:val="18"/>
                <w:szCs w:val="18"/>
                <w:color w:val="auto"/>
              </w:rPr>
              <w:t>independent registered public accounting firm for 2024</w:t>
            </w:r>
          </w:p>
        </w:tc>
        <w:tc>
          <w:tcPr>
            <w:tcW w:w="5080" w:type="dxa"/>
            <w:vAlign w:val="bottom"/>
          </w:tcPr>
          <w:p>
            <w:pPr>
              <w:ind w:left="220"/>
              <w:spacing w:after="0"/>
              <w:rPr>
                <w:sz w:val="20"/>
                <w:szCs w:val="20"/>
                <w:color w:val="auto"/>
              </w:rPr>
            </w:pPr>
            <w:r>
              <w:rPr>
                <w:rFonts w:ascii="Arial" w:cs="Arial" w:eastAsia="Arial" w:hAnsi="Arial"/>
                <w:sz w:val="18"/>
                <w:szCs w:val="18"/>
                <w:color w:val="auto"/>
              </w:rPr>
              <w:t>Annual Meeting and entitled to vote</w:t>
            </w:r>
          </w:p>
        </w:tc>
      </w:tr>
      <w:tr>
        <w:trPr>
          <w:trHeight w:val="31"/>
        </w:trPr>
        <w:tc>
          <w:tcPr>
            <w:tcW w:w="920" w:type="dxa"/>
            <w:vAlign w:val="bottom"/>
            <w:tcBorders>
              <w:bottom w:val="single" w:sz="8" w:color="002060"/>
            </w:tcBorders>
          </w:tcPr>
          <w:p>
            <w:pPr>
              <w:spacing w:after="0"/>
              <w:rPr>
                <w:sz w:val="2"/>
                <w:szCs w:val="2"/>
                <w:color w:val="auto"/>
              </w:rPr>
            </w:pPr>
          </w:p>
        </w:tc>
        <w:tc>
          <w:tcPr>
            <w:tcW w:w="20" w:type="dxa"/>
            <w:vAlign w:val="bottom"/>
            <w:tcBorders>
              <w:bottom w:val="single" w:sz="8" w:color="002060"/>
            </w:tcBorders>
          </w:tcPr>
          <w:p>
            <w:pPr>
              <w:spacing w:after="0"/>
              <w:rPr>
                <w:sz w:val="2"/>
                <w:szCs w:val="2"/>
                <w:color w:val="auto"/>
              </w:rPr>
            </w:pPr>
          </w:p>
        </w:tc>
        <w:tc>
          <w:tcPr>
            <w:tcW w:w="4560" w:type="dxa"/>
            <w:vAlign w:val="bottom"/>
            <w:tcBorders>
              <w:bottom w:val="single" w:sz="8" w:color="002060"/>
            </w:tcBorders>
          </w:tcPr>
          <w:p>
            <w:pPr>
              <w:spacing w:after="0"/>
              <w:rPr>
                <w:sz w:val="2"/>
                <w:szCs w:val="2"/>
                <w:color w:val="auto"/>
              </w:rPr>
            </w:pPr>
          </w:p>
        </w:tc>
        <w:tc>
          <w:tcPr>
            <w:tcW w:w="5080" w:type="dxa"/>
            <w:vAlign w:val="bottom"/>
            <w:tcBorders>
              <w:bottom w:val="single" w:sz="8" w:color="002060"/>
            </w:tcBorders>
          </w:tcPr>
          <w:p>
            <w:pPr>
              <w:spacing w:after="0"/>
              <w:rPr>
                <w:sz w:val="2"/>
                <w:szCs w:val="2"/>
                <w:color w:val="auto"/>
              </w:rPr>
            </w:pPr>
          </w:p>
        </w:tc>
      </w:tr>
      <w:tr>
        <w:trPr>
          <w:trHeight w:val="210"/>
        </w:trPr>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Proposal 3</w:t>
            </w:r>
          </w:p>
        </w:tc>
        <w:tc>
          <w:tcPr>
            <w:tcW w:w="4560" w:type="dxa"/>
            <w:vAlign w:val="bottom"/>
          </w:tcPr>
          <w:p>
            <w:pPr>
              <w:ind w:left="40"/>
              <w:spacing w:after="0"/>
              <w:rPr>
                <w:sz w:val="20"/>
                <w:szCs w:val="20"/>
                <w:color w:val="auto"/>
              </w:rPr>
            </w:pPr>
            <w:r>
              <w:rPr>
                <w:rFonts w:ascii="Arial" w:cs="Arial" w:eastAsia="Arial" w:hAnsi="Arial"/>
                <w:sz w:val="18"/>
                <w:szCs w:val="18"/>
                <w:color w:val="auto"/>
              </w:rPr>
              <w:t>– Approval, on an advisory basis, of the compensation</w:t>
            </w:r>
          </w:p>
        </w:tc>
        <w:tc>
          <w:tcPr>
            <w:tcW w:w="5080" w:type="dxa"/>
            <w:vAlign w:val="bottom"/>
          </w:tcPr>
          <w:p>
            <w:pPr>
              <w:ind w:left="220"/>
              <w:spacing w:after="0"/>
              <w:rPr>
                <w:sz w:val="20"/>
                <w:szCs w:val="20"/>
                <w:color w:val="auto"/>
              </w:rPr>
            </w:pPr>
            <w:r>
              <w:rPr>
                <w:rFonts w:ascii="Arial" w:cs="Arial" w:eastAsia="Arial" w:hAnsi="Arial"/>
                <w:sz w:val="18"/>
                <w:szCs w:val="18"/>
                <w:color w:val="auto"/>
              </w:rPr>
              <w:t>Majority of the shares present or represented by proxy at the</w:t>
            </w:r>
          </w:p>
        </w:tc>
      </w:tr>
      <w:tr>
        <w:trPr>
          <w:trHeight w:val="232"/>
        </w:trPr>
        <w:tc>
          <w:tcPr>
            <w:tcW w:w="5500" w:type="dxa"/>
            <w:vAlign w:val="bottom"/>
            <w:gridSpan w:val="3"/>
          </w:tcPr>
          <w:p>
            <w:pPr>
              <w:spacing w:after="0"/>
              <w:rPr>
                <w:sz w:val="20"/>
                <w:szCs w:val="20"/>
                <w:color w:val="auto"/>
              </w:rPr>
            </w:pPr>
            <w:r>
              <w:rPr>
                <w:rFonts w:ascii="Arial" w:cs="Arial" w:eastAsia="Arial" w:hAnsi="Arial"/>
                <w:sz w:val="18"/>
                <w:szCs w:val="18"/>
                <w:color w:val="auto"/>
              </w:rPr>
              <w:t>of our named executive officers</w:t>
            </w:r>
          </w:p>
        </w:tc>
        <w:tc>
          <w:tcPr>
            <w:tcW w:w="5080" w:type="dxa"/>
            <w:vAlign w:val="bottom"/>
          </w:tcPr>
          <w:p>
            <w:pPr>
              <w:ind w:left="220"/>
              <w:spacing w:after="0"/>
              <w:rPr>
                <w:sz w:val="20"/>
                <w:szCs w:val="20"/>
                <w:color w:val="auto"/>
              </w:rPr>
            </w:pPr>
            <w:r>
              <w:rPr>
                <w:rFonts w:ascii="Arial" w:cs="Arial" w:eastAsia="Arial" w:hAnsi="Arial"/>
                <w:sz w:val="18"/>
                <w:szCs w:val="18"/>
                <w:color w:val="auto"/>
              </w:rPr>
              <w:t>Annual Meeting and entitled to vote</w:t>
            </w:r>
          </w:p>
        </w:tc>
      </w:tr>
      <w:tr>
        <w:trPr>
          <w:trHeight w:val="38"/>
        </w:trPr>
        <w:tc>
          <w:tcPr>
            <w:tcW w:w="920" w:type="dxa"/>
            <w:vAlign w:val="bottom"/>
            <w:tcBorders>
              <w:bottom w:val="single" w:sz="8" w:color="0070C0"/>
            </w:tcBorders>
          </w:tcPr>
          <w:p>
            <w:pPr>
              <w:spacing w:after="0"/>
              <w:rPr>
                <w:sz w:val="3"/>
                <w:szCs w:val="3"/>
                <w:color w:val="auto"/>
              </w:rPr>
            </w:pPr>
          </w:p>
        </w:tc>
        <w:tc>
          <w:tcPr>
            <w:tcW w:w="20" w:type="dxa"/>
            <w:vAlign w:val="bottom"/>
            <w:tcBorders>
              <w:bottom w:val="single" w:sz="8" w:color="0070C0"/>
            </w:tcBorders>
          </w:tcPr>
          <w:p>
            <w:pPr>
              <w:spacing w:after="0"/>
              <w:rPr>
                <w:sz w:val="3"/>
                <w:szCs w:val="3"/>
                <w:color w:val="auto"/>
              </w:rPr>
            </w:pPr>
          </w:p>
        </w:tc>
        <w:tc>
          <w:tcPr>
            <w:tcW w:w="4560" w:type="dxa"/>
            <w:vAlign w:val="bottom"/>
            <w:tcBorders>
              <w:bottom w:val="single" w:sz="8" w:color="0070C0"/>
            </w:tcBorders>
          </w:tcPr>
          <w:p>
            <w:pPr>
              <w:spacing w:after="0"/>
              <w:rPr>
                <w:sz w:val="3"/>
                <w:szCs w:val="3"/>
                <w:color w:val="auto"/>
              </w:rPr>
            </w:pPr>
          </w:p>
        </w:tc>
        <w:tc>
          <w:tcPr>
            <w:tcW w:w="5080" w:type="dxa"/>
            <w:vAlign w:val="bottom"/>
            <w:tcBorders>
              <w:bottom w:val="single" w:sz="8" w:color="0070C0"/>
            </w:tcBorders>
          </w:tcPr>
          <w:p>
            <w:pPr>
              <w:spacing w:after="0"/>
              <w:rPr>
                <w:sz w:val="3"/>
                <w:szCs w:val="3"/>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Voting Results</w:t>
      </w:r>
    </w:p>
    <w:p>
      <w:pPr>
        <w:spacing w:after="0" w:line="216" w:lineRule="exact"/>
        <w:rPr>
          <w:sz w:val="20"/>
          <w:szCs w:val="20"/>
          <w:color w:val="auto"/>
        </w:rPr>
      </w:pPr>
    </w:p>
    <w:p>
      <w:pPr>
        <w:ind w:left="440" w:right="20"/>
        <w:spacing w:after="0" w:line="247" w:lineRule="auto"/>
        <w:rPr>
          <w:sz w:val="20"/>
          <w:szCs w:val="20"/>
          <w:color w:val="auto"/>
        </w:rPr>
      </w:pPr>
      <w:r>
        <w:rPr>
          <w:rFonts w:ascii="Arial" w:cs="Arial" w:eastAsia="Arial" w:hAnsi="Arial"/>
          <w:sz w:val="18"/>
          <w:szCs w:val="18"/>
          <w:color w:val="auto"/>
        </w:rPr>
        <w:t>Preliminary voting results will be announced at the Annual Meeting. Final voting results will be published in a current report on Form 8-K to be filed with the SEC within four business days after the Annual Meeting. If final voting results are not available at that time, we will provide preliminary voting results in the Form 8-K and will provide the final voting results in an amendment to the Form 8-K as soon as they become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699516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Meeting and Voting Information</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85</w:t>
      </w:r>
    </w:p>
    <w:p>
      <w:pPr>
        <w:sectPr>
          <w:pgSz w:w="11900" w:h="16838" w:orient="portrait"/>
          <w:cols w:equalWidth="0" w:num="1">
            <w:col w:w="11020"/>
          </w:cols>
          <w:pgMar w:left="440" w:top="296" w:right="439" w:bottom="1440" w:gutter="0" w:footer="0" w:header="0"/>
        </w:sectPr>
      </w:pPr>
    </w:p>
    <w:bookmarkStart w:id="93" w:name="page94"/>
    <w:bookmarkEnd w:id="93"/>
    <w:p>
      <w:pPr>
        <w:jc w:val="center"/>
        <w:ind w:right="-359"/>
        <w:spacing w:after="0"/>
        <w:rPr>
          <w:sz w:val="20"/>
          <w:szCs w:val="20"/>
          <w:color w:val="auto"/>
        </w:rPr>
      </w:pPr>
      <w:r>
        <w:rPr>
          <w:rFonts w:ascii="Times New Roman" w:cs="Times New Roman" w:eastAsia="Times New Roman" w:hAnsi="Times New Roman"/>
          <w:sz w:val="40"/>
          <w:szCs w:val="40"/>
          <w:b w:val="1"/>
          <w:bCs w:val="1"/>
          <w:color w:val="0070C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699516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are not aware of any other matters that will be presented for consideration at the Annual Meeting. If any other matters are properly brought before the meeting, the persons named as proxies will vote on such matters in accordance with their best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100965</wp:posOffset>
            </wp:positionV>
            <wp:extent cx="699516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0070C0"/>
        </w:rPr>
        <w:t>IBP 2024 Proxy Statement</w:t>
      </w:r>
    </w:p>
    <w:p>
      <w:pPr>
        <w:spacing w:after="0" w:line="4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0070C0"/>
        </w:rPr>
        <w:t>Other Matters</w:t>
      </w:r>
    </w:p>
    <w:p>
      <w:pPr>
        <w:spacing w:after="0" w:line="7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0070C0"/>
        </w:rPr>
        <w:t>86</w:t>
      </w:r>
    </w:p>
    <w:p>
      <w:pPr>
        <w:sectPr>
          <w:pgSz w:w="11900" w:h="16838" w:orient="portrait"/>
          <w:cols w:equalWidth="0" w:num="1">
            <w:col w:w="10660"/>
          </w:cols>
          <w:pgMar w:left="440" w:top="261" w:right="799" w:bottom="1440"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34072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8340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34072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8340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ind w:left="5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page">
              <wp:posOffset>722630</wp:posOffset>
            </wp:positionH>
            <wp:positionV relativeFrom="page">
              <wp:posOffset>234315</wp:posOffset>
            </wp:positionV>
            <wp:extent cx="2846070" cy="65976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clrChange>
                        <a:clrFrom>
                          <a:srgbClr val="FFFFFF"/>
                        </a:clrFrom>
                        <a:clrTo>
                          <a:srgbClr val="FFFFFF">
                            <a:alpha val="0"/>
                          </a:srgbClr>
                        </a:clrTo>
                      </a:clrChange>
                      <a:extLst>
                        <a:ext uri="{28A0092B-C50C-407E-A947-70E740481C1C}"/>
                      </a:extLst>
                    </a:blip>
                    <a:srcRect/>
                    <a:stretch>
                      <a:fillRect/>
                    </a:stretch>
                  </pic:blipFill>
                  <pic:spPr bwMode="auto">
                    <a:xfrm>
                      <a:off x="0" y="0"/>
                      <a:ext cx="2846070" cy="659765"/>
                    </a:xfrm>
                    <a:prstGeom prst="rect">
                      <a:avLst/>
                    </a:prstGeom>
                    <a:noFill/>
                  </pic:spPr>
                </pic:pic>
              </a:graphicData>
            </a:graphic>
          </wp:anchor>
        </w:drawing>
        <w:t xml:space="preserve">          </w:t>
      </w:r>
    </w:p>
    <w:p>
      <w:pPr>
        <w:spacing w:after="0" w:line="176" w:lineRule="exact"/>
        <w:rPr>
          <w:sz w:val="20"/>
          <w:szCs w:val="20"/>
          <w:color w:val="auto"/>
        </w:rPr>
      </w:pPr>
    </w:p>
    <w:p>
      <w:pPr>
        <w:ind w:left="20"/>
        <w:spacing w:after="0"/>
        <w:tabs>
          <w:tab w:leader="none" w:pos="220" w:val="left"/>
          <w:tab w:leader="none" w:pos="420" w:val="left"/>
        </w:tabs>
        <w:rPr>
          <w:sz w:val="20"/>
          <w:szCs w:val="20"/>
          <w:color w:val="auto"/>
        </w:rPr>
      </w:pPr>
      <w:r>
        <w:rPr>
          <w:rFonts w:ascii="Times New Roman" w:cs="Times New Roman" w:eastAsia="Times New Roman" w:hAnsi="Times New Roman"/>
          <w:sz w:val="22"/>
          <w:szCs w:val="22"/>
          <w:color w:val="auto"/>
        </w:rPr>
        <w:t> </w:t>
        <w:tab/>
        <w:t> </w:t>
      </w:r>
      <w:r>
        <w:rPr>
          <w:sz w:val="20"/>
          <w:szCs w:val="20"/>
          <w:color w:val="auto"/>
        </w:rPr>
        <w:tab/>
      </w: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2847340</wp:posOffset>
            </wp:positionH>
            <wp:positionV relativeFrom="paragraph">
              <wp:posOffset>1717040</wp:posOffset>
            </wp:positionV>
            <wp:extent cx="282575" cy="2660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8257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Using a </w:t>
      </w:r>
      <w:r>
        <w:rPr>
          <w:rFonts w:ascii="Arial" w:cs="Arial" w:eastAsia="Arial" w:hAnsi="Arial"/>
          <w:sz w:val="13"/>
          <w:szCs w:val="13"/>
          <w:b w:val="1"/>
          <w:bCs w:val="1"/>
          <w:u w:val="single" w:color="auto"/>
          <w:color w:val="auto"/>
        </w:rPr>
        <w:t>black ink</w:t>
      </w:r>
      <w:r>
        <w:rPr>
          <w:rFonts w:ascii="Arial" w:cs="Arial" w:eastAsia="Arial" w:hAnsi="Arial"/>
          <w:sz w:val="13"/>
          <w:szCs w:val="13"/>
          <w:color w:val="auto"/>
        </w:rPr>
        <w:t xml:space="preserve"> pen, mark your votes with an </w:t>
      </w:r>
      <w:r>
        <w:rPr>
          <w:rFonts w:ascii="Arial" w:cs="Arial" w:eastAsia="Arial" w:hAnsi="Arial"/>
          <w:sz w:val="13"/>
          <w:szCs w:val="13"/>
          <w:b w:val="1"/>
          <w:bCs w:val="1"/>
          <w:color w:val="auto"/>
        </w:rPr>
        <w:t>X</w:t>
      </w:r>
      <w:r>
        <w:rPr>
          <w:rFonts w:ascii="Arial" w:cs="Arial" w:eastAsia="Arial" w:hAnsi="Arial"/>
          <w:sz w:val="13"/>
          <w:szCs w:val="13"/>
          <w:color w:val="auto"/>
        </w:rPr>
        <w:t xml:space="preserve"> as shown in this example.</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Please do not write outside the designated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113665</wp:posOffset>
            </wp:positionV>
            <wp:extent cx="6995160" cy="3003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95160" cy="300355"/>
                    </a:xfrm>
                    <a:prstGeom prst="rect">
                      <a:avLst/>
                    </a:prstGeom>
                    <a:noFill/>
                  </pic:spPr>
                </pic:pic>
              </a:graphicData>
            </a:graphic>
          </wp:anchor>
        </w:drawing>
      </w:r>
    </w:p>
    <w:p>
      <w:pPr>
        <w:spacing w:after="0" w:line="216" w:lineRule="exact"/>
        <w:rPr>
          <w:sz w:val="20"/>
          <w:szCs w:val="20"/>
          <w:color w:val="auto"/>
        </w:rPr>
      </w:pPr>
    </w:p>
    <w:p>
      <w:pPr>
        <w:ind w:left="140" w:hanging="124"/>
        <w:spacing w:after="0"/>
        <w:tabs>
          <w:tab w:leader="none" w:pos="140" w:val="left"/>
        </w:tabs>
        <w:numPr>
          <w:ilvl w:val="0"/>
          <w:numId w:val="53"/>
        </w:numPr>
        <w:rPr>
          <w:rFonts w:ascii="Arial" w:cs="Arial" w:eastAsia="Arial" w:hAnsi="Arial"/>
          <w:sz w:val="24"/>
          <w:szCs w:val="24"/>
          <w:color w:val="auto"/>
        </w:rPr>
      </w:pPr>
      <w:r>
        <w:rPr>
          <w:rFonts w:ascii="Arial" w:cs="Arial" w:eastAsia="Arial" w:hAnsi="Arial"/>
          <w:sz w:val="24"/>
          <w:szCs w:val="24"/>
          <w:b w:val="1"/>
          <w:bCs w:val="1"/>
          <w:color w:val="auto"/>
        </w:rPr>
        <w:t>2024 Annual Meeting Proxy Card</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q </w:t>
      </w:r>
      <w:r>
        <w:rPr>
          <w:rFonts w:ascii="Arial" w:cs="Arial" w:eastAsia="Arial" w:hAnsi="Arial"/>
          <w:sz w:val="14"/>
          <w:szCs w:val="14"/>
          <w:b w:val="1"/>
          <w:bCs w:val="1"/>
          <w:color w:val="auto"/>
        </w:rPr>
        <w:t>IF VOTING BY MAIL, SIGN, DETACH AND RETURN THE BOTTOM PORTION IN THE ENCLOSED ENVELOPE.</w:t>
      </w:r>
      <w:r>
        <w:rPr>
          <w:rFonts w:ascii="Times New Roman" w:cs="Times New Roman" w:eastAsia="Times New Roman" w:hAnsi="Times New Roman"/>
          <w:sz w:val="14"/>
          <w:szCs w:val="14"/>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160655</wp:posOffset>
            </wp:positionV>
            <wp:extent cx="6497955" cy="16319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497955" cy="163195"/>
                    </a:xfrm>
                    <a:prstGeom prst="rect">
                      <a:avLst/>
                    </a:prstGeom>
                    <a:noFill/>
                  </pic:spPr>
                </pic:pic>
              </a:graphicData>
            </a:graphic>
          </wp:anchor>
        </w:drawing>
      </w: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FFFFFF"/>
        </w:rPr>
        <w:t> A</w:t>
      </w:r>
      <w:r>
        <w:rPr>
          <w:rFonts w:ascii="Arial" w:cs="Arial" w:eastAsia="Arial" w:hAnsi="Arial"/>
          <w:sz w:val="18"/>
          <w:szCs w:val="18"/>
          <w:color w:val="FFFFFF"/>
        </w:rPr>
        <w:t>  </w:t>
      </w:r>
      <w:r>
        <w:rPr>
          <w:rFonts w:ascii="Arial" w:cs="Arial" w:eastAsia="Arial" w:hAnsi="Arial"/>
          <w:sz w:val="18"/>
          <w:szCs w:val="18"/>
          <w:b w:val="1"/>
          <w:bCs w:val="1"/>
          <w:color w:val="FFFFFF"/>
        </w:rPr>
        <w:t xml:space="preserve">  </w:t>
      </w:r>
      <w:r>
        <w:rPr>
          <w:rFonts w:ascii="Arial" w:cs="Arial" w:eastAsia="Arial" w:hAnsi="Arial"/>
          <w:sz w:val="18"/>
          <w:szCs w:val="18"/>
          <w:b w:val="1"/>
          <w:bCs w:val="1"/>
          <w:color w:val="000000"/>
        </w:rPr>
        <w:t>Proposals – The Board of Directors recommends a vote</w:t>
      </w:r>
      <w:r>
        <w:rPr>
          <w:rFonts w:ascii="Arial" w:cs="Arial" w:eastAsia="Arial" w:hAnsi="Arial"/>
          <w:sz w:val="18"/>
          <w:szCs w:val="18"/>
          <w:b w:val="1"/>
          <w:bCs w:val="1"/>
          <w:color w:val="FFFFFF"/>
        </w:rPr>
        <w:t xml:space="preserve"> </w:t>
      </w:r>
      <w:r>
        <w:rPr>
          <w:rFonts w:ascii="Arial" w:cs="Arial" w:eastAsia="Arial" w:hAnsi="Arial"/>
          <w:sz w:val="18"/>
          <w:szCs w:val="18"/>
          <w:b w:val="1"/>
          <w:bCs w:val="1"/>
          <w:u w:val="single" w:color="auto"/>
          <w:color w:val="000000"/>
        </w:rPr>
        <w:t>FOR</w:t>
      </w:r>
      <w:r>
        <w:rPr>
          <w:rFonts w:ascii="Arial" w:cs="Arial" w:eastAsia="Arial" w:hAnsi="Arial"/>
          <w:sz w:val="18"/>
          <w:szCs w:val="18"/>
          <w:b w:val="1"/>
          <w:bCs w:val="1"/>
          <w:color w:val="FFFFFF"/>
        </w:rPr>
        <w:t xml:space="preserve"> </w:t>
      </w:r>
      <w:r>
        <w:rPr>
          <w:rFonts w:ascii="Arial" w:cs="Arial" w:eastAsia="Arial" w:hAnsi="Arial"/>
          <w:sz w:val="18"/>
          <w:szCs w:val="18"/>
          <w:b w:val="1"/>
          <w:bCs w:val="1"/>
          <w:color w:val="000000"/>
        </w:rPr>
        <w:t>all the nominees listed and</w:t>
      </w:r>
      <w:r>
        <w:rPr>
          <w:rFonts w:ascii="Arial" w:cs="Arial" w:eastAsia="Arial" w:hAnsi="Arial"/>
          <w:sz w:val="18"/>
          <w:szCs w:val="18"/>
          <w:b w:val="1"/>
          <w:bCs w:val="1"/>
          <w:color w:val="FFFFFF"/>
        </w:rPr>
        <w:t xml:space="preserve"> </w:t>
      </w:r>
      <w:r>
        <w:rPr>
          <w:rFonts w:ascii="Arial" w:cs="Arial" w:eastAsia="Arial" w:hAnsi="Arial"/>
          <w:sz w:val="18"/>
          <w:szCs w:val="18"/>
          <w:b w:val="1"/>
          <w:bCs w:val="1"/>
          <w:u w:val="single" w:color="auto"/>
          <w:color w:val="000000"/>
        </w:rPr>
        <w:t>FOR</w:t>
      </w:r>
      <w:r>
        <w:rPr>
          <w:rFonts w:ascii="Arial" w:cs="Arial" w:eastAsia="Arial" w:hAnsi="Arial"/>
          <w:sz w:val="18"/>
          <w:szCs w:val="18"/>
          <w:b w:val="1"/>
          <w:bCs w:val="1"/>
          <w:color w:val="FFFFFF"/>
        </w:rPr>
        <w:t xml:space="preserve"> </w:t>
      </w:r>
      <w:r>
        <w:rPr>
          <w:rFonts w:ascii="Arial" w:cs="Arial" w:eastAsia="Arial" w:hAnsi="Arial"/>
          <w:sz w:val="18"/>
          <w:szCs w:val="18"/>
          <w:b w:val="1"/>
          <w:bCs w:val="1"/>
          <w:color w:val="000000"/>
        </w:rPr>
        <w:t>Proposals 2 and 3.</w:t>
      </w:r>
    </w:p>
    <w:p>
      <w:pPr>
        <w:sectPr>
          <w:pgSz w:w="11900" w:h="16838" w:orient="portrait"/>
          <w:cols w:equalWidth="0" w:num="1">
            <w:col w:w="11040"/>
          </w:cols>
          <w:pgMar w:left="420" w:top="809" w:right="439" w:bottom="1440" w:gutter="0" w:footer="0" w:header="0"/>
        </w:sectPr>
      </w:pPr>
    </w:p>
    <w:p>
      <w:pPr>
        <w:spacing w:after="0" w:line="100"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Election of Directors to serve for three-year terms:</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60" w:type="dxa"/>
            <w:vAlign w:val="bottom"/>
          </w:tcPr>
          <w:p>
            <w:pPr>
              <w:ind w:left="180"/>
              <w:spacing w:after="0"/>
              <w:rPr>
                <w:sz w:val="20"/>
                <w:szCs w:val="20"/>
                <w:color w:val="auto"/>
              </w:rPr>
            </w:pPr>
            <w:r>
              <w:rPr>
                <w:rFonts w:ascii="Arial" w:cs="Arial" w:eastAsia="Arial" w:hAnsi="Arial"/>
                <w:sz w:val="14"/>
                <w:szCs w:val="14"/>
                <w:b w:val="1"/>
                <w:bCs w:val="1"/>
                <w:color w:val="auto"/>
              </w:rPr>
              <w:t>For  Against</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270"/>
        </w:trPr>
        <w:tc>
          <w:tcPr>
            <w:tcW w:w="80" w:type="dxa"/>
            <w:vAlign w:val="bottom"/>
            <w:vMerge w:val="restart"/>
          </w:tcPr>
          <w:p>
            <w:pPr>
              <w:spacing w:after="0"/>
              <w:rPr>
                <w:sz w:val="20"/>
                <w:szCs w:val="20"/>
                <w:color w:val="auto"/>
              </w:rPr>
            </w:pPr>
            <w:r>
              <w:rPr>
                <w:rFonts w:ascii="Arial" w:cs="Arial" w:eastAsia="Arial" w:hAnsi="Arial"/>
                <w:sz w:val="8"/>
                <w:szCs w:val="8"/>
                <w:color w:val="auto"/>
                <w:w w:val="74"/>
              </w:rPr>
              <w:t> </w:t>
            </w:r>
          </w:p>
        </w:tc>
        <w:tc>
          <w:tcPr>
            <w:tcW w:w="1940" w:type="dxa"/>
            <w:vAlign w:val="bottom"/>
            <w:vMerge w:val="restart"/>
          </w:tcPr>
          <w:p>
            <w:pPr>
              <w:ind w:left="60"/>
              <w:spacing w:after="0"/>
              <w:rPr>
                <w:sz w:val="20"/>
                <w:szCs w:val="20"/>
                <w:color w:val="auto"/>
              </w:rPr>
            </w:pPr>
            <w:r>
              <w:rPr>
                <w:rFonts w:ascii="Arial" w:cs="Arial" w:eastAsia="Arial" w:hAnsi="Arial"/>
                <w:sz w:val="14"/>
                <w:szCs w:val="14"/>
                <w:color w:val="auto"/>
              </w:rPr>
              <w:t>     01 - Margot L. Carter</w:t>
            </w:r>
          </w:p>
        </w:tc>
        <w:tc>
          <w:tcPr>
            <w:tcW w:w="1160" w:type="dxa"/>
            <w:vAlign w:val="bottom"/>
          </w:tcPr>
          <w:p>
            <w:pPr>
              <w:ind w:left="140"/>
              <w:spacing w:after="0" w:line="270" w:lineRule="exact"/>
              <w:rPr>
                <w:sz w:val="20"/>
                <w:szCs w:val="20"/>
                <w:color w:val="auto"/>
              </w:rPr>
            </w:pPr>
            <w:r>
              <w:rPr>
                <w:rFonts w:ascii="MS PGothic" w:cs="MS PGothic" w:eastAsia="MS PGothic" w:hAnsi="MS PGothic"/>
                <w:sz w:val="32"/>
                <w:szCs w:val="32"/>
                <w:color w:val="auto"/>
              </w:rPr>
              <w:t>☐ ☐</w:t>
            </w:r>
          </w:p>
        </w:tc>
        <w:tc>
          <w:tcPr>
            <w:tcW w:w="600" w:type="dxa"/>
            <w:vAlign w:val="bottom"/>
          </w:tcPr>
          <w:p>
            <w:pPr>
              <w:jc w:val="center"/>
              <w:spacing w:after="0" w:line="270" w:lineRule="exact"/>
              <w:rPr>
                <w:sz w:val="20"/>
                <w:szCs w:val="20"/>
                <w:color w:val="auto"/>
              </w:rPr>
            </w:pPr>
            <w:r>
              <w:rPr>
                <w:rFonts w:ascii="MS PGothic" w:cs="MS PGothic" w:eastAsia="MS PGothic" w:hAnsi="MS PGothic"/>
                <w:sz w:val="32"/>
                <w:szCs w:val="32"/>
                <w:color w:val="auto"/>
                <w:w w:val="87"/>
              </w:rPr>
              <w:t>☐</w:t>
            </w:r>
          </w:p>
        </w:tc>
        <w:tc>
          <w:tcPr>
            <w:tcW w:w="0" w:type="dxa"/>
            <w:vAlign w:val="bottom"/>
          </w:tcPr>
          <w:p>
            <w:pPr>
              <w:spacing w:after="0"/>
              <w:rPr>
                <w:sz w:val="1"/>
                <w:szCs w:val="1"/>
                <w:color w:val="auto"/>
              </w:rPr>
            </w:pPr>
          </w:p>
        </w:tc>
      </w:tr>
      <w:tr>
        <w:trPr>
          <w:trHeight w:val="46"/>
        </w:trPr>
        <w:tc>
          <w:tcPr>
            <w:tcW w:w="80" w:type="dxa"/>
            <w:vAlign w:val="bottom"/>
            <w:vMerge w:val="continue"/>
          </w:tcPr>
          <w:p>
            <w:pPr>
              <w:spacing w:after="0"/>
              <w:rPr>
                <w:sz w:val="4"/>
                <w:szCs w:val="4"/>
                <w:color w:val="auto"/>
              </w:rPr>
            </w:pPr>
          </w:p>
        </w:tc>
        <w:tc>
          <w:tcPr>
            <w:tcW w:w="1940" w:type="dxa"/>
            <w:vAlign w:val="bottom"/>
            <w:vMerge w:val="continue"/>
          </w:tcPr>
          <w:p>
            <w:pPr>
              <w:spacing w:after="0"/>
              <w:rPr>
                <w:sz w:val="4"/>
                <w:szCs w:val="4"/>
                <w:color w:val="auto"/>
              </w:rPr>
            </w:pPr>
          </w:p>
        </w:tc>
        <w:tc>
          <w:tcPr>
            <w:tcW w:w="1160" w:type="dxa"/>
            <w:vAlign w:val="bottom"/>
            <w:vMerge w:val="restart"/>
          </w:tcPr>
          <w:p>
            <w:pPr>
              <w:ind w:left="140"/>
              <w:spacing w:after="0" w:line="321" w:lineRule="exact"/>
              <w:rPr>
                <w:sz w:val="20"/>
                <w:szCs w:val="20"/>
                <w:color w:val="auto"/>
              </w:rPr>
            </w:pPr>
            <w:r>
              <w:rPr>
                <w:rFonts w:ascii="MS PGothic" w:cs="MS PGothic" w:eastAsia="MS PGothic" w:hAnsi="MS PGothic"/>
                <w:sz w:val="32"/>
                <w:szCs w:val="32"/>
                <w:color w:val="auto"/>
              </w:rPr>
              <w:t>☐ ☐</w:t>
            </w:r>
          </w:p>
        </w:tc>
        <w:tc>
          <w:tcPr>
            <w:tcW w:w="600" w:type="dxa"/>
            <w:vAlign w:val="bottom"/>
            <w:vMerge w:val="restart"/>
          </w:tcPr>
          <w:p>
            <w:pPr>
              <w:jc w:val="center"/>
              <w:spacing w:after="0" w:line="321" w:lineRule="exact"/>
              <w:rPr>
                <w:sz w:val="20"/>
                <w:szCs w:val="20"/>
                <w:color w:val="auto"/>
              </w:rPr>
            </w:pPr>
            <w:r>
              <w:rPr>
                <w:rFonts w:ascii="MS PGothic" w:cs="MS PGothic" w:eastAsia="MS PGothic" w:hAnsi="MS PGothic"/>
                <w:sz w:val="32"/>
                <w:szCs w:val="32"/>
                <w:color w:val="auto"/>
                <w:w w:val="87"/>
              </w:rPr>
              <w:t>☐</w:t>
            </w:r>
          </w:p>
        </w:tc>
        <w:tc>
          <w:tcPr>
            <w:tcW w:w="0" w:type="dxa"/>
            <w:vAlign w:val="bottom"/>
          </w:tcPr>
          <w:p>
            <w:pPr>
              <w:spacing w:after="0"/>
              <w:rPr>
                <w:sz w:val="1"/>
                <w:szCs w:val="1"/>
                <w:color w:val="auto"/>
              </w:rPr>
            </w:pPr>
          </w:p>
        </w:tc>
      </w:tr>
      <w:tr>
        <w:trPr>
          <w:trHeight w:val="332"/>
        </w:trPr>
        <w:tc>
          <w:tcPr>
            <w:tcW w:w="80" w:type="dxa"/>
            <w:vAlign w:val="bottom"/>
            <w:vMerge w:val="restart"/>
          </w:tcPr>
          <w:p>
            <w:pPr>
              <w:spacing w:after="0"/>
              <w:rPr>
                <w:sz w:val="20"/>
                <w:szCs w:val="20"/>
                <w:color w:val="auto"/>
              </w:rPr>
            </w:pPr>
            <w:r>
              <w:rPr>
                <w:rFonts w:ascii="Arial" w:cs="Arial" w:eastAsia="Arial" w:hAnsi="Arial"/>
                <w:sz w:val="8"/>
                <w:szCs w:val="8"/>
                <w:color w:val="auto"/>
                <w:w w:val="74"/>
              </w:rPr>
              <w:t> </w:t>
            </w:r>
          </w:p>
        </w:tc>
        <w:tc>
          <w:tcPr>
            <w:tcW w:w="1940" w:type="dxa"/>
            <w:vAlign w:val="bottom"/>
            <w:vMerge w:val="restart"/>
          </w:tcPr>
          <w:p>
            <w:pPr>
              <w:ind w:left="60"/>
              <w:spacing w:after="0"/>
              <w:rPr>
                <w:sz w:val="20"/>
                <w:szCs w:val="20"/>
                <w:color w:val="auto"/>
              </w:rPr>
            </w:pPr>
            <w:r>
              <w:rPr>
                <w:rFonts w:ascii="Arial" w:cs="Arial" w:eastAsia="Arial" w:hAnsi="Arial"/>
                <w:sz w:val="14"/>
                <w:szCs w:val="14"/>
                <w:color w:val="auto"/>
              </w:rPr>
              <w:t>     02 - David R. Meuse</w:t>
            </w:r>
          </w:p>
        </w:tc>
        <w:tc>
          <w:tcPr>
            <w:tcW w:w="1160" w:type="dxa"/>
            <w:vAlign w:val="bottom"/>
            <w:vMerge w:val="continue"/>
          </w:tcPr>
          <w:p>
            <w:pPr>
              <w:spacing w:after="0"/>
              <w:rPr>
                <w:sz w:val="24"/>
                <w:szCs w:val="24"/>
                <w:color w:val="auto"/>
              </w:rPr>
            </w:pPr>
          </w:p>
        </w:tc>
        <w:tc>
          <w:tcPr>
            <w:tcW w:w="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80" w:type="dxa"/>
            <w:vAlign w:val="bottom"/>
            <w:vMerge w:val="continue"/>
          </w:tcPr>
          <w:p>
            <w:pPr>
              <w:spacing w:after="0"/>
              <w:rPr>
                <w:sz w:val="4"/>
                <w:szCs w:val="4"/>
                <w:color w:val="auto"/>
              </w:rPr>
            </w:pPr>
          </w:p>
        </w:tc>
        <w:tc>
          <w:tcPr>
            <w:tcW w:w="1940" w:type="dxa"/>
            <w:vAlign w:val="bottom"/>
            <w:vMerge w:val="continue"/>
          </w:tcPr>
          <w:p>
            <w:pPr>
              <w:spacing w:after="0"/>
              <w:rPr>
                <w:sz w:val="4"/>
                <w:szCs w:val="4"/>
                <w:color w:val="auto"/>
              </w:rPr>
            </w:pPr>
          </w:p>
        </w:tc>
        <w:tc>
          <w:tcPr>
            <w:tcW w:w="1160" w:type="dxa"/>
            <w:vAlign w:val="bottom"/>
            <w:vMerge w:val="restart"/>
          </w:tcPr>
          <w:p>
            <w:pPr>
              <w:ind w:left="140"/>
              <w:spacing w:after="0" w:line="321" w:lineRule="exact"/>
              <w:rPr>
                <w:sz w:val="20"/>
                <w:szCs w:val="20"/>
                <w:color w:val="auto"/>
              </w:rPr>
            </w:pPr>
            <w:r>
              <w:rPr>
                <w:rFonts w:ascii="MS PGothic" w:cs="MS PGothic" w:eastAsia="MS PGothic" w:hAnsi="MS PGothic"/>
                <w:sz w:val="32"/>
                <w:szCs w:val="32"/>
                <w:color w:val="auto"/>
              </w:rPr>
              <w:t>☐ ☐</w:t>
            </w:r>
          </w:p>
        </w:tc>
        <w:tc>
          <w:tcPr>
            <w:tcW w:w="600" w:type="dxa"/>
            <w:vAlign w:val="bottom"/>
            <w:vMerge w:val="restart"/>
          </w:tcPr>
          <w:p>
            <w:pPr>
              <w:jc w:val="center"/>
              <w:spacing w:after="0" w:line="321" w:lineRule="exact"/>
              <w:rPr>
                <w:sz w:val="20"/>
                <w:szCs w:val="20"/>
                <w:color w:val="auto"/>
              </w:rPr>
            </w:pPr>
            <w:r>
              <w:rPr>
                <w:rFonts w:ascii="MS PGothic" w:cs="MS PGothic" w:eastAsia="MS PGothic" w:hAnsi="MS PGothic"/>
                <w:sz w:val="32"/>
                <w:szCs w:val="32"/>
                <w:color w:val="auto"/>
                <w:w w:val="87"/>
              </w:rPr>
              <w:t>☐</w:t>
            </w:r>
          </w:p>
        </w:tc>
        <w:tc>
          <w:tcPr>
            <w:tcW w:w="0" w:type="dxa"/>
            <w:vAlign w:val="bottom"/>
          </w:tcPr>
          <w:p>
            <w:pPr>
              <w:spacing w:after="0"/>
              <w:rPr>
                <w:sz w:val="1"/>
                <w:szCs w:val="1"/>
                <w:color w:val="auto"/>
              </w:rPr>
            </w:pPr>
          </w:p>
        </w:tc>
      </w:tr>
      <w:tr>
        <w:trPr>
          <w:trHeight w:val="534"/>
        </w:trPr>
        <w:tc>
          <w:tcPr>
            <w:tcW w:w="80" w:type="dxa"/>
            <w:vAlign w:val="bottom"/>
          </w:tcPr>
          <w:p>
            <w:pPr>
              <w:spacing w:after="0"/>
              <w:rPr>
                <w:sz w:val="20"/>
                <w:szCs w:val="20"/>
                <w:color w:val="auto"/>
              </w:rPr>
            </w:pPr>
            <w:r>
              <w:rPr>
                <w:rFonts w:ascii="Arial" w:cs="Arial" w:eastAsia="Arial" w:hAnsi="Arial"/>
                <w:sz w:val="8"/>
                <w:szCs w:val="8"/>
                <w:color w:val="auto"/>
                <w:w w:val="74"/>
              </w:rPr>
              <w:t> </w:t>
            </w:r>
          </w:p>
        </w:tc>
        <w:tc>
          <w:tcPr>
            <w:tcW w:w="1940" w:type="dxa"/>
            <w:vAlign w:val="bottom"/>
          </w:tcPr>
          <w:p>
            <w:pPr>
              <w:ind w:left="60"/>
              <w:spacing w:after="0"/>
              <w:rPr>
                <w:sz w:val="20"/>
                <w:szCs w:val="20"/>
                <w:color w:val="auto"/>
              </w:rPr>
            </w:pPr>
            <w:r>
              <w:rPr>
                <w:rFonts w:ascii="Arial" w:cs="Arial" w:eastAsia="Arial" w:hAnsi="Arial"/>
                <w:sz w:val="14"/>
                <w:szCs w:val="14"/>
                <w:color w:val="auto"/>
              </w:rPr>
              <w:t>     03 -  Michael H. Thomas</w:t>
            </w:r>
          </w:p>
        </w:tc>
        <w:tc>
          <w:tcPr>
            <w:tcW w:w="1160" w:type="dxa"/>
            <w:vAlign w:val="bottom"/>
            <w:vMerge w:val="continue"/>
          </w:tcPr>
          <w:p>
            <w:pPr>
              <w:spacing w:after="0"/>
              <w:rPr>
                <w:sz w:val="24"/>
                <w:szCs w:val="24"/>
                <w:color w:val="auto"/>
              </w:rPr>
            </w:pPr>
          </w:p>
        </w:tc>
        <w:tc>
          <w:tcPr>
            <w:tcW w:w="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right"/>
        <w:ind w:left="20"/>
        <w:spacing w:after="0" w:line="285" w:lineRule="auto"/>
        <w:rPr>
          <w:sz w:val="20"/>
          <w:szCs w:val="20"/>
          <w:color w:val="auto"/>
        </w:rPr>
      </w:pPr>
      <w:r>
        <w:rPr>
          <w:rFonts w:ascii="Arial" w:cs="Arial" w:eastAsia="Arial" w:hAnsi="Arial"/>
          <w:sz w:val="14"/>
          <w:szCs w:val="14"/>
          <w:color w:val="auto"/>
        </w:rPr>
        <w:t>2.  Ratification of the appointment of Deloitte &amp; Touche LLP as our independent registered public accounting firm for 2024.</w:t>
      </w:r>
    </w:p>
    <w:p>
      <w:pPr>
        <w:spacing w:after="0" w:line="158" w:lineRule="exact"/>
        <w:rPr>
          <w:sz w:val="20"/>
          <w:szCs w:val="20"/>
          <w:color w:val="auto"/>
        </w:rPr>
      </w:pPr>
    </w:p>
    <w:p>
      <w:pPr>
        <w:ind w:left="200" w:right="40" w:hanging="186"/>
        <w:spacing w:after="0" w:line="285" w:lineRule="auto"/>
        <w:rPr>
          <w:sz w:val="20"/>
          <w:szCs w:val="20"/>
          <w:color w:val="auto"/>
        </w:rPr>
      </w:pPr>
      <w:r>
        <w:rPr>
          <w:rFonts w:ascii="Arial" w:cs="Arial" w:eastAsia="Arial" w:hAnsi="Arial"/>
          <w:sz w:val="14"/>
          <w:szCs w:val="14"/>
          <w:color w:val="auto"/>
        </w:rPr>
        <w:t>3.  Approval, on an advisory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594360</wp:posOffset>
            </wp:positionV>
            <wp:extent cx="213995" cy="1625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1399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4"/>
          <w:szCs w:val="14"/>
          <w:b w:val="1"/>
          <w:bCs w:val="1"/>
          <w:color w:val="auto"/>
        </w:rPr>
        <w:t>For</w:t>
        <w:tab/>
        <w:t>Against  Abstain</w:t>
      </w:r>
    </w:p>
    <w:p>
      <w:pPr>
        <w:spacing w:after="0" w:line="7" w:lineRule="exact"/>
        <w:rPr>
          <w:sz w:val="20"/>
          <w:szCs w:val="20"/>
          <w:color w:val="auto"/>
        </w:rPr>
      </w:pPr>
    </w:p>
    <w:p>
      <w:pPr>
        <w:spacing w:after="0" w:line="321" w:lineRule="exact"/>
        <w:rPr>
          <w:sz w:val="20"/>
          <w:szCs w:val="20"/>
          <w:color w:val="auto"/>
        </w:rPr>
      </w:pPr>
      <w:r>
        <w:rPr>
          <w:rFonts w:ascii="MS PGothic" w:cs="MS PGothic" w:eastAsia="MS PGothic" w:hAnsi="MS PGothic"/>
          <w:sz w:val="32"/>
          <w:szCs w:val="32"/>
          <w:color w:val="auto"/>
        </w:rPr>
        <w:t>☐ ☐  ☐</w:t>
      </w:r>
    </w:p>
    <w:p>
      <w:pPr>
        <w:spacing w:after="0" w:line="129" w:lineRule="exact"/>
        <w:rPr>
          <w:sz w:val="20"/>
          <w:szCs w:val="20"/>
          <w:color w:val="auto"/>
        </w:rPr>
      </w:pPr>
    </w:p>
    <w:p>
      <w:pPr>
        <w:spacing w:after="0" w:line="321" w:lineRule="exact"/>
        <w:rPr>
          <w:sz w:val="20"/>
          <w:szCs w:val="20"/>
          <w:color w:val="auto"/>
        </w:rPr>
      </w:pPr>
      <w:r>
        <w:rPr>
          <w:rFonts w:ascii="MS PGothic" w:cs="MS PGothic" w:eastAsia="MS PGothic" w:hAnsi="MS PGothic"/>
          <w:sz w:val="32"/>
          <w:szCs w:val="32"/>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-2429510</wp:posOffset>
            </wp:positionH>
            <wp:positionV relativeFrom="paragraph">
              <wp:posOffset>706120</wp:posOffset>
            </wp:positionV>
            <wp:extent cx="6780530" cy="1625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78053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534" w:hanging="534"/>
        <w:spacing w:after="0"/>
        <w:tabs>
          <w:tab w:leader="none" w:pos="534" w:val="left"/>
        </w:tabs>
        <w:numPr>
          <w:ilvl w:val="0"/>
          <w:numId w:val="54"/>
        </w:numPr>
        <w:rPr>
          <w:rFonts w:ascii="Arial" w:cs="Arial" w:eastAsia="Arial" w:hAnsi="Arial"/>
          <w:sz w:val="29"/>
          <w:szCs w:val="29"/>
          <w:b w:val="1"/>
          <w:bCs w:val="1"/>
          <w:color w:val="auto"/>
          <w:vertAlign w:val="superscript"/>
        </w:rPr>
      </w:pP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-353695</wp:posOffset>
            </wp:positionV>
            <wp:extent cx="214630" cy="2228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14630" cy="222885"/>
                    </a:xfrm>
                    <a:prstGeom prst="rect">
                      <a:avLst/>
                    </a:prstGeom>
                    <a:noFill/>
                  </pic:spPr>
                </pic:pic>
              </a:graphicData>
            </a:graphic>
          </wp:anchor>
        </w:drawing>
      </w:r>
    </w:p>
    <w:p>
      <w:pPr>
        <w:ind w:left="254"/>
        <w:spacing w:after="0"/>
        <w:rPr>
          <w:sz w:val="20"/>
          <w:szCs w:val="20"/>
          <w:color w:val="auto"/>
        </w:rPr>
      </w:pPr>
      <w:r>
        <w:rPr>
          <w:rFonts w:ascii="Arial" w:cs="Arial" w:eastAsia="Arial" w:hAnsi="Arial"/>
          <w:sz w:val="14"/>
          <w:szCs w:val="14"/>
          <w:color w:val="auto"/>
        </w:rPr>
        <w:t> </w:t>
      </w:r>
    </w:p>
    <w:p>
      <w:pPr>
        <w:spacing w:after="0" w:line="2351" w:lineRule="exact"/>
        <w:rPr>
          <w:sz w:val="20"/>
          <w:szCs w:val="20"/>
          <w:color w:val="auto"/>
        </w:rPr>
      </w:pPr>
    </w:p>
    <w:p>
      <w:pPr>
        <w:sectPr>
          <w:pgSz w:w="11900" w:h="16838" w:orient="portrait"/>
          <w:cols w:equalWidth="0" w:num="3">
            <w:col w:w="3960" w:space="220"/>
            <w:col w:w="5446" w:space="720"/>
            <w:col w:w="694"/>
          </w:cols>
          <w:pgMar w:left="420" w:top="80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 xml:space="preserve"> B    </w:t>
      </w:r>
      <w:r>
        <w:rPr>
          <w:rFonts w:ascii="Arial" w:cs="Arial" w:eastAsia="Arial" w:hAnsi="Arial"/>
          <w:sz w:val="18"/>
          <w:szCs w:val="18"/>
          <w:b w:val="1"/>
          <w:bCs w:val="1"/>
          <w:color w:val="000000"/>
        </w:rPr>
        <w:t>Authorized Signatures – This section must be completed for your vote to count. Please date and sign below.</w:t>
      </w:r>
    </w:p>
    <w:p>
      <w:pPr>
        <w:spacing w:after="0" w:line="86" w:lineRule="exact"/>
        <w:rPr>
          <w:sz w:val="20"/>
          <w:szCs w:val="20"/>
          <w:color w:val="auto"/>
        </w:rPr>
      </w:pPr>
    </w:p>
    <w:p>
      <w:pPr>
        <w:ind w:left="20" w:right="280"/>
        <w:spacing w:after="0" w:line="285" w:lineRule="auto"/>
        <w:rPr>
          <w:sz w:val="20"/>
          <w:szCs w:val="20"/>
          <w:color w:val="auto"/>
        </w:rPr>
      </w:pPr>
      <w:r>
        <w:rPr>
          <w:rFonts w:ascii="Arial" w:cs="Arial" w:eastAsia="Arial" w:hAnsi="Arial"/>
          <w:sz w:val="14"/>
          <w:szCs w:val="14"/>
          <w:color w:val="auto"/>
        </w:rPr>
        <w:t>Please sign exactly as name(s) appears hereon. Joint owners should each sign. When signing as attorney, executor, administrator, corporate officer, trustee, guardian, or custodian, please give full title.</w:t>
      </w:r>
    </w:p>
    <w:p>
      <w:pPr>
        <w:spacing w:after="0" w:line="117"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35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Date (mm/dd/yyyy) – Please print date below.</w:t>
            </w:r>
          </w:p>
        </w:tc>
        <w:tc>
          <w:tcPr>
            <w:tcW w:w="240" w:type="dxa"/>
            <w:vAlign w:val="bottom"/>
          </w:tcPr>
          <w:p>
            <w:pPr>
              <w:spacing w:after="0"/>
              <w:rPr>
                <w:sz w:val="17"/>
                <w:szCs w:val="17"/>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Signature 1 – Please keep signature within the box.</w:t>
            </w:r>
          </w:p>
        </w:tc>
        <w:tc>
          <w:tcPr>
            <w:tcW w:w="220" w:type="dxa"/>
            <w:vAlign w:val="bottom"/>
          </w:tcPr>
          <w:p>
            <w:pPr>
              <w:spacing w:after="0"/>
              <w:rPr>
                <w:sz w:val="17"/>
                <w:szCs w:val="17"/>
                <w:color w:val="auto"/>
              </w:rPr>
            </w:pPr>
          </w:p>
        </w:tc>
        <w:tc>
          <w:tcPr>
            <w:tcW w:w="3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Signature 2 – Please keep signature within the box.</w:t>
            </w:r>
          </w:p>
        </w:tc>
        <w:tc>
          <w:tcPr>
            <w:tcW w:w="0" w:type="dxa"/>
            <w:vAlign w:val="bottom"/>
          </w:tcPr>
          <w:p>
            <w:pPr>
              <w:spacing w:after="0"/>
              <w:rPr>
                <w:sz w:val="1"/>
                <w:szCs w:val="1"/>
                <w:color w:val="auto"/>
              </w:rPr>
            </w:pPr>
          </w:p>
        </w:tc>
      </w:tr>
      <w:tr>
        <w:trPr>
          <w:trHeight w:val="206"/>
        </w:trPr>
        <w:tc>
          <w:tcPr>
            <w:tcW w:w="440" w:type="dxa"/>
            <w:vAlign w:val="bottom"/>
            <w:tcBorders>
              <w:left w:val="single" w:sz="8" w:color="auto"/>
            </w:tcBorders>
            <w:vMerge w:val="restart"/>
          </w:tcPr>
          <w:p>
            <w:pPr>
              <w:ind w:left="180"/>
              <w:spacing w:after="0"/>
              <w:rPr>
                <w:sz w:val="20"/>
                <w:szCs w:val="20"/>
                <w:color w:val="auto"/>
              </w:rPr>
            </w:pPr>
            <w:r>
              <w:rPr>
                <w:rFonts w:ascii="Arial" w:cs="Arial" w:eastAsia="Arial" w:hAnsi="Arial"/>
                <w:sz w:val="34"/>
                <w:szCs w:val="34"/>
                <w:color w:val="auto"/>
                <w:w w:val="70"/>
              </w:rPr>
              <w:t> </w:t>
            </w:r>
          </w:p>
        </w:tc>
        <w:tc>
          <w:tcPr>
            <w:tcW w:w="440" w:type="dxa"/>
            <w:vAlign w:val="bottom"/>
            <w:vMerge w:val="restart"/>
          </w:tcPr>
          <w:p>
            <w:pPr>
              <w:ind w:left="160"/>
              <w:spacing w:after="0"/>
              <w:rPr>
                <w:sz w:val="20"/>
                <w:szCs w:val="20"/>
                <w:color w:val="auto"/>
              </w:rPr>
            </w:pPr>
            <w:r>
              <w:rPr>
                <w:rFonts w:ascii="Arial" w:cs="Arial" w:eastAsia="Arial" w:hAnsi="Arial"/>
                <w:sz w:val="37"/>
                <w:szCs w:val="37"/>
                <w:color w:val="auto"/>
                <w:w w:val="70"/>
              </w:rPr>
              <w:t> </w:t>
            </w:r>
          </w:p>
        </w:tc>
        <w:tc>
          <w:tcPr>
            <w:tcW w:w="560" w:type="dxa"/>
            <w:vAlign w:val="bottom"/>
            <w:vMerge w:val="restart"/>
          </w:tcPr>
          <w:p>
            <w:pPr>
              <w:ind w:left="160"/>
              <w:spacing w:after="0"/>
              <w:rPr>
                <w:sz w:val="20"/>
                <w:szCs w:val="20"/>
                <w:color w:val="auto"/>
              </w:rPr>
            </w:pPr>
            <w:r>
              <w:rPr>
                <w:rFonts w:ascii="Arial" w:cs="Arial" w:eastAsia="Arial" w:hAnsi="Arial"/>
                <w:sz w:val="42"/>
                <w:szCs w:val="42"/>
                <w:color w:val="auto"/>
                <w:w w:val="70"/>
              </w:rPr>
              <w:t>/ </w:t>
            </w:r>
          </w:p>
        </w:tc>
        <w:tc>
          <w:tcPr>
            <w:tcW w:w="420" w:type="dxa"/>
            <w:vAlign w:val="bottom"/>
            <w:vMerge w:val="restart"/>
          </w:tcPr>
          <w:p>
            <w:pPr>
              <w:ind w:left="140"/>
              <w:spacing w:after="0"/>
              <w:rPr>
                <w:sz w:val="20"/>
                <w:szCs w:val="20"/>
                <w:color w:val="auto"/>
              </w:rPr>
            </w:pPr>
            <w:r>
              <w:rPr>
                <w:rFonts w:ascii="Arial" w:cs="Arial" w:eastAsia="Arial" w:hAnsi="Arial"/>
                <w:sz w:val="37"/>
                <w:szCs w:val="37"/>
                <w:color w:val="auto"/>
                <w:w w:val="70"/>
              </w:rPr>
              <w:t> </w:t>
            </w:r>
          </w:p>
        </w:tc>
        <w:tc>
          <w:tcPr>
            <w:tcW w:w="1700" w:type="dxa"/>
            <w:vAlign w:val="bottom"/>
            <w:tcBorders>
              <w:right w:val="single" w:sz="8" w:color="auto"/>
            </w:tcBorders>
            <w:vMerge w:val="restart"/>
          </w:tcPr>
          <w:p>
            <w:pPr>
              <w:jc w:val="right"/>
              <w:ind w:right="1204"/>
              <w:spacing w:after="0"/>
              <w:rPr>
                <w:sz w:val="20"/>
                <w:szCs w:val="20"/>
                <w:color w:val="auto"/>
              </w:rPr>
            </w:pPr>
            <w:r>
              <w:rPr>
                <w:rFonts w:ascii="Arial" w:cs="Arial" w:eastAsia="Arial" w:hAnsi="Arial"/>
                <w:sz w:val="43"/>
                <w:szCs w:val="43"/>
                <w:color w:val="auto"/>
              </w:rPr>
              <w:t>/</w:t>
            </w:r>
          </w:p>
        </w:tc>
        <w:tc>
          <w:tcPr>
            <w:tcW w:w="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88"/>
              </w:rPr>
              <w:t> </w:t>
            </w:r>
          </w:p>
        </w:tc>
        <w:tc>
          <w:tcPr>
            <w:tcW w:w="352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88"/>
              </w:rPr>
              <w:t> </w:t>
            </w:r>
          </w:p>
        </w:tc>
        <w:tc>
          <w:tcPr>
            <w:tcW w:w="3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0"/>
        </w:trPr>
        <w:tc>
          <w:tcPr>
            <w:tcW w:w="440" w:type="dxa"/>
            <w:vAlign w:val="bottom"/>
            <w:tcBorders>
              <w:left w:val="single" w:sz="8" w:color="auto"/>
              <w:bottom w:val="single" w:sz="8" w:color="auto"/>
            </w:tcBorders>
            <w:vMerge w:val="continue"/>
          </w:tcPr>
          <w:p>
            <w:pPr>
              <w:spacing w:after="0"/>
              <w:rPr>
                <w:sz w:val="24"/>
                <w:szCs w:val="24"/>
                <w:color w:val="auto"/>
              </w:rPr>
            </w:pPr>
          </w:p>
        </w:tc>
        <w:tc>
          <w:tcPr>
            <w:tcW w:w="440" w:type="dxa"/>
            <w:vAlign w:val="bottom"/>
            <w:tcBorders>
              <w:bottom w:val="single" w:sz="8" w:color="auto"/>
            </w:tcBorders>
            <w:vMerge w:val="continue"/>
          </w:tcPr>
          <w:p>
            <w:pPr>
              <w:spacing w:after="0"/>
              <w:rPr>
                <w:sz w:val="24"/>
                <w:szCs w:val="24"/>
                <w:color w:val="auto"/>
              </w:rPr>
            </w:pPr>
          </w:p>
        </w:tc>
        <w:tc>
          <w:tcPr>
            <w:tcW w:w="560" w:type="dxa"/>
            <w:vAlign w:val="bottom"/>
            <w:tcBorders>
              <w:bottom w:val="single" w:sz="8" w:color="auto"/>
            </w:tcBorders>
            <w:vMerge w:val="continue"/>
          </w:tcPr>
          <w:p>
            <w:pPr>
              <w:spacing w:after="0"/>
              <w:rPr>
                <w:sz w:val="24"/>
                <w:szCs w:val="24"/>
                <w:color w:val="auto"/>
              </w:rPr>
            </w:pPr>
          </w:p>
        </w:tc>
        <w:tc>
          <w:tcPr>
            <w:tcW w:w="420" w:type="dxa"/>
            <w:vAlign w:val="bottom"/>
            <w:tcBorders>
              <w:bottom w:val="single" w:sz="8" w:color="auto"/>
            </w:tcBorders>
            <w:vMerge w:val="continue"/>
          </w:tcPr>
          <w:p>
            <w:pPr>
              <w:spacing w:after="0"/>
              <w:rPr>
                <w:sz w:val="24"/>
                <w:szCs w:val="24"/>
                <w:color w:val="auto"/>
              </w:rPr>
            </w:pPr>
          </w:p>
        </w:tc>
        <w:tc>
          <w:tcPr>
            <w:tcW w:w="1700" w:type="dxa"/>
            <w:vAlign w:val="bottom"/>
            <w:tcBorders>
              <w:bottom w:val="single" w:sz="8" w:color="auto"/>
              <w:right w:val="single" w:sz="8" w:color="auto"/>
            </w:tcBorders>
            <w:vMerge w:val="continue"/>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3520" w:type="dxa"/>
            <w:vAlign w:val="bottom"/>
            <w:tcBorders>
              <w:bottom w:val="single" w:sz="8" w:color="auto"/>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440" w:type="dxa"/>
            <w:vAlign w:val="bottom"/>
          </w:tcPr>
          <w:p>
            <w:pPr>
              <w:ind w:left="20"/>
              <w:spacing w:after="0"/>
              <w:rPr>
                <w:sz w:val="20"/>
                <w:szCs w:val="20"/>
                <w:color w:val="auto"/>
              </w:rPr>
            </w:pPr>
            <w:r>
              <w:rPr>
                <w:rFonts w:ascii="Arial" w:cs="Arial" w:eastAsia="Arial" w:hAnsi="Arial"/>
                <w:sz w:val="22"/>
                <w:szCs w:val="22"/>
                <w:color w:val="auto"/>
              </w:rPr>
              <w:t xml:space="preserve">    </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760" w:type="dxa"/>
            <w:vAlign w:val="bottom"/>
            <w:gridSpan w:val="2"/>
          </w:tcPr>
          <w:p>
            <w:pPr>
              <w:ind w:left="200"/>
              <w:spacing w:after="0"/>
              <w:rPr>
                <w:sz w:val="20"/>
                <w:szCs w:val="20"/>
                <w:color w:val="auto"/>
              </w:rPr>
            </w:pPr>
            <w:r>
              <w:rPr>
                <w:rFonts w:ascii="Arial" w:cs="Arial" w:eastAsia="Arial" w:hAnsi="Arial"/>
                <w:sz w:val="22"/>
                <w:szCs w:val="22"/>
                <w:color w:val="auto"/>
              </w:rPr>
              <w:t>     1 U P X</w:t>
            </w:r>
          </w:p>
        </w:tc>
        <w:tc>
          <w:tcPr>
            <w:tcW w:w="220" w:type="dxa"/>
            <w:vAlign w:val="bottom"/>
          </w:tcPr>
          <w:p>
            <w:pPr>
              <w:spacing w:after="0"/>
              <w:rPr>
                <w:sz w:val="24"/>
                <w:szCs w:val="24"/>
                <w:color w:val="auto"/>
              </w:rPr>
            </w:pPr>
          </w:p>
        </w:tc>
        <w:tc>
          <w:tcPr>
            <w:tcW w:w="3500" w:type="dxa"/>
            <w:vAlign w:val="bottom"/>
          </w:tcPr>
          <w:p>
            <w:pPr>
              <w:ind w:left="3260"/>
              <w:spacing w:after="0"/>
              <w:rPr>
                <w:sz w:val="20"/>
                <w:szCs w:val="20"/>
                <w:color w:val="auto"/>
              </w:rPr>
            </w:pPr>
            <w:r>
              <w:rPr>
                <w:rFonts w:ascii="Arial" w:cs="Arial" w:eastAsia="Arial" w:hAnsi="Arial"/>
                <w:sz w:val="22"/>
                <w:szCs w:val="22"/>
                <w:color w:val="auto"/>
              </w:rPr>
              <w:t xml:space="preserve">    </w:t>
            </w:r>
          </w:p>
        </w:tc>
        <w:tc>
          <w:tcPr>
            <w:tcW w:w="0" w:type="dxa"/>
            <w:vAlign w:val="bottom"/>
          </w:tcPr>
          <w:p>
            <w:pPr>
              <w:spacing w:after="0"/>
              <w:rPr>
                <w:sz w:val="1"/>
                <w:szCs w:val="1"/>
                <w:color w:val="auto"/>
              </w:rPr>
            </w:pPr>
          </w:p>
        </w:tc>
      </w:tr>
      <w:tr>
        <w:trPr>
          <w:trHeight w:val="330"/>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gridSpan w:val="2"/>
          </w:tcPr>
          <w:p>
            <w:pPr>
              <w:ind w:left="340"/>
              <w:spacing w:after="0"/>
              <w:rPr>
                <w:sz w:val="20"/>
                <w:szCs w:val="20"/>
                <w:color w:val="auto"/>
              </w:rPr>
            </w:pPr>
            <w:r>
              <w:rPr>
                <w:rFonts w:ascii="Arial" w:cs="Arial" w:eastAsia="Arial" w:hAnsi="Arial"/>
                <w:sz w:val="11"/>
                <w:szCs w:val="11"/>
                <w:color w:val="auto"/>
              </w:rPr>
              <w:t>03YDTC</w:t>
            </w: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-475615</wp:posOffset>
            </wp:positionV>
            <wp:extent cx="205740" cy="1974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05740" cy="197485"/>
                    </a:xfrm>
                    <a:prstGeom prst="rect">
                      <a:avLst/>
                    </a:prstGeom>
                    <a:noFill/>
                  </pic:spPr>
                </pic:pic>
              </a:graphicData>
            </a:graphic>
          </wp:anchor>
        </w:drawing>
        <w:drawing>
          <wp:anchor simplePos="0" relativeHeight="251657728" behindDoc="1" locked="0" layoutInCell="0" allowOverlap="1">
            <wp:simplePos x="0" y="0"/>
            <wp:positionH relativeFrom="column">
              <wp:posOffset>6636385</wp:posOffset>
            </wp:positionH>
            <wp:positionV relativeFrom="paragraph">
              <wp:posOffset>-475615</wp:posOffset>
            </wp:positionV>
            <wp:extent cx="214630" cy="2228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14630" cy="222885"/>
                    </a:xfrm>
                    <a:prstGeom prst="rect">
                      <a:avLst/>
                    </a:prstGeom>
                    <a:noFill/>
                  </pic:spPr>
                </pic:pic>
              </a:graphicData>
            </a:graphic>
          </wp:anchor>
        </w:drawing>
      </w:r>
    </w:p>
    <w:p>
      <w:pPr>
        <w:sectPr>
          <w:pgSz w:w="11900" w:h="16838" w:orient="portrait"/>
          <w:cols w:equalWidth="0" w:num="1">
            <w:col w:w="11040"/>
          </w:cols>
          <w:pgMar w:left="420" w:top="809" w:right="439" w:bottom="1440" w:gutter="0" w:footer="0" w:header="0"/>
          <w:type w:val="continuous"/>
        </w:sectPr>
      </w:pPr>
    </w:p>
    <w:bookmarkStart w:id="97" w:name="page98"/>
    <w:bookmarkEnd w:id="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The 2024 Annual Meeting of Stockholders of Installed Building Products, Inc. will be held on Thursday, May 23, 2024 at</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10:00 a.m. Eastern Time.</w:t>
      </w:r>
    </w:p>
    <w:p>
      <w:pPr>
        <w:jc w:val="center"/>
        <w:ind w:right="-3"/>
        <w:spacing w:after="0"/>
        <w:rPr>
          <w:sz w:val="20"/>
          <w:szCs w:val="20"/>
          <w:color w:val="auto"/>
        </w:rPr>
      </w:pPr>
      <w:r>
        <w:rPr>
          <w:rFonts w:ascii="Arial" w:cs="Arial" w:eastAsia="Arial" w:hAnsi="Arial"/>
          <w:sz w:val="18"/>
          <w:szCs w:val="18"/>
          <w:b w:val="1"/>
          <w:bCs w:val="1"/>
          <w:color w:val="auto"/>
        </w:rPr>
        <w:t>The Annual Meeting will be a virtual meeting hosted by a live audio webcast at https://meetnow.global/MJUTAUG</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To access the virtual meeting, please refer to the “Meeting and Voting Information” section of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left="460" w:right="820"/>
        <w:spacing w:after="0" w:line="281" w:lineRule="auto"/>
        <w:rPr>
          <w:sz w:val="20"/>
          <w:szCs w:val="20"/>
          <w:color w:val="auto"/>
        </w:rPr>
      </w:pPr>
      <w:r>
        <w:rPr>
          <w:rFonts w:ascii="Arial" w:cs="Arial" w:eastAsia="Arial" w:hAnsi="Arial"/>
          <w:sz w:val="18"/>
          <w:szCs w:val="18"/>
          <w:b w:val="1"/>
          <w:bCs w:val="1"/>
          <w:color w:val="auto"/>
        </w:rPr>
        <w:t>Important notice regarding the Internet availability of proxy materials for the Annual Meeting of Stockholders. The material is available at: www.edocumentview.com/IBP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 xml:space="preserve">q </w:t>
      </w:r>
      <w:r>
        <w:rPr>
          <w:rFonts w:ascii="Arial" w:cs="Arial" w:eastAsia="Arial" w:hAnsi="Arial"/>
          <w:sz w:val="14"/>
          <w:szCs w:val="14"/>
          <w:b w:val="1"/>
          <w:bCs w:val="1"/>
          <w:color w:val="auto"/>
        </w:rPr>
        <w:t>IF VOTING BY MAIL, SIGN, DETACH AND RETURN THE BOTTOM PORTION IN THE ENCLOSED ENVELOPE.</w:t>
      </w:r>
      <w:r>
        <w:rPr>
          <w:rFonts w:ascii="Times New Roman" w:cs="Times New Roman" w:eastAsia="Times New Roman" w:hAnsi="Times New Roman"/>
          <w:sz w:val="14"/>
          <w:szCs w:val="14"/>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237490</wp:posOffset>
            </wp:positionV>
            <wp:extent cx="6995160" cy="33401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33401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
        <w:spacing w:after="0"/>
        <w:rPr>
          <w:sz w:val="20"/>
          <w:szCs w:val="20"/>
          <w:color w:val="auto"/>
        </w:rPr>
      </w:pPr>
      <w:r>
        <w:rPr>
          <w:rFonts w:ascii="Arial" w:cs="Arial" w:eastAsia="Arial" w:hAnsi="Arial"/>
          <w:sz w:val="25"/>
          <w:szCs w:val="25"/>
          <w:b w:val="1"/>
          <w:bCs w:val="1"/>
          <w:color w:val="auto"/>
        </w:rPr>
        <w:t>  Proxy – Installed Building Products, Inc.</w:t>
      </w:r>
    </w:p>
    <w:p>
      <w:pPr>
        <w:spacing w:after="0" w:line="320" w:lineRule="exact"/>
        <w:rPr>
          <w:sz w:val="20"/>
          <w:szCs w:val="20"/>
          <w:color w:val="auto"/>
        </w:rPr>
      </w:pPr>
    </w:p>
    <w:p>
      <w:pPr>
        <w:ind w:left="4"/>
        <w:spacing w:after="0"/>
        <w:rPr>
          <w:sz w:val="20"/>
          <w:szCs w:val="20"/>
          <w:color w:val="auto"/>
        </w:rPr>
      </w:pPr>
      <w:r>
        <w:rPr>
          <w:rFonts w:ascii="Arial" w:cs="Arial" w:eastAsia="Arial" w:hAnsi="Arial"/>
          <w:sz w:val="25"/>
          <w:szCs w:val="25"/>
          <w:b w:val="1"/>
          <w:bCs w:val="1"/>
          <w:color w:val="auto"/>
        </w:rPr>
        <w:t>Notice of 2024 Annual Meeting of Stockholders</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Proxy Solicited by Board of Directors</w:t>
      </w:r>
    </w:p>
    <w:p>
      <w:pPr>
        <w:spacing w:after="0" w:line="175" w:lineRule="exact"/>
        <w:rPr>
          <w:sz w:val="20"/>
          <w:szCs w:val="20"/>
          <w:color w:val="auto"/>
        </w:rPr>
      </w:pPr>
    </w:p>
    <w:p>
      <w:pPr>
        <w:jc w:val="both"/>
        <w:ind w:left="4"/>
        <w:spacing w:after="0" w:line="253" w:lineRule="auto"/>
        <w:rPr>
          <w:sz w:val="20"/>
          <w:szCs w:val="20"/>
          <w:color w:val="auto"/>
        </w:rPr>
      </w:pPr>
      <w:r>
        <w:rPr>
          <w:rFonts w:ascii="Arial" w:cs="Arial" w:eastAsia="Arial" w:hAnsi="Arial"/>
          <w:sz w:val="18"/>
          <w:szCs w:val="18"/>
          <w:color w:val="auto"/>
        </w:rPr>
        <w:t>Jeffrey W. Edwards and Michael T. Miller, or either of them, each with the power of substitution, are hereby authorized to represent and vote the shares of the undersigned, with all the powers which the undersigned would possess if personally present, at the Annual Meeting of Stockholders of Installed Building Products, Inc. to be held on May 23, 2024 or at any postponement or adjournment thereof.</w:t>
      </w:r>
    </w:p>
    <w:p>
      <w:pPr>
        <w:spacing w:after="0" w:line="101" w:lineRule="exact"/>
        <w:rPr>
          <w:sz w:val="20"/>
          <w:szCs w:val="20"/>
          <w:color w:val="auto"/>
        </w:rPr>
      </w:pPr>
    </w:p>
    <w:p>
      <w:pPr>
        <w:jc w:val="both"/>
        <w:ind w:left="4"/>
        <w:spacing w:after="0" w:line="245" w:lineRule="auto"/>
        <w:rPr>
          <w:sz w:val="20"/>
          <w:szCs w:val="20"/>
          <w:color w:val="auto"/>
        </w:rPr>
      </w:pPr>
      <w:r>
        <w:rPr>
          <w:rFonts w:ascii="Arial" w:cs="Arial" w:eastAsia="Arial" w:hAnsi="Arial"/>
          <w:sz w:val="18"/>
          <w:szCs w:val="18"/>
          <w:color w:val="auto"/>
        </w:rPr>
        <w:t>This proxy, when properly executed, will be voted in the manner directed herein by the stockholder. If no direction is made, this proxy will be voted:</w:t>
      </w:r>
    </w:p>
    <w:p>
      <w:pPr>
        <w:ind w:left="104" w:hanging="104"/>
        <w:spacing w:after="0" w:line="235" w:lineRule="auto"/>
        <w:tabs>
          <w:tab w:leader="none" w:pos="104"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the election of Margot L. Carter, David R. Meuse and Michael H. Thomas as directors to serve for three-year terms;</w:t>
      </w:r>
    </w:p>
    <w:p>
      <w:pPr>
        <w:ind w:left="104" w:hanging="104"/>
        <w:spacing w:after="0" w:line="234" w:lineRule="auto"/>
        <w:tabs>
          <w:tab w:leader="none" w:pos="104"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the ratification of the appointment of Deloitte &amp; Touche LLP as our independent registered public accounting firm for 2024;</w:t>
      </w:r>
    </w:p>
    <w:p>
      <w:pPr>
        <w:ind w:left="104" w:hanging="104"/>
        <w:spacing w:after="0"/>
        <w:tabs>
          <w:tab w:leader="none" w:pos="104"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the approval, on an advisory basis, of the compensation of our named executive officers.</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 their discretion, the Proxies are authorized to vote upon such other business as may properly come before the meeting.</w:t>
      </w:r>
    </w:p>
    <w:p>
      <w:pPr>
        <w:spacing w:after="0" w:line="144" w:lineRule="exact"/>
        <w:rPr>
          <w:sz w:val="20"/>
          <w:szCs w:val="20"/>
          <w:color w:val="auto"/>
        </w:rPr>
      </w:pPr>
    </w:p>
    <w:p>
      <w:pPr>
        <w:ind w:left="3804"/>
        <w:spacing w:after="0"/>
        <w:rPr>
          <w:sz w:val="20"/>
          <w:szCs w:val="20"/>
          <w:color w:val="auto"/>
        </w:rPr>
      </w:pPr>
      <w:r>
        <w:rPr>
          <w:rFonts w:ascii="Arial" w:cs="Arial" w:eastAsia="Arial" w:hAnsi="Arial"/>
          <w:sz w:val="18"/>
          <w:szCs w:val="18"/>
          <w:color w:val="auto"/>
        </w:rPr>
        <w:t>(Items to be voted appear on reverse side)</w:t>
      </w:r>
    </w:p>
    <w:p>
      <w:pPr>
        <w:sectPr>
          <w:pgSz w:w="11900" w:h="16838" w:orient="portrait"/>
          <w:cols w:equalWidth="0" w:num="1">
            <w:col w:w="11004"/>
          </w:cols>
          <w:pgMar w:left="436" w:top="1440" w:right="459" w:bottom="1440" w:gutter="0" w:footer="0" w:header="0"/>
        </w:sectPr>
      </w:pPr>
    </w:p>
    <w:bookmarkStart w:id="98" w:name="page99"/>
    <w:bookmarkEnd w:id="98"/>
    <w:p>
      <w:pPr>
        <w:ind w:left="20"/>
        <w:spacing w:after="0"/>
        <w:rPr>
          <w:sz w:val="20"/>
          <w:szCs w:val="20"/>
          <w:color w:val="auto"/>
        </w:rPr>
      </w:pP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-118745</wp:posOffset>
            </wp:positionV>
            <wp:extent cx="1225550" cy="6769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25550" cy="676910"/>
                    </a:xfrm>
                    <a:prstGeom prst="rect">
                      <a:avLst/>
                    </a:prstGeom>
                    <a:noFill/>
                  </pic:spPr>
                </pic:pic>
              </a:graphicData>
            </a:graphic>
          </wp:anchor>
        </w:drawing>
        <w:drawing>
          <wp:anchor simplePos="0" relativeHeight="251657728" behindDoc="1" locked="0" layoutInCell="0" allowOverlap="1">
            <wp:simplePos x="0" y="0"/>
            <wp:positionH relativeFrom="column">
              <wp:posOffset>2675890</wp:posOffset>
            </wp:positionH>
            <wp:positionV relativeFrom="paragraph">
              <wp:posOffset>-118745</wp:posOffset>
            </wp:positionV>
            <wp:extent cx="720090" cy="4800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0090" cy="480060"/>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2778125</wp:posOffset>
            </wp:positionV>
            <wp:extent cx="334645" cy="3086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3464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Using a </w:t>
      </w:r>
      <w:r>
        <w:rPr>
          <w:rFonts w:ascii="Arial" w:cs="Arial" w:eastAsia="Arial" w:hAnsi="Arial"/>
          <w:sz w:val="12"/>
          <w:szCs w:val="12"/>
          <w:b w:val="1"/>
          <w:bCs w:val="1"/>
          <w:u w:val="single" w:color="auto"/>
          <w:color w:val="auto"/>
        </w:rPr>
        <w:t>black ink</w:t>
      </w:r>
      <w:r>
        <w:rPr>
          <w:rFonts w:ascii="Arial" w:cs="Arial" w:eastAsia="Arial" w:hAnsi="Arial"/>
          <w:sz w:val="12"/>
          <w:szCs w:val="12"/>
          <w:color w:val="auto"/>
        </w:rPr>
        <w:t xml:space="preserve"> pen, mark your votes with an </w:t>
      </w:r>
      <w:r>
        <w:rPr>
          <w:rFonts w:ascii="Arial" w:cs="Arial" w:eastAsia="Arial" w:hAnsi="Arial"/>
          <w:sz w:val="12"/>
          <w:szCs w:val="12"/>
          <w:b w:val="1"/>
          <w:bCs w:val="1"/>
          <w:color w:val="auto"/>
        </w:rPr>
        <w:t>X</w:t>
      </w:r>
      <w:r>
        <w:rPr>
          <w:rFonts w:ascii="Arial" w:cs="Arial" w:eastAsia="Arial" w:hAnsi="Arial"/>
          <w:sz w:val="12"/>
          <w:szCs w:val="12"/>
          <w:color w:val="auto"/>
        </w:rPr>
        <w:t xml:space="preserve"> as shown in this example.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3"/>
          <w:szCs w:val="13"/>
          <w:color w:val="auto"/>
        </w:rPr>
        <w:t>Please do not write outside the designated areas.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Your vote matters – here’s 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-4083685</wp:posOffset>
            </wp:positionH>
            <wp:positionV relativeFrom="paragraph">
              <wp:posOffset>-1410335</wp:posOffset>
            </wp:positionV>
            <wp:extent cx="7174865" cy="552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25"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You may vote online or by phone instead of mailing this card.</w:t>
      </w:r>
    </w:p>
    <w:p>
      <w:pPr>
        <w:spacing w:after="0" w:line="7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Online</w:t>
      </w:r>
    </w:p>
    <w:p>
      <w:pPr>
        <w:spacing w:after="0" w:line="27" w:lineRule="exact"/>
        <w:rPr>
          <w:sz w:val="20"/>
          <w:szCs w:val="20"/>
          <w:color w:val="auto"/>
        </w:rPr>
      </w:pPr>
    </w:p>
    <w:p>
      <w:pPr>
        <w:jc w:val="both"/>
        <w:ind w:left="760" w:right="240"/>
        <w:spacing w:after="0" w:line="242" w:lineRule="auto"/>
        <w:rPr>
          <w:sz w:val="20"/>
          <w:szCs w:val="20"/>
          <w:color w:val="auto"/>
        </w:rPr>
      </w:pPr>
      <w:r>
        <w:rPr>
          <w:rFonts w:ascii="Arial" w:cs="Arial" w:eastAsia="Arial" w:hAnsi="Arial"/>
          <w:sz w:val="18"/>
          <w:szCs w:val="18"/>
          <w:color w:val="auto"/>
        </w:rPr>
        <w:t xml:space="preserve">Go to </w:t>
      </w:r>
      <w:r>
        <w:rPr>
          <w:rFonts w:ascii="Arial" w:cs="Arial" w:eastAsia="Arial" w:hAnsi="Arial"/>
          <w:sz w:val="18"/>
          <w:szCs w:val="18"/>
          <w:b w:val="1"/>
          <w:bCs w:val="1"/>
          <w:color w:val="auto"/>
        </w:rPr>
        <w:t>www.envisionreports.com/IBP</w:t>
      </w:r>
      <w:r>
        <w:rPr>
          <w:rFonts w:ascii="Arial" w:cs="Arial" w:eastAsia="Arial" w:hAnsi="Arial"/>
          <w:sz w:val="18"/>
          <w:szCs w:val="18"/>
          <w:color w:val="auto"/>
        </w:rPr>
        <w:t xml:space="preserve"> or scan the QR code – You will need the number in the shaded bar below.</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274320" cy="41148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74320" cy="411480"/>
                    </a:xfrm>
                    <a:prstGeom prst="rect">
                      <a:avLst/>
                    </a:prstGeom>
                    <a:noFill/>
                  </pic:spPr>
                </pic:pic>
              </a:graphicData>
            </a:graphic>
          </wp:anchor>
        </w:drawing>
      </w:r>
    </w:p>
    <w:p>
      <w:pPr>
        <w:ind w:left="760" w:right="220"/>
        <w:spacing w:after="0" w:line="250" w:lineRule="auto"/>
        <w:rPr>
          <w:sz w:val="20"/>
          <w:szCs w:val="20"/>
          <w:color w:val="auto"/>
        </w:rPr>
      </w:pPr>
      <w:r>
        <w:rPr>
          <w:rFonts w:ascii="Arial" w:cs="Arial" w:eastAsia="Arial" w:hAnsi="Arial"/>
          <w:sz w:val="18"/>
          <w:szCs w:val="18"/>
          <w:color w:val="auto"/>
        </w:rPr>
        <w:t>Call toll free 1-800-652-VOTE (8683) within the USA, US territories and Canada</w:t>
      </w:r>
    </w:p>
    <w:p>
      <w:pPr>
        <w:spacing w:after="0" w:line="122" w:lineRule="exact"/>
        <w:rPr>
          <w:sz w:val="20"/>
          <w:szCs w:val="20"/>
          <w:color w:val="auto"/>
        </w:rPr>
      </w:pPr>
    </w:p>
    <w:p>
      <w:pPr>
        <w:ind w:left="760" w:right="620"/>
        <w:spacing w:after="0" w:line="269" w:lineRule="auto"/>
        <w:rPr>
          <w:sz w:val="20"/>
          <w:szCs w:val="20"/>
          <w:color w:val="auto"/>
        </w:rPr>
      </w:pPr>
      <w:r>
        <w:rPr>
          <w:rFonts w:ascii="Arial" w:cs="Arial" w:eastAsia="Arial" w:hAnsi="Arial"/>
          <w:sz w:val="21"/>
          <w:szCs w:val="21"/>
          <w:b w:val="1"/>
          <w:bCs w:val="1"/>
          <w:color w:val="auto"/>
        </w:rPr>
        <w:t>Save paper, time and money! Sign up for electronic delivery at www.envisionreports.com/IBP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-505460</wp:posOffset>
            </wp:positionV>
            <wp:extent cx="403225" cy="40322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03225" cy="40322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600" w:space="720"/>
            <w:col w:w="4720"/>
          </w:cols>
          <w:pgMar w:left="420" w:top="296" w:right="439" w:bottom="1440" w:gutter="0" w:footer="0" w:header="0"/>
        </w:sectPr>
      </w:pPr>
    </w:p>
    <w:tbl>
      <w:tblPr>
        <w:tblLayout w:type="fixed"/>
        <w:tblInd w:w="20" w:type="dxa"/>
        <w:tblCellMar>
          <w:top w:w="0" w:type="dxa"/>
          <w:left w:w="0" w:type="dxa"/>
          <w:bottom w:w="0" w:type="dxa"/>
          <w:right w:w="0" w:type="dxa"/>
        </w:tblCellMar>
      </w:tblPr>
      <w:tr>
        <w:trPr>
          <w:trHeight w:val="507"/>
        </w:trPr>
        <w:tc>
          <w:tcPr>
            <w:tcW w:w="6820" w:type="dxa"/>
            <w:vAlign w:val="bottom"/>
            <w:tcBorders>
              <w:top w:val="single" w:sz="8" w:color="auto"/>
              <w:bottom w:val="single" w:sz="8" w:color="auto"/>
            </w:tcBorders>
            <w:shd w:val="clear" w:color="auto" w:fill="D8D8D8"/>
          </w:tcPr>
          <w:p>
            <w:pPr>
              <w:spacing w:after="0"/>
              <w:rPr>
                <w:sz w:val="20"/>
                <w:szCs w:val="20"/>
                <w:color w:val="auto"/>
              </w:rPr>
            </w:pPr>
            <w:r>
              <w:rPr>
                <w:rFonts w:ascii="Arial" w:cs="Arial" w:eastAsia="Arial" w:hAnsi="Arial"/>
                <w:sz w:val="25"/>
                <w:szCs w:val="25"/>
                <w:b w:val="1"/>
                <w:bCs w:val="1"/>
                <w:color w:val="auto"/>
              </w:rPr>
              <w:t>  2024 Annual Meeting Proxy Card</w:t>
            </w:r>
          </w:p>
        </w:tc>
        <w:tc>
          <w:tcPr>
            <w:tcW w:w="2520" w:type="dxa"/>
            <w:vAlign w:val="bottom"/>
            <w:tcBorders>
              <w:top w:val="single" w:sz="8" w:color="auto"/>
              <w:bottom w:val="single" w:sz="8" w:color="auto"/>
            </w:tcBorders>
            <w:shd w:val="clear" w:color="auto" w:fill="D8D8D8"/>
          </w:tcPr>
          <w:p>
            <w:pPr>
              <w:spacing w:after="0"/>
              <w:rPr>
                <w:sz w:val="24"/>
                <w:szCs w:val="24"/>
                <w:color w:val="auto"/>
              </w:rPr>
            </w:pPr>
          </w:p>
        </w:tc>
        <w:tc>
          <w:tcPr>
            <w:tcW w:w="1680" w:type="dxa"/>
            <w:vAlign w:val="bottom"/>
            <w:tcBorders>
              <w:top w:val="single" w:sz="8" w:color="auto"/>
              <w:bottom w:val="single" w:sz="8" w:color="auto"/>
            </w:tcBorders>
            <w:shd w:val="clear" w:color="auto" w:fill="D8D8D8"/>
          </w:tcPr>
          <w:p>
            <w:pPr>
              <w:ind w:left="60"/>
              <w:spacing w:after="0"/>
              <w:rPr>
                <w:sz w:val="20"/>
                <w:szCs w:val="20"/>
                <w:color w:val="auto"/>
              </w:rPr>
            </w:pPr>
            <w:r>
              <w:rPr>
                <w:rFonts w:ascii="Arial" w:cs="Arial" w:eastAsia="Arial" w:hAnsi="Arial"/>
                <w:sz w:val="25"/>
                <w:szCs w:val="25"/>
                <w:color w:val="auto"/>
              </w:rPr>
              <w:t xml:space="preserve">  </w:t>
            </w:r>
          </w:p>
        </w:tc>
      </w:tr>
      <w:tr>
        <w:trPr>
          <w:trHeight w:val="295"/>
        </w:trPr>
        <w:tc>
          <w:tcPr>
            <w:tcW w:w="9340" w:type="dxa"/>
            <w:vAlign w:val="bottom"/>
            <w:gridSpan w:val="2"/>
          </w:tcPr>
          <w:p>
            <w:pPr>
              <w:ind w:left="1740"/>
              <w:spacing w:after="0"/>
              <w:rPr>
                <w:sz w:val="20"/>
                <w:szCs w:val="20"/>
                <w:color w:val="auto"/>
              </w:rPr>
            </w:pPr>
            <w:r>
              <w:rPr>
                <w:rFonts w:ascii="Times New Roman" w:cs="Times New Roman" w:eastAsia="Times New Roman" w:hAnsi="Times New Roman"/>
                <w:sz w:val="14"/>
                <w:szCs w:val="14"/>
                <w:color w:val="auto"/>
              </w:rPr>
              <w:t>q</w:t>
            </w:r>
            <w:r>
              <w:rPr>
                <w:rFonts w:ascii="Arial" w:cs="Arial" w:eastAsia="Arial" w:hAnsi="Arial"/>
                <w:sz w:val="14"/>
                <w:szCs w:val="14"/>
                <w:b w:val="1"/>
                <w:bCs w:val="1"/>
                <w:color w:val="auto"/>
              </w:rPr>
              <w:t> IF VOTING BY MAIL, SIGN, DETACH AND RETURN THE BOTTOM PORTION IN THE ENCLOSED ENVELOPE. </w:t>
            </w:r>
            <w:r>
              <w:rPr>
                <w:rFonts w:ascii="Times New Roman" w:cs="Times New Roman" w:eastAsia="Times New Roman" w:hAnsi="Times New Roman"/>
                <w:sz w:val="14"/>
                <w:szCs w:val="14"/>
                <w:color w:val="auto"/>
              </w:rPr>
              <w:t>q</w:t>
            </w:r>
          </w:p>
        </w:tc>
        <w:tc>
          <w:tcPr>
            <w:tcW w:w="1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121285</wp:posOffset>
            </wp:positionV>
            <wp:extent cx="6643370" cy="1974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643370" cy="197485"/>
                    </a:xfrm>
                    <a:prstGeom prst="rect">
                      <a:avLst/>
                    </a:prstGeom>
                    <a:noFill/>
                  </pic:spPr>
                </pic:pic>
              </a:graphicData>
            </a:graphic>
          </wp:anchor>
        </w:drawing>
        <w:drawing>
          <wp:anchor simplePos="0" relativeHeight="251657728" behindDoc="1" locked="0" layoutInCell="0" allowOverlap="1">
            <wp:simplePos x="0" y="0"/>
            <wp:positionH relativeFrom="column">
              <wp:posOffset>4424680</wp:posOffset>
            </wp:positionH>
            <wp:positionV relativeFrom="paragraph">
              <wp:posOffset>-478155</wp:posOffset>
            </wp:positionV>
            <wp:extent cx="1560195" cy="2228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560195" cy="222885"/>
                    </a:xfrm>
                    <a:prstGeom prst="rect">
                      <a:avLst/>
                    </a:prstGeom>
                    <a:noFill/>
                  </pic:spPr>
                </pic:pic>
              </a:graphicData>
            </a:graphic>
          </wp:anchor>
        </w:drawing>
      </w:r>
    </w:p>
    <w:p>
      <w:pPr>
        <w:spacing w:after="0" w:line="206"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b w:val="1"/>
          <w:bCs w:val="1"/>
          <w:color w:val="FFFFFF"/>
        </w:rPr>
        <w:t>  A </w:t>
      </w:r>
      <w:r>
        <w:rPr>
          <w:sz w:val="20"/>
          <w:szCs w:val="20"/>
          <w:color w:val="auto"/>
        </w:rPr>
        <w:tab/>
      </w:r>
      <w:r>
        <w:rPr>
          <w:rFonts w:ascii="Arial" w:cs="Arial" w:eastAsia="Arial" w:hAnsi="Arial"/>
          <w:sz w:val="17"/>
          <w:szCs w:val="17"/>
          <w:b w:val="1"/>
          <w:bCs w:val="1"/>
          <w:color w:val="auto"/>
        </w:rPr>
        <w:t xml:space="preserve">Proposals – The Board of Directors recommends a vote </w:t>
      </w:r>
      <w:r>
        <w:rPr>
          <w:rFonts w:ascii="Arial" w:cs="Arial" w:eastAsia="Arial" w:hAnsi="Arial"/>
          <w:sz w:val="17"/>
          <w:szCs w:val="17"/>
          <w:b w:val="1"/>
          <w:bCs w:val="1"/>
          <w:u w:val="single" w:color="auto"/>
          <w:color w:val="auto"/>
        </w:rPr>
        <w:t>FOR</w:t>
      </w:r>
      <w:r>
        <w:rPr>
          <w:rFonts w:ascii="Arial" w:cs="Arial" w:eastAsia="Arial" w:hAnsi="Arial"/>
          <w:sz w:val="17"/>
          <w:szCs w:val="17"/>
          <w:b w:val="1"/>
          <w:bCs w:val="1"/>
          <w:color w:val="auto"/>
        </w:rPr>
        <w:t xml:space="preserve"> all the nominees listed and </w:t>
      </w:r>
      <w:r>
        <w:rPr>
          <w:rFonts w:ascii="Arial" w:cs="Arial" w:eastAsia="Arial" w:hAnsi="Arial"/>
          <w:sz w:val="17"/>
          <w:szCs w:val="17"/>
          <w:b w:val="1"/>
          <w:bCs w:val="1"/>
          <w:u w:val="single" w:color="auto"/>
          <w:color w:val="auto"/>
        </w:rPr>
        <w:t>FOR</w:t>
      </w:r>
      <w:r>
        <w:rPr>
          <w:rFonts w:ascii="Arial" w:cs="Arial" w:eastAsia="Arial" w:hAnsi="Arial"/>
          <w:sz w:val="17"/>
          <w:szCs w:val="17"/>
          <w:b w:val="1"/>
          <w:bCs w:val="1"/>
          <w:color w:val="auto"/>
        </w:rPr>
        <w:t xml:space="preserve"> Proposals 2 and 3.</w:t>
      </w:r>
    </w:p>
    <w:p>
      <w:pPr>
        <w:sectPr>
          <w:pgSz w:w="11900" w:h="16838" w:orient="portrait"/>
          <w:cols w:equalWidth="0" w:num="1">
            <w:col w:w="11040"/>
          </w:cols>
          <w:pgMar w:left="420" w:top="296" w:right="439" w:bottom="1440" w:gutter="0" w:footer="0" w:header="0"/>
          <w:type w:val="continuous"/>
        </w:sectPr>
      </w:pPr>
    </w:p>
    <w:p>
      <w:pPr>
        <w:spacing w:after="0" w:line="1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Election of Directors to serve for three-year terms:</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 For  Against   Abstain </w:t>
            </w:r>
          </w:p>
        </w:tc>
        <w:tc>
          <w:tcPr>
            <w:tcW w:w="0" w:type="dxa"/>
            <w:vAlign w:val="bottom"/>
          </w:tcPr>
          <w:p>
            <w:pPr>
              <w:spacing w:after="0"/>
              <w:rPr>
                <w:sz w:val="1"/>
                <w:szCs w:val="1"/>
                <w:color w:val="auto"/>
              </w:rPr>
            </w:pPr>
          </w:p>
        </w:tc>
      </w:tr>
      <w:tr>
        <w:trPr>
          <w:trHeight w:val="167"/>
        </w:trPr>
        <w:tc>
          <w:tcPr>
            <w:tcW w:w="500" w:type="dxa"/>
            <w:vAlign w:val="bottom"/>
          </w:tcPr>
          <w:p>
            <w:pPr>
              <w:spacing w:after="0"/>
              <w:rPr>
                <w:sz w:val="20"/>
                <w:szCs w:val="20"/>
                <w:color w:val="auto"/>
              </w:rPr>
            </w:pPr>
            <w:r>
              <w:rPr>
                <w:rFonts w:ascii="Arial" w:cs="Arial" w:eastAsia="Arial" w:hAnsi="Arial"/>
                <w:sz w:val="14"/>
                <w:szCs w:val="14"/>
                <w:color w:val="auto"/>
              </w:rPr>
              <w:t> </w:t>
            </w:r>
          </w:p>
        </w:tc>
        <w:tc>
          <w:tcPr>
            <w:tcW w:w="1520" w:type="dxa"/>
            <w:vAlign w:val="bottom"/>
            <w:vMerge w:val="restart"/>
          </w:tcPr>
          <w:p>
            <w:pPr>
              <w:ind w:left="20"/>
              <w:spacing w:after="0"/>
              <w:rPr>
                <w:sz w:val="20"/>
                <w:szCs w:val="20"/>
                <w:color w:val="auto"/>
              </w:rPr>
            </w:pPr>
            <w:r>
              <w:rPr>
                <w:rFonts w:ascii="Arial" w:cs="Arial" w:eastAsia="Arial" w:hAnsi="Arial"/>
                <w:sz w:val="14"/>
                <w:szCs w:val="14"/>
                <w:color w:val="auto"/>
              </w:rPr>
              <w:t>- Margot L. Carter</w:t>
            </w:r>
          </w:p>
        </w:tc>
        <w:tc>
          <w:tcPr>
            <w:tcW w:w="1920" w:type="dxa"/>
            <w:vAlign w:val="bottom"/>
          </w:tcPr>
          <w:p>
            <w:pPr>
              <w:jc w:val="right"/>
              <w:ind w:right="19"/>
              <w:spacing w:after="0" w:line="166" w:lineRule="exact"/>
              <w:rPr>
                <w:sz w:val="20"/>
                <w:szCs w:val="20"/>
                <w:color w:val="auto"/>
              </w:rPr>
            </w:pPr>
            <w:r>
              <w:rPr>
                <w:rFonts w:ascii="MS PGothic" w:cs="MS PGothic" w:eastAsia="MS PGothic" w:hAnsi="MS PGothic"/>
                <w:sz w:val="22"/>
                <w:szCs w:val="22"/>
                <w:color w:val="auto"/>
              </w:rPr>
              <w:t>☐ ☐ ☐</w:t>
            </w:r>
          </w:p>
        </w:tc>
        <w:tc>
          <w:tcPr>
            <w:tcW w:w="0" w:type="dxa"/>
            <w:vAlign w:val="bottom"/>
          </w:tcPr>
          <w:p>
            <w:pPr>
              <w:spacing w:after="0"/>
              <w:rPr>
                <w:sz w:val="1"/>
                <w:szCs w:val="1"/>
                <w:color w:val="auto"/>
              </w:rPr>
            </w:pPr>
          </w:p>
        </w:tc>
      </w:tr>
      <w:tr>
        <w:trPr>
          <w:trHeight w:val="190"/>
        </w:trPr>
        <w:tc>
          <w:tcPr>
            <w:tcW w:w="500" w:type="dxa"/>
            <w:vAlign w:val="bottom"/>
          </w:tcPr>
          <w:p>
            <w:pPr>
              <w:ind w:left="180"/>
              <w:spacing w:after="0"/>
              <w:rPr>
                <w:sz w:val="20"/>
                <w:szCs w:val="20"/>
                <w:color w:val="auto"/>
              </w:rPr>
            </w:pPr>
            <w:r>
              <w:rPr>
                <w:rFonts w:ascii="Arial" w:cs="Arial" w:eastAsia="Arial" w:hAnsi="Arial"/>
                <w:sz w:val="14"/>
                <w:szCs w:val="14"/>
                <w:color w:val="auto"/>
                <w:w w:val="80"/>
              </w:rPr>
              <w:t>   01</w:t>
            </w:r>
          </w:p>
        </w:tc>
        <w:tc>
          <w:tcPr>
            <w:tcW w:w="1520" w:type="dxa"/>
            <w:vAlign w:val="bottom"/>
            <w:vMerge w:val="continue"/>
          </w:tcPr>
          <w:p>
            <w:pPr>
              <w:spacing w:after="0"/>
              <w:rPr>
                <w:sz w:val="16"/>
                <w:szCs w:val="16"/>
                <w:color w:val="auto"/>
              </w:rPr>
            </w:pPr>
          </w:p>
        </w:tc>
        <w:tc>
          <w:tcPr>
            <w:tcW w:w="1920" w:type="dxa"/>
            <w:vAlign w:val="bottom"/>
            <w:vMerge w:val="restart"/>
          </w:tcPr>
          <w:p>
            <w:pPr>
              <w:jc w:val="right"/>
              <w:ind w:right="19"/>
              <w:spacing w:after="0" w:line="361" w:lineRule="exact"/>
              <w:rPr>
                <w:sz w:val="20"/>
                <w:szCs w:val="20"/>
                <w:color w:val="auto"/>
              </w:rPr>
            </w:pPr>
            <w:r>
              <w:rPr>
                <w:rFonts w:ascii="MS PGothic" w:cs="MS PGothic" w:eastAsia="MS PGothic" w:hAnsi="MS PGothic"/>
                <w:sz w:val="36"/>
                <w:szCs w:val="36"/>
                <w:color w:val="auto"/>
              </w:rPr>
              <w:t>☐ ☐ ☐</w:t>
            </w:r>
          </w:p>
        </w:tc>
        <w:tc>
          <w:tcPr>
            <w:tcW w:w="0" w:type="dxa"/>
            <w:vAlign w:val="bottom"/>
          </w:tcPr>
          <w:p>
            <w:pPr>
              <w:spacing w:after="0"/>
              <w:rPr>
                <w:sz w:val="1"/>
                <w:szCs w:val="1"/>
                <w:color w:val="auto"/>
              </w:rPr>
            </w:pPr>
          </w:p>
        </w:tc>
      </w:tr>
      <w:tr>
        <w:trPr>
          <w:trHeight w:val="426"/>
        </w:trPr>
        <w:tc>
          <w:tcPr>
            <w:tcW w:w="500" w:type="dxa"/>
            <w:vAlign w:val="bottom"/>
            <w:vMerge w:val="restart"/>
          </w:tcPr>
          <w:p>
            <w:pPr>
              <w:ind w:left="180"/>
              <w:spacing w:after="0"/>
              <w:rPr>
                <w:sz w:val="20"/>
                <w:szCs w:val="20"/>
                <w:color w:val="auto"/>
              </w:rPr>
            </w:pPr>
            <w:r>
              <w:rPr>
                <w:rFonts w:ascii="Arial" w:cs="Arial" w:eastAsia="Arial" w:hAnsi="Arial"/>
                <w:sz w:val="14"/>
                <w:szCs w:val="14"/>
                <w:color w:val="auto"/>
                <w:w w:val="80"/>
              </w:rPr>
              <w:t>   02</w:t>
            </w:r>
          </w:p>
        </w:tc>
        <w:tc>
          <w:tcPr>
            <w:tcW w:w="1520" w:type="dxa"/>
            <w:vAlign w:val="bottom"/>
            <w:vMerge w:val="restart"/>
          </w:tcPr>
          <w:p>
            <w:pPr>
              <w:ind w:left="20"/>
              <w:spacing w:after="0"/>
              <w:rPr>
                <w:sz w:val="20"/>
                <w:szCs w:val="20"/>
                <w:color w:val="auto"/>
              </w:rPr>
            </w:pPr>
            <w:r>
              <w:rPr>
                <w:rFonts w:ascii="Arial" w:cs="Arial" w:eastAsia="Arial" w:hAnsi="Arial"/>
                <w:sz w:val="14"/>
                <w:szCs w:val="14"/>
                <w:color w:val="auto"/>
              </w:rPr>
              <w:t>- David R. Meuse</w:t>
            </w: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0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73"/>
        </w:trPr>
        <w:tc>
          <w:tcPr>
            <w:tcW w:w="500" w:type="dxa"/>
            <w:vAlign w:val="bottom"/>
          </w:tcPr>
          <w:p>
            <w:pPr>
              <w:ind w:left="180"/>
              <w:spacing w:after="0"/>
              <w:rPr>
                <w:sz w:val="20"/>
                <w:szCs w:val="20"/>
                <w:color w:val="auto"/>
              </w:rPr>
            </w:pPr>
            <w:r>
              <w:rPr>
                <w:rFonts w:ascii="Arial" w:cs="Arial" w:eastAsia="Arial" w:hAnsi="Arial"/>
                <w:sz w:val="14"/>
                <w:szCs w:val="14"/>
                <w:color w:val="auto"/>
                <w:w w:val="80"/>
              </w:rPr>
              <w:t>   03</w:t>
            </w:r>
          </w:p>
        </w:tc>
        <w:tc>
          <w:tcPr>
            <w:tcW w:w="3440" w:type="dxa"/>
            <w:vAlign w:val="bottom"/>
            <w:gridSpan w:val="2"/>
          </w:tcPr>
          <w:p>
            <w:pPr>
              <w:jc w:val="right"/>
              <w:ind w:right="19"/>
              <w:spacing w:after="0" w:line="403" w:lineRule="exact"/>
              <w:rPr>
                <w:sz w:val="20"/>
                <w:szCs w:val="20"/>
                <w:color w:val="auto"/>
              </w:rPr>
            </w:pPr>
            <w:r>
              <w:rPr>
                <w:rFonts w:ascii="Arial" w:cs="Arial" w:eastAsia="Arial" w:hAnsi="Arial"/>
                <w:sz w:val="14"/>
                <w:szCs w:val="14"/>
                <w:color w:val="auto"/>
                <w:w w:val="88"/>
              </w:rPr>
              <w:t xml:space="preserve">- Michael H. Thomas          </w:t>
            </w:r>
            <w:r>
              <w:rPr>
                <w:rFonts w:ascii="MS PGothic" w:cs="MS PGothic" w:eastAsia="MS PGothic" w:hAnsi="MS PGothic"/>
                <w:sz w:val="35"/>
                <w:szCs w:val="35"/>
                <w:color w:val="auto"/>
                <w:w w:val="88"/>
              </w:rPr>
              <w:t>☐ ☐</w:t>
            </w:r>
            <w:r>
              <w:rPr>
                <w:rFonts w:ascii="MS PGothic" w:cs="MS PGothic" w:eastAsia="MS PGothic" w:hAnsi="MS PGothic"/>
                <w:sz w:val="36"/>
                <w:szCs w:val="36"/>
                <w:color w:val="auto"/>
                <w:w w:val="88"/>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200" w:hanging="186"/>
        <w:spacing w:after="0" w:line="285" w:lineRule="auto"/>
        <w:rPr>
          <w:sz w:val="20"/>
          <w:szCs w:val="20"/>
          <w:color w:val="auto"/>
        </w:rPr>
      </w:pPr>
      <w:r>
        <w:rPr>
          <w:rFonts w:ascii="Arial" w:cs="Arial" w:eastAsia="Arial" w:hAnsi="Arial"/>
          <w:sz w:val="14"/>
          <w:szCs w:val="14"/>
          <w:color w:val="auto"/>
        </w:rPr>
        <w:t>2.  Ratification of the appointment of Deloitte &amp; Touche LLP as our independent registered public accounting firm for 2024.</w:t>
      </w:r>
    </w:p>
    <w:p>
      <w:pPr>
        <w:spacing w:after="0" w:line="212" w:lineRule="exact"/>
        <w:rPr>
          <w:sz w:val="20"/>
          <w:szCs w:val="20"/>
          <w:color w:val="auto"/>
        </w:rPr>
      </w:pPr>
    </w:p>
    <w:p>
      <w:pPr>
        <w:ind w:left="200" w:right="280" w:hanging="186"/>
        <w:spacing w:after="0" w:line="285" w:lineRule="auto"/>
        <w:rPr>
          <w:sz w:val="20"/>
          <w:szCs w:val="20"/>
          <w:color w:val="auto"/>
        </w:rPr>
      </w:pPr>
      <w:r>
        <w:rPr>
          <w:rFonts w:ascii="Arial" w:cs="Arial" w:eastAsia="Arial" w:hAnsi="Arial"/>
          <w:sz w:val="14"/>
          <w:szCs w:val="14"/>
          <w:color w:val="auto"/>
        </w:rPr>
        <w:t>3.  Approval, on an advisory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234315</wp:posOffset>
            </wp:positionV>
            <wp:extent cx="213995" cy="1968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1399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For   Against    Abstain 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3996690</wp:posOffset>
            </wp:positionH>
            <wp:positionV relativeFrom="paragraph">
              <wp:posOffset>-1398905</wp:posOffset>
            </wp:positionV>
            <wp:extent cx="214630" cy="2228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14630" cy="222885"/>
                    </a:xfrm>
                    <a:prstGeom prst="rect">
                      <a:avLst/>
                    </a:prstGeom>
                    <a:noFill/>
                  </pic:spPr>
                </pic:pic>
              </a:graphicData>
            </a:graphic>
          </wp:anchor>
        </w:drawing>
      </w:r>
    </w:p>
    <w:p>
      <w:pPr>
        <w:spacing w:after="0" w:line="355" w:lineRule="exact"/>
        <w:rPr>
          <w:sz w:val="20"/>
          <w:szCs w:val="20"/>
          <w:color w:val="auto"/>
        </w:rPr>
      </w:pPr>
      <w:r>
        <w:rPr>
          <w:rFonts w:ascii="MS PGothic" w:cs="MS PGothic" w:eastAsia="MS PGothic" w:hAnsi="MS PGothic"/>
          <w:sz w:val="36"/>
          <w:szCs w:val="36"/>
          <w:color w:val="auto"/>
        </w:rPr>
        <w:t>☐ ☐  ☐</w:t>
      </w:r>
    </w:p>
    <w:p>
      <w:pPr>
        <w:spacing w:after="0" w:line="140" w:lineRule="exact"/>
        <w:rPr>
          <w:sz w:val="20"/>
          <w:szCs w:val="20"/>
          <w:color w:val="auto"/>
        </w:rPr>
      </w:pPr>
    </w:p>
    <w:p>
      <w:pPr>
        <w:spacing w:after="0" w:line="361" w:lineRule="exact"/>
        <w:rPr>
          <w:sz w:val="20"/>
          <w:szCs w:val="20"/>
          <w:color w:val="auto"/>
        </w:rPr>
      </w:pPr>
      <w:r>
        <w:rPr>
          <w:rFonts w:ascii="MS PGothic" w:cs="MS PGothic" w:eastAsia="MS PGothic" w:hAnsi="MS PGothic"/>
          <w:sz w:val="36"/>
          <w:szCs w:val="36"/>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368935</wp:posOffset>
            </wp:positionV>
            <wp:extent cx="6780530" cy="1968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780530" cy="196850"/>
                    </a:xfrm>
                    <a:prstGeom prst="rect">
                      <a:avLst/>
                    </a:prstGeom>
                    <a:noFill/>
                  </pic:spPr>
                </pic:pic>
              </a:graphicData>
            </a:graphic>
          </wp:anchor>
        </w:drawing>
      </w:r>
    </w:p>
    <w:p>
      <w:pPr>
        <w:spacing w:after="0" w:line="411" w:lineRule="exact"/>
        <w:rPr>
          <w:sz w:val="20"/>
          <w:szCs w:val="20"/>
          <w:color w:val="auto"/>
        </w:rPr>
      </w:pPr>
    </w:p>
    <w:p>
      <w:pPr>
        <w:sectPr>
          <w:pgSz w:w="11900" w:h="16838" w:orient="portrait"/>
          <w:cols w:equalWidth="0" w:num="2">
            <w:col w:w="4200" w:space="200"/>
            <w:col w:w="6640"/>
          </w:cols>
          <w:pgMar w:left="420" w:top="296" w:right="439" w:bottom="1440" w:gutter="0" w:footer="0" w:header="0"/>
          <w:type w:val="continuous"/>
        </w:sectPr>
      </w:pPr>
    </w:p>
    <w:p>
      <w:pPr>
        <w:spacing w:after="0" w:line="205"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b w:val="1"/>
          <w:bCs w:val="1"/>
          <w:color w:val="FFFFFF"/>
        </w:rPr>
        <w:t>  B </w:t>
      </w:r>
      <w:r>
        <w:rPr>
          <w:sz w:val="20"/>
          <w:szCs w:val="20"/>
          <w:color w:val="auto"/>
        </w:rPr>
        <w:tab/>
      </w:r>
      <w:r>
        <w:rPr>
          <w:rFonts w:ascii="Arial" w:cs="Arial" w:eastAsia="Arial" w:hAnsi="Arial"/>
          <w:sz w:val="17"/>
          <w:szCs w:val="17"/>
          <w:b w:val="1"/>
          <w:bCs w:val="1"/>
          <w:color w:val="auto"/>
        </w:rPr>
        <w:t>Authorized Signatures – This section must be completed for your vote to count. Please date and sign below.</w:t>
      </w:r>
    </w:p>
    <w:p>
      <w:pPr>
        <w:spacing w:after="0" w:line="100" w:lineRule="exact"/>
        <w:rPr>
          <w:sz w:val="20"/>
          <w:szCs w:val="20"/>
          <w:color w:val="auto"/>
        </w:rPr>
      </w:pPr>
    </w:p>
    <w:p>
      <w:pPr>
        <w:ind w:left="20" w:right="280"/>
        <w:spacing w:after="0" w:line="285" w:lineRule="auto"/>
        <w:rPr>
          <w:sz w:val="20"/>
          <w:szCs w:val="20"/>
          <w:color w:val="auto"/>
        </w:rPr>
      </w:pPr>
      <w:r>
        <w:rPr>
          <w:rFonts w:ascii="Arial" w:cs="Arial" w:eastAsia="Arial" w:hAnsi="Arial"/>
          <w:sz w:val="14"/>
          <w:szCs w:val="14"/>
          <w:color w:val="auto"/>
        </w:rPr>
        <w:t>Please sign exactly as name(s) appears hereon. Joint owners should each sign. When signing as attorney, executor, administrator, corporate officer, trustee, guardian, or custodian, please give full title.</w:t>
      </w:r>
    </w:p>
    <w:p>
      <w:pPr>
        <w:spacing w:after="0" w:line="90"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3460" w:type="dxa"/>
            <w:vAlign w:val="bottom"/>
            <w:gridSpan w:val="3"/>
          </w:tcPr>
          <w:p>
            <w:pPr>
              <w:ind w:left="20"/>
              <w:spacing w:after="0"/>
              <w:rPr>
                <w:sz w:val="20"/>
                <w:szCs w:val="20"/>
                <w:color w:val="auto"/>
              </w:rPr>
            </w:pPr>
            <w:r>
              <w:rPr>
                <w:rFonts w:ascii="Arial" w:cs="Arial" w:eastAsia="Arial" w:hAnsi="Arial"/>
                <w:sz w:val="14"/>
                <w:szCs w:val="14"/>
                <w:color w:val="auto"/>
              </w:rPr>
              <w:t>Date (mm/dd/yyyy) – Please print date below.</w:t>
            </w:r>
          </w:p>
        </w:tc>
        <w:tc>
          <w:tcPr>
            <w:tcW w:w="3720" w:type="dxa"/>
            <w:vAlign w:val="bottom"/>
            <w:gridSpan w:val="2"/>
          </w:tcPr>
          <w:p>
            <w:pPr>
              <w:ind w:left="160"/>
              <w:spacing w:after="0"/>
              <w:rPr>
                <w:sz w:val="20"/>
                <w:szCs w:val="20"/>
                <w:color w:val="auto"/>
              </w:rPr>
            </w:pPr>
            <w:r>
              <w:rPr>
                <w:rFonts w:ascii="Arial" w:cs="Arial" w:eastAsia="Arial" w:hAnsi="Arial"/>
                <w:sz w:val="14"/>
                <w:szCs w:val="14"/>
                <w:color w:val="auto"/>
              </w:rPr>
              <w:t>   Signature 1 – Please keep signature within the box.</w:t>
            </w:r>
          </w:p>
        </w:tc>
        <w:tc>
          <w:tcPr>
            <w:tcW w:w="3740" w:type="dxa"/>
            <w:vAlign w:val="bottom"/>
            <w:gridSpan w:val="2"/>
          </w:tcPr>
          <w:p>
            <w:pPr>
              <w:ind w:left="200"/>
              <w:spacing w:after="0"/>
              <w:rPr>
                <w:sz w:val="20"/>
                <w:szCs w:val="20"/>
                <w:color w:val="auto"/>
              </w:rPr>
            </w:pPr>
            <w:r>
              <w:rPr>
                <w:rFonts w:ascii="Arial" w:cs="Arial" w:eastAsia="Arial" w:hAnsi="Arial"/>
                <w:sz w:val="14"/>
                <w:szCs w:val="14"/>
                <w:color w:val="auto"/>
              </w:rPr>
              <w:t>   Signature 2 – Please keep signature within the box.</w:t>
            </w:r>
          </w:p>
        </w:tc>
      </w:tr>
      <w:tr>
        <w:trPr>
          <w:trHeight w:val="29"/>
        </w:trPr>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588"/>
        </w:trPr>
        <w:tc>
          <w:tcPr>
            <w:tcW w:w="500" w:type="dxa"/>
            <w:vAlign w:val="bottom"/>
            <w:tcBorders>
              <w:left w:val="single" w:sz="8" w:color="auto"/>
              <w:bottom w:val="single" w:sz="8" w:color="auto"/>
            </w:tcBorders>
          </w:tcPr>
          <w:p>
            <w:pPr>
              <w:ind w:left="180"/>
              <w:spacing w:after="0"/>
              <w:rPr>
                <w:sz w:val="20"/>
                <w:szCs w:val="20"/>
                <w:color w:val="auto"/>
              </w:rPr>
            </w:pPr>
            <w:r>
              <w:rPr>
                <w:rFonts w:ascii="Arial" w:cs="Arial" w:eastAsia="Arial" w:hAnsi="Arial"/>
                <w:sz w:val="42"/>
                <w:szCs w:val="42"/>
                <w:color w:val="auto"/>
                <w:w w:val="71"/>
              </w:rPr>
              <w:t> </w:t>
            </w: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50"/>
                <w:szCs w:val="50"/>
                <w:color w:val="auto"/>
                <w:w w:val="73"/>
              </w:rPr>
              <w:t> / </w:t>
            </w:r>
          </w:p>
        </w:tc>
        <w:tc>
          <w:tcPr>
            <w:tcW w:w="22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50"/>
                <w:szCs w:val="50"/>
                <w:color w:val="auto"/>
              </w:rPr>
              <w:t> /</w:t>
            </w:r>
          </w:p>
        </w:tc>
        <w:tc>
          <w:tcPr>
            <w:tcW w:w="260" w:type="dxa"/>
            <w:vAlign w:val="bottom"/>
            <w:tcBorders>
              <w:right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spacing w:after="0"/>
              <w:rPr>
                <w:sz w:val="24"/>
                <w:szCs w:val="24"/>
                <w:color w:val="auto"/>
              </w:rPr>
            </w:pPr>
          </w:p>
        </w:tc>
      </w:tr>
      <w:tr>
        <w:trPr>
          <w:trHeight w:val="621"/>
        </w:trPr>
        <w:tc>
          <w:tcPr>
            <w:tcW w:w="500" w:type="dxa"/>
            <w:vAlign w:val="bottom"/>
          </w:tcPr>
          <w:p>
            <w:pPr>
              <w:ind w:left="20"/>
              <w:spacing w:after="0"/>
              <w:rPr>
                <w:sz w:val="20"/>
                <w:szCs w:val="20"/>
                <w:color w:val="auto"/>
              </w:rPr>
            </w:pPr>
            <w:r>
              <w:rPr>
                <w:rFonts w:ascii="Arial" w:cs="Arial" w:eastAsia="Arial" w:hAnsi="Arial"/>
                <w:sz w:val="22"/>
                <w:szCs w:val="22"/>
                <w:color w:val="auto"/>
              </w:rPr>
              <w:t> </w:t>
            </w:r>
          </w:p>
        </w:tc>
        <w:tc>
          <w:tcPr>
            <w:tcW w:w="7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60" w:type="dxa"/>
            <w:vAlign w:val="bottom"/>
          </w:tcPr>
          <w:p>
            <w:pPr>
              <w:ind w:left="160"/>
              <w:spacing w:after="0"/>
              <w:rPr>
                <w:sz w:val="20"/>
                <w:szCs w:val="20"/>
                <w:color w:val="auto"/>
              </w:rPr>
            </w:pPr>
            <w:r>
              <w:rPr>
                <w:rFonts w:ascii="Arial" w:cs="Arial" w:eastAsia="Arial" w:hAnsi="Arial"/>
                <w:sz w:val="22"/>
                <w:szCs w:val="22"/>
                <w:color w:val="auto"/>
              </w:rPr>
              <w:t>   1 U P X</w:t>
            </w:r>
          </w:p>
        </w:tc>
        <w:tc>
          <w:tcPr>
            <w:tcW w:w="280" w:type="dxa"/>
            <w:vAlign w:val="bottom"/>
          </w:tcPr>
          <w:p>
            <w:pPr>
              <w:spacing w:after="0"/>
              <w:rPr>
                <w:sz w:val="24"/>
                <w:szCs w:val="24"/>
                <w:color w:val="auto"/>
              </w:rPr>
            </w:pPr>
          </w:p>
        </w:tc>
        <w:tc>
          <w:tcPr>
            <w:tcW w:w="3460" w:type="dxa"/>
            <w:vAlign w:val="bottom"/>
          </w:tcPr>
          <w:p>
            <w:pPr>
              <w:ind w:left="3180"/>
              <w:spacing w:after="0"/>
              <w:rPr>
                <w:sz w:val="20"/>
                <w:szCs w:val="20"/>
                <w:color w:val="auto"/>
              </w:rPr>
            </w:pPr>
            <w:r>
              <w:rPr>
                <w:rFonts w:ascii="Arial" w:cs="Arial" w:eastAsia="Arial" w:hAnsi="Arial"/>
                <w:sz w:val="22"/>
                <w:szCs w:val="22"/>
                <w:color w:val="auto"/>
                <w:w w:val="85"/>
              </w:rPr>
              <w:t xml:space="preserve">  </w:t>
            </w:r>
          </w:p>
        </w:tc>
      </w:tr>
      <w:tr>
        <w:trPr>
          <w:trHeight w:val="223"/>
        </w:trPr>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20" w:type="dxa"/>
            <w:vAlign w:val="bottom"/>
          </w:tcPr>
          <w:p>
            <w:pPr>
              <w:ind w:left="200"/>
              <w:spacing w:after="0"/>
              <w:rPr>
                <w:sz w:val="20"/>
                <w:szCs w:val="20"/>
                <w:color w:val="auto"/>
              </w:rPr>
            </w:pPr>
            <w:r>
              <w:rPr>
                <w:rFonts w:ascii="Arial" w:cs="Arial" w:eastAsia="Arial" w:hAnsi="Arial"/>
                <w:sz w:val="11"/>
                <w:szCs w:val="11"/>
                <w:color w:val="auto"/>
              </w:rPr>
              <w:t>03YDSB</w:t>
            </w:r>
          </w:p>
        </w:tc>
        <w:tc>
          <w:tcPr>
            <w:tcW w:w="2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-407035</wp:posOffset>
            </wp:positionV>
            <wp:extent cx="240030" cy="2228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40030" cy="222885"/>
                    </a:xfrm>
                    <a:prstGeom prst="rect">
                      <a:avLst/>
                    </a:prstGeom>
                    <a:noFill/>
                  </pic:spPr>
                </pic:pic>
              </a:graphicData>
            </a:graphic>
          </wp:anchor>
        </w:drawing>
        <w:drawing>
          <wp:anchor simplePos="0" relativeHeight="251657728" behindDoc="1" locked="0" layoutInCell="0" allowOverlap="1">
            <wp:simplePos x="0" y="0"/>
            <wp:positionH relativeFrom="column">
              <wp:posOffset>6542405</wp:posOffset>
            </wp:positionH>
            <wp:positionV relativeFrom="paragraph">
              <wp:posOffset>-407035</wp:posOffset>
            </wp:positionV>
            <wp:extent cx="214630" cy="2228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14630" cy="222885"/>
                    </a:xfrm>
                    <a:prstGeom prst="rect">
                      <a:avLst/>
                    </a:prstGeom>
                    <a:noFill/>
                  </pic:spPr>
                </pic:pic>
              </a:graphicData>
            </a:graphic>
          </wp:anchor>
        </w:drawing>
      </w:r>
    </w:p>
    <w:p>
      <w:pPr>
        <w:sectPr>
          <w:pgSz w:w="11900" w:h="16838" w:orient="portrait"/>
          <w:cols w:equalWidth="0" w:num="1">
            <w:col w:w="11040"/>
          </w:cols>
          <w:pgMar w:left="420" w:top="296" w:right="439" w:bottom="1440" w:gutter="0" w:footer="0" w:header="0"/>
          <w:type w:val="continuous"/>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2024 Annual Meeting of Stockholders of Installed Building Products, Inc. will be held on Thursday, May 23, 2024 at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 a.m. Eastern Time.</w:t>
      </w:r>
    </w:p>
    <w:p>
      <w:pPr>
        <w:jc w:val="center"/>
        <w:spacing w:after="0"/>
        <w:rPr>
          <w:sz w:val="20"/>
          <w:szCs w:val="20"/>
          <w:color w:val="auto"/>
        </w:rPr>
      </w:pPr>
      <w:r>
        <w:rPr>
          <w:rFonts w:ascii="Arial" w:cs="Arial" w:eastAsia="Arial" w:hAnsi="Arial"/>
          <w:sz w:val="18"/>
          <w:szCs w:val="18"/>
          <w:b w:val="1"/>
          <w:bCs w:val="1"/>
          <w:color w:val="auto"/>
        </w:rPr>
        <w:t>The Annual Meeting will be a virtual meeting hosted by a live audio webcast at https://meetnow.global/MJUTAUG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access the virtual meeting, vote your shares or submit questions during the virtual meeting,</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 must have the information that is printed in the shaded bar located on the reverse side of this form.</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440" w:right="840"/>
        <w:spacing w:after="0" w:line="281" w:lineRule="auto"/>
        <w:rPr>
          <w:sz w:val="20"/>
          <w:szCs w:val="20"/>
          <w:color w:val="auto"/>
        </w:rPr>
      </w:pPr>
      <w:r>
        <w:rPr>
          <w:rFonts w:ascii="Arial" w:cs="Arial" w:eastAsia="Arial" w:hAnsi="Arial"/>
          <w:sz w:val="18"/>
          <w:szCs w:val="18"/>
          <w:b w:val="1"/>
          <w:bCs w:val="1"/>
          <w:color w:val="auto"/>
        </w:rPr>
        <w:t>Important notice regarding the Internet availability of proxy materials for the Annual Meeting of Stockholders. The material is available at: www.envisionreports.com/IBP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850265</wp:posOffset>
            </wp:positionH>
            <wp:positionV relativeFrom="paragraph">
              <wp:posOffset>193040</wp:posOffset>
            </wp:positionV>
            <wp:extent cx="5323205" cy="5829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323205" cy="582930"/>
                    </a:xfrm>
                    <a:prstGeom prst="rect">
                      <a:avLst/>
                    </a:prstGeom>
                    <a:noFill/>
                  </pic:spPr>
                </pic:pic>
              </a:graphicData>
            </a:graphic>
          </wp:anchor>
        </w:drawing>
      </w:r>
    </w:p>
    <w:p>
      <w:pPr>
        <w:spacing w:after="0" w:line="346" w:lineRule="exact"/>
        <w:rPr>
          <w:sz w:val="20"/>
          <w:szCs w:val="20"/>
          <w:color w:val="auto"/>
        </w:rPr>
      </w:pPr>
    </w:p>
    <w:tbl>
      <w:tblPr>
        <w:tblLayout w:type="fixed"/>
        <w:tblInd w:w="3240" w:type="dxa"/>
        <w:tblCellMar>
          <w:top w:w="0" w:type="dxa"/>
          <w:left w:w="0" w:type="dxa"/>
          <w:bottom w:w="0" w:type="dxa"/>
          <w:right w:w="0" w:type="dxa"/>
        </w:tblCellMar>
      </w:tblPr>
      <w:tr>
        <w:trPr>
          <w:trHeight w:val="247"/>
        </w:trPr>
        <w:tc>
          <w:tcPr>
            <w:tcW w:w="5400" w:type="dxa"/>
            <w:vAlign w:val="bottom"/>
          </w:tcPr>
          <w:p>
            <w:pPr>
              <w:jc w:val="center"/>
              <w:ind w:right="790"/>
              <w:spacing w:after="0"/>
              <w:rPr>
                <w:sz w:val="20"/>
                <w:szCs w:val="20"/>
                <w:color w:val="auto"/>
              </w:rPr>
            </w:pPr>
            <w:r>
              <w:rPr>
                <w:rFonts w:ascii="Arial" w:cs="Arial" w:eastAsia="Arial" w:hAnsi="Arial"/>
                <w:sz w:val="18"/>
                <w:szCs w:val="18"/>
                <w:b w:val="1"/>
                <w:bCs w:val="1"/>
                <w:color w:val="auto"/>
                <w:w w:val="99"/>
              </w:rPr>
              <w:t>Small steps make an impact.</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5400" w:type="dxa"/>
            <w:vAlign w:val="bottom"/>
          </w:tcPr>
          <w:p>
            <w:pPr>
              <w:jc w:val="center"/>
              <w:ind w:right="790"/>
              <w:spacing w:after="0"/>
              <w:rPr>
                <w:sz w:val="20"/>
                <w:szCs w:val="20"/>
                <w:color w:val="auto"/>
              </w:rPr>
            </w:pPr>
            <w:r>
              <w:rPr>
                <w:rFonts w:ascii="Arial" w:cs="Arial" w:eastAsia="Arial" w:hAnsi="Arial"/>
                <w:sz w:val="18"/>
                <w:szCs w:val="18"/>
                <w:color w:val="auto"/>
                <w:w w:val="99"/>
              </w:rPr>
              <w:t>Help the environment by consenting to receive electronic</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00" w:type="dxa"/>
            <w:vAlign w:val="bottom"/>
          </w:tcPr>
          <w:p>
            <w:pPr>
              <w:jc w:val="center"/>
              <w:ind w:right="790"/>
              <w:spacing w:after="0"/>
              <w:rPr>
                <w:sz w:val="20"/>
                <w:szCs w:val="20"/>
                <w:color w:val="auto"/>
              </w:rPr>
            </w:pPr>
            <w:r>
              <w:rPr>
                <w:rFonts w:ascii="Arial" w:cs="Arial" w:eastAsia="Arial" w:hAnsi="Arial"/>
                <w:sz w:val="18"/>
                <w:szCs w:val="18"/>
                <w:color w:val="auto"/>
                <w:w w:val="99"/>
              </w:rPr>
              <w:t>delivery, sign up at www.envisionreports.com/IBP</w:t>
            </w:r>
          </w:p>
        </w:tc>
        <w:tc>
          <w:tcPr>
            <w:tcW w:w="1000" w:type="dxa"/>
            <w:vAlign w:val="bottom"/>
            <w:vMerge w:val="restart"/>
          </w:tcPr>
          <w:p>
            <w:pPr>
              <w:ind w:left="900"/>
              <w:spacing w:after="0"/>
              <w:rPr>
                <w:sz w:val="20"/>
                <w:szCs w:val="20"/>
                <w:color w:val="auto"/>
              </w:rPr>
            </w:pPr>
            <w:r>
              <w:rPr>
                <w:rFonts w:ascii="Arial" w:cs="Arial" w:eastAsia="Arial" w:hAnsi="Arial"/>
                <w:sz w:val="13"/>
                <w:szCs w:val="13"/>
                <w:color w:val="auto"/>
                <w:w w:val="78"/>
              </w:rPr>
              <w:t xml:space="preserve">  </w:t>
            </w:r>
          </w:p>
        </w:tc>
        <w:tc>
          <w:tcPr>
            <w:tcW w:w="0" w:type="dxa"/>
            <w:vAlign w:val="bottom"/>
          </w:tcPr>
          <w:p>
            <w:pPr>
              <w:spacing w:after="0"/>
              <w:rPr>
                <w:sz w:val="1"/>
                <w:szCs w:val="1"/>
                <w:color w:val="auto"/>
              </w:rPr>
            </w:pPr>
          </w:p>
        </w:tc>
      </w:tr>
      <w:tr>
        <w:trPr>
          <w:trHeight w:val="68"/>
        </w:trPr>
        <w:tc>
          <w:tcPr>
            <w:tcW w:w="54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q </w:t>
      </w:r>
      <w:r>
        <w:rPr>
          <w:rFonts w:ascii="Arial" w:cs="Arial" w:eastAsia="Arial" w:hAnsi="Arial"/>
          <w:sz w:val="14"/>
          <w:szCs w:val="14"/>
          <w:b w:val="1"/>
          <w:bCs w:val="1"/>
          <w:color w:val="auto"/>
        </w:rPr>
        <w:t>IF VOTING BY MAIL, SIGN, DETACH AND RETURN THE BOTTOM PORTION IN THE ENCLOSED ENVELOPE.</w:t>
      </w:r>
      <w:r>
        <w:rPr>
          <w:rFonts w:ascii="Times New Roman" w:cs="Times New Roman" w:eastAsia="Times New Roman" w:hAnsi="Times New Roman"/>
          <w:sz w:val="14"/>
          <w:szCs w:val="14"/>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323215</wp:posOffset>
            </wp:positionV>
            <wp:extent cx="6652260" cy="3175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652260" cy="31750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  Proxy – Installed Building Products,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6790690</wp:posOffset>
            </wp:positionH>
            <wp:positionV relativeFrom="paragraph">
              <wp:posOffset>-55245</wp:posOffset>
            </wp:positionV>
            <wp:extent cx="214630" cy="2228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14630" cy="222885"/>
                    </a:xfrm>
                    <a:prstGeom prst="rect">
                      <a:avLst/>
                    </a:prstGeom>
                    <a:noFill/>
                  </pic:spPr>
                </pic:pic>
              </a:graphicData>
            </a:graphic>
          </wp:anchor>
        </w:drawing>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 </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Notice of 2024 Annual Meeting of Stockholders</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Proxy Solicited by Board of Directors</w:t>
      </w:r>
    </w:p>
    <w:p>
      <w:pPr>
        <w:spacing w:after="0" w:line="108" w:lineRule="exact"/>
        <w:rPr>
          <w:sz w:val="20"/>
          <w:szCs w:val="20"/>
          <w:color w:val="auto"/>
        </w:rPr>
      </w:pPr>
    </w:p>
    <w:p>
      <w:pPr>
        <w:jc w:val="both"/>
        <w:ind w:left="20" w:right="20"/>
        <w:spacing w:after="0" w:line="253" w:lineRule="auto"/>
        <w:rPr>
          <w:sz w:val="20"/>
          <w:szCs w:val="20"/>
          <w:color w:val="auto"/>
        </w:rPr>
      </w:pPr>
      <w:r>
        <w:rPr>
          <w:rFonts w:ascii="Arial" w:cs="Arial" w:eastAsia="Arial" w:hAnsi="Arial"/>
          <w:sz w:val="18"/>
          <w:szCs w:val="18"/>
          <w:color w:val="auto"/>
        </w:rPr>
        <w:t>Jeffrey W. Edwards and Michael T. Miller, or either of them, each with the power of substitution, are hereby authorized to represent and vote the shares of the undersigned, with all the powers which the undersigned would possess if personally present, at the Annual Meeting of Stockholders of Installed Building Products, Inc. to be held on May 23, 2024 or at any postponement or adjournment thereof.</w:t>
      </w:r>
    </w:p>
    <w:p>
      <w:pPr>
        <w:spacing w:after="0" w:line="61" w:lineRule="exact"/>
        <w:rPr>
          <w:sz w:val="20"/>
          <w:szCs w:val="20"/>
          <w:color w:val="auto"/>
        </w:rPr>
      </w:pPr>
    </w:p>
    <w:p>
      <w:pPr>
        <w:jc w:val="both"/>
        <w:ind w:left="20" w:right="20"/>
        <w:spacing w:after="0" w:line="245" w:lineRule="auto"/>
        <w:rPr>
          <w:sz w:val="20"/>
          <w:szCs w:val="20"/>
          <w:color w:val="auto"/>
        </w:rPr>
      </w:pPr>
      <w:r>
        <w:rPr>
          <w:rFonts w:ascii="Arial" w:cs="Arial" w:eastAsia="Arial" w:hAnsi="Arial"/>
          <w:sz w:val="18"/>
          <w:szCs w:val="18"/>
          <w:color w:val="auto"/>
        </w:rPr>
        <w:t>This proxy, when properly executed, will be voted in the manner directed herein by the stockholder. If no direction is made, this proxy will be voted:</w:t>
      </w:r>
    </w:p>
    <w:p>
      <w:pPr>
        <w:ind w:left="120" w:hanging="104"/>
        <w:spacing w:after="0" w:line="235" w:lineRule="auto"/>
        <w:tabs>
          <w:tab w:leader="none" w:pos="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the election of Margot L. Carter, David R. Meuse and Michael H. Thomas as directors to serve for three-year terms;</w:t>
      </w:r>
    </w:p>
    <w:p>
      <w:pPr>
        <w:ind w:left="120" w:hanging="104"/>
        <w:spacing w:after="0" w:line="234" w:lineRule="auto"/>
        <w:tabs>
          <w:tab w:leader="none" w:pos="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the ratification of the appointment of Deloitte &amp; Touche LLP as our independent registered public accounting firm for 2024;</w:t>
      </w:r>
    </w:p>
    <w:p>
      <w:pPr>
        <w:ind w:left="120" w:hanging="104"/>
        <w:spacing w:after="0"/>
        <w:tabs>
          <w:tab w:leader="none" w:pos="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the approval, on an advisory basis, of the compensation of our named executive officers.</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their discretion, the Proxies are authorized to vote upon such other business as may properly come before the meeting.</w:t>
      </w:r>
    </w:p>
    <w:p>
      <w:pPr>
        <w:spacing w:after="0" w:line="144"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3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7340" w:type="dxa"/>
            <w:vAlign w:val="bottom"/>
            <w:gridSpan w:val="4"/>
          </w:tcPr>
          <w:p>
            <w:pPr>
              <w:ind w:left="120"/>
              <w:spacing w:after="0"/>
              <w:rPr>
                <w:sz w:val="20"/>
                <w:szCs w:val="20"/>
                <w:color w:val="auto"/>
              </w:rPr>
            </w:pPr>
            <w:r>
              <w:rPr>
                <w:rFonts w:ascii="Arial" w:cs="Arial" w:eastAsia="Arial" w:hAnsi="Arial"/>
                <w:sz w:val="18"/>
                <w:szCs w:val="18"/>
                <w:color w:val="auto"/>
              </w:rPr>
              <w:t>(Items to be voted appear on reverse side)</w:t>
            </w:r>
          </w:p>
        </w:tc>
      </w:tr>
      <w:tr>
        <w:trPr>
          <w:trHeight w:val="320"/>
        </w:trPr>
        <w:tc>
          <w:tcPr>
            <w:tcW w:w="3700" w:type="dxa"/>
            <w:vAlign w:val="bottom"/>
            <w:gridSpan w:val="2"/>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1"/>
        </w:trPr>
        <w:tc>
          <w:tcPr>
            <w:tcW w:w="360" w:type="dxa"/>
            <w:vAlign w:val="bottom"/>
            <w:tcBorders>
              <w:left w:val="single" w:sz="8" w:color="auto"/>
              <w:bottom w:val="single" w:sz="8" w:color="auto"/>
            </w:tcBorders>
            <w:shd w:val="clear" w:color="auto" w:fill="000000"/>
          </w:tcPr>
          <w:p>
            <w:pPr>
              <w:ind w:left="20"/>
              <w:spacing w:after="0"/>
              <w:rPr>
                <w:sz w:val="20"/>
                <w:szCs w:val="20"/>
                <w:color w:val="auto"/>
              </w:rPr>
            </w:pPr>
            <w:r>
              <w:rPr>
                <w:rFonts w:ascii="Arial" w:cs="Arial" w:eastAsia="Arial" w:hAnsi="Arial"/>
                <w:sz w:val="18"/>
                <w:szCs w:val="18"/>
                <w:b w:val="1"/>
                <w:bCs w:val="1"/>
                <w:color w:val="FFFFFF"/>
                <w:w w:val="88"/>
              </w:rPr>
              <w:t>  C </w:t>
            </w:r>
          </w:p>
        </w:tc>
        <w:tc>
          <w:tcPr>
            <w:tcW w:w="3340" w:type="dxa"/>
            <w:vAlign w:val="bottom"/>
            <w:tcBorders>
              <w:bottom w:val="single" w:sz="8" w:color="D8D8D8"/>
            </w:tcBorders>
            <w:shd w:val="clear" w:color="auto" w:fill="D8D8D8"/>
          </w:tcPr>
          <w:p>
            <w:pPr>
              <w:ind w:left="100"/>
              <w:spacing w:after="0"/>
              <w:rPr>
                <w:sz w:val="20"/>
                <w:szCs w:val="20"/>
                <w:color w:val="auto"/>
              </w:rPr>
            </w:pPr>
            <w:r>
              <w:rPr>
                <w:rFonts w:ascii="Arial" w:cs="Arial" w:eastAsia="Arial" w:hAnsi="Arial"/>
                <w:sz w:val="18"/>
                <w:szCs w:val="18"/>
                <w:b w:val="1"/>
                <w:bCs w:val="1"/>
                <w:color w:val="auto"/>
              </w:rPr>
              <w:t>Non-Voting Items</w:t>
            </w:r>
          </w:p>
        </w:tc>
        <w:tc>
          <w:tcPr>
            <w:tcW w:w="1480" w:type="dxa"/>
            <w:vAlign w:val="bottom"/>
            <w:tcBorders>
              <w:bottom w:val="single" w:sz="8" w:color="D8D8D8"/>
              <w:right w:val="single" w:sz="8" w:color="D8D8D8"/>
            </w:tcBorders>
            <w:shd w:val="clear" w:color="auto" w:fill="D8D8D8"/>
          </w:tcPr>
          <w:p>
            <w:pPr>
              <w:spacing w:after="0"/>
              <w:rPr>
                <w:sz w:val="24"/>
                <w:szCs w:val="24"/>
                <w:color w:val="auto"/>
              </w:rPr>
            </w:pPr>
          </w:p>
        </w:tc>
        <w:tc>
          <w:tcPr>
            <w:tcW w:w="340" w:type="dxa"/>
            <w:vAlign w:val="bottom"/>
            <w:tcBorders>
              <w:bottom w:val="single" w:sz="8" w:color="D8D8D8"/>
              <w:right w:val="single" w:sz="8" w:color="D8D8D8"/>
            </w:tcBorders>
            <w:shd w:val="clear" w:color="auto" w:fill="D8D8D8"/>
          </w:tcPr>
          <w:p>
            <w:pPr>
              <w:spacing w:after="0"/>
              <w:rPr>
                <w:sz w:val="24"/>
                <w:szCs w:val="24"/>
                <w:color w:val="auto"/>
              </w:rPr>
            </w:pPr>
          </w:p>
        </w:tc>
        <w:tc>
          <w:tcPr>
            <w:tcW w:w="5400" w:type="dxa"/>
            <w:vAlign w:val="bottom"/>
            <w:tcBorders>
              <w:bottom w:val="single" w:sz="8" w:color="D8D8D8"/>
              <w:right w:val="single" w:sz="8" w:color="D8D8D8"/>
            </w:tcBorders>
            <w:shd w:val="clear" w:color="auto" w:fill="D8D8D8"/>
          </w:tcPr>
          <w:p>
            <w:pPr>
              <w:spacing w:after="0"/>
              <w:rPr>
                <w:sz w:val="24"/>
                <w:szCs w:val="24"/>
                <w:color w:val="auto"/>
              </w:rPr>
            </w:pPr>
          </w:p>
        </w:tc>
        <w:tc>
          <w:tcPr>
            <w:tcW w:w="120" w:type="dxa"/>
            <w:vAlign w:val="bottom"/>
            <w:tcBorders>
              <w:bottom w:val="single" w:sz="8" w:color="D8D8D8"/>
            </w:tcBorders>
            <w:shd w:val="clear" w:color="auto" w:fill="D8D8D8"/>
          </w:tcPr>
          <w:p>
            <w:pPr>
              <w:spacing w:after="0"/>
              <w:rPr>
                <w:sz w:val="24"/>
                <w:szCs w:val="24"/>
                <w:color w:val="auto"/>
              </w:rPr>
            </w:pPr>
          </w:p>
        </w:tc>
      </w:tr>
      <w:tr>
        <w:trPr>
          <w:trHeight w:val="255"/>
        </w:trPr>
        <w:tc>
          <w:tcPr>
            <w:tcW w:w="370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new address below.</w:t>
            </w:r>
          </w:p>
        </w:tc>
        <w:tc>
          <w:tcPr>
            <w:tcW w:w="1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520" w:type="dxa"/>
            <w:vAlign w:val="bottom"/>
            <w:gridSpan w:val="2"/>
          </w:tcPr>
          <w:p>
            <w:pP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Comments</w:t>
            </w:r>
            <w:r>
              <w:rPr>
                <w:rFonts w:ascii="Arial" w:cs="Arial" w:eastAsia="Arial" w:hAnsi="Arial"/>
                <w:sz w:val="14"/>
                <w:szCs w:val="14"/>
                <w:color w:val="auto"/>
              </w:rPr>
              <w:t xml:space="preserve"> – Please print your comments below.</w:t>
            </w:r>
          </w:p>
        </w:tc>
      </w:tr>
      <w:tr>
        <w:trPr>
          <w:trHeight w:val="36"/>
        </w:trPr>
        <w:tc>
          <w:tcPr>
            <w:tcW w:w="36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54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614"/>
        </w:trPr>
        <w:tc>
          <w:tcPr>
            <w:tcW w:w="360" w:type="dxa"/>
            <w:vAlign w:val="bottom"/>
            <w:tcBorders>
              <w:left w:val="single" w:sz="8" w:color="auto"/>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pacing w:after="0" w:line="216" w:lineRule="exact"/>
        <w:rPr>
          <w:sz w:val="20"/>
          <w:szCs w:val="20"/>
          <w:color w:val="auto"/>
        </w:rPr>
      </w:pPr>
    </w:p>
    <w:p>
      <w:pPr>
        <w:ind w:left="20"/>
        <w:spacing w:after="0"/>
        <w:rPr>
          <w:sz w:val="20"/>
          <w:szCs w:val="20"/>
          <w:color w:val="auto"/>
        </w:rPr>
      </w:pPr>
      <w:r>
        <w:rPr>
          <w:rFonts w:ascii="Arial" w:cs="Arial" w:eastAsia="Arial" w:hAnsi="Arial"/>
          <w:sz w:val="35"/>
          <w:szCs w:val="35"/>
          <w:color w:val="auto"/>
          <w:vertAlign w:val="superscript"/>
        </w:rPr>
        <w:t xml:space="preserve">   </w:t>
      </w:r>
      <w:r>
        <w:rPr>
          <w:sz w:val="1"/>
          <w:szCs w:val="1"/>
          <w:color w:val="auto"/>
        </w:rPr>
        <w:drawing>
          <wp:inline distT="0" distB="0" distL="0" distR="0">
            <wp:extent cx="205740" cy="196850"/>
            <wp:effectExtent l="0" t="0" r="0"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05740" cy="196850"/>
                    </a:xfrm>
                    <a:prstGeom prst="rect">
                      <a:avLst/>
                    </a:prstGeom>
                    <a:noFill/>
                    <a:ln>
                      <a:noFill/>
                    </a:ln>
                  </pic:spPr>
                </pic:pic>
              </a:graphicData>
            </a:graphic>
          </wp:inline>
        </w:drawing>
        <w:drawing>
          <wp:inline distT="0" distB="0" distL="0" distR="0">
            <wp:extent cx="214630" cy="222885"/>
            <wp:effectExtent l="0" t="0" r="0" b="0"/>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14630" cy="222885"/>
                    </a:xfrm>
                    <a:prstGeom prst="rect">
                      <a:avLst/>
                    </a:prstGeom>
                    <a:noFill/>
                    <a:ln>
                      <a:noFill/>
                    </a:ln>
                  </pic:spPr>
                </pic:pic>
              </a:graphicData>
            </a:graphic>
          </wp:inline>
        </w:drawing>
      </w:r>
      <w:r>
        <w:rPr>
          <w:rFonts w:ascii="Arial" w:cs="Arial" w:eastAsia="Arial" w:hAnsi="Arial"/>
          <w:sz w:val="18"/>
          <w:szCs w:val="18"/>
          <w:color w:val="auto"/>
        </w:rPr>
        <w:t xml:space="preserve">  </w:t>
      </w:r>
    </w:p>
    <w:sectPr>
      <w:pgSz w:w="11900" w:h="16838" w:orient="portrait"/>
      <w:cols w:equalWidth="0" w:num="1">
        <w:col w:w="11040"/>
      </w:cols>
      <w:pgMar w:left="420" w:top="14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1"/>
      <w:numFmt w:val="bullet"/>
      <w:start w:val="1"/>
    </w:lvl>
  </w:abstractNum>
  <w:abstractNum w:abstractNumId="4">
    <w:nsid w:val="1E7FF521"/>
    <w:multiLevelType w:val="hybridMultilevel"/>
    <w:lvl w:ilvl="0">
      <w:lvlJc w:val="left"/>
      <w:lvlText w:val="8"/>
      <w:numFmt w:val="bullet"/>
      <w:start w:val="1"/>
    </w:lvl>
  </w:abstractNum>
  <w:abstractNum w:abstractNumId="5">
    <w:nsid w:val="7C3DBD3D"/>
    <w:multiLevelType w:val="hybridMultilevel"/>
    <w:lvl w:ilvl="0">
      <w:lvlJc w:val="left"/>
      <w:lvlText w:val="%1"/>
      <w:numFmt w:val="decimal"/>
      <w:start w:val="2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1)"/>
      <w:numFmt w:val="decimal"/>
      <w:start w:val="1"/>
    </w:lvl>
  </w:abstractNum>
  <w:abstractNum w:abstractNumId="9">
    <w:nsid w:val="4516DDE9"/>
    <w:multiLevelType w:val="hybridMultilevel"/>
    <w:lvl w:ilvl="0">
      <w:lvlJc w:val="left"/>
      <w:lvlText w:val=" "/>
      <w:numFmt w:val="bullet"/>
      <w:start w:val="1"/>
    </w:lvl>
  </w:abstractNum>
  <w:abstractNum w:abstractNumId="10">
    <w:nsid w:val="3006C83E"/>
    <w:multiLevelType w:val="hybridMultilevel"/>
    <w:lvl w:ilvl="0">
      <w:lvlJc w:val="left"/>
      <w:lvlText w:val="(%1)"/>
      <w:numFmt w:val="decimal"/>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
      <w:numFmt w:val="bullet"/>
      <w:start w:val="1"/>
    </w:lvl>
  </w:abstractNum>
  <w:abstractNum w:abstractNumId="13">
    <w:nsid w:val="5577F8E1"/>
    <w:multiLevelType w:val="hybridMultilevel"/>
    <w:lvl w:ilvl="0">
      <w:lvlJc w:val="left"/>
      <w:lvlText w:val=" "/>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decimal"/>
      <w:start w:val="49"/>
    </w:lvl>
  </w:abstractNum>
  <w:abstractNum w:abstractNumId="22">
    <w:nsid w:val="51EAD36B"/>
    <w:multiLevelType w:val="hybridMultilevel"/>
    <w:lvl w:ilvl="0">
      <w:lvlJc w:val="left"/>
      <w:lvlText w:val="%1"/>
      <w:numFmt w:val="decimal"/>
      <w:start w:val="5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1)"/>
      <w:numFmt w:val="decimal"/>
      <w:start w:val="1"/>
    </w:lvl>
  </w:abstractNum>
  <w:abstractNum w:abstractNumId="36">
    <w:nsid w:val="542289EC"/>
    <w:multiLevelType w:val="hybridMultilevel"/>
    <w:lvl w:ilvl="0">
      <w:lvlJc w:val="left"/>
      <w:lvlText w:val="(%1)"/>
      <w:numFmt w:val="lowerRoman"/>
      <w:start w:val="2"/>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1)"/>
      <w:numFmt w:val="lowerRoman"/>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1)"/>
      <w:numFmt w:val="decimal"/>
      <w:start w:val="3"/>
    </w:lvl>
  </w:abstractNum>
  <w:abstractNum w:abstractNumId="42">
    <w:nsid w:val="579478FE"/>
    <w:multiLevelType w:val="hybridMultilevel"/>
    <w:lvl w:ilvl="0">
      <w:lvlJc w:val="left"/>
      <w:lvlText w:val="(%1)"/>
      <w:numFmt w:val="decimal"/>
      <w:start w:val="5"/>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1)"/>
      <w:numFmt w:val="decimal"/>
      <w:start w:val="3"/>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
      <w:numFmt w:val="bullet"/>
      <w:start w:val="1"/>
    </w:lvl>
  </w:abstractNum>
  <w:abstractNum w:abstractNumId="50">
    <w:nsid w:val="520EEDD1"/>
    <w:multiLevelType w:val="hybridMultilevel"/>
    <w:lvl w:ilvl="0">
      <w:lvlJc w:val="left"/>
      <w:lvlText w:val=" "/>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 "/>
      <w:numFmt w:val="bullet"/>
      <w:start w:val="1"/>
    </w:lvl>
  </w:abstractNum>
  <w:abstractNum w:abstractNumId="53">
    <w:nsid w:val="23F9C13C"/>
    <w:multiLevelType w:val="hybridMultilevel"/>
    <w:lvl w:ilvl="0">
      <w:lvlJc w:val="left"/>
      <w:lvlText w:val=" "/>
      <w:numFmt w:val="bullet"/>
      <w:start w:val="1"/>
    </w:lvl>
  </w:abstractNum>
  <w:abstractNum w:abstractNumId="54">
    <w:nsid w:val="649BB77C"/>
    <w:multiLevelType w:val="hybridMultilevel"/>
    <w:lvl w:ilvl="0">
      <w:lvlJc w:val="left"/>
      <w:lvlText w:val="•"/>
      <w:numFmt w:val="bullet"/>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jpeg"/><Relationship Id="rId374" Type="http://schemas.openxmlformats.org/officeDocument/2006/relationships/image" Target="media/image36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2024-04-11T07:39:39Z</dcterms:created>
  <dcterms:modified xsi:type="dcterms:W3CDTF">2024-04-11T07:39:39Z</dcterms:modified>
</cp:coreProperties>
</file>