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August 6,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Installed Building Products,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34"/>
        <w:gridCol w:w="822"/>
        <w:gridCol w:w="823"/>
        <w:gridCol w:w="1445"/>
        <w:gridCol w:w="1445"/>
        <w:gridCol w:w="1448"/>
        <w:gridCol w:w="961"/>
        <w:gridCol w:w="961"/>
        <w:gridCol w:w="1366"/>
      </w:tblGrid>
      <w:tr>
        <w:trPr/>
        <w:tc>
          <w:tcPr>
            <w:tcW w:w="93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4338"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001-36307</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288"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45-3707650</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155 E. Broad Street, Suite 300 </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Columbus, OH 43215</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(614) 221-3399</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495 South High Street, Suite 50, Columbus, Ohio 43215</w:t>
            </w:r>
          </w:p>
        </w:tc>
        <w:tc>
          <w:tcPr>
            <w:tcW w:w="3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6992" w:type="dxa"/>
        <w:jc w:val="left"/>
        <w:tblInd w:w="0" w:type="dxa"/>
        <w:tblLayout w:type="fixed"/>
        <w:tblCellMar>
          <w:top w:w="28" w:type="dxa"/>
          <w:left w:w="28" w:type="dxa"/>
          <w:bottom w:w="28" w:type="dxa"/>
          <w:right w:w="28" w:type="dxa"/>
        </w:tblCellMar>
      </w:tblPr>
      <w:tblGrid>
        <w:gridCol w:w="587"/>
        <w:gridCol w:w="516"/>
        <w:gridCol w:w="516"/>
        <w:gridCol w:w="516"/>
        <w:gridCol w:w="516"/>
        <w:gridCol w:w="516"/>
        <w:gridCol w:w="1120"/>
        <w:gridCol w:w="1120"/>
        <w:gridCol w:w="1585"/>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699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16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161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Common Stock</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IBP</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108"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Emerging growth company    ☐</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2"/>
        <w:jc w:val="both"/>
        <w:rPr>
          <w:rFonts w:ascii="Times New Roman;serif" w:hAnsi="Times New Roman;serif"/>
          <w:b/>
          <w:color w:val="000000"/>
          <w:sz w:val="22"/>
        </w:rPr>
      </w:pPr>
      <w:r>
        <w:rPr>
          <w:rFonts w:ascii="Times New Roman;serif" w:hAnsi="Times New Roman;serif"/>
          <w:b/>
          <w:color w:val="000000"/>
          <w:sz w:val="22"/>
        </w:rPr>
        <w:t>Item 2.02    Results of Operations and Financial Condition.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6, 2026, Installed Building Products, Inc. (the “Company”) issued a press release reporting the financial results for the three and six months ended June 30, 2026. The full text of the press release is attached hereto as Exhibit 99.1 and is incorporated herein by reference.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contained in this Item 2.02, including Exhibit 99.1 attached hereto, is being furnished and shall not be deemed to be “filed” for the purposes of Section 18 of the Securities Exchange Act of 1934, as amended, or otherwise subject to the liabilities of that Section. Furthermore, the information contained in this Item 2.02, including Exhibit 99.1 attached hereto, shall not be deemed to be incorporated by reference into any registration statement or other document filed with the Securities and Exchange Commission, except as shall be expressly set forth by specific reference in such filing.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Item 7.01    Regulation FD Disclosure</w:t>
      </w:r>
    </w:p>
    <w:p>
      <w:pPr>
        <w:pStyle w:val="TextBody"/>
        <w:bidi w:val="0"/>
        <w:spacing w:before="0" w:after="2"/>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August 6, 2026 press release also announced that the Board of Directors approved a quarterly cash dividend of $0.39 per share payable on September 30, 2026 to stockholders of record at the close of business on September 15, 2026.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One or more representatives of the Company will meet with prospective investors during the third quarter of 2026.</w:t>
      </w:r>
      <w:r>
        <w:rPr>
          <w:color w:val="000000"/>
        </w:rPr>
        <w:t xml:space="preserve"> </w:t>
      </w:r>
      <w:r>
        <w:rPr>
          <w:rFonts w:ascii="Times New Roman;serif" w:hAnsi="Times New Roman;serif"/>
          <w:b w:val="false"/>
          <w:color w:val="000000"/>
          <w:sz w:val="20"/>
        </w:rPr>
        <w:t>The materials used in connection with these meetings have been posted on the Company’s website (</w:t>
      </w:r>
      <w:r>
        <w:rPr>
          <w:rFonts w:ascii="Times New Roman;serif" w:hAnsi="Times New Roman;serif"/>
          <w:b w:val="false"/>
          <w:color w:val="0000FF"/>
          <w:sz w:val="20"/>
        </w:rPr>
        <w:t>www.installedbuildingproducts.com</w:t>
      </w:r>
      <w:r>
        <w:rPr>
          <w:rFonts w:ascii="Times New Roman;serif" w:hAnsi="Times New Roman;serif"/>
          <w:b w:val="false"/>
          <w:color w:val="000000"/>
          <w:sz w:val="20"/>
        </w:rPr>
        <w:t xml:space="preserve">) under the Investor Relations section.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Item 7.01 is being furnished and shall not be deemed to be “filed” for the purposes of Section 18 of the Securities Exchange Act of 1934, as amended, or otherwise subject to the liabilities of that Section. Furthermore, the information contained in this Item 7.01 shall not be deemed to be incorporated by reference into any registration statement or other document filed with the Securities and Exchange Commission, except as shall be expressly set forth by specific reference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3"/>
        <w:gridCol w:w="319"/>
        <w:gridCol w:w="321"/>
        <w:gridCol w:w="109"/>
        <w:gridCol w:w="109"/>
        <w:gridCol w:w="109"/>
        <w:gridCol w:w="2625"/>
        <w:gridCol w:w="2603"/>
        <w:gridCol w:w="3647"/>
      </w:tblGrid>
      <w:tr>
        <w:trPr/>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440"/>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lineRule="auto" w:line="300" w:before="0" w:after="2"/>
              <w:ind w:left="0" w:right="0" w:hanging="14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0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bp-q22026earning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dated August 6, 2026, announcing results for the three and six months ended June 30, 2026 and quarterly dividend</w:t>
            </w:r>
          </w:p>
        </w:tc>
      </w:tr>
      <w:tr>
        <w:trPr/>
        <w:tc>
          <w:tcPr>
            <w:tcW w:w="100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108" w:after="283"/>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 on this 6th day of August, 2026.</w:t>
      </w:r>
    </w:p>
    <w:p>
      <w:pPr>
        <w:pStyle w:val="TextBody"/>
        <w:bidi w:val="0"/>
        <w:spacing w:before="0" w:after="0"/>
        <w:jc w:val="left"/>
        <w:rPr/>
      </w:pPr>
      <w:r>
        <w:rPr/>
      </w:r>
    </w:p>
    <w:p>
      <w:pPr>
        <w:pStyle w:val="TextBody"/>
        <w:bidi w:val="0"/>
        <w:spacing w:before="0" w:after="0"/>
        <w:jc w:val="left"/>
        <w:rPr/>
      </w:pPr>
      <w:r>
        <w:rPr/>
      </w:r>
    </w:p>
    <w:tbl>
      <w:tblPr>
        <w:tblW w:w="4589" w:type="dxa"/>
        <w:jc w:val="right"/>
        <w:tblInd w:w="0" w:type="dxa"/>
        <w:tblLayout w:type="fixed"/>
        <w:tblCellMar>
          <w:top w:w="28" w:type="dxa"/>
          <w:left w:w="28" w:type="dxa"/>
          <w:bottom w:w="28" w:type="dxa"/>
          <w:right w:w="28" w:type="dxa"/>
        </w:tblCellMar>
      </w:tblPr>
      <w:tblGrid>
        <w:gridCol w:w="795"/>
        <w:gridCol w:w="699"/>
        <w:gridCol w:w="699"/>
        <w:gridCol w:w="699"/>
        <w:gridCol w:w="699"/>
        <w:gridCol w:w="998"/>
      </w:tblGrid>
      <w:tr>
        <w:trPr/>
        <w:tc>
          <w:tcPr>
            <w:tcW w:w="7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4589"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INSTALLED BUILDING PRODUCTS, INC.</w:t>
            </w:r>
          </w:p>
        </w:tc>
      </w:tr>
      <w:tr>
        <w:trP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9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Michael T. Miller</w:t>
            </w:r>
          </w:p>
        </w:tc>
      </w:tr>
      <w:tr>
        <w:trPr/>
        <w:tc>
          <w:tcPr>
            <w:tcW w:w="219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Michael T. Miller</w:t>
            </w:r>
          </w:p>
        </w:tc>
      </w:tr>
      <w:tr>
        <w:trPr/>
        <w:tc>
          <w:tcPr>
            <w:tcW w:w="219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39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143000" cy="5905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143000" cy="590550"/>
                    </a:xfrm>
                    <a:prstGeom prst="rect">
                      <a:avLst/>
                    </a:prstGeom>
                  </pic:spPr>
                </pic:pic>
              </a:graphicData>
            </a:graphic>
          </wp:inline>
        </w:drawing>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200" w:after="283"/>
        <w:jc w:val="center"/>
        <w:rPr/>
      </w:pPr>
      <w:r>
        <w:rPr/>
      </w:r>
    </w:p>
    <w:p>
      <w:pPr>
        <w:pStyle w:val="TextBody"/>
        <w:bidi w:val="0"/>
        <w:spacing w:lineRule="auto" w:line="288" w:before="100" w:after="10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 xml:space="preserve">INSTALLED BUILDING PRODUCTS REPORTS </w:t>
      </w:r>
    </w:p>
    <w:p>
      <w:pPr>
        <w:pStyle w:val="TextBody"/>
        <w:bidi w:val="0"/>
        <w:spacing w:lineRule="auto" w:line="288" w:before="100" w:after="100"/>
        <w:jc w:val="center"/>
        <w:rPr/>
      </w:pPr>
      <w:r>
        <w:rPr>
          <w:rFonts w:ascii="Times New Roman;serif" w:hAnsi="Times New Roman;serif"/>
          <w:b/>
          <w:color w:val="000000"/>
          <w:sz w:val="28"/>
          <w:shd w:fill="FFFFFF" w:val="clear"/>
        </w:rPr>
        <w:t xml:space="preserve">SECOND QUARTER </w:t>
      </w:r>
      <w:r>
        <w:rPr>
          <w:rFonts w:ascii="Times New Roman;serif" w:hAnsi="Times New Roman;serif"/>
          <w:b/>
          <w:color w:val="000000"/>
          <w:sz w:val="28"/>
        </w:rPr>
        <w:t>2026</w:t>
      </w:r>
      <w:r>
        <w:rPr>
          <w:color w:val="000000"/>
          <w:shd w:fill="FFFFFF" w:val="clear"/>
        </w:rPr>
        <w:t xml:space="preserve"> </w:t>
      </w:r>
      <w:r>
        <w:rPr>
          <w:rFonts w:ascii="Times New Roman;serif" w:hAnsi="Times New Roman;serif"/>
          <w:b/>
          <w:color w:val="000000"/>
          <w:sz w:val="28"/>
          <w:shd w:fill="FFFFFF" w:val="clear"/>
        </w:rPr>
        <w:t>RESULTS;</w:t>
      </w:r>
    </w:p>
    <w:p>
      <w:pPr>
        <w:pStyle w:val="TextBody"/>
        <w:bidi w:val="0"/>
        <w:spacing w:lineRule="auto" w:line="288" w:before="100" w:after="10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DECLARES REGULAR QUARTERLY CASH DIVIDEND</w:t>
      </w:r>
    </w:p>
    <w:p>
      <w:pPr>
        <w:pStyle w:val="TextBody"/>
        <w:bidi w:val="0"/>
        <w:spacing w:before="0" w:after="0"/>
        <w:jc w:val="both"/>
        <w:rPr/>
      </w:pPr>
      <w:r>
        <w:rPr/>
      </w:r>
    </w:p>
    <w:p>
      <w:pPr>
        <w:pStyle w:val="TextBody"/>
        <w:bidi w:val="0"/>
        <w:spacing w:lineRule="auto" w:line="288" w:before="60" w:after="100"/>
        <w:jc w:val="left"/>
        <w:rPr/>
      </w:pPr>
      <w:r>
        <w:rPr>
          <w:rFonts w:ascii="Times New Roman;serif" w:hAnsi="Times New Roman;serif"/>
          <w:b/>
          <w:color w:val="000000"/>
          <w:sz w:val="20"/>
        </w:rPr>
        <w:t xml:space="preserve">Columbus, Ohio, August 6, 2026, </w:t>
      </w:r>
      <w:r>
        <w:rPr>
          <w:rFonts w:ascii="Times New Roman;serif" w:hAnsi="Times New Roman;serif"/>
          <w:b w:val="false"/>
          <w:color w:val="000000"/>
          <w:sz w:val="20"/>
        </w:rPr>
        <w:t xml:space="preserve">Installed Building Products, Inc. (the "Company" or "IBP") (NYSE: IBP), an industry-leading installer of insulation and complementary building products, today announced results for the second quarter ended June 30, 2026. </w:t>
      </w:r>
    </w:p>
    <w:p>
      <w:pPr>
        <w:pStyle w:val="TextBody"/>
        <w:bidi w:val="0"/>
        <w:spacing w:lineRule="auto" w:line="288" w:before="200" w:after="100"/>
        <w:jc w:val="both"/>
        <w:rPr/>
      </w:pPr>
      <w:r>
        <w:rPr>
          <w:rFonts w:ascii="Times New Roman;serif" w:hAnsi="Times New Roman;serif"/>
          <w:b/>
          <w:color w:val="000000"/>
          <w:sz w:val="20"/>
        </w:rPr>
        <w:t>Second Quarter</w:t>
      </w:r>
      <w:r>
        <w:rPr>
          <w:color w:val="000000"/>
          <w:shd w:fill="FFFFFF" w:val="clear"/>
        </w:rPr>
        <w:t xml:space="preserve"> </w:t>
      </w:r>
      <w:r>
        <w:rPr>
          <w:rFonts w:ascii="Times New Roman;serif" w:hAnsi="Times New Roman;serif"/>
          <w:b/>
          <w:color w:val="000000"/>
          <w:sz w:val="20"/>
          <w:shd w:fill="FFFFFF" w:val="clear"/>
        </w:rPr>
        <w:t>2026 Highlights (Comparisons are to Prior Year Period)</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Net revenue increased 2.3% to a record second quarter of $777.8 million</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Installation revenue decreased 0.7% to $710.7 million, including sales from IBP's recent acquisitions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Other revenue, net of eliminations, which includes IBP’s manufacturing and distribution operations, increased 50.4% to $67.1 million</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Net income of $64.9 million</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Adjusted EBITDA* of $130.9 million</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Net income per diluted share of $2.43</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Adjusted net income* was $77.8 million, or $2.91 per diluted share</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At June 30, 2026, IBP had $394.5 million in cash and cash equivalents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 xml:space="preserve">Repurchased approximately 365 thousand shares of common stock at a total cost of approximately $76.2 million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Declared second quarter dividend of $0.39 per share that was paid to shareholders on June 30, 2026</w:t>
      </w:r>
    </w:p>
    <w:p>
      <w:pPr>
        <w:pStyle w:val="TextBody"/>
        <w:bidi w:val="0"/>
        <w:spacing w:lineRule="auto" w:line="288" w:before="200" w:after="10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IBP’s Board of Directors declared the third quarter regular cash dividend of $0.39 per share, representing more than a 5% increase to the Company's regular dividend in the prior year period</w:t>
      </w:r>
    </w:p>
    <w:p>
      <w:pPr>
        <w:pStyle w:val="TextBody"/>
        <w:bidi w:val="0"/>
        <w:spacing w:lineRule="auto" w:line="288" w:before="200" w:after="100"/>
        <w:jc w:val="left"/>
        <w:rPr>
          <w:color w:val="000000"/>
        </w:rPr>
      </w:pPr>
      <w:r>
        <w:rPr>
          <w:color w:val="000000"/>
        </w:rPr>
        <w:t>“</w:t>
      </w:r>
      <w:r>
        <w:rPr>
          <w:rFonts w:ascii="Times New Roman;serif" w:hAnsi="Times New Roman;serif"/>
          <w:b w:val="false"/>
          <w:color w:val="000000"/>
          <w:sz w:val="20"/>
        </w:rPr>
        <w:t>Our team continued to execute well during the second quarter, working closely with our customers to navigate a challenging residential housing backdrop, while maintaining the high level of service they expect from IBP. We delivered positive consolidated revenue growth, supported by the contribution from recent acquisitions and growth within our heavy and light commercial business. These results demonstrate the value of our diversified operating platform and the multiple avenues available to support growth across varying market conditions. We also continued to deploy capital in a disciplined manner to support returns to shareholders, while advancing our growth-oriented acquisition strategy. Although we expect affordability and consumer confidence to continue to weigh on the U.S. residential housing market, we remain focused on controlling what we can control, serving our customers, and positioning IBP for continued long-term growth,” stated Jeff Edwards, Chairman and Chief Executive Officer.</w:t>
      </w:r>
    </w:p>
    <w:p>
      <w:pPr>
        <w:pStyle w:val="TextBody"/>
        <w:bidi w:val="0"/>
        <w:spacing w:lineRule="auto" w:line="288" w:before="200" w:after="10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Acquisition Update </w:t>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During the 2026 second quarter and July 2026, IBP completed the following acquisitions and two bolt-ons, which added approximately $30 million of annual revenue:</w:t>
      </w:r>
    </w:p>
    <w:p>
      <w:pPr>
        <w:pStyle w:val="TextBody"/>
        <w:bidi w:val="0"/>
        <w:spacing w:before="200" w:after="100"/>
        <w:jc w:val="left"/>
        <w:rPr/>
      </w:pPr>
      <w:r>
        <w:rPr/>
      </w:r>
    </w:p>
    <w:p>
      <w:pPr>
        <w:pStyle w:val="TextBody"/>
        <w:bidi w:val="0"/>
        <w:spacing w:before="200" w:after="100"/>
        <w:jc w:val="left"/>
        <w:rPr/>
      </w:pPr>
      <w:r>
        <w:rPr/>
      </w:r>
    </w:p>
    <w:p>
      <w:pPr>
        <w:pStyle w:val="TextBody"/>
        <w:bidi w:val="0"/>
        <w:spacing w:before="200" w:after="100"/>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35915"/>
                <wp:effectExtent l="0" t="0" r="0" b="0"/>
                <wp:wrapNone/>
                <wp:docPr id="5" name="Frame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31"/>
        <w:gridCol w:w="291"/>
        <w:gridCol w:w="293"/>
        <w:gridCol w:w="1065"/>
        <w:gridCol w:w="1065"/>
        <w:gridCol w:w="1067"/>
        <w:gridCol w:w="401"/>
        <w:gridCol w:w="401"/>
        <w:gridCol w:w="403"/>
        <w:gridCol w:w="1251"/>
        <w:gridCol w:w="1206"/>
        <w:gridCol w:w="1210"/>
        <w:gridCol w:w="356"/>
        <w:gridCol w:w="356"/>
        <w:gridCol w:w="509"/>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Close</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Date</w:t>
            </w:r>
          </w:p>
        </w:tc>
        <w:tc>
          <w:tcPr>
            <w:tcW w:w="319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before="0" w:after="0"/>
              <w:jc w:val="center"/>
              <w:rPr/>
            </w:pPr>
            <w:r>
              <w:rPr/>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Acquisition</w:t>
            </w:r>
          </w:p>
        </w:tc>
        <w:tc>
          <w:tcPr>
            <w:tcW w:w="1205"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Core</w:t>
            </w:r>
          </w:p>
          <w:p>
            <w:pPr>
              <w:pStyle w:val="TableContents"/>
              <w:bidi w:val="0"/>
              <w:spacing w:lineRule="auto" w:line="268" w:before="0" w:after="0"/>
              <w:jc w:val="center"/>
              <w:rPr/>
            </w:pPr>
            <w:r>
              <w:rPr>
                <w:rFonts w:ascii="Times New Roman;serif" w:hAnsi="Times New Roman;serif"/>
                <w:b w:val="false"/>
                <w:color w:val="000000"/>
                <w:sz w:val="20"/>
              </w:rPr>
              <w:t xml:space="preserve">End Market </w:t>
            </w:r>
            <w:r>
              <w:rPr>
                <w:rFonts w:ascii="Times New Roman;serif" w:hAnsi="Times New Roman;serif"/>
                <w:b w:val="false"/>
                <w:color w:val="000000"/>
                <w:sz w:val="13"/>
              </w:rPr>
              <w:t>(1)</w:t>
            </w:r>
          </w:p>
        </w:tc>
        <w:tc>
          <w:tcPr>
            <w:tcW w:w="366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Primary Product Category</w:t>
            </w:r>
          </w:p>
        </w:tc>
        <w:tc>
          <w:tcPr>
            <w:tcW w:w="1221"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Approximate</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Annual Sales</w:t>
            </w:r>
          </w:p>
        </w:tc>
      </w:tr>
      <w:tr>
        <w:trPr/>
        <w:tc>
          <w:tcPr>
            <w:tcW w:w="9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May 2026</w:t>
            </w:r>
          </w:p>
        </w:tc>
        <w:tc>
          <w:tcPr>
            <w:tcW w:w="3197" w:type="dxa"/>
            <w:gridSpan w:val="3"/>
            <w:tcBorders>
              <w:top w:val="single" w:sz="4" w:space="0" w:color="000000"/>
              <w:left w:val="single" w:sz="4" w:space="0" w:color="000000"/>
            </w:tcBorders>
            <w:tcMar>
              <w:top w:w="30" w:type="dxa"/>
              <w:left w:w="20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Diamond Energy Systems, Inc.</w:t>
            </w:r>
          </w:p>
        </w:tc>
        <w:tc>
          <w:tcPr>
            <w:tcW w:w="12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Com. + Ind.</w:t>
            </w:r>
          </w:p>
        </w:tc>
        <w:tc>
          <w:tcPr>
            <w:tcW w:w="36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Mechanical insulation</w:t>
            </w:r>
          </w:p>
        </w:tc>
        <w:tc>
          <w:tcPr>
            <w:tcW w:w="122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68" w:before="0" w:after="0"/>
              <w:ind w:left="0" w:right="0" w:firstLine="90"/>
              <w:jc w:val="right"/>
              <w:rPr>
                <w:rFonts w:ascii="Times New Roman;serif" w:hAnsi="Times New Roman;serif"/>
                <w:b w:val="false"/>
                <w:color w:val="000000"/>
                <w:sz w:val="20"/>
              </w:rPr>
            </w:pPr>
            <w:r>
              <w:rPr>
                <w:rFonts w:ascii="Times New Roman;serif" w:hAnsi="Times New Roman;serif"/>
                <w:b w:val="false"/>
                <w:color w:val="000000"/>
                <w:sz w:val="20"/>
              </w:rPr>
              <w:t>$12 million</w:t>
            </w:r>
          </w:p>
        </w:tc>
      </w:tr>
      <w:tr>
        <w:trPr/>
        <w:tc>
          <w:tcPr>
            <w:tcW w:w="9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Jul. 2026</w:t>
            </w:r>
          </w:p>
        </w:tc>
        <w:tc>
          <w:tcPr>
            <w:tcW w:w="3197" w:type="dxa"/>
            <w:gridSpan w:val="3"/>
            <w:tcBorders>
              <w:top w:val="single" w:sz="4" w:space="0" w:color="000000"/>
              <w:left w:val="single" w:sz="4" w:space="0" w:color="000000"/>
            </w:tcBorders>
            <w:tcMar>
              <w:top w:w="30" w:type="dxa"/>
              <w:left w:w="20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Harkraft, Inc.</w:t>
            </w:r>
          </w:p>
        </w:tc>
        <w:tc>
          <w:tcPr>
            <w:tcW w:w="12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Res.</w:t>
            </w:r>
          </w:p>
        </w:tc>
        <w:tc>
          <w:tcPr>
            <w:tcW w:w="3667" w:type="dxa"/>
            <w:gridSpan w:val="3"/>
            <w:tcBorders>
              <w:top w:val="single" w:sz="4" w:space="0" w:color="000000"/>
              <w:left w:val="single" w:sz="4" w:space="0" w:color="000000"/>
            </w:tcBorders>
            <w:tcMar>
              <w:top w:w="30" w:type="dxa"/>
              <w:left w:w="20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Shower doors, shelving, mirrors, and accessories</w:t>
            </w:r>
          </w:p>
        </w:tc>
        <w:tc>
          <w:tcPr>
            <w:tcW w:w="122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68" w:before="0" w:after="283"/>
              <w:ind w:left="0" w:right="0" w:firstLine="90"/>
              <w:jc w:val="right"/>
              <w:rPr>
                <w:rFonts w:ascii="Times New Roman;serif" w:hAnsi="Times New Roman;serif"/>
                <w:b w:val="false"/>
                <w:color w:val="000000"/>
                <w:sz w:val="20"/>
              </w:rPr>
            </w:pPr>
            <w:r>
              <w:rPr>
                <w:rFonts w:ascii="Times New Roman;serif" w:hAnsi="Times New Roman;serif"/>
                <w:b w:val="false"/>
                <w:color w:val="000000"/>
                <w:sz w:val="20"/>
              </w:rPr>
              <w:t>$7 million</w:t>
            </w:r>
          </w:p>
        </w:tc>
      </w:tr>
      <w:tr>
        <w:trPr/>
        <w:tc>
          <w:tcPr>
            <w:tcW w:w="91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Jul. 2026</w:t>
            </w:r>
          </w:p>
        </w:tc>
        <w:tc>
          <w:tcPr>
            <w:tcW w:w="3197" w:type="dxa"/>
            <w:gridSpan w:val="3"/>
            <w:tcBorders>
              <w:top w:val="single" w:sz="4" w:space="0" w:color="000000"/>
              <w:left w:val="single" w:sz="4" w:space="0" w:color="000000"/>
              <w:bottom w:val="single" w:sz="4" w:space="0" w:color="000000"/>
            </w:tcBorders>
            <w:tcMar>
              <w:top w:w="30" w:type="dxa"/>
              <w:left w:w="20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Builders Hardware of South Carolina, Inc.</w:t>
            </w:r>
          </w:p>
        </w:tc>
        <w:tc>
          <w:tcPr>
            <w:tcW w:w="120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Res.</w:t>
            </w:r>
          </w:p>
        </w:tc>
        <w:tc>
          <w:tcPr>
            <w:tcW w:w="3667" w:type="dxa"/>
            <w:gridSpan w:val="3"/>
            <w:tcBorders>
              <w:top w:val="single" w:sz="4" w:space="0" w:color="000000"/>
              <w:left w:val="single" w:sz="4" w:space="0" w:color="000000"/>
              <w:bottom w:val="single" w:sz="4" w:space="0" w:color="000000"/>
            </w:tcBorders>
            <w:tcMar>
              <w:top w:w="30" w:type="dxa"/>
              <w:left w:w="20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Door, bath, and fencing hardware</w:t>
            </w:r>
          </w:p>
        </w:tc>
        <w:tc>
          <w:tcPr>
            <w:tcW w:w="122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$7 million</w:t>
            </w:r>
          </w:p>
        </w:tc>
      </w:tr>
      <w:tr>
        <w:trPr/>
        <w:tc>
          <w:tcPr>
            <w:tcW w:w="915" w:type="dxa"/>
            <w:gridSpan w:val="3"/>
            <w:tcBorders/>
            <w:vAlign w:val="center"/>
          </w:tcPr>
          <w:p>
            <w:pPr>
              <w:pStyle w:val="TableContents"/>
              <w:bidi w:val="0"/>
              <w:spacing w:before="0" w:after="283"/>
              <w:jc w:val="left"/>
              <w:rPr>
                <w:sz w:val="4"/>
                <w:szCs w:val="4"/>
              </w:rPr>
            </w:pPr>
            <w:r>
              <w:rPr>
                <w:sz w:val="4"/>
                <w:szCs w:val="4"/>
              </w:rPr>
            </w:r>
          </w:p>
        </w:tc>
        <w:tc>
          <w:tcPr>
            <w:tcW w:w="319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66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270"/>
        <w:jc w:val="both"/>
        <w:rPr/>
      </w:pPr>
      <w:r>
        <w:rPr>
          <w:rFonts w:ascii="Times New Roman;serif" w:hAnsi="Times New Roman;serif"/>
          <w:b w:val="false"/>
          <w:color w:val="000000"/>
          <w:sz w:val="13"/>
        </w:rPr>
        <w:t>(1)    </w:t>
      </w:r>
      <w:r>
        <w:rPr>
          <w:rFonts w:ascii="Times New Roman;serif" w:hAnsi="Times New Roman;serif"/>
          <w:b w:val="false"/>
          <w:color w:val="000000"/>
          <w:sz w:val="20"/>
        </w:rPr>
        <w:t xml:space="preserve">Res. - Residential end market, which includes single-family and multi-family. Com. - Commercial end market, which includes heavy and light commercial. Ind. - Industrial end market. </w:t>
      </w:r>
    </w:p>
    <w:p>
      <w:pPr>
        <w:pStyle w:val="TextBody"/>
        <w:bidi w:val="0"/>
        <w:spacing w:lineRule="auto" w:line="288" w:before="200" w:after="100"/>
        <w:jc w:val="both"/>
        <w:rPr>
          <w:rFonts w:ascii="Times New Roman;serif" w:hAnsi="Times New Roman;serif"/>
          <w:b w:val="false"/>
          <w:color w:val="000000"/>
          <w:sz w:val="20"/>
        </w:rPr>
      </w:pPr>
      <w:r>
        <w:rPr>
          <w:rFonts w:ascii="Times New Roman;serif" w:hAnsi="Times New Roman;serif"/>
          <w:b w:val="false"/>
          <w:color w:val="000000"/>
          <w:sz w:val="20"/>
        </w:rPr>
        <w:t>Year to date we have acquired approximately $59 million in revenue and continue to believe we will acquire at least $100 million in revenue in 2026.</w:t>
      </w:r>
    </w:p>
    <w:p>
      <w:pPr>
        <w:pStyle w:val="TextBody"/>
        <w:bidi w:val="0"/>
        <w:spacing w:lineRule="auto" w:line="288" w:before="1" w:after="1"/>
        <w:jc w:val="both"/>
        <w:rPr>
          <w:rFonts w:ascii="Times New Roman;serif" w:hAnsi="Times New Roman;serif"/>
          <w:b/>
          <w:color w:val="000000"/>
          <w:sz w:val="20"/>
        </w:rPr>
      </w:pPr>
      <w:r>
        <w:rPr>
          <w:rFonts w:ascii="Times New Roman;serif" w:hAnsi="Times New Roman;serif"/>
          <w:b/>
          <w:color w:val="000000"/>
          <w:sz w:val="20"/>
        </w:rPr>
        <w:t>2026 Third Quarter Regular Cash Dividend</w:t>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IBP’s Board of Directors has approved the Company’s quarterly cash dividend of $0.39 per share, payable on September 30, 2026, to stockholders of record on September 15, 2026. The third quarter regular cash dividend represents an over 5% increase from last year's third quarter cash dividend payment.</w:t>
      </w:r>
    </w:p>
    <w:p>
      <w:pPr>
        <w:pStyle w:val="TextBody"/>
        <w:bidi w:val="0"/>
        <w:spacing w:lineRule="auto" w:line="288" w:before="200" w:after="100"/>
        <w:jc w:val="left"/>
        <w:rPr>
          <w:rFonts w:ascii="Times New Roman;serif" w:hAnsi="Times New Roman;serif"/>
          <w:b/>
          <w:color w:val="000000"/>
          <w:sz w:val="20"/>
        </w:rPr>
      </w:pPr>
      <w:r>
        <w:rPr>
          <w:rFonts w:ascii="Times New Roman;serif" w:hAnsi="Times New Roman;serif"/>
          <w:b/>
          <w:color w:val="000000"/>
          <w:sz w:val="20"/>
        </w:rPr>
        <w:t>Share Repurchases</w:t>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IBP repurchased approximately 365 thousand shares of its common stock at a total cost of $76.2 million. At June 30, 2026, the Company had $398 million available under its stock repurchase program, which expires March 1, 2027.</w:t>
      </w:r>
    </w:p>
    <w:p>
      <w:pPr>
        <w:pStyle w:val="TextBody"/>
        <w:bidi w:val="0"/>
        <w:spacing w:lineRule="auto" w:line="288" w:before="200" w:after="100"/>
        <w:jc w:val="left"/>
        <w:rPr/>
      </w:pPr>
      <w:r>
        <w:rPr>
          <w:rFonts w:ascii="Times New Roman;serif" w:hAnsi="Times New Roman;serif"/>
          <w:b/>
          <w:color w:val="000000"/>
          <w:sz w:val="20"/>
        </w:rPr>
        <w:t>Second Quarter</w:t>
      </w:r>
      <w:r>
        <w:rPr>
          <w:color w:val="000000"/>
          <w:shd w:fill="FFFFFF" w:val="clear"/>
        </w:rPr>
        <w:t xml:space="preserve"> </w:t>
      </w:r>
      <w:r>
        <w:rPr>
          <w:rFonts w:ascii="Times New Roman;serif" w:hAnsi="Times New Roman;serif"/>
          <w:b/>
          <w:color w:val="000000"/>
          <w:sz w:val="20"/>
        </w:rPr>
        <w:t>2026</w:t>
      </w:r>
      <w:r>
        <w:rPr>
          <w:color w:val="000000"/>
          <w:shd w:fill="FFFFFF" w:val="clear"/>
        </w:rPr>
        <w:t xml:space="preserve"> </w:t>
      </w:r>
      <w:r>
        <w:rPr>
          <w:rFonts w:ascii="Times New Roman;serif" w:hAnsi="Times New Roman;serif"/>
          <w:b/>
          <w:color w:val="000000"/>
          <w:sz w:val="20"/>
          <w:shd w:fill="FFFFFF" w:val="clear"/>
        </w:rPr>
        <w:t>Results Overview</w:t>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For the second quarter of 2026, net revenue was $777.8 million, an increase of 2.3% from $760.3 million for the second quarter of 2025. On a consolidated same branch basis, net revenue decreased 0.6% from the prior year quarter. Residential same branch sales within the Company's Installation segment were down 6.1% in the quarter while commercial same branch sales within the Installation segment were up 10.4% from the prior year quarter.</w:t>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Our price/mix results increased 0.7% during the second quarter and job volumes were down 5.2% relative to the same period last year. It is important to note that the results of our heavy commercial end market and the Other segment results are not included in that price/mix and volume disclosure. Including the heavy commercial installation sales, but still excluding the Other segment results, price mix increased 2.5% while job volume was down 4.9% during the 2026 second quarter.</w:t>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Gross profit decreased 0.4% to $258.9 million in the second quarter of 2026 from $259.9 million in the prior year quarter. As a percent of net revenue, gross profit was 33.3% and adjusted gross profit* was 33.3%, compared to 34.2% in the same period last year. Adjusted gross profit primarily adjusts for the Company's share-based compensation expense. Gross profit margin was reduced by the higher relative mix of the Other segment compared to the Installation segment. Gross margin in the second quarter of 2026 was 36.5% in the Installation segment and 24.7% in the Other segment. Additionally, higher fuel expense as a percent of net revenue served as a notable headwind to our second quarter 2026 adjusted gross profit margin* performance relative to the prior year period.</w:t>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Selling and administrative expense, as a percent of total revenue, was 19.8% in the second quarter of 2026 and 19.6% in the prior year period. Adjusted selling and administrative expense*, as a percent of net revenue, was 18.9% compared to 18.8% in the prior year quarter. Administrative expense as a percent of net revenue was primarily impacted by higher medical insurance relative to the prior year. </w:t>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was $64.9 million, or $2.43 per diluted share, compared to $69.0 million, or $2.52 per diluted share in the prior year quarter. Net profit margin for the second quarter was 8.3% compared to 9.1% in the prior year quarter. Adjusted net income* was $77.8 million, or $2.91 per diluted share, compared to $80.8 million, or $2.95 per diluted share in the prior year quarter. Adjusted net profit margin* for the second quarter was 10.0% compared to 10.6% in the prior year quarter. Adjusted </w:t>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35915"/>
                <wp:effectExtent l="0" t="0" r="0" b="0"/>
                <wp:wrapNone/>
                <wp:docPr id="6" name="Frame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net income accounts for the impact of non-core items in both periods, including an addback for non-cash amortization expense related to acquisitions.</w:t>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EBITDA* in the second quarter of 2026 was $124.0 million, a 3.3% decrease from $128.2 million in the prior year quarter. Adjusted EBITDA* was $130.9 million, a 2.3% decrease from the prior year quarter, representing an adjusted EBITDA margin* of 16.9%. In the prior year quarter, adjusted EBITDA* was $134.0 million, representing an adjusted EBITDA margin* of 17.6%.</w:t>
      </w:r>
    </w:p>
    <w:p>
      <w:pPr>
        <w:pStyle w:val="TextBody"/>
        <w:bidi w:val="0"/>
        <w:spacing w:lineRule="auto" w:line="288" w:before="200" w:after="10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Conference Call and Webcast </w:t>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The Company will host a conference call and webcast on August 6, 2026 at 10:00 a.m. Eastern Time to discuss these results. To participate in the call, please dial 877-407-0792 (domestic) or 201-689-8263 (international). The live webcast will be available at www.installedbuildingproducts.com in the investor relations section. A replay of the conference call will be available through August 20, 2026 by dialing 844-512-2921 (domestic) or 412-317-6671 (international) and entering the passcode 13760723.</w:t>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Alternatively, participants can register for the call 15 minutes prior to the event by using the call me option for a faster connection to join the conference call. You can enter your phone number and let the system call you right away. Click here for the call me option. </w:t>
      </w:r>
    </w:p>
    <w:p>
      <w:pPr>
        <w:pStyle w:val="TextBody"/>
        <w:bidi w:val="0"/>
        <w:spacing w:before="1" w:after="1"/>
        <w:jc w:val="both"/>
        <w:rPr/>
      </w:pPr>
      <w:r>
        <w:rPr/>
      </w:r>
    </w:p>
    <w:p>
      <w:pPr>
        <w:pStyle w:val="TextBody"/>
        <w:bidi w:val="0"/>
        <w:spacing w:lineRule="auto" w:line="288" w:before="1" w:after="1"/>
        <w:jc w:val="both"/>
        <w:rPr>
          <w:rFonts w:ascii="Times New Roman;serif" w:hAnsi="Times New Roman;serif"/>
          <w:b/>
          <w:color w:val="000000"/>
          <w:sz w:val="20"/>
        </w:rPr>
      </w:pPr>
      <w:r>
        <w:rPr>
          <w:rFonts w:ascii="Times New Roman;serif" w:hAnsi="Times New Roman;serif"/>
          <w:b/>
          <w:color w:val="000000"/>
          <w:sz w:val="20"/>
        </w:rPr>
        <w:t>About Installed Building Products</w:t>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Installed Building Products, Inc. is one of the nation's largest new residential insulation installers and is a diversified installer of complementary building products, including waterproofing, fire-stopping, fireproofing, garage doors, rain gutters, window blinds, shower doors, closet shelving and mirrors and other products for residential and commercial builders located in the continental United States. The Company manages all aspects of the installation process for its customers, from direct purchase and receipt of materials from national manufacturers to its timely supply of materials to job sites and quality installation. The Company offers its portfolio of services for new and existing single-family and multi-family residential and commercial building projects in all 48 continental states and the District of Columbia from its national network of over 250 branch locations.</w:t>
      </w:r>
    </w:p>
    <w:p>
      <w:pPr>
        <w:pStyle w:val="TextBody"/>
        <w:bidi w:val="0"/>
        <w:spacing w:lineRule="auto" w:line="288" w:before="200" w:after="10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Forward-Looking Statements</w:t>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the federal securities laws, including with respect to the housing market and the commercial market, our operations, industry and economic conditions, our financial and business model, payment of dividends, the demand for our services and product offerings, expansion of our national footprint and end markets, diversification of our products, our ability to grow and strengthen our market position, our ability to pursue and integrate value-enhancing acquisitions and the expected amount of acquired revenue, our ability to improve sales and profitability, and expectations for demand for our services and our earnings. Forward-looking statements may generally be identified by the use of words such as "anticipate," "believe," "expect," "intends," "plan," and "will" or, in each case, their negative, or other variations or comparable terminology. These forward-looking statements include all matters that are not historical facts. By their nature, forward-looking statements involve risks and uncertainties because they relate to events and depend on circumstances that may or may not occur in the future. Any forward-looking statements that we make herein and in any future reports and statements are not guarantees of future performance, and actual results may differ materially from those expressed in or suggested by such forward-looking statements as a result of various factors, including, without limitation, general economic and industry conditions; increases in mortgage interest rates and rising home prices; inflation and interest rates; the material price and supply environment; increased tariffs; federal government shutdowns and uncertainty regarding the federal government's policy changes; geopolitical conflicts; the timing of increases in our selling prices; the risk that the Company may reduce, suspend or eliminate dividend payments in the future; and the factors discussed in the “Risk Factors” section of the Company’s Annual Report on Form 10-K for the year ended December 31, 2025, as the same may be updated from time to time in our subsequent filings with the Securities and Exchange Commission. In addition, any future declaration of dividends will be subject to the final determination of our Board of Directors. Any forward-looking statement made by the Company in this press release speaks only as of the date hereof. New risks and uncertainties arise from time to time, and it is impossible for the Company to predict these events or how they may affect it. The Company has no obligation, and does not intend, to update any forward-looking statements after the date hereof, except as required by federal securities laws.</w:t>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35915"/>
                <wp:effectExtent l="0" t="0" r="0" b="0"/>
                <wp:wrapNone/>
                <wp:docPr id="7" name="Frame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10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*Use of Non-GAAP Financial Measures</w:t>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In addition to the financial measures prepared in accordance with U.S. generally accepted accounting principles (“GAAP”), this press release contains the non-GAAP financial measures of EBITDA, Adjusted EBITDA, Adjusted EBITDA margin (i.e., Adjusted EBITDA divided by net revenue), Adjusted Net Income, Adjusted Net Income per diluted share, Adjusted Gross Profit and Adjusted Selling and Administrative expense. The reasons for the use of these measures, reconciliations of EBITDA, Adjusted EBITDA, Adjusted Net Income, Adjusted Net Income per diluted share, Adjusted Gross Profit, and Adjusted Selling and Administrative expense to the most directly comparable GAAP measures and other information relating to these measures are included below following the unaudited condensed consolidated financial statements. Non-GAAP financial measures have limitations as analytical tools and should not be considered in isolation or as a substitute for IBP’s financial results prepared in accordance with GAAP.</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35915"/>
                <wp:effectExtent l="0" t="0" r="0" b="0"/>
                <wp:wrapNone/>
                <wp:docPr id="8" name="Frame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OPERATIONS AND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millions, except share and per share amounts)</w:t>
      </w:r>
    </w:p>
    <w:p>
      <w:pPr>
        <w:pStyle w:val="TextBody"/>
        <w:bidi w:val="0"/>
        <w:spacing w:before="200" w:after="283"/>
        <w:jc w:val="center"/>
        <w:rPr/>
      </w:pPr>
      <w:r>
        <w:rPr/>
      </w:r>
    </w:p>
    <w:tbl>
      <w:tblPr>
        <w:tblW w:w="10205" w:type="dxa"/>
        <w:jc w:val="center"/>
        <w:tblInd w:w="0" w:type="dxa"/>
        <w:tblLayout w:type="fixed"/>
        <w:tblCellMar>
          <w:top w:w="28" w:type="dxa"/>
          <w:left w:w="28" w:type="dxa"/>
          <w:bottom w:w="28" w:type="dxa"/>
          <w:right w:w="28" w:type="dxa"/>
        </w:tblCellMar>
      </w:tblPr>
      <w:tblGrid>
        <w:gridCol w:w="1737"/>
        <w:gridCol w:w="1427"/>
        <w:gridCol w:w="1242"/>
        <w:gridCol w:w="275"/>
        <w:gridCol w:w="806"/>
        <w:gridCol w:w="111"/>
        <w:gridCol w:w="111"/>
        <w:gridCol w:w="111"/>
        <w:gridCol w:w="111"/>
        <w:gridCol w:w="275"/>
        <w:gridCol w:w="806"/>
        <w:gridCol w:w="111"/>
        <w:gridCol w:w="109"/>
        <w:gridCol w:w="109"/>
        <w:gridCol w:w="109"/>
        <w:gridCol w:w="233"/>
        <w:gridCol w:w="848"/>
        <w:gridCol w:w="109"/>
        <w:gridCol w:w="109"/>
        <w:gridCol w:w="109"/>
        <w:gridCol w:w="109"/>
        <w:gridCol w:w="233"/>
        <w:gridCol w:w="848"/>
        <w:gridCol w:w="157"/>
      </w:tblGrid>
      <w:tr>
        <w:trPr/>
        <w:tc>
          <w:tcPr>
            <w:tcW w:w="173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4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on cash flow hedges, net of tax (provision) benefit of $(0.3) and $1.4 for the three months ended June 30, 2026 and 2025, respectively, $(0.5) and $3.2 for the six months ended June 30, 2026 and 2025, respectively.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26,634,628 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27,323,118 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26,716,160 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27,420,268 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26,711,418 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27,403,669 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26,837,923 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27,549,791 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declared per share</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35915"/>
                <wp:effectExtent l="0" t="0" r="0" b="0"/>
                <wp:wrapNone/>
                <wp:docPr id="9" name="Frame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CONSOLIDATED BALANCE SHEETS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millions, except share and per share amounts)</w:t>
      </w:r>
    </w:p>
    <w:p>
      <w:pPr>
        <w:pStyle w:val="TextBody"/>
        <w:bidi w:val="0"/>
        <w:spacing w:before="200" w:after="283"/>
        <w:jc w:val="center"/>
        <w:rPr/>
      </w:pPr>
      <w:r>
        <w:rPr/>
      </w:r>
    </w:p>
    <w:tbl>
      <w:tblPr>
        <w:tblW w:w="10205" w:type="dxa"/>
        <w:jc w:val="center"/>
        <w:tblInd w:w="0" w:type="dxa"/>
        <w:tblLayout w:type="fixed"/>
        <w:tblCellMar>
          <w:top w:w="28" w:type="dxa"/>
          <w:left w:w="28" w:type="dxa"/>
          <w:bottom w:w="28" w:type="dxa"/>
          <w:right w:w="28" w:type="dxa"/>
        </w:tblCellMar>
      </w:tblPr>
      <w:tblGrid>
        <w:gridCol w:w="3043"/>
        <w:gridCol w:w="2264"/>
        <w:gridCol w:w="2271"/>
        <w:gridCol w:w="211"/>
        <w:gridCol w:w="766"/>
        <w:gridCol w:w="109"/>
        <w:gridCol w:w="109"/>
        <w:gridCol w:w="109"/>
        <w:gridCol w:w="109"/>
        <w:gridCol w:w="226"/>
        <w:gridCol w:w="821"/>
        <w:gridCol w:w="167"/>
      </w:tblGrid>
      <w:tr>
        <w:trPr/>
        <w:tc>
          <w:tcPr>
            <w:tcW w:w="3043"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December 31, </w:t>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(less allowance for credit losses of $15.1 and $13.9 at June 30, 2026 and December 31, 2025,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2,068.0 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operating lease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finance lease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5,000,000 authorized and 0 shares issued and outstanding at June 30, 2026 and December 31, 2025,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$0.01 par value: 100,000,000 authorized, 33,941,274 and 33,837,379 issued and 26,579,168 and 26,975,227 shares outstanding at June 30, 2026 and December 31, 2025,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 in capital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1,043.4 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at cost: 7,362,106 and 6,862,152 shares at June 30, 2026 and December 31, 2025,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other comprehensive income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2,068.0 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35915"/>
                <wp:effectExtent l="0" t="0" r="0" b="0"/>
                <wp:wrapNone/>
                <wp:docPr id="10" name="Frame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millions)</w:t>
      </w:r>
    </w:p>
    <w:tbl>
      <w:tblPr>
        <w:tblW w:w="9280" w:type="dxa"/>
        <w:jc w:val="center"/>
        <w:tblInd w:w="0" w:type="dxa"/>
        <w:tblLayout w:type="fixed"/>
        <w:tblCellMar>
          <w:top w:w="28" w:type="dxa"/>
          <w:left w:w="28" w:type="dxa"/>
          <w:bottom w:w="28" w:type="dxa"/>
          <w:right w:w="28" w:type="dxa"/>
        </w:tblCellMar>
      </w:tblPr>
      <w:tblGrid>
        <w:gridCol w:w="2515"/>
        <w:gridCol w:w="2214"/>
        <w:gridCol w:w="2230"/>
        <w:gridCol w:w="221"/>
        <w:gridCol w:w="615"/>
        <w:gridCol w:w="114"/>
        <w:gridCol w:w="114"/>
        <w:gridCol w:w="114"/>
        <w:gridCol w:w="114"/>
        <w:gridCol w:w="221"/>
        <w:gridCol w:w="647"/>
        <w:gridCol w:w="161"/>
      </w:tblGrid>
      <w:tr>
        <w:trPr/>
        <w:tc>
          <w:tcPr>
            <w:tcW w:w="2515"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assets</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and debt discount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 of debt issuance costs</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property and equipment</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compensation</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excluding effects of acquisitions</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receivable/payable</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Acquisitions of businesses, net of cash acquired of $- in 2026 and 2025, respectively</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with interest rate swap counterparties</w:t>
            </w:r>
          </w:p>
        </w:tc>
        <w:tc>
          <w:tcPr>
            <w:tcW w:w="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35915"/>
                <wp:effectExtent l="0" t="0" r="0" b="0"/>
                <wp:wrapNone/>
                <wp:docPr id="11" name="Frame1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CASH FLOWS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millions)</w:t>
      </w:r>
    </w:p>
    <w:tbl>
      <w:tblPr>
        <w:tblW w:w="10205" w:type="dxa"/>
        <w:jc w:val="center"/>
        <w:tblInd w:w="0" w:type="dxa"/>
        <w:tblLayout w:type="fixed"/>
        <w:tblCellMar>
          <w:top w:w="28" w:type="dxa"/>
          <w:left w:w="28" w:type="dxa"/>
          <w:bottom w:w="28" w:type="dxa"/>
          <w:right w:w="28" w:type="dxa"/>
        </w:tblCellMar>
      </w:tblPr>
      <w:tblGrid>
        <w:gridCol w:w="2892"/>
        <w:gridCol w:w="2489"/>
        <w:gridCol w:w="2508"/>
        <w:gridCol w:w="217"/>
        <w:gridCol w:w="636"/>
        <w:gridCol w:w="111"/>
        <w:gridCol w:w="111"/>
        <w:gridCol w:w="111"/>
        <w:gridCol w:w="111"/>
        <w:gridCol w:w="217"/>
        <w:gridCol w:w="636"/>
        <w:gridCol w:w="166"/>
      </w:tblGrid>
      <w:tr>
        <w:trPr/>
        <w:tc>
          <w:tcPr>
            <w:tcW w:w="2892"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7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Senior Notes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Senior Notes</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Term Loan</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vehicle and equipment notes payable</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long-term debt</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 obligations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obligations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Surrender of common stock awards by employees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9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paid during the period for:</w:t>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taxes, net of refunds </w:t>
            </w:r>
            <w:r>
              <w:rPr>
                <w:rFonts w:ascii="Times New Roman;serif" w:hAnsi="Times New Roman;serif"/>
                <w:b w:val="false"/>
                <w:color w:val="000000"/>
                <w:sz w:val="13"/>
              </w:rPr>
              <w:t>(1)</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activities</w:t>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and leasehold improvements obtained in exchange for operating lease obligations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7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obtained in exchange for finance lease obligations</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Seller obligations in connection with acquisition of businesses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purchases of property and equipment included in accounts payable</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excise tax on common stock repurchases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0" w:after="283"/>
        <w:jc w:val="left"/>
        <w:rPr>
          <w:rFonts w:ascii="Times New Roman;serif" w:hAnsi="Times New Roman;serif"/>
          <w:b w:val="false"/>
          <w:color w:val="000000"/>
          <w:sz w:val="20"/>
        </w:rPr>
      </w:pPr>
      <w:r>
        <w:rPr>
          <w:rFonts w:ascii="Times New Roman;serif" w:hAnsi="Times New Roman;serif"/>
          <w:b w:val="false"/>
          <w:color w:val="000000"/>
          <w:sz w:val="20"/>
        </w:rPr>
        <w:t>(1) For the six months ended June 30, 2026, the amount includes cash paid for federal tax credits of $7.0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10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35915"/>
                <wp:effectExtent l="0" t="0" r="0" b="0"/>
                <wp:wrapNone/>
                <wp:docPr id="12" name="Frame1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SEGMENT INFORMATION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millions)</w:t>
      </w:r>
    </w:p>
    <w:p>
      <w:pPr>
        <w:pStyle w:val="TextBody"/>
        <w:bidi w:val="0"/>
        <w:spacing w:before="0" w:after="0"/>
        <w:jc w:val="center"/>
        <w:rPr/>
      </w:pPr>
      <w:r>
        <w:rPr/>
      </w:r>
    </w:p>
    <w:p>
      <w:pPr>
        <w:pStyle w:val="TextBody"/>
        <w:bidi w:val="0"/>
        <w:spacing w:lineRule="auto" w:line="288" w:before="1" w:after="1"/>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Information on Segments</w:t>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Our Company has three operating segments consisting of Installation, Distribution and Manufacturing. The Other category reported below reflects the operations of our Distribution and Manufacturing operating segments. The following tables represent our segment information for the three and six months ended June 30, 2026 and 2025 (in millions):</w:t>
      </w:r>
    </w:p>
    <w:tbl>
      <w:tblPr>
        <w:tblW w:w="9846" w:type="dxa"/>
        <w:jc w:val="center"/>
        <w:tblInd w:w="0" w:type="dxa"/>
        <w:tblLayout w:type="fixed"/>
        <w:tblCellMar>
          <w:top w:w="28" w:type="dxa"/>
          <w:left w:w="28" w:type="dxa"/>
          <w:bottom w:w="28" w:type="dxa"/>
          <w:right w:w="28" w:type="dxa"/>
        </w:tblCellMar>
      </w:tblPr>
      <w:tblGrid>
        <w:gridCol w:w="1458"/>
        <w:gridCol w:w="1277"/>
        <w:gridCol w:w="1284"/>
        <w:gridCol w:w="211"/>
        <w:gridCol w:w="616"/>
        <w:gridCol w:w="271"/>
        <w:gridCol w:w="109"/>
        <w:gridCol w:w="109"/>
        <w:gridCol w:w="109"/>
        <w:gridCol w:w="211"/>
        <w:gridCol w:w="616"/>
        <w:gridCol w:w="271"/>
        <w:gridCol w:w="109"/>
        <w:gridCol w:w="109"/>
        <w:gridCol w:w="109"/>
        <w:gridCol w:w="211"/>
        <w:gridCol w:w="766"/>
        <w:gridCol w:w="271"/>
        <w:gridCol w:w="109"/>
        <w:gridCol w:w="109"/>
        <w:gridCol w:w="109"/>
        <w:gridCol w:w="211"/>
        <w:gridCol w:w="766"/>
        <w:gridCol w:w="271"/>
        <w:gridCol w:w="154"/>
      </w:tblGrid>
      <w:tr>
        <w:trPr/>
        <w:tc>
          <w:tcPr>
            <w:tcW w:w="145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 segment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Installation segment cost of sales </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Installation segment gross profit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 segment gross profit percentage</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gross profit percentage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gross percentage, as reported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270"/>
        <w:jc w:val="left"/>
        <w:rPr/>
      </w:pPr>
      <w:r>
        <w:rPr>
          <w:rFonts w:ascii="Times New Roman;serif" w:hAnsi="Times New Roman;serif"/>
          <w:b w:val="false"/>
          <w:color w:val="000000"/>
          <w:sz w:val="13"/>
        </w:rPr>
        <w:t>(1)    </w:t>
      </w:r>
      <w:r>
        <w:rPr>
          <w:rFonts w:ascii="Times New Roman;serif" w:hAnsi="Times New Roman;serif"/>
          <w:b w:val="false"/>
          <w:color w:val="000000"/>
          <w:sz w:val="20"/>
        </w:rPr>
        <w:t xml:space="preserve">Cost of sales included in the Installation segment gross profit is exclusive of depreciation and amortization for the three and six months ended June 30, 2026 and 2025. </w:t>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The reconciliation of Installation revenue and segment gross profit for each period as shown in the table above to consolidated net revenue and income before income taxes is as follows (in millions):</w:t>
      </w:r>
    </w:p>
    <w:tbl>
      <w:tblPr>
        <w:tblW w:w="8926" w:type="dxa"/>
        <w:jc w:val="left"/>
        <w:tblInd w:w="0" w:type="dxa"/>
        <w:tblLayout w:type="fixed"/>
        <w:tblCellMar>
          <w:top w:w="28" w:type="dxa"/>
          <w:left w:w="28" w:type="dxa"/>
          <w:bottom w:w="28" w:type="dxa"/>
          <w:right w:w="28" w:type="dxa"/>
        </w:tblCellMar>
      </w:tblPr>
      <w:tblGrid>
        <w:gridCol w:w="1299"/>
        <w:gridCol w:w="1141"/>
        <w:gridCol w:w="1145"/>
        <w:gridCol w:w="237"/>
        <w:gridCol w:w="693"/>
        <w:gridCol w:w="122"/>
        <w:gridCol w:w="122"/>
        <w:gridCol w:w="122"/>
        <w:gridCol w:w="122"/>
        <w:gridCol w:w="237"/>
        <w:gridCol w:w="693"/>
        <w:gridCol w:w="122"/>
        <w:gridCol w:w="109"/>
        <w:gridCol w:w="109"/>
        <w:gridCol w:w="109"/>
        <w:gridCol w:w="211"/>
        <w:gridCol w:w="766"/>
        <w:gridCol w:w="109"/>
        <w:gridCol w:w="109"/>
        <w:gridCol w:w="109"/>
        <w:gridCol w:w="109"/>
        <w:gridCol w:w="211"/>
        <w:gridCol w:w="766"/>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 segment revenue</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revenue </w:t>
            </w:r>
            <w:r>
              <w:rPr>
                <w:rFonts w:ascii="Times New Roman;serif" w:hAnsi="Times New Roman;serif"/>
                <w:b w:val="false"/>
                <w:color w:val="000000"/>
                <w:sz w:val="13"/>
              </w:rPr>
              <w:t>(1)</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revenue</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net revenue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gross profit:</w:t>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 segment gross profit</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gross profit </w:t>
            </w:r>
            <w:r>
              <w:rPr>
                <w:rFonts w:ascii="Times New Roman;serif" w:hAnsi="Times New Roman;serif"/>
                <w:b w:val="false"/>
                <w:color w:val="000000"/>
                <w:sz w:val="13"/>
              </w:rPr>
              <w:t>(1)</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gross profit</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gross profit, as reported</w:t>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270"/>
        <w:jc w:val="left"/>
        <w:rPr/>
      </w:pPr>
      <w:r>
        <w:rPr>
          <w:rFonts w:ascii="Times New Roman;serif" w:hAnsi="Times New Roman;serif"/>
          <w:b w:val="false"/>
          <w:color w:val="000000"/>
          <w:sz w:val="13"/>
        </w:rPr>
        <w:t>(1)    </w:t>
      </w:r>
      <w:r>
        <w:rPr>
          <w:rFonts w:ascii="Times New Roman;serif" w:hAnsi="Times New Roman;serif"/>
          <w:b w:val="false"/>
          <w:color w:val="000000"/>
          <w:sz w:val="20"/>
        </w:rPr>
        <w:t xml:space="preserve">Other revenue and other gross profit include the remaining two operating segments, Distribution and Manufacturing before inter-segment eliminations. These operating segments are each below the quantitative thresholds for being reported as a reportable segment for the thee and six months ended June 30, 2026 and 2025. </w:t>
      </w:r>
    </w:p>
    <w:p>
      <w:pPr>
        <w:pStyle w:val="TextBody"/>
        <w:bidi w:val="0"/>
        <w:spacing w:before="200" w:after="100"/>
        <w:jc w:val="left"/>
        <w:rPr/>
      </w:pPr>
      <w:r>
        <w:rPr/>
      </w:r>
    </w:p>
    <w:p>
      <w:pPr>
        <w:pStyle w:val="TextBody"/>
        <w:bidi w:val="0"/>
        <w:spacing w:before="200" w:after="100"/>
        <w:jc w:val="left"/>
        <w:rPr/>
      </w:pPr>
      <w:r>
        <w:rPr/>
      </w:r>
    </w:p>
    <w:p>
      <w:pPr>
        <w:pStyle w:val="TextBody"/>
        <w:bidi w:val="0"/>
        <w:spacing w:before="200" w:after="10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35915"/>
                <wp:effectExtent l="0" t="0" r="0" b="0"/>
                <wp:wrapNone/>
                <wp:docPr id="13" name="Frame1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REVENUE BY END MARKET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in millions) </w:t>
      </w:r>
    </w:p>
    <w:p>
      <w:pPr>
        <w:pStyle w:val="TextBody"/>
        <w:bidi w:val="0"/>
        <w:spacing w:before="200" w:after="100"/>
        <w:jc w:val="center"/>
        <w:rPr/>
      </w:pPr>
      <w:r>
        <w:rPr/>
      </w:r>
    </w:p>
    <w:tbl>
      <w:tblPr>
        <w:tblW w:w="10482" w:type="dxa"/>
        <w:jc w:val="center"/>
        <w:tblInd w:w="0" w:type="dxa"/>
        <w:tblLayout w:type="fixed"/>
        <w:tblCellMar>
          <w:top w:w="28" w:type="dxa"/>
          <w:left w:w="28" w:type="dxa"/>
          <w:bottom w:w="28" w:type="dxa"/>
          <w:right w:w="28" w:type="dxa"/>
        </w:tblCellMar>
      </w:tblPr>
      <w:tblGrid>
        <w:gridCol w:w="428"/>
        <w:gridCol w:w="362"/>
        <w:gridCol w:w="366"/>
        <w:gridCol w:w="211"/>
        <w:gridCol w:w="616"/>
        <w:gridCol w:w="109"/>
        <w:gridCol w:w="109"/>
        <w:gridCol w:w="109"/>
        <w:gridCol w:w="109"/>
        <w:gridCol w:w="232"/>
        <w:gridCol w:w="234"/>
        <w:gridCol w:w="271"/>
        <w:gridCol w:w="109"/>
        <w:gridCol w:w="109"/>
        <w:gridCol w:w="109"/>
        <w:gridCol w:w="211"/>
        <w:gridCol w:w="616"/>
        <w:gridCol w:w="109"/>
        <w:gridCol w:w="109"/>
        <w:gridCol w:w="109"/>
        <w:gridCol w:w="109"/>
        <w:gridCol w:w="232"/>
        <w:gridCol w:w="234"/>
        <w:gridCol w:w="271"/>
        <w:gridCol w:w="109"/>
        <w:gridCol w:w="109"/>
        <w:gridCol w:w="109"/>
        <w:gridCol w:w="211"/>
        <w:gridCol w:w="766"/>
        <w:gridCol w:w="109"/>
        <w:gridCol w:w="109"/>
        <w:gridCol w:w="109"/>
        <w:gridCol w:w="109"/>
        <w:gridCol w:w="232"/>
        <w:gridCol w:w="234"/>
        <w:gridCol w:w="271"/>
        <w:gridCol w:w="109"/>
        <w:gridCol w:w="109"/>
        <w:gridCol w:w="109"/>
        <w:gridCol w:w="211"/>
        <w:gridCol w:w="766"/>
        <w:gridCol w:w="109"/>
        <w:gridCol w:w="109"/>
        <w:gridCol w:w="109"/>
        <w:gridCol w:w="109"/>
        <w:gridCol w:w="232"/>
        <w:gridCol w:w="234"/>
        <w:gridCol w:w="316"/>
      </w:tblGrid>
      <w:tr>
        <w:trPr/>
        <w:tc>
          <w:tcPr>
            <w:tcW w:w="42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new construction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Repair and remodel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 Installation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as reported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200" w:after="283"/>
        <w:ind w:left="0" w:right="0" w:hanging="180"/>
        <w:jc w:val="left"/>
        <w:rPr/>
      </w:pPr>
      <w:r>
        <w:rPr/>
      </w:r>
    </w:p>
    <w:p>
      <w:pPr>
        <w:pStyle w:val="TextBody"/>
        <w:bidi w:val="0"/>
        <w:spacing w:before="1"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10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35915"/>
                <wp:effectExtent l="0" t="0" r="0" b="0"/>
                <wp:wrapNone/>
                <wp:docPr id="14" name="Frame1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100" w:after="1"/>
        <w:jc w:val="left"/>
        <w:rPr>
          <w:rFonts w:ascii="Times New Roman;serif" w:hAnsi="Times New Roman;serif"/>
          <w:b/>
          <w:color w:val="000000"/>
          <w:sz w:val="20"/>
        </w:rPr>
      </w:pPr>
      <w:r>
        <w:rPr>
          <w:rFonts w:ascii="Times New Roman;serif" w:hAnsi="Times New Roman;serif"/>
          <w:b/>
          <w:color w:val="000000"/>
          <w:sz w:val="20"/>
        </w:rPr>
        <w:t xml:space="preserve">Reconciliation of Non-GAAP Financial Measures </w:t>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EBITDA, Adjusted EBITDA, Adjusted EBITDA margin, Adjusted Net Income, Adjusted Gross Profit and Adjusted Selling and Administrative Expense measure performance by adjusting GAAP net income, EBITDA, gross profit and selling and administrative expense, respectively, for certain income or expense items that are not considered part of our core operations. We believe that the presentation of these measures provides useful information to investors regarding our results of operations because it assists both investors and us in analyzing and benchmarking the performance and value of our business. </w:t>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the Adjusted EBITDA measure is useful to investors and us as a measure of comparative operating performance from period to period as it measures our changes in pricing decisions, cost controls and other factors that impact operating performance, and removes the effect of our capital structure (primarily interest expense), asset base (primarily depreciation and amortization), items outside our control (primarily income taxes) and the volatility related to the timing and extent of other activities such as asset impairments and non-core income and expenses. Accordingly, we believe that this measure is useful for comparing general operating performance from period to period. In addition, we use various EBITDA-based measures in determining the achievement of awards under certain of our incentive compensation programs. Other companies may define Adjusted EBITDA differently and, as a result, our measure may not be directly comparable to measures of other companies. In addition, Adjusted EBITDA may be defined differently for purposes of covenants contained in our revolving credit facility or any future facility. </w:t>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Although we use the Adjusted EBITDA measure to assess the performance of our business, the use of the measure is limited because it does not include certain material expenses, such as interest and taxes, necessary to operate our business. Adjusted EBITDA should be considered in addition to, and not as a substitute for, GAAP net income as a measure of performance. Our presentation of this measure should not be construed as an indication that our future results will be unaffected by unusual or non-recurring items. This measure has limitations as an analytical tool, and you should not consider it in isolation or as a substitute for analysis of our results as reported under GAAP. Because of these limitations, this measure is not intended as an alternative to net income as an indicator of our operating performance, as an alternative to any other measure of performance in conformity with GAAP or as an alternative to cash flow provided by operating activities as a measure of liquidity. You should therefore not place undue reliance on this measure or ratios calculated using this measure.</w:t>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We also believe the Adjusted Net Income measure is useful to investors and us as a measure of comparative operating performance from period to period as it measures our changes in pricing decisions, cost controls and other factors that impact operating performance, and removes the effect of certain non-core items such as discontinued operations, acquisition related expenses, amortization expense, the tax impact of these certain non-core items, and the volatility related to the timing and extent of other activities such as asset impairments and non-core income and expenses. To make the financial presentation more consistent with other public building products companies, beginning in the fourth quarter 2016 we included an addback for non-cash amortization expense related to acquisitions. Accordingly, we believe that this measure is useful for comparing general operating performance from period to period. Other companies may define Adjusted Net Income differently and, as a result, our measure may not be directly comparable to measures of other companies. In addition, Adjusted Net Income may be defined differently for purposes of covenants contained in our revolving credit facility or any future facility. </w:t>
      </w:r>
    </w:p>
    <w:p>
      <w:pPr>
        <w:pStyle w:val="TextBody"/>
        <w:bidi w:val="0"/>
        <w:spacing w:before="200" w:after="283"/>
        <w:jc w:val="left"/>
        <w:rPr/>
      </w:pPr>
      <w:r>
        <w:rPr/>
      </w:r>
    </w:p>
    <w:p>
      <w:pPr>
        <w:pStyle w:val="TextBody"/>
        <w:bidi w:val="0"/>
        <w:spacing w:before="100" w:after="283"/>
        <w:jc w:val="both"/>
        <w:rPr/>
      </w:pPr>
      <w:r>
        <w:rPr/>
      </w:r>
    </w:p>
    <w:p>
      <w:pPr>
        <w:pStyle w:val="TextBody"/>
        <w:bidi w:val="0"/>
        <w:spacing w:before="20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10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35915"/>
                <wp:effectExtent l="0" t="0" r="0" b="0"/>
                <wp:wrapNone/>
                <wp:docPr id="15" name="Frame1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RECONCILIATION OF GAAP TO NON-GAAP MEASURES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ADJUSTED NET INCOME CALCULATIONS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in millions, except share and per share amounts) </w:t>
      </w:r>
    </w:p>
    <w:p>
      <w:pPr>
        <w:pStyle w:val="TextBody"/>
        <w:bidi w:val="0"/>
        <w:spacing w:before="0" w:after="0"/>
        <w:jc w:val="center"/>
        <w:rPr/>
      </w:pPr>
      <w:r>
        <w:rPr/>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tables below reconcile Adjusted Net Income to the most directly comparable GAAP financial measure, net income, for the periods presented therein. We have included Adjusted Net Income in this press release because it is a key measure used by our management team to understand the operating performance and profitability of our business. </w:t>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Per share figures may reflect rounding adjustments and consequently totals may not appear to sum.</w:t>
      </w:r>
    </w:p>
    <w:tbl>
      <w:tblPr>
        <w:tblW w:w="10205" w:type="dxa"/>
        <w:jc w:val="center"/>
        <w:tblInd w:w="0" w:type="dxa"/>
        <w:tblLayout w:type="fixed"/>
        <w:tblCellMar>
          <w:top w:w="28" w:type="dxa"/>
          <w:left w:w="28" w:type="dxa"/>
          <w:bottom w:w="28" w:type="dxa"/>
          <w:right w:w="28" w:type="dxa"/>
        </w:tblCellMar>
      </w:tblPr>
      <w:tblGrid>
        <w:gridCol w:w="1546"/>
        <w:gridCol w:w="1197"/>
        <w:gridCol w:w="1208"/>
        <w:gridCol w:w="109"/>
        <w:gridCol w:w="109"/>
        <w:gridCol w:w="109"/>
        <w:gridCol w:w="315"/>
        <w:gridCol w:w="766"/>
        <w:gridCol w:w="123"/>
        <w:gridCol w:w="123"/>
        <w:gridCol w:w="123"/>
        <w:gridCol w:w="123"/>
        <w:gridCol w:w="315"/>
        <w:gridCol w:w="766"/>
        <w:gridCol w:w="123"/>
        <w:gridCol w:w="109"/>
        <w:gridCol w:w="109"/>
        <w:gridCol w:w="109"/>
        <w:gridCol w:w="275"/>
        <w:gridCol w:w="806"/>
        <w:gridCol w:w="109"/>
        <w:gridCol w:w="109"/>
        <w:gridCol w:w="109"/>
        <w:gridCol w:w="109"/>
        <w:gridCol w:w="275"/>
        <w:gridCol w:w="806"/>
        <w:gridCol w:w="225"/>
      </w:tblGrid>
      <w:tr>
        <w:trPr/>
        <w:tc>
          <w:tcPr>
            <w:tcW w:w="154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for adjusted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expenses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tcPr>
          <w:p>
            <w:pPr>
              <w:pStyle w:val="TableContents"/>
              <w:bidi w:val="0"/>
              <w:spacing w:before="0" w:after="283"/>
              <w:jc w:val="left"/>
              <w:rPr>
                <w:sz w:val="4"/>
                <w:szCs w:val="4"/>
              </w:rPr>
            </w:pPr>
            <w:r>
              <w:rPr>
                <w:sz w:val="4"/>
                <w:szCs w:val="4"/>
              </w:rPr>
            </w:r>
          </w:p>
        </w:tc>
      </w:tr>
      <w:tr>
        <w:trPr/>
        <w:tc>
          <w:tcPr>
            <w:tcW w:w="3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tcPr>
          <w:p>
            <w:pPr>
              <w:pStyle w:val="TableContents"/>
              <w:bidi w:val="0"/>
              <w:spacing w:before="0" w:after="283"/>
              <w:jc w:val="left"/>
              <w:rPr>
                <w:sz w:val="4"/>
                <w:szCs w:val="4"/>
              </w:rPr>
            </w:pPr>
            <w:r>
              <w:rPr>
                <w:sz w:val="4"/>
                <w:szCs w:val="4"/>
              </w:rPr>
            </w:r>
          </w:p>
        </w:tc>
      </w:tr>
      <w:tr>
        <w:trPr/>
        <w:tc>
          <w:tcPr>
            <w:tcW w:w="3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tcPr>
          <w:p>
            <w:pPr>
              <w:pStyle w:val="TableContents"/>
              <w:bidi w:val="0"/>
              <w:spacing w:before="0" w:after="283"/>
              <w:jc w:val="left"/>
              <w:rPr>
                <w:sz w:val="4"/>
                <w:szCs w:val="4"/>
              </w:rPr>
            </w:pPr>
            <w:r>
              <w:rPr>
                <w:sz w:val="4"/>
                <w:szCs w:val="4"/>
              </w:rPr>
            </w:r>
          </w:p>
        </w:tc>
      </w:tr>
      <w:tr>
        <w:trPr/>
        <w:tc>
          <w:tcPr>
            <w:tcW w:w="39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expense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tcPr>
          <w:p>
            <w:pPr>
              <w:pStyle w:val="TableContents"/>
              <w:bidi w:val="0"/>
              <w:spacing w:before="0" w:after="283"/>
              <w:jc w:val="left"/>
              <w:rPr>
                <w:sz w:val="4"/>
                <w:szCs w:val="4"/>
              </w:rPr>
            </w:pPr>
            <w:r>
              <w:rPr>
                <w:sz w:val="4"/>
                <w:szCs w:val="4"/>
              </w:rPr>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Loan refinancing expenses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39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impact of adjusted items at a normalized tax rate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3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3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26,711,418 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27,403,669 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26,837,923 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27,549,791 </w:t>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Adjustments for diluted adjusted net income, net of tax impact, per share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adjusted 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3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417" w:before="200" w:after="100"/>
        <w:ind w:left="0" w:right="0" w:hanging="270"/>
        <w:jc w:val="both"/>
        <w:rPr/>
      </w:pPr>
      <w:r>
        <w:rPr>
          <w:rFonts w:ascii="Times New Roman;serif" w:hAnsi="Times New Roman;serif"/>
          <w:b w:val="false"/>
          <w:color w:val="000000"/>
          <w:sz w:val="13"/>
        </w:rPr>
        <w:t>(1)    </w:t>
      </w:r>
      <w:r>
        <w:rPr>
          <w:rFonts w:ascii="Times New Roman;serif" w:hAnsi="Times New Roman;serif"/>
          <w:b w:val="false"/>
          <w:color w:val="000000"/>
          <w:sz w:val="20"/>
        </w:rPr>
        <w:t>Addback of all non-cash amortization resulting from business combinations.</w:t>
      </w:r>
    </w:p>
    <w:p>
      <w:pPr>
        <w:pStyle w:val="TextBody"/>
        <w:bidi w:val="0"/>
        <w:spacing w:lineRule="auto" w:line="417" w:before="200" w:after="100"/>
        <w:ind w:left="0" w:right="0" w:hanging="270"/>
        <w:jc w:val="both"/>
        <w:rPr/>
      </w:pPr>
      <w:r>
        <w:rPr>
          <w:rFonts w:ascii="Times New Roman;serif" w:hAnsi="Times New Roman;serif"/>
          <w:b w:val="false"/>
          <w:color w:val="000000"/>
          <w:sz w:val="13"/>
        </w:rPr>
        <w:t>(2)    </w:t>
      </w:r>
      <w:r>
        <w:rPr>
          <w:rFonts w:ascii="Times New Roman;serif" w:hAnsi="Times New Roman;serif"/>
          <w:b w:val="false"/>
          <w:color w:val="000000"/>
          <w:sz w:val="20"/>
        </w:rPr>
        <w:t>Includes $1.2 million of non-cash write-off of capitalized loan expense in connection with loan refinancing for the six months ended June 30, 2026.</w:t>
      </w:r>
    </w:p>
    <w:p>
      <w:pPr>
        <w:pStyle w:val="TextBody"/>
        <w:bidi w:val="0"/>
        <w:spacing w:lineRule="auto" w:line="417" w:before="200" w:after="100"/>
        <w:ind w:left="0" w:right="0" w:hanging="270"/>
        <w:jc w:val="both"/>
        <w:rPr/>
      </w:pPr>
      <w:r>
        <w:rPr>
          <w:rFonts w:ascii="Times New Roman;serif" w:hAnsi="Times New Roman;serif"/>
          <w:b w:val="false"/>
          <w:color w:val="000000"/>
          <w:sz w:val="13"/>
        </w:rPr>
        <w:t>(3)    </w:t>
      </w:r>
      <w:r>
        <w:rPr>
          <w:rFonts w:ascii="Times New Roman;serif" w:hAnsi="Times New Roman;serif"/>
          <w:b w:val="false"/>
          <w:color w:val="000000"/>
          <w:sz w:val="20"/>
        </w:rPr>
        <w:t xml:space="preserve">Normalized effective tax rate of 26.0% applied to periods presented. </w:t>
      </w:r>
    </w:p>
    <w:p>
      <w:pPr>
        <w:pStyle w:val="TextBody"/>
        <w:bidi w:val="0"/>
        <w:spacing w:lineRule="auto" w:line="288" w:before="200" w:after="100"/>
        <w:ind w:left="0" w:right="0" w:hanging="270"/>
        <w:jc w:val="both"/>
        <w:rPr/>
      </w:pPr>
      <w:r>
        <w:rPr>
          <w:rFonts w:ascii="Times New Roman;serif" w:hAnsi="Times New Roman;serif"/>
          <w:b w:val="false"/>
          <w:color w:val="000000"/>
          <w:sz w:val="13"/>
        </w:rPr>
        <w:t>(4)    </w:t>
      </w:r>
      <w:r>
        <w:rPr>
          <w:rFonts w:ascii="Times New Roman;serif" w:hAnsi="Times New Roman;serif"/>
          <w:b w:val="false"/>
          <w:color w:val="000000"/>
          <w:sz w:val="20"/>
        </w:rPr>
        <w:t>Includes adjustments related to the items noted above, net of tax.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10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35915"/>
                <wp:effectExtent l="0" t="0" r="0" b="0"/>
                <wp:wrapNone/>
                <wp:docPr id="16" name="Frame1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RECONCILIATION OF GAAP TO NON-GAAP MEASURES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ADJUSTED GROSS PROFIT CALCULATIONS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millions)</w:t>
      </w:r>
    </w:p>
    <w:p>
      <w:pPr>
        <w:pStyle w:val="TextBody"/>
        <w:bidi w:val="0"/>
        <w:spacing w:before="0" w:after="0"/>
        <w:jc w:val="center"/>
        <w:rPr/>
      </w:pPr>
      <w:r>
        <w:rPr/>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The table below reconciles Adjusted Gross Profit to the most directly comparable GAAP financial measure, gross profit, for the periods presented therein.</w:t>
      </w:r>
    </w:p>
    <w:tbl>
      <w:tblPr>
        <w:tblW w:w="10035" w:type="dxa"/>
        <w:jc w:val="center"/>
        <w:tblInd w:w="0" w:type="dxa"/>
        <w:tblLayout w:type="fixed"/>
        <w:tblCellMar>
          <w:top w:w="28" w:type="dxa"/>
          <w:left w:w="28" w:type="dxa"/>
          <w:bottom w:w="28" w:type="dxa"/>
          <w:right w:w="28" w:type="dxa"/>
        </w:tblCellMar>
      </w:tblPr>
      <w:tblGrid>
        <w:gridCol w:w="1082"/>
        <w:gridCol w:w="944"/>
        <w:gridCol w:w="959"/>
        <w:gridCol w:w="109"/>
        <w:gridCol w:w="109"/>
        <w:gridCol w:w="109"/>
        <w:gridCol w:w="440"/>
        <w:gridCol w:w="285"/>
        <w:gridCol w:w="286"/>
        <w:gridCol w:w="227"/>
        <w:gridCol w:w="227"/>
        <w:gridCol w:w="227"/>
        <w:gridCol w:w="440"/>
        <w:gridCol w:w="285"/>
        <w:gridCol w:w="286"/>
        <w:gridCol w:w="109"/>
        <w:gridCol w:w="109"/>
        <w:gridCol w:w="109"/>
        <w:gridCol w:w="109"/>
        <w:gridCol w:w="109"/>
        <w:gridCol w:w="287"/>
        <w:gridCol w:w="287"/>
        <w:gridCol w:w="287"/>
        <w:gridCol w:w="287"/>
        <w:gridCol w:w="556"/>
        <w:gridCol w:w="287"/>
        <w:gridCol w:w="287"/>
        <w:gridCol w:w="109"/>
        <w:gridCol w:w="109"/>
        <w:gridCol w:w="109"/>
        <w:gridCol w:w="254"/>
        <w:gridCol w:w="254"/>
        <w:gridCol w:w="362"/>
      </w:tblGrid>
      <w:tr>
        <w:trPr/>
        <w:tc>
          <w:tcPr>
            <w:tcW w:w="108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1197" w:type="dxa"/>
            <w:gridSpan w:val="6"/>
            <w:tcBorders/>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484.2</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r>
    </w:tbl>
    <w:p>
      <w:pPr>
        <w:pStyle w:val="TextBody"/>
        <w:bidi w:val="0"/>
        <w:spacing w:before="20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RECONCILIATION OF GAAP TO NON-GAAP MEASURES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ADJUSTED SELLING AND ADMINISTRATIVE EXPENSE CALCULATIONS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millions)</w:t>
      </w:r>
    </w:p>
    <w:p>
      <w:pPr>
        <w:pStyle w:val="TextBody"/>
        <w:bidi w:val="0"/>
        <w:spacing w:before="0" w:after="0"/>
        <w:jc w:val="center"/>
        <w:rPr/>
      </w:pPr>
      <w:r>
        <w:rPr/>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The table below reconciles Adjusted Selling and Administrative expense to the most directly comparable GAAP financial measure, selling and administrative expense, for the periods presented therein.</w:t>
      </w:r>
    </w:p>
    <w:tbl>
      <w:tblPr>
        <w:tblW w:w="10205" w:type="dxa"/>
        <w:jc w:val="center"/>
        <w:tblInd w:w="0" w:type="dxa"/>
        <w:tblLayout w:type="fixed"/>
        <w:tblCellMar>
          <w:top w:w="28" w:type="dxa"/>
          <w:left w:w="28" w:type="dxa"/>
          <w:bottom w:w="28" w:type="dxa"/>
          <w:right w:w="28" w:type="dxa"/>
        </w:tblCellMar>
      </w:tblPr>
      <w:tblGrid>
        <w:gridCol w:w="1421"/>
        <w:gridCol w:w="1246"/>
        <w:gridCol w:w="1230"/>
        <w:gridCol w:w="109"/>
        <w:gridCol w:w="109"/>
        <w:gridCol w:w="109"/>
        <w:gridCol w:w="396"/>
        <w:gridCol w:w="285"/>
        <w:gridCol w:w="286"/>
        <w:gridCol w:w="187"/>
        <w:gridCol w:w="187"/>
        <w:gridCol w:w="187"/>
        <w:gridCol w:w="396"/>
        <w:gridCol w:w="285"/>
        <w:gridCol w:w="286"/>
        <w:gridCol w:w="109"/>
        <w:gridCol w:w="109"/>
        <w:gridCol w:w="109"/>
        <w:gridCol w:w="227"/>
        <w:gridCol w:w="227"/>
        <w:gridCol w:w="227"/>
        <w:gridCol w:w="227"/>
        <w:gridCol w:w="473"/>
        <w:gridCol w:w="287"/>
        <w:gridCol w:w="286"/>
        <w:gridCol w:w="109"/>
        <w:gridCol w:w="109"/>
        <w:gridCol w:w="109"/>
        <w:gridCol w:w="254"/>
        <w:gridCol w:w="254"/>
        <w:gridCol w:w="370"/>
      </w:tblGrid>
      <w:tr>
        <w:trPr/>
        <w:tc>
          <w:tcPr>
            <w:tcW w:w="142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1205" w:type="dxa"/>
            <w:gridSpan w:val="6"/>
            <w:tcBorders/>
          </w:tcPr>
          <w:p>
            <w:pPr>
              <w:pStyle w:val="TableContents"/>
              <w:bidi w:val="0"/>
              <w:spacing w:before="0" w:after="283"/>
              <w:jc w:val="left"/>
              <w:rPr>
                <w:sz w:val="4"/>
                <w:szCs w:val="4"/>
              </w:rPr>
            </w:pPr>
            <w:r>
              <w:rPr>
                <w:sz w:val="4"/>
                <w:szCs w:val="4"/>
              </w:rPr>
            </w:r>
          </w:p>
        </w:tc>
      </w:tr>
      <w:tr>
        <w:trPr/>
        <w:tc>
          <w:tcPr>
            <w:tcW w:w="3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w:t>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w:t>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and Administrative expense, as reported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w:t>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Selling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w:t>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 - %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Selling and Administrative expense - % Net revenue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10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35915"/>
                <wp:effectExtent l="0" t="0" r="0" b="0"/>
                <wp:wrapNone/>
                <wp:docPr id="17" name="Frame1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RECONCILIATION OF GAAP TO NON-GAAP MEASURES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EBITDA AND ADJUSTED EBITDA CALCULATIONS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millions)</w:t>
      </w:r>
    </w:p>
    <w:p>
      <w:pPr>
        <w:pStyle w:val="TextBody"/>
        <w:bidi w:val="0"/>
        <w:spacing w:before="0" w:after="0"/>
        <w:jc w:val="center"/>
        <w:rPr/>
      </w:pPr>
      <w:r>
        <w:rPr/>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The tables below reconcile EBITDA and Adjusted EBITDA to the most directly comparable GAAP financial measure, net income, for the periods presented therein.</w:t>
      </w:r>
    </w:p>
    <w:tbl>
      <w:tblPr>
        <w:tblW w:w="8509" w:type="dxa"/>
        <w:jc w:val="center"/>
        <w:tblInd w:w="0" w:type="dxa"/>
        <w:tblLayout w:type="fixed"/>
        <w:tblCellMar>
          <w:top w:w="28" w:type="dxa"/>
          <w:left w:w="28" w:type="dxa"/>
          <w:bottom w:w="28" w:type="dxa"/>
          <w:right w:w="28" w:type="dxa"/>
        </w:tblCellMar>
      </w:tblPr>
      <w:tblGrid>
        <w:gridCol w:w="1080"/>
        <w:gridCol w:w="947"/>
        <w:gridCol w:w="957"/>
        <w:gridCol w:w="109"/>
        <w:gridCol w:w="109"/>
        <w:gridCol w:w="109"/>
        <w:gridCol w:w="346"/>
        <w:gridCol w:w="178"/>
        <w:gridCol w:w="444"/>
        <w:gridCol w:w="178"/>
        <w:gridCol w:w="178"/>
        <w:gridCol w:w="178"/>
        <w:gridCol w:w="346"/>
        <w:gridCol w:w="178"/>
        <w:gridCol w:w="444"/>
        <w:gridCol w:w="109"/>
        <w:gridCol w:w="109"/>
        <w:gridCol w:w="109"/>
        <w:gridCol w:w="315"/>
        <w:gridCol w:w="199"/>
        <w:gridCol w:w="405"/>
        <w:gridCol w:w="163"/>
        <w:gridCol w:w="163"/>
        <w:gridCol w:w="163"/>
        <w:gridCol w:w="315"/>
        <w:gridCol w:w="206"/>
        <w:gridCol w:w="472"/>
      </w:tblGrid>
      <w:tr>
        <w:trPr/>
        <w:tc>
          <w:tcPr>
            <w:tcW w:w="108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w:t>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profit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200" w:after="100"/>
        <w:ind w:left="0" w:right="0" w:hanging="270"/>
        <w:jc w:val="left"/>
        <w:rPr/>
      </w:pPr>
      <w:r>
        <w:rPr/>
      </w:r>
    </w:p>
    <w:p>
      <w:pPr>
        <w:pStyle w:val="TextBody"/>
        <w:bidi w:val="0"/>
        <w:spacing w:before="200" w:after="10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10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35915"/>
                <wp:effectExtent l="0" t="0" r="0" b="0"/>
                <wp:wrapNone/>
                <wp:docPr id="18" name="Frame1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SUPPLEMENTARY TABLE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9779" w:type="dxa"/>
        <w:jc w:val="center"/>
        <w:tblInd w:w="0" w:type="dxa"/>
        <w:tblLayout w:type="fixed"/>
        <w:tblCellMar>
          <w:top w:w="28" w:type="dxa"/>
          <w:left w:w="28" w:type="dxa"/>
          <w:bottom w:w="28" w:type="dxa"/>
          <w:right w:w="28" w:type="dxa"/>
        </w:tblCellMar>
      </w:tblPr>
      <w:tblGrid>
        <w:gridCol w:w="1525"/>
        <w:gridCol w:w="1341"/>
        <w:gridCol w:w="1348"/>
        <w:gridCol w:w="109"/>
        <w:gridCol w:w="109"/>
        <w:gridCol w:w="109"/>
        <w:gridCol w:w="232"/>
        <w:gridCol w:w="234"/>
        <w:gridCol w:w="439"/>
        <w:gridCol w:w="187"/>
        <w:gridCol w:w="187"/>
        <w:gridCol w:w="187"/>
        <w:gridCol w:w="268"/>
        <w:gridCol w:w="272"/>
        <w:gridCol w:w="439"/>
        <w:gridCol w:w="109"/>
        <w:gridCol w:w="109"/>
        <w:gridCol w:w="109"/>
        <w:gridCol w:w="268"/>
        <w:gridCol w:w="272"/>
        <w:gridCol w:w="401"/>
        <w:gridCol w:w="171"/>
        <w:gridCol w:w="171"/>
        <w:gridCol w:w="171"/>
        <w:gridCol w:w="268"/>
        <w:gridCol w:w="272"/>
        <w:gridCol w:w="472"/>
      </w:tblGrid>
      <w:tr>
        <w:trPr/>
        <w:tc>
          <w:tcPr>
            <w:tcW w:w="1525"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Period-over-period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Sales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Consolidated Same Branch Sales Growth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u w:val="single"/>
              </w:rPr>
              <w:t xml:space="preserve">Installation Segment Sales Growth </w:t>
            </w:r>
            <w:r>
              <w:rPr>
                <w:rFonts w:ascii="Times New Roman;serif" w:hAnsi="Times New Roman;serif"/>
                <w:b/>
                <w:color w:val="000000"/>
                <w:sz w:val="12"/>
                <w:u w:val="single"/>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Sales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Sales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 Sales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Sales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u w:val="single"/>
              </w:rPr>
              <w:t xml:space="preserve">Installation Segment Same Branch Sales Growth </w:t>
            </w:r>
            <w:r>
              <w:rPr>
                <w:rFonts w:ascii="Times New Roman;serif" w:hAnsi="Times New Roman;serif"/>
                <w:b/>
                <w:color w:val="000000"/>
                <w:sz w:val="12"/>
                <w:u w:val="single"/>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Same Branch Sales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Volume Growth, Including Heavy Commercial </w:t>
            </w:r>
            <w:r>
              <w:rPr>
                <w:rFonts w:ascii="Times New Roman;serif" w:hAnsi="Times New Roman;serif"/>
                <w:b w:val="false"/>
                <w:color w:val="000000"/>
                <w:sz w:val="12"/>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Price/Mix Growth, Including Heavy Commercial </w:t>
            </w:r>
            <w:r>
              <w:rPr>
                <w:rFonts w:ascii="Times New Roman;serif" w:hAnsi="Times New Roman;serif"/>
                <w:b w:val="false"/>
                <w:color w:val="000000"/>
                <w:sz w:val="12"/>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Volume Growth, Excluding Heavy Commercial </w:t>
            </w:r>
            <w:r>
              <w:rPr>
                <w:rFonts w:ascii="Times New Roman;serif" w:hAnsi="Times New Roman;serif"/>
                <w:b w:val="false"/>
                <w:color w:val="000000"/>
                <w:sz w:val="12"/>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Price/Mix Growth, Excluding Heavy Commercial </w:t>
            </w:r>
            <w:r>
              <w:rPr>
                <w:rFonts w:ascii="Times New Roman;serif" w:hAnsi="Times New Roman;serif"/>
                <w:b w:val="false"/>
                <w:color w:val="000000"/>
                <w:sz w:val="12"/>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Same Branch Sales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Same Branch Sales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 Same Branch Sales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Same Branch Sales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u w:val="single"/>
              </w:rPr>
              <w:t xml:space="preserve">Other Sales Growth (Net of Eliminations) </w:t>
            </w:r>
            <w:r>
              <w:rPr>
                <w:rFonts w:ascii="Times New Roman;serif" w:hAnsi="Times New Roman;serif"/>
                <w:b/>
                <w:color w:val="000000"/>
                <w:sz w:val="12"/>
                <w:u w:val="single"/>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Sales Growth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Same Branch Sales Growth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u w:val="single"/>
              </w:rPr>
              <w:t xml:space="preserve">U.S. Housing Market Growth </w:t>
            </w:r>
            <w:r>
              <w:rPr>
                <w:rFonts w:ascii="Times New Roman;serif" w:hAnsi="Times New Roman;serif"/>
                <w:b/>
                <w:color w:val="000000"/>
                <w:sz w:val="12"/>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Completions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Completions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 Completions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60"/>
        <w:ind w:left="0" w:right="0" w:hanging="180"/>
        <w:jc w:val="left"/>
        <w:rPr/>
      </w:pPr>
      <w:r>
        <w:rPr/>
      </w:r>
    </w:p>
    <w:p>
      <w:pPr>
        <w:pStyle w:val="TextBody"/>
        <w:bidi w:val="0"/>
        <w:spacing w:lineRule="auto" w:line="288" w:before="1" w:after="1"/>
        <w:ind w:left="0" w:right="0" w:hanging="270"/>
        <w:jc w:val="left"/>
        <w:rPr/>
      </w:pPr>
      <w:r>
        <w:rPr>
          <w:rFonts w:ascii="Times New Roman;serif" w:hAnsi="Times New Roman;serif"/>
          <w:b w:val="false"/>
          <w:color w:val="000000"/>
          <w:sz w:val="12"/>
          <w:shd w:fill="FFFFFF" w:val="clear"/>
        </w:rPr>
        <w:t>(1)    </w:t>
      </w:r>
      <w:r>
        <w:rPr>
          <w:rFonts w:ascii="Times New Roman;serif" w:hAnsi="Times New Roman;serif"/>
          <w:b w:val="false"/>
          <w:color w:val="000000"/>
          <w:sz w:val="18"/>
          <w:shd w:fill="FFFFFF" w:val="clear"/>
        </w:rPr>
        <w:t xml:space="preserve">Same-branch basis represents period-over-period change in sales for branch locations owned greater than 12 months as of each financial statement date. </w:t>
      </w:r>
    </w:p>
    <w:p>
      <w:pPr>
        <w:pStyle w:val="TextBody"/>
        <w:bidi w:val="0"/>
        <w:spacing w:lineRule="auto" w:line="288" w:before="0" w:after="60"/>
        <w:ind w:left="0" w:right="0" w:hanging="270"/>
        <w:jc w:val="left"/>
        <w:rPr/>
      </w:pPr>
      <w:r>
        <w:rPr>
          <w:rFonts w:ascii="Times New Roman;serif" w:hAnsi="Times New Roman;serif"/>
          <w:b w:val="false"/>
          <w:color w:val="000000"/>
          <w:sz w:val="12"/>
          <w:shd w:fill="FFFFFF" w:val="clear"/>
        </w:rPr>
        <w:t>(2)    </w:t>
      </w:r>
      <w:r>
        <w:rPr>
          <w:rFonts w:ascii="Times New Roman;serif" w:hAnsi="Times New Roman;serif"/>
          <w:b w:val="false"/>
          <w:color w:val="000000"/>
          <w:sz w:val="18"/>
        </w:rPr>
        <w:t xml:space="preserve">Calculated based on period-over-period change in sales within our Installation segment and its end markets. </w:t>
      </w:r>
    </w:p>
    <w:p>
      <w:pPr>
        <w:pStyle w:val="TextBody"/>
        <w:bidi w:val="0"/>
        <w:spacing w:lineRule="auto" w:line="268" w:before="0" w:after="60"/>
        <w:ind w:left="0" w:right="0" w:hanging="270"/>
        <w:jc w:val="left"/>
        <w:rPr/>
      </w:pPr>
      <w:r>
        <w:rPr>
          <w:rFonts w:ascii="Times New Roman;serif" w:hAnsi="Times New Roman;serif"/>
          <w:b w:val="false"/>
          <w:color w:val="000000"/>
          <w:sz w:val="12"/>
          <w:shd w:fill="FFFFFF" w:val="clear"/>
        </w:rPr>
        <w:t>(3)    </w:t>
      </w:r>
      <w:r>
        <w:rPr>
          <w:rFonts w:ascii="Times New Roman;serif" w:hAnsi="Times New Roman;serif"/>
          <w:b w:val="false"/>
          <w:color w:val="000000"/>
          <w:sz w:val="18"/>
        </w:rPr>
        <w:t>The heavy commercial end market, a subset of our total commercial end market, comprises projects that are much larger than our average installation job. As such, per-job revenue is much larger than the average job in all other end markets.</w:t>
      </w:r>
    </w:p>
    <w:p>
      <w:pPr>
        <w:pStyle w:val="TextBody"/>
        <w:bidi w:val="0"/>
        <w:spacing w:lineRule="auto" w:line="268" w:before="0" w:after="60"/>
        <w:ind w:left="0" w:right="0" w:hanging="270"/>
        <w:jc w:val="left"/>
        <w:rPr/>
      </w:pPr>
      <w:r>
        <w:rPr>
          <w:rFonts w:ascii="Times New Roman;serif" w:hAnsi="Times New Roman;serif"/>
          <w:b w:val="false"/>
          <w:color w:val="000000"/>
          <w:sz w:val="12"/>
          <w:shd w:fill="FFFFFF" w:val="clear"/>
        </w:rPr>
        <w:t>(4)    </w:t>
      </w:r>
      <w:r>
        <w:rPr>
          <w:rFonts w:ascii="Times New Roman;serif" w:hAnsi="Times New Roman;serif"/>
          <w:b w:val="false"/>
          <w:color w:val="000000"/>
          <w:sz w:val="18"/>
        </w:rPr>
        <w:t>Calculated as period-over-period change in the number of completed same-branch jobs within our Installation segment for all markets.</w:t>
      </w:r>
    </w:p>
    <w:p>
      <w:pPr>
        <w:pStyle w:val="TextBody"/>
        <w:bidi w:val="0"/>
        <w:spacing w:lineRule="auto" w:line="268" w:before="0" w:after="60"/>
        <w:ind w:left="0" w:right="0" w:hanging="270"/>
        <w:jc w:val="left"/>
        <w:rPr/>
      </w:pPr>
      <w:r>
        <w:rPr>
          <w:rFonts w:ascii="Times New Roman;serif" w:hAnsi="Times New Roman;serif"/>
          <w:b w:val="false"/>
          <w:color w:val="000000"/>
          <w:sz w:val="12"/>
          <w:shd w:fill="FFFFFF" w:val="clear"/>
        </w:rPr>
        <w:t>(5)    </w:t>
      </w:r>
      <w:r>
        <w:rPr>
          <w:rFonts w:ascii="Times New Roman;serif" w:hAnsi="Times New Roman;serif"/>
          <w:b w:val="false"/>
          <w:color w:val="000000"/>
          <w:sz w:val="18"/>
        </w:rPr>
        <w:t>Defined as change in the mix of products sold and related pricing changes and calculated as the change in period-over-period average selling price per same-branch jobs within our Installation segment for all markets we serve, multiplied by total current year jobs. The mix of end customer and product would have an impact on the year-over-year price per job.</w:t>
      </w:r>
    </w:p>
    <w:p>
      <w:pPr>
        <w:pStyle w:val="TextBody"/>
        <w:bidi w:val="0"/>
        <w:spacing w:lineRule="auto" w:line="268" w:before="0" w:after="60"/>
        <w:ind w:left="0" w:right="0" w:hanging="270"/>
        <w:jc w:val="left"/>
        <w:rPr/>
      </w:pPr>
      <w:r>
        <w:rPr>
          <w:rFonts w:ascii="Times New Roman;serif" w:hAnsi="Times New Roman;serif"/>
          <w:b w:val="false"/>
          <w:color w:val="000000"/>
          <w:sz w:val="12"/>
          <w:shd w:fill="FFFFFF" w:val="clear"/>
        </w:rPr>
        <w:t>(6)    </w:t>
      </w:r>
      <w:r>
        <w:rPr>
          <w:rFonts w:ascii="Times New Roman;serif" w:hAnsi="Times New Roman;serif"/>
          <w:b w:val="false"/>
          <w:color w:val="000000"/>
          <w:sz w:val="18"/>
        </w:rPr>
        <w:t>Calculated based on period-over-period gross sales change, excluding intercompany transactions, in our Other category which consists of our Manufacturing and Distribution operating segments.</w:t>
      </w:r>
    </w:p>
    <w:p>
      <w:pPr>
        <w:pStyle w:val="TextBody"/>
        <w:bidi w:val="0"/>
        <w:spacing w:lineRule="auto" w:line="268" w:before="0" w:after="60"/>
        <w:ind w:left="0" w:right="0" w:hanging="270"/>
        <w:jc w:val="left"/>
        <w:rPr/>
      </w:pPr>
      <w:r>
        <w:rPr>
          <w:rFonts w:ascii="Times New Roman;serif" w:hAnsi="Times New Roman;serif"/>
          <w:b w:val="false"/>
          <w:color w:val="000000"/>
          <w:sz w:val="12"/>
          <w:shd w:fill="FFFFFF" w:val="clear"/>
        </w:rPr>
        <w:t>(7)    </w:t>
      </w:r>
      <w:r>
        <w:rPr>
          <w:rFonts w:ascii="Times New Roman;serif" w:hAnsi="Times New Roman;serif"/>
          <w:b w:val="false"/>
          <w:color w:val="000000"/>
          <w:sz w:val="18"/>
        </w:rPr>
        <w:t>We revised this calculation to exclude certain intercompany sales. Percentages in all periods presented conform to this revised method.</w:t>
      </w:r>
    </w:p>
    <w:p>
      <w:pPr>
        <w:pStyle w:val="TextBody"/>
        <w:bidi w:val="0"/>
        <w:spacing w:lineRule="auto" w:line="268" w:before="0" w:after="60"/>
        <w:ind w:left="0" w:right="0" w:hanging="270"/>
        <w:jc w:val="left"/>
        <w:rPr/>
      </w:pPr>
      <w:r>
        <w:rPr>
          <w:rFonts w:ascii="Times New Roman;serif" w:hAnsi="Times New Roman;serif"/>
          <w:b w:val="false"/>
          <w:color w:val="000000"/>
          <w:sz w:val="12"/>
          <w:shd w:fill="FFFFFF" w:val="clear"/>
        </w:rPr>
        <w:t>(8)    </w:t>
      </w:r>
      <w:r>
        <w:rPr>
          <w:rFonts w:ascii="Times New Roman;serif" w:hAnsi="Times New Roman;serif"/>
          <w:b w:val="false"/>
          <w:color w:val="000000"/>
          <w:sz w:val="18"/>
        </w:rPr>
        <w:t>U.S. Census Bureau data, as revised.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10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35915"/>
                <wp:effectExtent l="0" t="0" r="0" b="0"/>
                <wp:wrapNone/>
                <wp:docPr id="19" name="Frame1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INSTALLED BUILDING PRODUCTS, INC.</w:t>
        <w:br/>
        <w:t xml:space="preserve">INCREMENTAL REVENUE AND ADJUSTED EBITDA MARGINS </w:t>
        <w:br/>
        <w:t>(unaudited, in millions)</w:t>
      </w:r>
    </w:p>
    <w:tbl>
      <w:tblPr>
        <w:tblW w:w="11851" w:type="dxa"/>
        <w:jc w:val="center"/>
        <w:tblInd w:w="0" w:type="dxa"/>
        <w:tblLayout w:type="fixed"/>
        <w:tblCellMar>
          <w:top w:w="28" w:type="dxa"/>
          <w:left w:w="28" w:type="dxa"/>
          <w:bottom w:w="28" w:type="dxa"/>
          <w:right w:w="28" w:type="dxa"/>
        </w:tblCellMar>
      </w:tblPr>
      <w:tblGrid>
        <w:gridCol w:w="420"/>
        <w:gridCol w:w="225"/>
        <w:gridCol w:w="226"/>
        <w:gridCol w:w="109"/>
        <w:gridCol w:w="109"/>
        <w:gridCol w:w="109"/>
        <w:gridCol w:w="211"/>
        <w:gridCol w:w="511"/>
        <w:gridCol w:w="109"/>
        <w:gridCol w:w="109"/>
        <w:gridCol w:w="109"/>
        <w:gridCol w:w="109"/>
        <w:gridCol w:w="308"/>
        <w:gridCol w:w="308"/>
        <w:gridCol w:w="417"/>
        <w:gridCol w:w="109"/>
        <w:gridCol w:w="109"/>
        <w:gridCol w:w="109"/>
        <w:gridCol w:w="211"/>
        <w:gridCol w:w="511"/>
        <w:gridCol w:w="109"/>
        <w:gridCol w:w="109"/>
        <w:gridCol w:w="109"/>
        <w:gridCol w:w="109"/>
        <w:gridCol w:w="307"/>
        <w:gridCol w:w="309"/>
        <w:gridCol w:w="417"/>
        <w:gridCol w:w="109"/>
        <w:gridCol w:w="109"/>
        <w:gridCol w:w="109"/>
        <w:gridCol w:w="109"/>
        <w:gridCol w:w="109"/>
        <w:gridCol w:w="109"/>
        <w:gridCol w:w="109"/>
        <w:gridCol w:w="109"/>
        <w:gridCol w:w="109"/>
        <w:gridCol w:w="109"/>
        <w:gridCol w:w="109"/>
        <w:gridCol w:w="109"/>
        <w:gridCol w:w="109"/>
        <w:gridCol w:w="211"/>
        <w:gridCol w:w="526"/>
        <w:gridCol w:w="109"/>
        <w:gridCol w:w="109"/>
        <w:gridCol w:w="109"/>
        <w:gridCol w:w="109"/>
        <w:gridCol w:w="250"/>
        <w:gridCol w:w="250"/>
        <w:gridCol w:w="251"/>
        <w:gridCol w:w="109"/>
        <w:gridCol w:w="109"/>
        <w:gridCol w:w="109"/>
        <w:gridCol w:w="211"/>
        <w:gridCol w:w="526"/>
        <w:gridCol w:w="109"/>
        <w:gridCol w:w="109"/>
        <w:gridCol w:w="109"/>
        <w:gridCol w:w="109"/>
        <w:gridCol w:w="315"/>
        <w:gridCol w:w="316"/>
        <w:gridCol w:w="472"/>
      </w:tblGrid>
      <w:tr>
        <w:trPr/>
        <w:tc>
          <w:tcPr>
            <w:tcW w:w="4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6234"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Increase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21"/>
            <w:tcBorders/>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681" w:type="dxa"/>
            <w:gridSpan w:val="18"/>
            <w:tcBorders/>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Total</w:t>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 Branch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200" w:after="100"/>
        <w:ind w:left="0" w:right="0" w:hanging="270"/>
        <w:jc w:val="both"/>
        <w:rPr/>
      </w:pPr>
      <w:r>
        <w:rPr/>
      </w:r>
    </w:p>
    <w:tbl>
      <w:tblPr>
        <w:tblW w:w="12023" w:type="dxa"/>
        <w:jc w:val="center"/>
        <w:tblInd w:w="0" w:type="dxa"/>
        <w:tblLayout w:type="fixed"/>
        <w:tblCellMar>
          <w:top w:w="28" w:type="dxa"/>
          <w:left w:w="28" w:type="dxa"/>
          <w:bottom w:w="28" w:type="dxa"/>
          <w:right w:w="28" w:type="dxa"/>
        </w:tblCellMar>
      </w:tblPr>
      <w:tblGrid>
        <w:gridCol w:w="420"/>
        <w:gridCol w:w="225"/>
        <w:gridCol w:w="226"/>
        <w:gridCol w:w="109"/>
        <w:gridCol w:w="109"/>
        <w:gridCol w:w="109"/>
        <w:gridCol w:w="211"/>
        <w:gridCol w:w="421"/>
        <w:gridCol w:w="109"/>
        <w:gridCol w:w="109"/>
        <w:gridCol w:w="109"/>
        <w:gridCol w:w="109"/>
        <w:gridCol w:w="315"/>
        <w:gridCol w:w="316"/>
        <w:gridCol w:w="508"/>
        <w:gridCol w:w="109"/>
        <w:gridCol w:w="109"/>
        <w:gridCol w:w="109"/>
        <w:gridCol w:w="211"/>
        <w:gridCol w:w="406"/>
        <w:gridCol w:w="109"/>
        <w:gridCol w:w="109"/>
        <w:gridCol w:w="109"/>
        <w:gridCol w:w="109"/>
        <w:gridCol w:w="255"/>
        <w:gridCol w:w="256"/>
        <w:gridCol w:w="508"/>
        <w:gridCol w:w="109"/>
        <w:gridCol w:w="109"/>
        <w:gridCol w:w="109"/>
        <w:gridCol w:w="109"/>
        <w:gridCol w:w="109"/>
        <w:gridCol w:w="109"/>
        <w:gridCol w:w="109"/>
        <w:gridCol w:w="109"/>
        <w:gridCol w:w="109"/>
        <w:gridCol w:w="109"/>
        <w:gridCol w:w="109"/>
        <w:gridCol w:w="109"/>
        <w:gridCol w:w="109"/>
        <w:gridCol w:w="211"/>
        <w:gridCol w:w="526"/>
        <w:gridCol w:w="109"/>
        <w:gridCol w:w="109"/>
        <w:gridCol w:w="109"/>
        <w:gridCol w:w="109"/>
        <w:gridCol w:w="263"/>
        <w:gridCol w:w="263"/>
        <w:gridCol w:w="508"/>
        <w:gridCol w:w="109"/>
        <w:gridCol w:w="109"/>
        <w:gridCol w:w="109"/>
        <w:gridCol w:w="211"/>
        <w:gridCol w:w="526"/>
        <w:gridCol w:w="109"/>
        <w:gridCol w:w="109"/>
        <w:gridCol w:w="109"/>
        <w:gridCol w:w="109"/>
        <w:gridCol w:w="263"/>
        <w:gridCol w:w="263"/>
        <w:gridCol w:w="569"/>
      </w:tblGrid>
      <w:tr>
        <w:trPr/>
        <w:tc>
          <w:tcPr>
            <w:tcW w:w="4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9" w:type="dxa"/>
            <w:gridSpan w:val="24"/>
            <w:tcBorders/>
          </w:tcPr>
          <w:p>
            <w:pPr>
              <w:pStyle w:val="TableContents"/>
              <w:bidi w:val="0"/>
              <w:spacing w:before="0" w:after="283"/>
              <w:jc w:val="left"/>
              <w:rPr>
                <w:sz w:val="4"/>
                <w:szCs w:val="4"/>
              </w:rPr>
            </w:pPr>
            <w:r>
              <w:rPr>
                <w:sz w:val="4"/>
                <w:szCs w:val="4"/>
              </w:rPr>
            </w:r>
          </w:p>
        </w:tc>
      </w:tr>
      <w:tr>
        <w:trPr/>
        <w:tc>
          <w:tcPr>
            <w:tcW w:w="7221" w:type="dxa"/>
            <w:gridSpan w:val="40"/>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Adjusted EBITDA Margin Contributions</w:t>
            </w:r>
          </w:p>
        </w:tc>
        <w:tc>
          <w:tcPr>
            <w:tcW w:w="4802" w:type="dxa"/>
            <w:gridSpan w:val="21"/>
            <w:tcBorders/>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956" w:type="dxa"/>
            <w:gridSpan w:val="18"/>
            <w:tcBorders/>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Margin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Margin</w:t>
            </w:r>
            <w:r>
              <w:rPr>
                <w:rFonts w:ascii="Times New Roman;serif" w:hAnsi="Times New Roman;serif"/>
                <w:b w:val="false"/>
                <w:color w:val="000000"/>
                <w:sz w:val="13"/>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Margin</w:t>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2595" w:type="dxa"/>
            <w:gridSpan w:val="12"/>
            <w:tcBorders/>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Same Branch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bl>
    <w:p>
      <w:pPr>
        <w:pStyle w:val="TextBody"/>
        <w:bidi w:val="0"/>
        <w:spacing w:before="1" w:after="1"/>
        <w:jc w:val="both"/>
        <w:rPr/>
      </w:pPr>
      <w:r>
        <w:rPr/>
      </w:r>
    </w:p>
    <w:p>
      <w:pPr>
        <w:pStyle w:val="TextBody"/>
        <w:bidi w:val="0"/>
        <w:spacing w:lineRule="auto" w:line="417" w:before="200" w:after="100"/>
        <w:ind w:left="0" w:right="0" w:hanging="270"/>
        <w:jc w:val="both"/>
        <w:rPr/>
      </w:pPr>
      <w:r>
        <w:rPr>
          <w:rFonts w:ascii="Times New Roman;serif" w:hAnsi="Times New Roman;serif"/>
          <w:b w:val="false"/>
          <w:color w:val="000000"/>
          <w:sz w:val="13"/>
          <w:shd w:fill="FFFFFF" w:val="clear"/>
        </w:rPr>
        <w:t>(1)    </w:t>
      </w:r>
      <w:r>
        <w:rPr>
          <w:rFonts w:ascii="Times New Roman;serif" w:hAnsi="Times New Roman;serif"/>
          <w:b w:val="false"/>
          <w:color w:val="000000"/>
          <w:sz w:val="20"/>
          <w:shd w:fill="FFFFFF" w:val="clear"/>
        </w:rPr>
        <w:t>Same branch adjusted EBITDA margin contribution percentage is a percentage of same branch revenue increase.</w:t>
      </w:r>
    </w:p>
    <w:p>
      <w:pPr>
        <w:pStyle w:val="TextBody"/>
        <w:bidi w:val="0"/>
        <w:spacing w:lineRule="auto" w:line="556" w:before="0" w:after="0"/>
        <w:ind w:left="0" w:right="0" w:hanging="27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During the three and six months ended June 30, 2026 and the six months ended June 30, 2025, same branch revenue decreased and same branch and total adjusted EBITDA decreased. The negative same branch % margin result reflects a decremental margin. NMF - Not meaningful figure.</w:t>
      </w:r>
    </w:p>
    <w:p>
      <w:pPr>
        <w:pStyle w:val="TextBody"/>
        <w:bidi w:val="0"/>
        <w:spacing w:before="1" w:after="1"/>
        <w:jc w:val="center"/>
        <w:rPr/>
      </w:pPr>
      <w:r>
        <w:rPr/>
      </w:r>
    </w:p>
    <w:p>
      <w:pPr>
        <w:pStyle w:val="TextBody"/>
        <w:bidi w:val="0"/>
        <w:spacing w:before="10" w:after="10"/>
        <w:jc w:val="both"/>
        <w:rPr/>
      </w:pPr>
      <w:r>
        <w:rPr/>
      </w:r>
    </w:p>
    <w:p>
      <w:pPr>
        <w:pStyle w:val="TextBody"/>
        <w:bidi w:val="0"/>
        <w:spacing w:before="1" w:after="1"/>
        <w:jc w:val="both"/>
        <w:rPr/>
      </w:pPr>
      <w:r>
        <w:rPr/>
      </w:r>
    </w:p>
    <w:p>
      <w:pPr>
        <w:pStyle w:val="TextBody"/>
        <w:bidi w:val="0"/>
        <w:spacing w:lineRule="auto" w:line="288" w:before="1" w:after="1"/>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Source: Installed Building Products, Inc.</w:t>
      </w:r>
    </w:p>
    <w:p>
      <w:pPr>
        <w:pStyle w:val="TextBody"/>
        <w:bidi w:val="0"/>
        <w:spacing w:before="1" w:after="1"/>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Contact Information: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Investor Relations: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614-221-9944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investorrelations@installed.net</w:t>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35915"/>
                <wp:effectExtent l="0" t="0" r="0" b="0"/>
                <wp:wrapNone/>
                <wp:docPr id="20" name="Frame1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6161</Words>
  <Characters>33373</Characters>
  <CharactersWithSpaces>38624</CharactersWithSpaces>
  <Paragraphs>1440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