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001-36307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Installed Building Products, Inc.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80" w:type="dxa"/>
        <w:jc w:val="center"/>
        <w:tblInd w:w="0" w:type="dxa"/>
        <w:tblLayout w:type="fixed"/>
        <w:tblCellMar>
          <w:top w:w="28" w:type="dxa"/>
          <w:left w:w="28" w:type="dxa"/>
          <w:bottom w:w="28" w:type="dxa"/>
          <w:right w:w="28" w:type="dxa"/>
        </w:tblCellMar>
      </w:tblPr>
      <w:tblGrid>
        <w:gridCol w:w="623"/>
        <w:gridCol w:w="545"/>
        <w:gridCol w:w="545"/>
        <w:gridCol w:w="545"/>
        <w:gridCol w:w="545"/>
        <w:gridCol w:w="571"/>
        <w:gridCol w:w="109"/>
        <w:gridCol w:w="109"/>
        <w:gridCol w:w="109"/>
        <w:gridCol w:w="490"/>
        <w:gridCol w:w="490"/>
        <w:gridCol w:w="699"/>
      </w:tblGrid>
      <w:tr>
        <w:trPr/>
        <w:tc>
          <w:tcPr>
            <w:tcW w:w="6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45-3707650</w:t>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155 East Broad Street,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Columbus, </w:t>
            </w:r>
            <w:r>
              <w:rPr>
                <w:rFonts w:ascii="Times New Roman;serif" w:hAnsi="Times New Roman;serif"/>
                <w:b/>
                <w:color w:val="000000"/>
                <w:sz w:val="18"/>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43215</w:t>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(614) 221-3399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495 South High Street, Suite 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Columbus, Ohio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695" w:type="dxa"/>
        <w:jc w:val="center"/>
        <w:tblInd w:w="0" w:type="dxa"/>
        <w:tblLayout w:type="fixed"/>
        <w:tblCellMar>
          <w:top w:w="28" w:type="dxa"/>
          <w:left w:w="28" w:type="dxa"/>
          <w:bottom w:w="28" w:type="dxa"/>
          <w:right w:w="28" w:type="dxa"/>
        </w:tblCellMar>
      </w:tblPr>
      <w:tblGrid>
        <w:gridCol w:w="526"/>
        <w:gridCol w:w="463"/>
        <w:gridCol w:w="465"/>
        <w:gridCol w:w="755"/>
        <w:gridCol w:w="755"/>
        <w:gridCol w:w="755"/>
        <w:gridCol w:w="474"/>
        <w:gridCol w:w="474"/>
        <w:gridCol w:w="476"/>
        <w:gridCol w:w="109"/>
        <w:gridCol w:w="109"/>
        <w:gridCol w:w="109"/>
        <w:gridCol w:w="945"/>
        <w:gridCol w:w="945"/>
        <w:gridCol w:w="133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Common Stock,</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$0.01 par value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a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n </w:t>
      </w:r>
      <w:r>
        <w:rPr>
          <w:rFonts w:ascii="Times New Roman;serif" w:hAnsi="Times New Roman;serif"/>
          <w:b w:val="false"/>
          <w:color w:val="000000"/>
          <w:sz w:val="20"/>
        </w:rPr>
        <w:t>July 30, 2026</w:t>
      </w:r>
      <w:r>
        <w:rPr>
          <w:rFonts w:ascii="Times New Roman;serif" w:hAnsi="Times New Roman;serif"/>
          <w:b w:val="false"/>
          <w:color w:val="000000"/>
          <w:sz w:val="20"/>
          <w:shd w:fill="FFFFFF" w:val="clear"/>
        </w:rPr>
        <w:t>, t</w:t>
      </w:r>
      <w:r>
        <w:rPr>
          <w:rFonts w:ascii="Times New Roman;serif" w:hAnsi="Times New Roman;serif"/>
          <w:b w:val="false"/>
          <w:color w:val="000000"/>
          <w:sz w:val="20"/>
        </w:rPr>
        <w:t>he registrant ha</w:t>
      </w:r>
      <w:r>
        <w:rPr>
          <w:rFonts w:ascii="Times New Roman;serif" w:hAnsi="Times New Roman;serif"/>
          <w:b w:val="false"/>
          <w:color w:val="000000"/>
          <w:sz w:val="20"/>
          <w:shd w:fill="FFFFFF" w:val="clear"/>
        </w:rPr>
        <w:t>d</w:t>
      </w:r>
      <w:r>
        <w:rPr>
          <w:color w:val="000000"/>
        </w:rPr>
        <w:t xml:space="preserve"> </w:t>
      </w:r>
      <w:r>
        <w:rPr>
          <w:rFonts w:ascii="Times New Roman;serif" w:hAnsi="Times New Roman;serif"/>
          <w:b w:val="false"/>
          <w:color w:val="000000"/>
          <w:sz w:val="20"/>
        </w:rPr>
        <w:t>26,579,177</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ares of common stock, par value $0.01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77" w:type="dxa"/>
        <w:jc w:val="left"/>
        <w:tblInd w:w="0" w:type="dxa"/>
        <w:tblLayout w:type="fixed"/>
        <w:tblCellMar>
          <w:top w:w="28" w:type="dxa"/>
          <w:left w:w="28" w:type="dxa"/>
          <w:bottom w:w="28" w:type="dxa"/>
          <w:right w:w="28" w:type="dxa"/>
        </w:tblCellMar>
      </w:tblPr>
      <w:tblGrid>
        <w:gridCol w:w="2972"/>
        <w:gridCol w:w="2612"/>
        <w:gridCol w:w="2621"/>
        <w:gridCol w:w="109"/>
        <w:gridCol w:w="109"/>
        <w:gridCol w:w="154"/>
      </w:tblGrid>
      <w:tr>
        <w:trPr/>
        <w:tc>
          <w:tcPr>
            <w:tcW w:w="297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0">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0">
              <w:r>
                <w:rPr>
                  <w:rStyle w:val="InternetLink"/>
                  <w:rFonts w:ascii="Times New Roman;serif" w:hAnsi="Times New Roman;serif"/>
                  <w:b w:val="false"/>
                  <w:strike w:val="false"/>
                  <w:dstrike w:val="false"/>
                  <w:color w:val="000000"/>
                  <w:sz w:val="20"/>
                  <w:u w:val="none"/>
                  <w:effect w:val="none"/>
                </w:rPr>
                <w:t>1</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3">
              <w:r>
                <w:rPr>
                  <w:rStyle w:val="InternetLink"/>
                  <w:rFonts w:ascii="Times New Roman;serif" w:hAnsi="Times New Roman;serif"/>
                  <w:b/>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3">
              <w:r>
                <w:rPr>
                  <w:rStyle w:val="InternetLink"/>
                  <w:rFonts w:ascii="Times New Roman;serif" w:hAnsi="Times New Roman;serif"/>
                  <w:b w:val="false"/>
                  <w:strike w:val="false"/>
                  <w:dstrike w:val="false"/>
                  <w:color w:val="000000"/>
                  <w:sz w:val="20"/>
                  <w:u w:val="none"/>
                  <w:effect w:val="none"/>
                </w:rPr>
                <w:t>1</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06">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06">
              <w:r>
                <w:rPr>
                  <w:rStyle w:val="InternetLink"/>
                  <w:rFonts w:ascii="Times New Roman;serif" w:hAnsi="Times New Roman;serif"/>
                  <w:b w:val="false"/>
                  <w:strike w:val="false"/>
                  <w:dstrike w:val="false"/>
                  <w:color w:val="000000"/>
                  <w:sz w:val="20"/>
                  <w:u w:val="none"/>
                  <w:effect w:val="none"/>
                </w:rPr>
                <w:t>28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18">
              <w:r>
                <w:rPr>
                  <w:rStyle w:val="InternetLink"/>
                  <w:rFonts w:ascii="Times New Roman;serif" w:hAnsi="Times New Roman;serif"/>
                  <w:b/>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18">
              <w:r>
                <w:rPr>
                  <w:rStyle w:val="InternetLink"/>
                  <w:rFonts w:ascii="Times New Roman;serif" w:hAnsi="Times New Roman;serif"/>
                  <w:b w:val="false"/>
                  <w:strike w:val="false"/>
                  <w:dstrike w:val="false"/>
                  <w:color w:val="000000"/>
                  <w:sz w:val="20"/>
                  <w:u w:val="none"/>
                  <w:effect w:val="none"/>
                </w:rPr>
                <w:t>37</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21">
              <w:r>
                <w:rPr>
                  <w:rStyle w:val="InternetLink"/>
                  <w:rFonts w:ascii="Times New Roman;serif" w:hAnsi="Times New Roman;serif"/>
                  <w:b/>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21">
              <w:r>
                <w:rPr>
                  <w:rStyle w:val="InternetLink"/>
                  <w:rFonts w:ascii="Times New Roman;serif" w:hAnsi="Times New Roman;serif"/>
                  <w:b w:val="false"/>
                  <w:strike w:val="false"/>
                  <w:dstrike w:val="false"/>
                  <w:color w:val="000000"/>
                  <w:sz w:val="20"/>
                  <w:u w:val="none"/>
                  <w:effect w:val="none"/>
                </w:rPr>
                <w:t>37</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24">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24">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27">
              <w:r>
                <w:rPr>
                  <w:rStyle w:val="InternetLink"/>
                  <w:rFonts w:ascii="Times New Roman;serif" w:hAnsi="Times New Roman;serif"/>
                  <w:b/>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27">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30">
              <w:r>
                <w:rPr>
                  <w:rStyle w:val="InternetLink"/>
                  <w:rFonts w:ascii="Times New Roman;serif" w:hAnsi="Times New Roman;serif"/>
                  <w:b/>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30">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33">
              <w:r>
                <w:rPr>
                  <w:rStyle w:val="InternetLink"/>
                  <w:rFonts w:ascii="Times New Roman;serif" w:hAnsi="Times New Roman;serif"/>
                  <w:b/>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33">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36">
              <w:r>
                <w:rPr>
                  <w:rStyle w:val="InternetLink"/>
                  <w:rFonts w:ascii="Times New Roman;serif" w:hAnsi="Times New Roman;serif"/>
                  <w:b/>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36">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39">
              <w:r>
                <w:rPr>
                  <w:rStyle w:val="InternetLink"/>
                  <w:rFonts w:ascii="Times New Roman;serif" w:hAnsi="Times New Roman;serif"/>
                  <w:b/>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39">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42">
              <w:r>
                <w:rPr>
                  <w:rStyle w:val="InternetLink"/>
                  <w:rFonts w:ascii="Times New Roman;serif" w:hAnsi="Times New Roman;serif"/>
                  <w:b/>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42">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45">
              <w:r>
                <w:rPr>
                  <w:rStyle w:val="InternetLink"/>
                  <w:rFonts w:ascii="Times New Roman;serif" w:hAnsi="Times New Roman;serif"/>
                  <w:b/>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45">
              <w:r>
                <w:rPr>
                  <w:rStyle w:val="InternetLink"/>
                  <w:rFonts w:ascii="Times New Roman;serif" w:hAnsi="Times New Roman;serif"/>
                  <w:b w:val="false"/>
                  <w:strike w:val="false"/>
                  <w:dstrike w:val="false"/>
                  <w:color w:val="000000"/>
                  <w:sz w:val="20"/>
                  <w:u w:val="none"/>
                  <w:effect w:val="none"/>
                </w:rPr>
                <w:t>39</w:t>
              </w:r>
            </w:hyperlink>
          </w:p>
        </w:tc>
      </w:tr>
      <w:tr>
        <w:trPr/>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185f98a58d44fb9a736f9950744df1_148">
              <w:r>
                <w:rPr>
                  <w:rStyle w:val="InternetLink"/>
                  <w:rFonts w:ascii="Times New Roman;serif" w:hAnsi="Times New Roman;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85f98a58d44fb9a736f9950744df1_148">
              <w:r>
                <w:rPr>
                  <w:rStyle w:val="InternetLink"/>
                  <w:rFonts w:ascii="Times New Roman;serif" w:hAnsi="Times New Roman;serif"/>
                  <w:b w:val="false"/>
                  <w:strike w:val="false"/>
                  <w:dstrike w:val="false"/>
                  <w:color w:val="000000"/>
                  <w:sz w:val="20"/>
                  <w:u w:val="none"/>
                  <w:effect w:val="none"/>
                </w:rPr>
                <w:t>40</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60985"/>
                <wp:effectExtent l="0" t="0" r="0" b="0"/>
                <wp:wrapNone/>
                <wp:docPr id="2" name="Frame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10"/>
        <w:gridCol w:w="2337"/>
        <w:gridCol w:w="2344"/>
        <w:gridCol w:w="196"/>
        <w:gridCol w:w="691"/>
        <w:gridCol w:w="109"/>
        <w:gridCol w:w="109"/>
        <w:gridCol w:w="109"/>
        <w:gridCol w:w="109"/>
        <w:gridCol w:w="204"/>
        <w:gridCol w:w="723"/>
        <w:gridCol w:w="164"/>
      </w:tblGrid>
      <w:tr>
        <w:trPr/>
        <w:tc>
          <w:tcPr>
            <w:tcW w:w="311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credit losses of $15.1 and $13.9 at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finance lease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authorized and 0 shares issued and outstanding at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100,000,000 authorized, 33,941,274 and 33,837,379 issued and 26,579,168 and 26,975,227 shares outstanding at June 30, 2026 and December 31, 2025, respectively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7,362,106 and 6,862,152 shares at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69415"/>
                <wp:effectExtent l="0" t="0" r="0" b="0"/>
                <wp:wrapNone/>
                <wp:docPr id="3" name="Frame3"/>
                <a:graphic xmlns:a="http://schemas.openxmlformats.org/drawingml/2006/main">
                  <a:graphicData uri="http://schemas.microsoft.com/office/word/2010/wordprocessingShape">
                    <wps:wsp>
                      <wps:cNvSpPr txBox="1"/>
                      <wps:spPr>
                        <a:xfrm>
                          <a:off x="0" y="0"/>
                          <a:ext cx="6480175" cy="16694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amounts)</w:t>
      </w:r>
    </w:p>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737"/>
        <w:gridCol w:w="1427"/>
        <w:gridCol w:w="1242"/>
        <w:gridCol w:w="275"/>
        <w:gridCol w:w="806"/>
        <w:gridCol w:w="111"/>
        <w:gridCol w:w="111"/>
        <w:gridCol w:w="111"/>
        <w:gridCol w:w="111"/>
        <w:gridCol w:w="275"/>
        <w:gridCol w:w="806"/>
        <w:gridCol w:w="111"/>
        <w:gridCol w:w="109"/>
        <w:gridCol w:w="109"/>
        <w:gridCol w:w="109"/>
        <w:gridCol w:w="233"/>
        <w:gridCol w:w="848"/>
        <w:gridCol w:w="109"/>
        <w:gridCol w:w="109"/>
        <w:gridCol w:w="109"/>
        <w:gridCol w:w="109"/>
        <w:gridCol w:w="233"/>
        <w:gridCol w:w="848"/>
        <w:gridCol w:w="157"/>
      </w:tblGrid>
      <w:tr>
        <w:trPr/>
        <w:tc>
          <w:tcPr>
            <w:tcW w:w="173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on cash flow hedges, net of tax (provision) benefit of $(0.3) and $1.4 for the three months ended June 30, 2026 and 2025, respectively, $(0.5) and $3.2 for the six months ended June 30, 2026 and 2025, respectively.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27,420,268 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26,711,418 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share</w:t>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69415"/>
                <wp:effectExtent l="0" t="0" r="0" b="0"/>
                <wp:wrapNone/>
                <wp:docPr id="4" name="Frame4"/>
                <a:graphic xmlns:a="http://schemas.openxmlformats.org/drawingml/2006/main">
                  <a:graphicData uri="http://schemas.microsoft.com/office/word/2010/wordprocessingShape">
                    <wps:wsp>
                      <wps:cNvSpPr txBox="1"/>
                      <wps:spPr>
                        <a:xfrm>
                          <a:off x="0" y="0"/>
                          <a:ext cx="6480175" cy="16694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319" w:before="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w:t>
      </w:r>
    </w:p>
    <w:p>
      <w:pPr>
        <w:pStyle w:val="TextBody"/>
        <w:bidi w:val="0"/>
        <w:spacing w:lineRule="auto" w:line="319" w:before="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AND JUNE 30, 2026 </w:t>
      </w:r>
    </w:p>
    <w:p>
      <w:pPr>
        <w:pStyle w:val="TextBody"/>
        <w:bidi w:val="0"/>
        <w:spacing w:lineRule="auto" w:line="319" w:before="2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amounts)</w:t>
      </w:r>
    </w:p>
    <w:tbl>
      <w:tblPr>
        <w:tblW w:w="11495" w:type="dxa"/>
        <w:jc w:val="left"/>
        <w:tblInd w:w="0" w:type="dxa"/>
        <w:tblLayout w:type="fixed"/>
        <w:tblCellMar>
          <w:top w:w="28" w:type="dxa"/>
          <w:left w:w="28" w:type="dxa"/>
          <w:bottom w:w="28" w:type="dxa"/>
          <w:right w:w="28" w:type="dxa"/>
        </w:tblCellMar>
      </w:tblPr>
      <w:tblGrid>
        <w:gridCol w:w="563"/>
        <w:gridCol w:w="311"/>
        <w:gridCol w:w="312"/>
        <w:gridCol w:w="480"/>
        <w:gridCol w:w="481"/>
        <w:gridCol w:w="196"/>
        <w:gridCol w:w="109"/>
        <w:gridCol w:w="109"/>
        <w:gridCol w:w="109"/>
        <w:gridCol w:w="198"/>
        <w:gridCol w:w="381"/>
        <w:gridCol w:w="112"/>
        <w:gridCol w:w="109"/>
        <w:gridCol w:w="109"/>
        <w:gridCol w:w="109"/>
        <w:gridCol w:w="196"/>
        <w:gridCol w:w="556"/>
        <w:gridCol w:w="109"/>
        <w:gridCol w:w="109"/>
        <w:gridCol w:w="109"/>
        <w:gridCol w:w="109"/>
        <w:gridCol w:w="196"/>
        <w:gridCol w:w="691"/>
        <w:gridCol w:w="109"/>
        <w:gridCol w:w="109"/>
        <w:gridCol w:w="109"/>
        <w:gridCol w:w="109"/>
        <w:gridCol w:w="443"/>
        <w:gridCol w:w="443"/>
        <w:gridCol w:w="196"/>
        <w:gridCol w:w="109"/>
        <w:gridCol w:w="109"/>
        <w:gridCol w:w="109"/>
        <w:gridCol w:w="196"/>
        <w:gridCol w:w="571"/>
        <w:gridCol w:w="109"/>
        <w:gridCol w:w="109"/>
        <w:gridCol w:w="109"/>
        <w:gridCol w:w="109"/>
        <w:gridCol w:w="309"/>
        <w:gridCol w:w="734"/>
        <w:gridCol w:w="173"/>
        <w:gridCol w:w="109"/>
        <w:gridCol w:w="109"/>
        <w:gridCol w:w="109"/>
        <w:gridCol w:w="246"/>
        <w:gridCol w:w="700"/>
        <w:gridCol w:w="195"/>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April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33,766,093 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(6,155,694)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awards to employees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 of common stock awards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issued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awards previously classified as liability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($0.37 per share)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 inclusive of excise tax obligation</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33,835,259 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(6,508,388)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April 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33,891,774 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(6,953,646)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awards to employees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 of common stock awards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issued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award previously classified as liability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($0.39 per share)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 inclusive of excise tax obligation</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33,941,274 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(7,362,106)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69415"/>
                <wp:effectExtent l="0" t="0" r="0" b="0"/>
                <wp:wrapNone/>
                <wp:docPr id="5" name="Frame5"/>
                <a:graphic xmlns:a="http://schemas.openxmlformats.org/drawingml/2006/main">
                  <a:graphicData uri="http://schemas.microsoft.com/office/word/2010/wordprocessingShape">
                    <wps:wsp>
                      <wps:cNvSpPr txBox="1"/>
                      <wps:spPr>
                        <a:xfrm>
                          <a:off x="0" y="0"/>
                          <a:ext cx="6480175" cy="16694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319" w:before="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 FOR THE SIX MONTHS ENDED JUNE 30, 2025 AND JUNE 30, 2026</w:t>
      </w:r>
    </w:p>
    <w:p>
      <w:pPr>
        <w:pStyle w:val="TextBody"/>
        <w:bidi w:val="0"/>
        <w:spacing w:lineRule="auto" w:line="319" w:before="2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shares amounts)</w:t>
      </w:r>
    </w:p>
    <w:tbl>
      <w:tblPr>
        <w:tblW w:w="11495" w:type="dxa"/>
        <w:jc w:val="center"/>
        <w:tblInd w:w="0" w:type="dxa"/>
        <w:tblLayout w:type="fixed"/>
        <w:tblCellMar>
          <w:top w:w="28" w:type="dxa"/>
          <w:left w:w="28" w:type="dxa"/>
          <w:bottom w:w="28" w:type="dxa"/>
          <w:right w:w="28" w:type="dxa"/>
        </w:tblCellMar>
      </w:tblPr>
      <w:tblGrid>
        <w:gridCol w:w="563"/>
        <w:gridCol w:w="311"/>
        <w:gridCol w:w="312"/>
        <w:gridCol w:w="480"/>
        <w:gridCol w:w="481"/>
        <w:gridCol w:w="196"/>
        <w:gridCol w:w="109"/>
        <w:gridCol w:w="109"/>
        <w:gridCol w:w="109"/>
        <w:gridCol w:w="198"/>
        <w:gridCol w:w="381"/>
        <w:gridCol w:w="112"/>
        <w:gridCol w:w="109"/>
        <w:gridCol w:w="109"/>
        <w:gridCol w:w="109"/>
        <w:gridCol w:w="196"/>
        <w:gridCol w:w="556"/>
        <w:gridCol w:w="109"/>
        <w:gridCol w:w="109"/>
        <w:gridCol w:w="109"/>
        <w:gridCol w:w="109"/>
        <w:gridCol w:w="196"/>
        <w:gridCol w:w="691"/>
        <w:gridCol w:w="109"/>
        <w:gridCol w:w="109"/>
        <w:gridCol w:w="109"/>
        <w:gridCol w:w="109"/>
        <w:gridCol w:w="443"/>
        <w:gridCol w:w="443"/>
        <w:gridCol w:w="196"/>
        <w:gridCol w:w="109"/>
        <w:gridCol w:w="109"/>
        <w:gridCol w:w="109"/>
        <w:gridCol w:w="196"/>
        <w:gridCol w:w="571"/>
        <w:gridCol w:w="109"/>
        <w:gridCol w:w="109"/>
        <w:gridCol w:w="109"/>
        <w:gridCol w:w="109"/>
        <w:gridCol w:w="309"/>
        <w:gridCol w:w="734"/>
        <w:gridCol w:w="173"/>
        <w:gridCol w:w="109"/>
        <w:gridCol w:w="109"/>
        <w:gridCol w:w="109"/>
        <w:gridCol w:w="246"/>
        <w:gridCol w:w="700"/>
        <w:gridCol w:w="195"/>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January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33,713,662 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(5,955,171)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awards to employees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 of common stock awards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issued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awards previously classified as liability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($2.44 per share)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 inclusive of excise tax obligation</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33,835,259 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(6,508,388)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January 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33,837,379 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(6,862,152)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awards to employees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 of common stock awards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issued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awards previously classified as liability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($2.58 per share)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 inclusive of excise tax obligation</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33,941,274 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(7,362,106)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69415"/>
                <wp:effectExtent l="0" t="0" r="0" b="0"/>
                <wp:wrapNone/>
                <wp:docPr id="6" name="Frame6"/>
                <a:graphic xmlns:a="http://schemas.openxmlformats.org/drawingml/2006/main">
                  <a:graphicData uri="http://schemas.microsoft.com/office/word/2010/wordprocessingShape">
                    <wps:wsp>
                      <wps:cNvSpPr txBox="1"/>
                      <wps:spPr>
                        <a:xfrm>
                          <a:off x="0" y="0"/>
                          <a:ext cx="6480175" cy="16694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415" w:type="dxa"/>
        <w:jc w:val="center"/>
        <w:tblInd w:w="0" w:type="dxa"/>
        <w:tblLayout w:type="fixed"/>
        <w:tblCellMar>
          <w:top w:w="28" w:type="dxa"/>
          <w:left w:w="28" w:type="dxa"/>
          <w:bottom w:w="28" w:type="dxa"/>
          <w:right w:w="28" w:type="dxa"/>
        </w:tblCellMar>
      </w:tblPr>
      <w:tblGrid>
        <w:gridCol w:w="2564"/>
        <w:gridCol w:w="2257"/>
        <w:gridCol w:w="2273"/>
        <w:gridCol w:w="221"/>
        <w:gridCol w:w="615"/>
        <w:gridCol w:w="114"/>
        <w:gridCol w:w="114"/>
        <w:gridCol w:w="114"/>
        <w:gridCol w:w="114"/>
        <w:gridCol w:w="221"/>
        <w:gridCol w:w="647"/>
        <w:gridCol w:w="161"/>
      </w:tblGrid>
      <w:tr>
        <w:trPr/>
        <w:tc>
          <w:tcPr>
            <w:tcW w:w="256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discount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debt issuance costs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excluding effects of acquisitions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receivable/payable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 of $— in 2026 and 2025, respectively</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with interest rate swap counterparties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69415"/>
                <wp:effectExtent l="0" t="0" r="0" b="0"/>
                <wp:wrapNone/>
                <wp:docPr id="7" name="Frame7"/>
                <a:graphic xmlns:a="http://schemas.openxmlformats.org/drawingml/2006/main">
                  <a:graphicData uri="http://schemas.microsoft.com/office/word/2010/wordprocessingShape">
                    <wps:wsp>
                      <wps:cNvSpPr txBox="1"/>
                      <wps:spPr>
                        <a:xfrm>
                          <a:off x="0" y="0"/>
                          <a:ext cx="6480175" cy="16694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CASH FLOWS (UNAUDITED, CONTINUED) </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892"/>
        <w:gridCol w:w="2489"/>
        <w:gridCol w:w="2508"/>
        <w:gridCol w:w="217"/>
        <w:gridCol w:w="636"/>
        <w:gridCol w:w="111"/>
        <w:gridCol w:w="111"/>
        <w:gridCol w:w="111"/>
        <w:gridCol w:w="111"/>
        <w:gridCol w:w="217"/>
        <w:gridCol w:w="636"/>
        <w:gridCol w:w="166"/>
      </w:tblGrid>
      <w:tr>
        <w:trPr/>
        <w:tc>
          <w:tcPr>
            <w:tcW w:w="2892"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Senior Notes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vehicle and equipment notes payable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obligations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common stock awards by employees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during the period for:</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taxes, net of refunds </w:t>
            </w:r>
            <w:r>
              <w:rPr>
                <w:rFonts w:ascii="Times New Roman;serif" w:hAnsi="Times New Roman;serif"/>
                <w:b w:val="false"/>
                <w:color w:val="000000"/>
                <w:sz w:val="13"/>
              </w:rPr>
              <w:t>(1)</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leasehold improvements obtained in exchange for operating lease obligations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obtained in exchange for finance lease obligations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obligations in connection with acquisition of businesses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and equipment included in accounts payable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excise tax on common stock repurchases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For the six months ended June 30, 2026, the amount includes cash paid for federal tax credits of $7.0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69415"/>
                <wp:effectExtent l="0" t="0" r="0" b="0"/>
                <wp:wrapNone/>
                <wp:docPr id="8" name="Frame8"/>
                <a:graphic xmlns:a="http://schemas.openxmlformats.org/drawingml/2006/main">
                  <a:graphicData uri="http://schemas.microsoft.com/office/word/2010/wordprocessingShape">
                    <wps:wsp>
                      <wps:cNvSpPr txBox="1"/>
                      <wps:spPr>
                        <a:xfrm>
                          <a:off x="0" y="0"/>
                          <a:ext cx="6480175" cy="1669415"/>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1 - ORGANIZATION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Installed Building Products (“IBP”), a Delaware corporation formed on October 28, 2011, and its wholly-owned subsidiaries (collectively referred to as the “Company,” and “we,” “us” and “our”) primarily install insulation, waterproofing, fire-stopping, fireproofing, garage doors, rain gutters, window blinds, shower doors, closet shelving and mirrors and other products for residential and commercial builders located in the continental United States. The Company operates in more than 250 locations and its corporate office is located in Columbus, Ohio.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vast majority of our sales originate from our one reportable segment, Installation. Substantially all of our Installation segment sales are derived from the service-based installation of various products in the residential new construction, repair and remodel and commercial construction end markets from our national network of branch locations. Each of our Installation branches has the capacity to serve all of our end markets. See Note 3, Revenue Recognition, for information on our revenues by product and end market, and see Note 10, Information on Segments, for information on how we segment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 SIGNIFICANT ACCOUNTING POLICIES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 and Principles of Consolidation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all of our wholly-owned subsidiaries. All intercompany accounts and transactions have been eliminated.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the Condensed Consolidated Financial Statements includes normal recurring adjustments and reflects all adjustments which are, in the opinion of management, necessary for a fair presentation of the results of operations and statements of financial position for the interim periods presented. Certain information and footnote disclosures normally included in the consolidated financial statements prepared in accordance with accounting principles generally accepted in the United States of America (“U.S. GAAP”) and the rules and regulations of the Securities and Exchange Commission (the “SEC”) have been omitted pursuant to such rules and regulations. We believe that the disclosures are adequate to prevent the information presented from being misleading when read in conjunction with our audited consolidated financial statements and the notes thereto included in Part II, Item 8, Financial Statements and Supplementary Data, of our Annual Report on Form 10-K for the fiscal year ended December 31, 2025 (“2025 Form 10-K”), as filed with the SEC on February 26, 2026. The December 31, 2025 Condensed Consolidated Balance Sheet data herein was derived from the audited consolidated financial statements, but the related footnotes do not include all disclosures required by U.S. GAAP.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interim operating results for the three and six months ended June 30, 2026 are not necessarily indicative of the results to be expected in future operating quarters.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Note 2 to the audited consolidated financial statements in our 2025 Form 10-K describes the significant accounting policies and estimates used in preparation of the audited consolidated financial statements. There have been no changes to our significant accounting policies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9"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evaluating the impact of the following Accounting Standards Update ("ASU") on our Condensed Consolidated Financial Statements or 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863"/>
        <w:gridCol w:w="644"/>
        <w:gridCol w:w="648"/>
        <w:gridCol w:w="109"/>
        <w:gridCol w:w="109"/>
        <w:gridCol w:w="109"/>
        <w:gridCol w:w="586"/>
        <w:gridCol w:w="586"/>
        <w:gridCol w:w="591"/>
        <w:gridCol w:w="109"/>
        <w:gridCol w:w="109"/>
        <w:gridCol w:w="109"/>
        <w:gridCol w:w="1093"/>
        <w:gridCol w:w="415"/>
        <w:gridCol w:w="416"/>
        <w:gridCol w:w="109"/>
        <w:gridCol w:w="109"/>
        <w:gridCol w:w="109"/>
        <w:gridCol w:w="988"/>
        <w:gridCol w:w="988"/>
        <w:gridCol w:w="1406"/>
      </w:tblGrid>
      <w:tr>
        <w:trPr/>
        <w:tc>
          <w:tcPr>
            <w:tcW w:w="86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 on the financial statements or other significant matters</w:t>
            </w:r>
          </w:p>
        </w:tc>
      </w:tr>
      <w:tr>
        <w:trPr/>
        <w:tc>
          <w:tcPr>
            <w:tcW w:w="2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"Income Statement-Reporting Comprehensive Income-Expense Disaggregation Disclosures" (Subtopic 220-40):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pronouncement amends Topic 220 to require all entities to disclose on an interim and annual basis disaggregated information about certain income statement costs and expenses in the notes to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for annual periods beginning after December 15, 2026, and interim periods beginning after December 15, 2027.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adopt and apply the guidance as prescribed by this ASU to income statement expenses that occur after the effective date. We are currently assessing the impact of the adoption on our consolidated financial information and disclosures.</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2025-06 “Intangibles-Goodwill and Other Internal-Use Software” (Subtopic 350-40): Targeted Improvements to the Accounting for Internal-Use Software.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pronouncement amends Topic 350 to increase the operability of the recognition guidance considering different methods of software development.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for annual periods beginning after December 15, 2027, and interim periods within those annual reporting periods.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adopt and apply the guidance as prescribed by this ASU to internal-use software costs that occur after the effective date. We are currently reviewing the impact of the adoption on our consolidated financial information.</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2025-09 “Derivatives and Hedging” (Topic 815): Hedge Accounting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pronouncement introduces targeted improvements to more closely align hedge accounting with the economics of an entity's risk management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for annual reporting periods beginning after December 15, 2026, and interim periods within those annual reporting periods.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adopt and apply the guidance as prescribed by this ASU to derivatives and hedge accounting that occur after the effective date. We are currently assessing the impact of the adoption on our consolidated financial statements and related disclosures.</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“Interim Reporting” (Topic 270): Narrow-Scope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pronouncement amends Topic 270 to provide additional guidance on what disclosures should be provided in interim reporting periods and adds a principle that requires entities to disclose events since the end of the last annual reporting period that have a material impact on the 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for interim reporting periods within annual reporting periods beginning after December 15, 2027. This ASU can be applied either prospectively or retrospectively to any or all prior periods presented in the financial statements.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adopt and apply the guidance as prescribed by this ASU to interim reporting that occurs after the effective date. We do not expect this to materially affect our consolidated financial statements and related disclosures.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2026-02 “Environmental Credits and Environmental Credit Obligations” (Topic 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pronouncement amends Topic 818 to improve the financial accounting for and disclosure of environmental credits and environmental credit obligations. The ASU provides guidance on the recognition, measurement, presentation, and disclosure of environmental credits and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for annual reporting periods beginning after December 15, 2027, and interim reporting periods within those annual reporting periods. This ASU requires adoption on a retrospective basis through a cumulative-effect adjustment to the opening balance of retained earnings.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adopt and apply the guidance as prescribed by this ASU to environmental credits recognized after the effective date. We are currently evaluating the impact of the accounting standards on our consolidated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REVENUE RECOGNITION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disaggregate our revenue from contracts with customers for our Installation segment by end market and product, as we believe it best depicts how the nature, amount, timing and uncertainty of our revenue and cash flows are affected by economic factors. Revenues for distribution and manufacturing operations are included in the Other category and are presented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0250"/>
                <wp:effectExtent l="0" t="0" r="0" b="0"/>
                <wp:wrapNone/>
                <wp:docPr id="10" name="Frame1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intercompany sales in the tables below. The following tables present our net revenues disaggregated by end market and product (in millions): </w:t>
      </w:r>
    </w:p>
    <w:tbl>
      <w:tblPr>
        <w:tblW w:w="10467" w:type="dxa"/>
        <w:jc w:val="center"/>
        <w:tblInd w:w="0" w:type="dxa"/>
        <w:tblLayout w:type="fixed"/>
        <w:tblCellMar>
          <w:top w:w="28" w:type="dxa"/>
          <w:left w:w="28" w:type="dxa"/>
          <w:bottom w:w="28" w:type="dxa"/>
          <w:right w:w="28" w:type="dxa"/>
        </w:tblCellMar>
      </w:tblPr>
      <w:tblGrid>
        <w:gridCol w:w="413"/>
        <w:gridCol w:w="362"/>
        <w:gridCol w:w="366"/>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316"/>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new construction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 and remodel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Installation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as reported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632" w:type="dxa"/>
        <w:jc w:val="center"/>
        <w:tblInd w:w="0" w:type="dxa"/>
        <w:tblLayout w:type="fixed"/>
        <w:tblCellMar>
          <w:top w:w="28" w:type="dxa"/>
          <w:left w:w="28" w:type="dxa"/>
          <w:bottom w:w="28" w:type="dxa"/>
          <w:right w:w="28" w:type="dxa"/>
        </w:tblCellMar>
      </w:tblPr>
      <w:tblGrid>
        <w:gridCol w:w="636"/>
        <w:gridCol w:w="334"/>
        <w:gridCol w:w="336"/>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316"/>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Insulation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Shower doors, shelving and mirrors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Waterproofing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Garage doors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Fireproofing/firestopping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Rain gutters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Window blinds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building products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Installation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as reported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 Assets and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contract assets consist of unbilled amounts typically resulting from sales under contracts when the cost-to-cost method of revenue recognition is utilized and revenue recognized, based on costs incurred, exceeds the amount billed to the customer. Our contract assets are recorded in other current assets in our Condensed Consolidated Balance Sheets. Our contract liabilities consist of customer deposits and billings in excess of revenue recognized, based on costs incurred and are included in other current liabilities in our Condensed Consolidated Balance Sheets.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liabilities related to our uncompleted contracts and customer deposits were as follows (in millions):</w:t>
      </w:r>
    </w:p>
    <w:tbl>
      <w:tblPr>
        <w:tblW w:w="4946" w:type="dxa"/>
        <w:jc w:val="center"/>
        <w:tblInd w:w="0" w:type="dxa"/>
        <w:tblLayout w:type="fixed"/>
        <w:tblCellMar>
          <w:top w:w="28" w:type="dxa"/>
          <w:left w:w="28" w:type="dxa"/>
          <w:bottom w:w="28" w:type="dxa"/>
          <w:right w:w="28" w:type="dxa"/>
        </w:tblCellMar>
      </w:tblPr>
      <w:tblGrid>
        <w:gridCol w:w="597"/>
        <w:gridCol w:w="525"/>
        <w:gridCol w:w="528"/>
        <w:gridCol w:w="316"/>
        <w:gridCol w:w="766"/>
        <w:gridCol w:w="163"/>
        <w:gridCol w:w="109"/>
        <w:gridCol w:w="109"/>
        <w:gridCol w:w="109"/>
        <w:gridCol w:w="414"/>
        <w:gridCol w:w="1005"/>
        <w:gridCol w:w="30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Uncompleted contracts were as follows (in millions):</w:t>
      </w:r>
    </w:p>
    <w:tbl>
      <w:tblPr>
        <w:tblW w:w="6731" w:type="dxa"/>
        <w:jc w:val="center"/>
        <w:tblInd w:w="0" w:type="dxa"/>
        <w:tblLayout w:type="fixed"/>
        <w:tblCellMar>
          <w:top w:w="28" w:type="dxa"/>
          <w:left w:w="28" w:type="dxa"/>
          <w:bottom w:w="28" w:type="dxa"/>
          <w:right w:w="28" w:type="dxa"/>
        </w:tblCellMar>
      </w:tblPr>
      <w:tblGrid>
        <w:gridCol w:w="1245"/>
        <w:gridCol w:w="1092"/>
        <w:gridCol w:w="1098"/>
        <w:gridCol w:w="280"/>
        <w:gridCol w:w="820"/>
        <w:gridCol w:w="145"/>
        <w:gridCol w:w="109"/>
        <w:gridCol w:w="109"/>
        <w:gridCol w:w="109"/>
        <w:gridCol w:w="371"/>
        <w:gridCol w:w="1083"/>
        <w:gridCol w:w="270"/>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on uncompleted contracts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earnings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Billings to date</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under billings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0250"/>
                <wp:effectExtent l="0" t="0" r="0" b="0"/>
                <wp:wrapNone/>
                <wp:docPr id="11" name="Frame1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under billings were as follows (in millions):</w:t>
      </w:r>
    </w:p>
    <w:tbl>
      <w:tblPr>
        <w:tblW w:w="10205" w:type="dxa"/>
        <w:jc w:val="center"/>
        <w:tblInd w:w="0" w:type="dxa"/>
        <w:tblLayout w:type="fixed"/>
        <w:tblCellMar>
          <w:top w:w="28" w:type="dxa"/>
          <w:left w:w="28" w:type="dxa"/>
          <w:bottom w:w="28" w:type="dxa"/>
          <w:right w:w="28" w:type="dxa"/>
        </w:tblCellMar>
      </w:tblPr>
      <w:tblGrid>
        <w:gridCol w:w="2559"/>
        <w:gridCol w:w="2243"/>
        <w:gridCol w:w="2255"/>
        <w:gridCol w:w="302"/>
        <w:gridCol w:w="733"/>
        <w:gridCol w:w="156"/>
        <w:gridCol w:w="109"/>
        <w:gridCol w:w="109"/>
        <w:gridCol w:w="109"/>
        <w:gridCol w:w="390"/>
        <w:gridCol w:w="948"/>
        <w:gridCol w:w="292"/>
      </w:tblGrid>
      <w:tr>
        <w:trPr/>
        <w:tc>
          <w:tcPr>
            <w:tcW w:w="255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 (contract assets)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 on uncompleted contracts (contract liabilities)</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under billings</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difference between contract assets and contract liabilities as of June 30, 2026 compared to December 31, 2025 is primarily the result of timing differences between our performance of obligations under contracts and customer payments and billings. During the three and six months ended June 30, 2026, we recognized $1.8 million and $19.1 million of revenue that was included in the contract liability balance at December 31, 2025. We did not recognize any impairment losses on our contract assets during the three and six months ended June 30, 2026 or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contracts for which work has not been performed and excludes unexercised contract options and potential modifications. As of June 30, 2026, the aggregate amount of the transaction price allocated to remaining uncompleted contracts was $170.8 million. We expect to satisfy remaining performance obligations and recognize revenue on substantially all of these uncompleted contracts over the next 18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CREDIT LOSSES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loss allowance methodology for accounts receivable is developed using historical experience, present economic conditions and other factors management considers relevant to estimate expected credit losses. We also perform ongoing evaluations of creditworthiness of our existing and potential customers.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Changes in our allowance for credit losses were as follows (in millions):</w:t>
      </w:r>
    </w:p>
    <w:tbl>
      <w:tblPr>
        <w:tblW w:w="3845" w:type="dxa"/>
        <w:jc w:val="center"/>
        <w:tblInd w:w="0" w:type="dxa"/>
        <w:tblLayout w:type="fixed"/>
        <w:tblCellMar>
          <w:top w:w="28" w:type="dxa"/>
          <w:left w:w="28" w:type="dxa"/>
          <w:bottom w:w="28" w:type="dxa"/>
          <w:right w:w="28" w:type="dxa"/>
        </w:tblCellMar>
      </w:tblPr>
      <w:tblGrid>
        <w:gridCol w:w="1076"/>
        <w:gridCol w:w="943"/>
        <w:gridCol w:w="950"/>
        <w:gridCol w:w="211"/>
        <w:gridCol w:w="51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 and additions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written off</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CASH AND CASH EQUIVALENTS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money market funds which are highly liquid instruments with insignificant interest rate risk and original or remaining maturities of three months or less at the time of purchase. These money market funds amounted to approximately $312.3 million and $278.8 million as of June 30, 2026 and December 31, 2025, respectively. See Note 9, Fair Value Measurements,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0250"/>
                <wp:effectExtent l="0" t="0" r="0" b="0"/>
                <wp:wrapNone/>
                <wp:docPr id="12" name="Frame1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GOODWILL AND INTANGIBLES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 in carrying amount of goodwill by reporting segment was as follows (in millions):</w:t>
      </w:r>
    </w:p>
    <w:tbl>
      <w:tblPr>
        <w:tblW w:w="6781" w:type="dxa"/>
        <w:jc w:val="center"/>
        <w:tblInd w:w="0" w:type="dxa"/>
        <w:tblLayout w:type="fixed"/>
        <w:tblCellMar>
          <w:top w:w="28" w:type="dxa"/>
          <w:left w:w="28" w:type="dxa"/>
          <w:bottom w:w="28" w:type="dxa"/>
          <w:right w:w="28" w:type="dxa"/>
        </w:tblCellMar>
      </w:tblPr>
      <w:tblGrid>
        <w:gridCol w:w="1054"/>
        <w:gridCol w:w="926"/>
        <w:gridCol w:w="929"/>
        <w:gridCol w:w="233"/>
        <w:gridCol w:w="681"/>
        <w:gridCol w:w="122"/>
        <w:gridCol w:w="109"/>
        <w:gridCol w:w="109"/>
        <w:gridCol w:w="109"/>
        <w:gridCol w:w="211"/>
        <w:gridCol w:w="616"/>
        <w:gridCol w:w="109"/>
        <w:gridCol w:w="109"/>
        <w:gridCol w:w="109"/>
        <w:gridCol w:w="109"/>
        <w:gridCol w:w="267"/>
        <w:gridCol w:w="782"/>
        <w:gridCol w:w="197"/>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Installation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 - January 1, 2026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 - June 30, 2026</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impairment losses </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 - June 30, 2026</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872"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test goodwill for impairment annually during the fourth quarter of our fiscal year or earlier if there is an impairment indicator. The accumulated impairment losses included within the above table were all associated with the Installation segment and substantially all of the impairment losses were recorded prior to the year ended December 31, 2010.</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Intangibles,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gross carrying amount, accumulated amortization and net book value for each major class of intangibles (in millions):</w:t>
      </w:r>
    </w:p>
    <w:tbl>
      <w:tblPr>
        <w:tblW w:w="10205" w:type="dxa"/>
        <w:jc w:val="left"/>
        <w:tblInd w:w="0" w:type="dxa"/>
        <w:tblLayout w:type="fixed"/>
        <w:tblCellMar>
          <w:top w:w="28" w:type="dxa"/>
          <w:left w:w="28" w:type="dxa"/>
          <w:bottom w:w="28" w:type="dxa"/>
          <w:right w:w="28" w:type="dxa"/>
        </w:tblCellMar>
      </w:tblPr>
      <w:tblGrid>
        <w:gridCol w:w="937"/>
        <w:gridCol w:w="734"/>
        <w:gridCol w:w="737"/>
        <w:gridCol w:w="211"/>
        <w:gridCol w:w="616"/>
        <w:gridCol w:w="109"/>
        <w:gridCol w:w="109"/>
        <w:gridCol w:w="109"/>
        <w:gridCol w:w="109"/>
        <w:gridCol w:w="267"/>
        <w:gridCol w:w="780"/>
        <w:gridCol w:w="139"/>
        <w:gridCol w:w="109"/>
        <w:gridCol w:w="109"/>
        <w:gridCol w:w="109"/>
        <w:gridCol w:w="211"/>
        <w:gridCol w:w="616"/>
        <w:gridCol w:w="109"/>
        <w:gridCol w:w="109"/>
        <w:gridCol w:w="109"/>
        <w:gridCol w:w="109"/>
        <w:gridCol w:w="211"/>
        <w:gridCol w:w="616"/>
        <w:gridCol w:w="109"/>
        <w:gridCol w:w="109"/>
        <w:gridCol w:w="109"/>
        <w:gridCol w:w="109"/>
        <w:gridCol w:w="267"/>
        <w:gridCol w:w="780"/>
        <w:gridCol w:w="139"/>
        <w:gridCol w:w="109"/>
        <w:gridCol w:w="109"/>
        <w:gridCol w:w="109"/>
        <w:gridCol w:w="211"/>
        <w:gridCol w:w="616"/>
        <w:gridCol w:w="155"/>
      </w:tblGrid>
      <w:tr>
        <w:trPr/>
        <w:tc>
          <w:tcPr>
            <w:tcW w:w="9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Book</w:t>
              <w:br/>
              <w:t>Value</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intangibles: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Covenants not-to-compete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tradenames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gross carrying amount of intangibles increased $27.8 million during the six months ended June 30, 2026 primarily due to business combinations. For more information on business combinations, see Note 17, Business Combinations.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Remaining estimated aggregate annual amortization expense is as follows (amounts, in millions, are for the fiscal year ended):</w:t>
      </w:r>
    </w:p>
    <w:tbl>
      <w:tblPr>
        <w:tblW w:w="2556" w:type="dxa"/>
        <w:jc w:val="center"/>
        <w:tblInd w:w="0" w:type="dxa"/>
        <w:tblLayout w:type="fixed"/>
        <w:tblCellMar>
          <w:top w:w="28" w:type="dxa"/>
          <w:left w:w="28" w:type="dxa"/>
          <w:bottom w:w="28" w:type="dxa"/>
          <w:right w:w="28" w:type="dxa"/>
        </w:tblCellMar>
      </w:tblPr>
      <w:tblGrid>
        <w:gridCol w:w="608"/>
        <w:gridCol w:w="534"/>
        <w:gridCol w:w="538"/>
        <w:gridCol w:w="211"/>
        <w:gridCol w:w="51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0250"/>
                <wp:effectExtent l="0" t="0" r="0" b="0"/>
                <wp:wrapNone/>
                <wp:docPr id="13" name="Frame1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 LONG-TERM DEBT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(in millions):</w:t>
      </w:r>
    </w:p>
    <w:tbl>
      <w:tblPr>
        <w:tblW w:w="10205" w:type="dxa"/>
        <w:jc w:val="left"/>
        <w:tblInd w:w="0" w:type="dxa"/>
        <w:tblLayout w:type="fixed"/>
        <w:tblCellMar>
          <w:top w:w="28" w:type="dxa"/>
          <w:left w:w="28" w:type="dxa"/>
          <w:bottom w:w="28" w:type="dxa"/>
          <w:right w:w="28" w:type="dxa"/>
        </w:tblCellMar>
      </w:tblPr>
      <w:tblGrid>
        <w:gridCol w:w="2771"/>
        <w:gridCol w:w="2281"/>
        <w:gridCol w:w="2295"/>
        <w:gridCol w:w="226"/>
        <w:gridCol w:w="823"/>
        <w:gridCol w:w="117"/>
        <w:gridCol w:w="109"/>
        <w:gridCol w:w="109"/>
        <w:gridCol w:w="109"/>
        <w:gridCol w:w="292"/>
        <w:gridCol w:w="855"/>
        <w:gridCol w:w="218"/>
      </w:tblGrid>
      <w:tr>
        <w:trPr/>
        <w:tc>
          <w:tcPr>
            <w:tcW w:w="277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7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Senior Notes, net of unamortized debt issuance costs of $— and $1.2, respectively</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2034 Senior Notes, net of unamortized debt issuance costs of $7.1 and $—, respectively</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net of unamortized debt issuance costs of $2.8 and $3.1, respectively</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and equipment notes, maturing through November 2030; payable in various monthly installments, including interest rates ranging from 1.9% to 7.3%</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Various notes payable, maturing through October 2028; payable in various annual installments, including interest rates at 5.0%</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Remaining required repayments of debt principal, gross of unamortized debt issuance costs, as of June 30, 2026 are as follows (in millions):</w:t>
      </w:r>
    </w:p>
    <w:tbl>
      <w:tblPr>
        <w:tblW w:w="2556" w:type="dxa"/>
        <w:jc w:val="center"/>
        <w:tblInd w:w="0" w:type="dxa"/>
        <w:tblLayout w:type="fixed"/>
        <w:tblCellMar>
          <w:top w:w="28" w:type="dxa"/>
          <w:left w:w="28" w:type="dxa"/>
          <w:bottom w:w="28" w:type="dxa"/>
          <w:right w:w="28" w:type="dxa"/>
        </w:tblCellMar>
      </w:tblPr>
      <w:tblGrid>
        <w:gridCol w:w="608"/>
        <w:gridCol w:w="534"/>
        <w:gridCol w:w="538"/>
        <w:gridCol w:w="211"/>
        <w:gridCol w:w="51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5.625% Senior Notes due 2034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January 2026, we issued $500.0 million in aggregate principal amount of 5.625% senior unsecured notes (the "2034 Senior Notes"). The 2034 Senior Notes will mature on February 1, 2034 and interest will accrue at a rate of 5.625% per annum from the date of original issuance and be payable semi-annually in cash in arrears on February 1 and August 1 of each year, commencing on August 1, 2026. The net proceeds from the 2034 Senior Notes offering were approximately $492.4 million after deducting fees and offering expenses. We used approximately $308.2 million of the net proceeds to redeem the outstanding principal and accrued interest on our 5.75% senior unsecured notes due 2028 (the "2028 Senior Notes" and, together with the 2034 Senior Notes, the “Senior Notes”). The remaining net proceeds will be used for general corporate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covering the 2034 Senior Notes contains restrictive covenants that, among other things, limit the ability of the Company and certain of our subsidiaries (subject to certain exceptions) to: (i) pay dividends on, redeem or repurchase stock; (ii) prepay subordinated debt; (iii) apply net proceeds from certain asset sales; (iv) engage in transactions with affiliates; (v) merge, consolidate or sell substantially all of its assets; and (vi) pay dividends and make other distributions from subsidiaries.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Asset-based Lending Credit Agreement Amendment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January 2026, we amended and extended the term of our asset-based lending credit agreement (the "ABL Credit Agreement"). The ABL Credit Agreement transaction increased the commitment under the asset-based lending credit facility (the "ABL Revolver") from $250.0 million to $375.0 million and extended the maturity date to January 21, 2031. Terms include a springing maturity 91 days ahead of the maturity date of any material indebtedness.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ABL Revolver now bears interest at either the Secured Overnight Financing Rate ("Term SOFR") or the base rate, at our election, plus a margin of 1.00% or 1.25% per annum in the case of Term SOFR advances or 0.00% or 0.25% per annum in the case of base rate loans (in each case based on a measure of availability under the ABL Credit Agreement). The ABL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250"/>
                <wp:effectExtent l="0" t="0" r="0" b="0"/>
                <wp:wrapNone/>
                <wp:docPr id="14" name="Frame1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Agreement contains a financial covenant requiring the satisfaction of a minimum of fixed charge coverage ratio of 1.0x in the event that we do not meet a minimum measure of availability under the ABL Revolver.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ABL Revolver also provides incremental revolving credit facility commitments of up to $105.0 million. The ABL Revolver also allows for the issuance of letters of credit of up to $100.0 million in aggregate and borrowing of swingline loans of up to $50.0 million in aggregate. Including outstanding letters of credit, our remaining availability under the ABL Revolver as of June 30, 2026 was $372.1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lease various assets in the ordinary course of business as follows: warehouses to store our materials and perform staging activities for certain products we install, various office spaces for selling and administrative activities to support our business, and certain vehicles and equipment to facilitate our operations, including, but not limited to, trucks, forklifts and office equipment.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lease-related assets and liabilities recorded on the Condensed Consolidated Balance Sheets (in millions):</w:t>
      </w:r>
    </w:p>
    <w:tbl>
      <w:tblPr>
        <w:tblW w:w="9501" w:type="dxa"/>
        <w:jc w:val="left"/>
        <w:tblInd w:w="0" w:type="dxa"/>
        <w:tblLayout w:type="fixed"/>
        <w:tblCellMar>
          <w:top w:w="28" w:type="dxa"/>
          <w:left w:w="28" w:type="dxa"/>
          <w:bottom w:w="28" w:type="dxa"/>
          <w:right w:w="28" w:type="dxa"/>
        </w:tblCellMar>
      </w:tblPr>
      <w:tblGrid>
        <w:gridCol w:w="547"/>
        <w:gridCol w:w="482"/>
        <w:gridCol w:w="486"/>
        <w:gridCol w:w="109"/>
        <w:gridCol w:w="109"/>
        <w:gridCol w:w="109"/>
        <w:gridCol w:w="1344"/>
        <w:gridCol w:w="1344"/>
        <w:gridCol w:w="1347"/>
        <w:gridCol w:w="109"/>
        <w:gridCol w:w="109"/>
        <w:gridCol w:w="109"/>
        <w:gridCol w:w="239"/>
        <w:gridCol w:w="699"/>
        <w:gridCol w:w="307"/>
        <w:gridCol w:w="109"/>
        <w:gridCol w:w="109"/>
        <w:gridCol w:w="109"/>
        <w:gridCol w:w="318"/>
        <w:gridCol w:w="930"/>
        <w:gridCol w:w="477"/>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years</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years</w:t>
            </w:r>
          </w:p>
        </w:tc>
      </w:tr>
      <w:tr>
        <w:trPr/>
        <w:tc>
          <w:tcPr>
            <w:tcW w:w="58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3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4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250"/>
                <wp:effectExtent l="0" t="0" r="0" b="0"/>
                <wp:wrapNone/>
                <wp:docPr id="15" name="Frame1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certain information related to the lease costs for finance and operating leases (in millions):</w:t>
      </w:r>
    </w:p>
    <w:tbl>
      <w:tblPr>
        <w:tblW w:w="10205" w:type="dxa"/>
        <w:jc w:val="center"/>
        <w:tblInd w:w="0" w:type="dxa"/>
        <w:tblLayout w:type="fixed"/>
        <w:tblCellMar>
          <w:top w:w="28" w:type="dxa"/>
          <w:left w:w="28" w:type="dxa"/>
          <w:bottom w:w="28" w:type="dxa"/>
          <w:right w:w="28" w:type="dxa"/>
        </w:tblCellMar>
      </w:tblPr>
      <w:tblGrid>
        <w:gridCol w:w="1032"/>
        <w:gridCol w:w="872"/>
        <w:gridCol w:w="878"/>
        <w:gridCol w:w="109"/>
        <w:gridCol w:w="109"/>
        <w:gridCol w:w="109"/>
        <w:gridCol w:w="583"/>
        <w:gridCol w:w="583"/>
        <w:gridCol w:w="590"/>
        <w:gridCol w:w="109"/>
        <w:gridCol w:w="109"/>
        <w:gridCol w:w="109"/>
        <w:gridCol w:w="254"/>
        <w:gridCol w:w="618"/>
        <w:gridCol w:w="131"/>
        <w:gridCol w:w="131"/>
        <w:gridCol w:w="131"/>
        <w:gridCol w:w="131"/>
        <w:gridCol w:w="254"/>
        <w:gridCol w:w="618"/>
        <w:gridCol w:w="131"/>
        <w:gridCol w:w="109"/>
        <w:gridCol w:w="109"/>
        <w:gridCol w:w="109"/>
        <w:gridCol w:w="236"/>
        <w:gridCol w:w="573"/>
        <w:gridCol w:w="121"/>
        <w:gridCol w:w="121"/>
        <w:gridCol w:w="121"/>
        <w:gridCol w:w="121"/>
        <w:gridCol w:w="236"/>
        <w:gridCol w:w="573"/>
        <w:gridCol w:w="185"/>
      </w:tblGrid>
      <w:tr>
        <w:trPr/>
        <w:tc>
          <w:tcPr>
            <w:tcW w:w="103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leased assets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pPr>
      <w:r>
        <w:rPr>
          <w:rFonts w:ascii="Times New Roman;serif" w:hAnsi="Times New Roman;serif"/>
          <w:b w:val="false"/>
          <w:color w:val="000000"/>
          <w:sz w:val="20"/>
        </w:rPr>
        <w:t xml:space="preserve">(1)Includes variable lease costs of </w:t>
      </w:r>
      <w:r>
        <w:rPr>
          <w:rFonts w:ascii="Times New Roman;serif" w:hAnsi="Times New Roman;serif"/>
          <w:b w:val="false"/>
          <w:color w:val="000000"/>
          <w:sz w:val="20"/>
          <w:shd w:fill="FFFFFF" w:val="clear"/>
        </w:rPr>
        <w:t>$2.1 million</w:t>
      </w:r>
      <w:r>
        <w:rPr>
          <w:color w:val="000000"/>
        </w:rPr>
        <w:t xml:space="preserve"> </w:t>
      </w:r>
      <w:r>
        <w:rPr>
          <w:rFonts w:ascii="Times New Roman;serif" w:hAnsi="Times New Roman;serif"/>
          <w:b w:val="false"/>
          <w:color w:val="000000"/>
          <w:sz w:val="20"/>
        </w:rPr>
        <w:t xml:space="preserve">and $1.7 million for the three months ended June 30, 2026 and 2025, respectively, $4.1 million and $3.3 million for the six months ended June 30, 2026 and 2025, respectively, short-term lease costs of $0.4 million and $0.3 million for the three months ended June 30, 2026 and 2025, respectively, and $0.9 million and $0.8 million for the six months ended June 30, 2026 and 2025, respectively. </w:t>
      </w:r>
    </w:p>
    <w:p>
      <w:pPr>
        <w:pStyle w:val="TextBody"/>
        <w:bidi w:val="0"/>
        <w:spacing w:lineRule="auto" w:line="288" w:before="1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(2)Includes variable lease costs of $0.1 million and $0.2 million for the three months ended June 30, 2026 and 2025, respectively, and $0.2 million and $0.4 million for the six months ended June 30, 2026 and 2025, respectively.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Information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supplemental cash flow information related to leases (in millions):</w:t>
      </w:r>
    </w:p>
    <w:tbl>
      <w:tblPr>
        <w:tblW w:w="10205" w:type="dxa"/>
        <w:jc w:val="center"/>
        <w:tblInd w:w="0" w:type="dxa"/>
        <w:tblLayout w:type="fixed"/>
        <w:tblCellMar>
          <w:top w:w="28" w:type="dxa"/>
          <w:left w:w="28" w:type="dxa"/>
          <w:bottom w:w="28" w:type="dxa"/>
          <w:right w:w="28" w:type="dxa"/>
        </w:tblCellMar>
      </w:tblPr>
      <w:tblGrid>
        <w:gridCol w:w="1887"/>
        <w:gridCol w:w="1654"/>
        <w:gridCol w:w="1663"/>
        <w:gridCol w:w="267"/>
        <w:gridCol w:w="515"/>
        <w:gridCol w:w="138"/>
        <w:gridCol w:w="138"/>
        <w:gridCol w:w="138"/>
        <w:gridCol w:w="138"/>
        <w:gridCol w:w="267"/>
        <w:gridCol w:w="648"/>
        <w:gridCol w:w="138"/>
        <w:gridCol w:w="109"/>
        <w:gridCol w:w="109"/>
        <w:gridCol w:w="109"/>
        <w:gridCol w:w="236"/>
        <w:gridCol w:w="573"/>
        <w:gridCol w:w="121"/>
        <w:gridCol w:w="121"/>
        <w:gridCol w:w="121"/>
        <w:gridCol w:w="121"/>
        <w:gridCol w:w="236"/>
        <w:gridCol w:w="573"/>
        <w:gridCol w:w="185"/>
      </w:tblGrid>
      <w:tr>
        <w:trPr/>
        <w:tc>
          <w:tcPr>
            <w:tcW w:w="188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Undiscounted Cash Flows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cash flows for each of the first five years and total of the remaining years for the finance lease obligations and operating lease obligations recorded on the Condensed Consolidated Balance Sheets as of June 30, 2026 (in millions):</w:t>
      </w:r>
    </w:p>
    <w:tbl>
      <w:tblPr>
        <w:tblW w:w="9929" w:type="dxa"/>
        <w:jc w:val="left"/>
        <w:tblInd w:w="0" w:type="dxa"/>
        <w:tblLayout w:type="fixed"/>
        <w:tblCellMar>
          <w:top w:w="28" w:type="dxa"/>
          <w:left w:w="28" w:type="dxa"/>
          <w:bottom w:w="28" w:type="dxa"/>
          <w:right w:w="28" w:type="dxa"/>
        </w:tblCellMar>
      </w:tblPr>
      <w:tblGrid>
        <w:gridCol w:w="1460"/>
        <w:gridCol w:w="1282"/>
        <w:gridCol w:w="1292"/>
        <w:gridCol w:w="388"/>
        <w:gridCol w:w="747"/>
        <w:gridCol w:w="201"/>
        <w:gridCol w:w="109"/>
        <w:gridCol w:w="109"/>
        <w:gridCol w:w="109"/>
        <w:gridCol w:w="304"/>
        <w:gridCol w:w="738"/>
        <w:gridCol w:w="159"/>
        <w:gridCol w:w="109"/>
        <w:gridCol w:w="109"/>
        <w:gridCol w:w="109"/>
        <w:gridCol w:w="211"/>
        <w:gridCol w:w="616"/>
        <w:gridCol w:w="109"/>
        <w:gridCol w:w="109"/>
        <w:gridCol w:w="109"/>
        <w:gridCol w:w="109"/>
        <w:gridCol w:w="347"/>
        <w:gridCol w:w="840"/>
        <w:gridCol w:w="254"/>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Operating</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 under leases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250"/>
                <wp:effectExtent l="0" t="0" r="0" b="0"/>
                <wp:wrapNone/>
                <wp:docPr id="16" name="Frame1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 FAIR VALUE MEASUREMENTS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 and Liabilities Measured at Fair Value on a Recurring Basis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many cases, a valuation technique used to measure fair value includes inputs from multiple levels of the fair value hierarchy. The lowest level of significant input determines the placement of the entire fair value measurement in the hierarchy. During the periods presented, there were no transfers between fair value hierarchical levels.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 Measured at Fair Value on a Nonrecurring Basis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assets, specifically other intangible and long-lived assets, are measured at fair value on a nonrecurring basis in periods subsequent to initial recognition. Assets measured at fair value on a nonrecurring basis as of June 30, 2026 and December 31, 2025 are categorized based on the lowest level of significant input to the valuation. The assets are measured at fair value when our impairment assessment indicates a carrying value for each of the assets in excess of the asset’s estimated fair value. Undiscounted cash flows, a Level 3 input, are utilized in determining estimated fair values. During the three and six months ended June 30, 2026 and 2025, we did not record any impairments on these assets required to be measured at fair value on a nonrecurring basis.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Estimated Fair Value of Financial Instruments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accounts payable and accrued liabilities as of June 30, 2026 and December 31, 2025 approximate fair value due to the short-term maturities of these financial instruments. The carrying amounts of certain long-term debt, including the Term Loan and ABL Revolver as of June 30, 2026 and December 31, 2025, approximate fair value due to the variable rate nature of the agreements. The carrying amounts of our operating lease right-of-use assets and the obligations associated with our operating and finance leases as well as our vehicle and equipment notes approximate fair value as of June 30, 2026 and December 31, 2025. All debt classifications represent Level 2 fair value measurements. Derivative financial instruments are measured at fair value based on observable market information and appropriate valuation methods.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liabilities arise from future earnout payments to the sellers associated with certain acquisitions and are based on predetermined calculations of certain future results. These future payments are estimated by considering various factors, including business risk and projections. The contingent consideration liabilities are measured at fair value by discounting estimated future payments, calculated based on a weighted average of various future forecast scenarios, to their net present value.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financial assets and liabilities that are recorded at fair value in the Condensed Consolidated Balance Sheets and not described above were as follows (in millions):</w:t>
      </w:r>
    </w:p>
    <w:tbl>
      <w:tblPr>
        <w:tblW w:w="10213" w:type="dxa"/>
        <w:jc w:val="left"/>
        <w:tblInd w:w="0" w:type="dxa"/>
        <w:tblLayout w:type="fixed"/>
        <w:tblCellMar>
          <w:top w:w="28" w:type="dxa"/>
          <w:left w:w="28" w:type="dxa"/>
          <w:bottom w:w="28" w:type="dxa"/>
          <w:right w:w="28" w:type="dxa"/>
        </w:tblCellMar>
      </w:tblPr>
      <w:tblGrid>
        <w:gridCol w:w="666"/>
        <w:gridCol w:w="282"/>
        <w:gridCol w:w="283"/>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Note 5, Cash and Cash Equivalents, for more information on money market funds included in the table above. Also see Note 11, Derivatives and Hedging Activities, for more information on derivative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0250"/>
                <wp:effectExtent l="0" t="0" r="0" b="0"/>
                <wp:wrapNone/>
                <wp:docPr id="17" name="Frame1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contingent consideration (a Level 3 input) was as follows (in millions):</w:t>
      </w:r>
    </w:p>
    <w:tbl>
      <w:tblPr>
        <w:tblW w:w="5121" w:type="dxa"/>
        <w:jc w:val="center"/>
        <w:tblInd w:w="0" w:type="dxa"/>
        <w:tblLayout w:type="fixed"/>
        <w:tblCellMar>
          <w:top w:w="28" w:type="dxa"/>
          <w:left w:w="28" w:type="dxa"/>
          <w:bottom w:w="28" w:type="dxa"/>
          <w:right w:w="28" w:type="dxa"/>
        </w:tblCellMar>
      </w:tblPr>
      <w:tblGrid>
        <w:gridCol w:w="1576"/>
        <w:gridCol w:w="1385"/>
        <w:gridCol w:w="1389"/>
        <w:gridCol w:w="211"/>
        <w:gridCol w:w="40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 -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purchase price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in value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 -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accretion in value of contingent consideration liabilities is included within administrative expenses on the Condensed Consolidated Statements of Operations and Comprehensive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and associated fair value of financial liabilities that are not recorded at fair value in the Condensed Consolidated Balance Sheets and not described above include our Senior Notes. To estimate the fair value of our Senior Notes, we utilized third-party quotes which are derived all or in part from model prices, external sources or market prices. The Senior Notes represent a Level 2 fair value measurement and are as follows (in millions):</w:t>
      </w:r>
    </w:p>
    <w:tbl>
      <w:tblPr>
        <w:tblW w:w="7402" w:type="dxa"/>
        <w:jc w:val="left"/>
        <w:tblInd w:w="0" w:type="dxa"/>
        <w:tblLayout w:type="fixed"/>
        <w:tblCellMar>
          <w:top w:w="28" w:type="dxa"/>
          <w:left w:w="28" w:type="dxa"/>
          <w:bottom w:w="28" w:type="dxa"/>
          <w:right w:w="28" w:type="dxa"/>
        </w:tblCellMar>
      </w:tblPr>
      <w:tblGrid>
        <w:gridCol w:w="646"/>
        <w:gridCol w:w="566"/>
        <w:gridCol w:w="572"/>
        <w:gridCol w:w="392"/>
        <w:gridCol w:w="755"/>
        <w:gridCol w:w="204"/>
        <w:gridCol w:w="109"/>
        <w:gridCol w:w="109"/>
        <w:gridCol w:w="109"/>
        <w:gridCol w:w="274"/>
        <w:gridCol w:w="529"/>
        <w:gridCol w:w="142"/>
        <w:gridCol w:w="109"/>
        <w:gridCol w:w="109"/>
        <w:gridCol w:w="109"/>
        <w:gridCol w:w="304"/>
        <w:gridCol w:w="889"/>
        <w:gridCol w:w="158"/>
        <w:gridCol w:w="109"/>
        <w:gridCol w:w="109"/>
        <w:gridCol w:w="109"/>
        <w:gridCol w:w="213"/>
        <w:gridCol w:w="622"/>
        <w:gridCol w:w="155"/>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2028 Senior Notes</w:t>
            </w:r>
            <w:r>
              <w:rPr>
                <w:rFonts w:ascii="Times New Roman;serif" w:hAnsi="Times New Roman;serif"/>
                <w:b w:val="false"/>
                <w:color w:val="000000"/>
                <w:sz w:val="13"/>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2034 Senior Notes</w:t>
            </w:r>
            <w:r>
              <w:rPr>
                <w:rFonts w:ascii="Times New Roman;serif" w:hAnsi="Times New Roman;serif"/>
                <w:b w:val="false"/>
                <w:color w:val="000000"/>
                <w:sz w:val="13"/>
              </w:rPr>
              <w:t>(1)</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(1)Excludes the impact of unamortized debt issuance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Note 7, Long-Term Debt, for more information on our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 INFORMATION ON SEGMENTS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Chief Operating Decision Maker ("CODM") who reviews financial information for each of our three operating segments, consisting of Installation, Distribution and Manufacturing, for the purpose of assessing business performance, managing the business and allocating resources.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Installation operating segment represents the majority of our net revenue and gross profit and forms our one reportable segment. This operating segment represents the service-based installation of insulation and complementary building products in the residential new construction, repair and remodel and commercial construction end markets from our national network of branch locations. These branch locations have similar economic and operating characteristics including the nature of products and services offered, operating procedures and risks, customer bases, employee incentives, material procurement and shared corporate resources which led us to conclude that they combine to form one operating segment.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Other category reported below reflects the operations of our two remaining operating segments, Distribution and Manufacturing, which do not meet the quantitative thresholds for separate reporting. Our Distribution operating segment includes our distribution businesses that sell insulation, gutters and accessories primarily to installers of these products who operate in multiple end markets. Our Manufacturing operating segment consists of our manufacturing operations which produce cellulose insulation, asphalt fibers, industrial fibers and tempered glass products to sell to distributors and installers of these products.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Installation reportable segment includes substantially all of our net revenue from services while net revenue included in the Other category includes substantially all of our net revenue from sales of products. The intercompany sales from the Other category to the Installation reportable segment include a profit margin while our Installation segment records these transactions at cost. These transactions are shown in the reconciliation of revenue and segment gross profit below.</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key metrics used by our CODM to assess performance, review results and allocate resources of our operating segments are revenue and segment gross profit. Our CODM evaluates performance through reviews of revenue and segment gross profit to monitor budget versus actual results, which informs resource allocation and management decisions. We define segment gross profit as revenue less cost of sales, excluding depreciation and amortization. We do not report depreciation, amortization, operating expenses, other expense, net or total assets by segment because our CODM does not regularly receive or use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0250"/>
                <wp:effectExtent l="0" t="0" r="0" b="0"/>
                <wp:wrapNone/>
                <wp:docPr id="18" name="Frame1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information at a disaggregated level. The following tables represent our Installation segment information for the three and six months ended June 30, 2026 and 2025 (in millions):</w:t>
      </w:r>
    </w:p>
    <w:tbl>
      <w:tblPr>
        <w:tblW w:w="10205" w:type="dxa"/>
        <w:jc w:val="center"/>
        <w:tblInd w:w="0" w:type="dxa"/>
        <w:tblLayout w:type="fixed"/>
        <w:tblCellMar>
          <w:top w:w="28" w:type="dxa"/>
          <w:left w:w="28" w:type="dxa"/>
          <w:bottom w:w="28" w:type="dxa"/>
          <w:right w:w="28" w:type="dxa"/>
        </w:tblCellMar>
      </w:tblPr>
      <w:tblGrid>
        <w:gridCol w:w="1628"/>
        <w:gridCol w:w="1425"/>
        <w:gridCol w:w="1432"/>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8"/>
      </w:tblGrid>
      <w:tr>
        <w:trPr/>
        <w:tc>
          <w:tcPr>
            <w:tcW w:w="162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Installation segment cost of sales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gross profit percentage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gross profit percentage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gross profit percentage, as reported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(1)Cost of sales included in the Installation segment gross profit is exclusive of depreciation and amortization for the three and six months ended June 30, 2026 and 2025.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Installation revenue and segment gross profit for each period as shown in the table above to consolidated net revenue and income before income taxes is as follows (in millions):</w:t>
      </w:r>
    </w:p>
    <w:tbl>
      <w:tblPr>
        <w:tblW w:w="8926" w:type="dxa"/>
        <w:jc w:val="center"/>
        <w:tblInd w:w="0" w:type="dxa"/>
        <w:tblLayout w:type="fixed"/>
        <w:tblCellMar>
          <w:top w:w="28" w:type="dxa"/>
          <w:left w:w="28" w:type="dxa"/>
          <w:bottom w:w="28" w:type="dxa"/>
          <w:right w:w="28" w:type="dxa"/>
        </w:tblCellMar>
      </w:tblPr>
      <w:tblGrid>
        <w:gridCol w:w="1299"/>
        <w:gridCol w:w="1141"/>
        <w:gridCol w:w="1145"/>
        <w:gridCol w:w="237"/>
        <w:gridCol w:w="693"/>
        <w:gridCol w:w="122"/>
        <w:gridCol w:w="122"/>
        <w:gridCol w:w="122"/>
        <w:gridCol w:w="122"/>
        <w:gridCol w:w="237"/>
        <w:gridCol w:w="693"/>
        <w:gridCol w:w="122"/>
        <w:gridCol w:w="109"/>
        <w:gridCol w:w="109"/>
        <w:gridCol w:w="109"/>
        <w:gridCol w:w="211"/>
        <w:gridCol w:w="766"/>
        <w:gridCol w:w="109"/>
        <w:gridCol w:w="109"/>
        <w:gridCol w:w="109"/>
        <w:gridCol w:w="109"/>
        <w:gridCol w:w="211"/>
        <w:gridCol w:w="76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revenue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 </w:t>
            </w:r>
            <w:r>
              <w:rPr>
                <w:rFonts w:ascii="Times New Roman;serif" w:hAnsi="Times New Roman;serif"/>
                <w:b w:val="false"/>
                <w:color w:val="000000"/>
                <w:sz w:val="13"/>
              </w:rPr>
              <w:t>(1)</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gross profit:</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gross profit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gross profit </w:t>
            </w:r>
            <w:r>
              <w:rPr>
                <w:rFonts w:ascii="Times New Roman;serif" w:hAnsi="Times New Roman;serif"/>
                <w:b w:val="false"/>
                <w:color w:val="000000"/>
                <w:sz w:val="13"/>
              </w:rPr>
              <w:t>(1)</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gross profit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gross profit, as reported</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(1)Other revenue and other gross profit include the remaining two operating segments, Distribution and Manufacturing before inter-segment eliminations. These operating segments are each below the quantitative thresholds for being reported as a reportable segment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 DERIVATIVES AND HEDGING ACTIVITIES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 of Interest Rate Risk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purpose for using interest rate derivatives is to add stability to interest expense and to manage our exposure to interest rate movements. During the six months ended June 30, 2026, we used interest rate swaps to hedge the variable cash flows associated with existing variable-rate debt. Interest rate swaps designated as cash flow hedges involve the receipt of variable amounts from a counterparty in exchange for making fixed-rate payments over the life of the agreements without exchange of the underlying notional amount. We do not use derivatives for trading or speculative purposes and we currently do not have any derivatives that are not designated as hedges. As of June 30, 2026, we have not posted any collateral related to these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0250"/>
                <wp:effectExtent l="0" t="0" r="0" b="0"/>
                <wp:wrapNone/>
                <wp:docPr id="19" name="Frame1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the following interest rate swap derivatives (notional amounts in millions):</w:t>
      </w:r>
    </w:p>
    <w:tbl>
      <w:tblPr>
        <w:tblW w:w="6989"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509"/>
        <w:gridCol w:w="509"/>
        <w:gridCol w:w="511"/>
        <w:gridCol w:w="109"/>
        <w:gridCol w:w="109"/>
        <w:gridCol w:w="109"/>
        <w:gridCol w:w="255"/>
        <w:gridCol w:w="256"/>
        <w:gridCol w:w="550"/>
        <w:gridCol w:w="109"/>
        <w:gridCol w:w="109"/>
        <w:gridCol w:w="109"/>
        <w:gridCol w:w="504"/>
        <w:gridCol w:w="504"/>
        <w:gridCol w:w="716"/>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14, 2028</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14, 2028</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our two active interest rate swaps serve to hedge $400.0 million of the variable cash flows on our variable rate Term Loan through December 14, 2028. The assets associated with these interest rate swaps are included in other current assets and other non-current assets on the Condensed Consolidated Balance Sheets at their fair value amounts as described in Note 9, Fair Value Measurements.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of our amended interest rate swaps that had original maturity dates of April 15, 2030 and December 15, 2028 matured on December 31, 2025. The unrealized gains included in accumulated other comprehensive income associated with the July 2022 amendment of these interest rate swaps will be amortized as a decrease to interest expense, net through their original maturity dates. Accordingly, for each of the three months ended June 30, 2026 and 2025, we amortized $1.8 million, respectively, and for each of the six months ended June 30, 2026 and 2025, we amortized $3.5 million, respectively, of the remaining unrealized gains as a decrease to interest expense, net.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Additionally, due to the off-market terms at inception of these matured interest rate swaps, we amortized $1.8 million and $3.7 million, respectively, of the other-than-insignificant financing element during the three and six months ended June 30, 2025 as an increase to interest expense, net. During the three and six months ended June 30, 2025, we amortized $0.2 million and $1.2 million, respectively, of the remaining unrealized losses associated with the August 2020 terminated swaps as an increase to interest expense, net. All unrealized losses were fully amortized as of April 15, 2025, and the other-than-insignificant financing element was fully amortized as of December 31,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fair value of derivatives designated, and that qualify, as cash flow hedges are recorded in other comprehensive income (loss), net of tax on the Condensed Consolidated Statements of Operations and Comprehensive Income and in accumulated other comprehensive income on the Condensed Consolidated Balance Sheets and subsequently reclassified into earnings in the period that the hedged forecasted transaction affects earnings. We had no such changes during the six months ended June 30, 2026 and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accumulated other comprehensive income related to derivatives will be reclassified to interest expense, net as interest payments are made on our variable-rate debt, and as our unrealized gains from swap amendments are amortized. Over the next twelve months, we estimate that an additional $10.6 million will be reclassified as a decrease to interest expense,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amounts recorded to interest expense, net included in the Condensed Consolidated Statements of Operations and Comprehensive Income related to our interest rate swaps (in millions):</w:t>
      </w:r>
    </w:p>
    <w:tbl>
      <w:tblPr>
        <w:tblW w:w="10205" w:type="dxa"/>
        <w:jc w:val="center"/>
        <w:tblInd w:w="0" w:type="dxa"/>
        <w:tblLayout w:type="fixed"/>
        <w:tblCellMar>
          <w:top w:w="28" w:type="dxa"/>
          <w:left w:w="28" w:type="dxa"/>
          <w:bottom w:w="28" w:type="dxa"/>
          <w:right w:w="28" w:type="dxa"/>
        </w:tblCellMar>
      </w:tblPr>
      <w:tblGrid>
        <w:gridCol w:w="1939"/>
        <w:gridCol w:w="1684"/>
        <w:gridCol w:w="1690"/>
        <w:gridCol w:w="258"/>
        <w:gridCol w:w="577"/>
        <w:gridCol w:w="132"/>
        <w:gridCol w:w="132"/>
        <w:gridCol w:w="132"/>
        <w:gridCol w:w="132"/>
        <w:gridCol w:w="258"/>
        <w:gridCol w:w="577"/>
        <w:gridCol w:w="132"/>
        <w:gridCol w:w="109"/>
        <w:gridCol w:w="109"/>
        <w:gridCol w:w="109"/>
        <w:gridCol w:w="240"/>
        <w:gridCol w:w="536"/>
        <w:gridCol w:w="124"/>
        <w:gridCol w:w="124"/>
        <w:gridCol w:w="124"/>
        <w:gridCol w:w="124"/>
        <w:gridCol w:w="240"/>
        <w:gridCol w:w="536"/>
        <w:gridCol w:w="187"/>
      </w:tblGrid>
      <w:tr>
        <w:trPr/>
        <w:tc>
          <w:tcPr>
            <w:tcW w:w="193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associated with swap net settlements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associated with amortization of amended/terminated swaps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0250"/>
                <wp:effectExtent l="0" t="0" r="0" b="0"/>
                <wp:wrapNone/>
                <wp:docPr id="20" name="Frame2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 STOCKHOLDERS’ EQUITY</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Accumulated other comprehensive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 in accumulated other comprehensive income related to our interest rate derivatives, net of taxes, was as follows (in millions):</w:t>
      </w:r>
    </w:p>
    <w:tbl>
      <w:tblPr>
        <w:tblW w:w="10174" w:type="dxa"/>
        <w:jc w:val="center"/>
        <w:tblInd w:w="0" w:type="dxa"/>
        <w:tblLayout w:type="fixed"/>
        <w:tblCellMar>
          <w:top w:w="28" w:type="dxa"/>
          <w:left w:w="28" w:type="dxa"/>
          <w:bottom w:w="28" w:type="dxa"/>
          <w:right w:w="28" w:type="dxa"/>
        </w:tblCellMar>
      </w:tblPr>
      <w:tblGrid>
        <w:gridCol w:w="1831"/>
        <w:gridCol w:w="1607"/>
        <w:gridCol w:w="1616"/>
        <w:gridCol w:w="262"/>
        <w:gridCol w:w="636"/>
        <w:gridCol w:w="135"/>
        <w:gridCol w:w="135"/>
        <w:gridCol w:w="135"/>
        <w:gridCol w:w="135"/>
        <w:gridCol w:w="262"/>
        <w:gridCol w:w="636"/>
        <w:gridCol w:w="135"/>
        <w:gridCol w:w="109"/>
        <w:gridCol w:w="109"/>
        <w:gridCol w:w="109"/>
        <w:gridCol w:w="241"/>
        <w:gridCol w:w="584"/>
        <w:gridCol w:w="124"/>
        <w:gridCol w:w="124"/>
        <w:gridCol w:w="124"/>
        <w:gridCol w:w="124"/>
        <w:gridCol w:w="241"/>
        <w:gridCol w:w="584"/>
        <w:gridCol w:w="176"/>
      </w:tblGrid>
      <w:tr>
        <w:trPr/>
        <w:tc>
          <w:tcPr>
            <w:tcW w:w="18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gain at beginning of period</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in fair value of interest rate derivatives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of realized net (gains) losses to earnings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gain at end of period</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reclassifications of realized net (gains) losses to earnings in the above table are recorded within interest expense, net.</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 repurchases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repurchased approximately 365 thousand shares of our common stock with an aggregate price of approximately $76.2 million, or $208.66 price per share. Repurchases during the six months ended June 30, 2026 amounted to 456 thousand shares of our common stock with an aggregate price of approximately $101.7 million, or $222.97 average price per share. The effect of these treasury shares in reducing the number of common shares outstanding is reflected in our earnings per share calculation. During the three months ended June 30, 2025, we repurchased 300 thousand shares of our common stock with an aggregate price of approximately $49.2 million, or $163.86 price per share. Repurchases during the six months ended June 30, 2025 amounted to 500 thousand shares of our common stock with an aggregate price of approximately $83.5 million, or $166.90 average price per share.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we announced that our board of directors authorized a new stock repurchase program that allows for the repurchase of up to $500.0 million of our outstanding common stock. The new program replaces the previous program and is in effect through March 1, 2027.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declared and paid the following cash dividends (amount declared and amount paid in millions):</w:t>
      </w:r>
    </w:p>
    <w:tbl>
      <w:tblPr>
        <w:tblW w:w="9865"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369"/>
        <w:gridCol w:w="369"/>
        <w:gridCol w:w="371"/>
        <w:gridCol w:w="109"/>
        <w:gridCol w:w="109"/>
        <w:gridCol w:w="109"/>
        <w:gridCol w:w="409"/>
        <w:gridCol w:w="409"/>
        <w:gridCol w:w="411"/>
        <w:gridCol w:w="109"/>
        <w:gridCol w:w="109"/>
        <w:gridCol w:w="109"/>
        <w:gridCol w:w="422"/>
        <w:gridCol w:w="1023"/>
        <w:gridCol w:w="219"/>
        <w:gridCol w:w="109"/>
        <w:gridCol w:w="109"/>
        <w:gridCol w:w="109"/>
        <w:gridCol w:w="388"/>
        <w:gridCol w:w="941"/>
        <w:gridCol w:w="200"/>
        <w:gridCol w:w="109"/>
        <w:gridCol w:w="109"/>
        <w:gridCol w:w="109"/>
        <w:gridCol w:w="292"/>
        <w:gridCol w:w="709"/>
        <w:gridCol w:w="21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Paid</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declared and paid the following cash dividends (amount declared and amount paid in millions):</w:t>
      </w:r>
    </w:p>
    <w:tbl>
      <w:tblPr>
        <w:tblW w:w="9865" w:type="dxa"/>
        <w:jc w:val="center"/>
        <w:tblInd w:w="0" w:type="dxa"/>
        <w:tblLayout w:type="fixed"/>
        <w:tblCellMar>
          <w:top w:w="28" w:type="dxa"/>
          <w:left w:w="28" w:type="dxa"/>
          <w:bottom w:w="28" w:type="dxa"/>
          <w:right w:w="28" w:type="dxa"/>
        </w:tblCellMar>
      </w:tblPr>
      <w:tblGrid>
        <w:gridCol w:w="538"/>
        <w:gridCol w:w="472"/>
        <w:gridCol w:w="475"/>
        <w:gridCol w:w="109"/>
        <w:gridCol w:w="109"/>
        <w:gridCol w:w="109"/>
        <w:gridCol w:w="369"/>
        <w:gridCol w:w="369"/>
        <w:gridCol w:w="371"/>
        <w:gridCol w:w="109"/>
        <w:gridCol w:w="109"/>
        <w:gridCol w:w="109"/>
        <w:gridCol w:w="409"/>
        <w:gridCol w:w="409"/>
        <w:gridCol w:w="411"/>
        <w:gridCol w:w="109"/>
        <w:gridCol w:w="109"/>
        <w:gridCol w:w="109"/>
        <w:gridCol w:w="422"/>
        <w:gridCol w:w="1023"/>
        <w:gridCol w:w="219"/>
        <w:gridCol w:w="109"/>
        <w:gridCol w:w="109"/>
        <w:gridCol w:w="109"/>
        <w:gridCol w:w="388"/>
        <w:gridCol w:w="941"/>
        <w:gridCol w:w="200"/>
        <w:gridCol w:w="109"/>
        <w:gridCol w:w="109"/>
        <w:gridCol w:w="109"/>
        <w:gridCol w:w="292"/>
        <w:gridCol w:w="709"/>
        <w:gridCol w:w="21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Paid</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of dividends declared may vary from the amount of dividends paid in a period due to the vesting of restricted stock awards and performance share awards, which accrue dividend equivalent rights that are paid when the award vests. During the six months ended June 30, 2026 and 2025, we also paid $0.7 million and $0.8 million, respectively, in accrued dividends not included in the table above related to the vesting of these awards. The payment of future dividends will be at the discretion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0250"/>
                <wp:effectExtent l="0" t="0" r="0" b="0"/>
                <wp:wrapNone/>
                <wp:docPr id="21" name="Frame2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and will depend on our future earnings, capital requirements, financial condition, future prospects, results of operations, contractual restrictions, legal requirements, and other factors deemed relevant by our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13 - EMPLOYEE BENEFITS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Healthcare</w:t>
      </w:r>
    </w:p>
    <w:p>
      <w:pPr>
        <w:pStyle w:val="TextBody"/>
        <w:bidi w:val="0"/>
        <w:spacing w:lineRule="auto" w:line="288" w:before="180" w:after="283"/>
        <w:jc w:val="left"/>
        <w:rPr/>
      </w:pPr>
      <w:r>
        <w:rPr>
          <w:rFonts w:ascii="Times New Roman;serif" w:hAnsi="Times New Roman;serif"/>
          <w:b w:val="false"/>
          <w:color w:val="000000"/>
          <w:sz w:val="20"/>
        </w:rPr>
        <w:t xml:space="preserve">We participate in multiple healthcare plans, the largest of which is partially self-funded with an insurance company paying benefits in excess of stop loss limits per individual/family. Our healthcare benefit expense (net of employee contributions) was $11.7 million and $8.8 million for the three months ended June 30, 2026 and 2025, respectively, and $22.6 million and $16.7 million for the six months ended June 30, 2026 and 2025. respectively. An accrual for estimated healthcare claims incurred but not reported (“IBNR”) is included within accrued compensation on the Condensed Consolidated Balance Sheets and was </w:t>
      </w:r>
      <w:r>
        <w:rPr>
          <w:rFonts w:ascii="Times New Roman;serif" w:hAnsi="Times New Roman;serif"/>
          <w:b w:val="false"/>
          <w:color w:val="000000"/>
          <w:sz w:val="20"/>
          <w:shd w:fill="FFFFFF" w:val="clear"/>
        </w:rPr>
        <w:t>$5.0 million</w:t>
      </w:r>
      <w:r>
        <w:rPr>
          <w:color w:val="000000"/>
        </w:rPr>
        <w:t xml:space="preserve"> </w:t>
      </w:r>
      <w:r>
        <w:rPr>
          <w:rFonts w:ascii="Times New Roman;serif" w:hAnsi="Times New Roman;serif"/>
          <w:b w:val="false"/>
          <w:color w:val="000000"/>
          <w:sz w:val="20"/>
        </w:rPr>
        <w:t>and $4.9 million as of June 30, 2026 and December 31, 2025, respectively.</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Workers’ Compensation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 expense totaled $3.1 million and $5.4 million for the three months ended June 30, 2026 and 2025, respectively, and $9.0 million and $11.8 million for six months ended June 30, 2026 and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 known claims and IBNR reserves included on the Condensed Consolidated Balance Sheets were as follows (in millions):</w:t>
      </w:r>
    </w:p>
    <w:tbl>
      <w:tblPr>
        <w:tblW w:w="6476" w:type="dxa"/>
        <w:jc w:val="center"/>
        <w:tblInd w:w="0" w:type="dxa"/>
        <w:tblLayout w:type="fixed"/>
        <w:tblCellMar>
          <w:top w:w="28" w:type="dxa"/>
          <w:left w:w="28" w:type="dxa"/>
          <w:bottom w:w="28" w:type="dxa"/>
          <w:right w:w="28" w:type="dxa"/>
        </w:tblCellMar>
      </w:tblPr>
      <w:tblGrid>
        <w:gridCol w:w="1151"/>
        <w:gridCol w:w="1013"/>
        <w:gridCol w:w="1016"/>
        <w:gridCol w:w="316"/>
        <w:gridCol w:w="766"/>
        <w:gridCol w:w="163"/>
        <w:gridCol w:w="109"/>
        <w:gridCol w:w="109"/>
        <w:gridCol w:w="109"/>
        <w:gridCol w:w="414"/>
        <w:gridCol w:w="1005"/>
        <w:gridCol w:w="30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long-term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had insurance receivables included on the Condensed Consolidated Balance Sheets that, in aggregate, offset equal liabilities included within the reserve amounts noted above and were as follows (in millions):</w:t>
      </w:r>
    </w:p>
    <w:tbl>
      <w:tblPr>
        <w:tblW w:w="6311" w:type="dxa"/>
        <w:jc w:val="center"/>
        <w:tblInd w:w="0" w:type="dxa"/>
        <w:tblLayout w:type="fixed"/>
        <w:tblCellMar>
          <w:top w:w="28" w:type="dxa"/>
          <w:left w:w="28" w:type="dxa"/>
          <w:bottom w:w="28" w:type="dxa"/>
          <w:right w:w="28" w:type="dxa"/>
        </w:tblCellMar>
      </w:tblPr>
      <w:tblGrid>
        <w:gridCol w:w="1092"/>
        <w:gridCol w:w="959"/>
        <w:gridCol w:w="964"/>
        <w:gridCol w:w="362"/>
        <w:gridCol w:w="696"/>
        <w:gridCol w:w="187"/>
        <w:gridCol w:w="109"/>
        <w:gridCol w:w="109"/>
        <w:gridCol w:w="109"/>
        <w:gridCol w:w="470"/>
        <w:gridCol w:w="908"/>
        <w:gridCol w:w="346"/>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non-current assets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Retirement Plans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participate in multiple 401(k) plans, whereby we provide a matching contribution of wages deferred by employees and can also make discretionary contributions to each plan. Certain plans allow for discretionary employer contributions only. These plans cover substantially all our eligible employees. We recognized 401(k) plan expenses of $1.0 million and $0.9 million for the three months ended June 30, 2026 and 2025, respectively, and $2.1 million and $2.0 million for the six months ended June 30, 2026 and 2025, respectively. These expenses are included in administrative expenses on the accompanying Condensed Consolidated Statements of Operations and Comprehensive Income.</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Multiemployer Pension Plans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participate in various multiemployer pension plans under collective bargaining agreements in Washington, Oregon, California and Illinois with other companies in the construction industry. These plans cover our union-represented employees and contributions to these plans are expensed as incurred. These plans generally provide for retirement, death and/or termination benefits for eligible employees within the applicable collective bargaining units, based on specific eligibility/participation requirements, vesting periods and benefit formulas. We do not participate in any multiemployer pension plans that are considered to be individually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0250"/>
                <wp:effectExtent l="0" t="0" r="0" b="0"/>
                <wp:wrapNone/>
                <wp:docPr id="22" name="Frame2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Share-Based Compensation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Common Stock Awards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grant shares of our common stock to non-employee members of our board of directors and our employees. During the three and six months ended June 30, 2026 and 2025, we granted approximately six thousand and five thousand shares, respectively, under our 2023 Omnibus Incentive Plan to non-employee members of our board of directors.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granted approximately 29 thousand and 30 thousand shares of our common stock to employees during the three and six months ended June 30, 2026, respectively, and 45 thousand and 63 thousand during the three and six months ended June 30, 2025, respectively, exclusive of the issuance of liability-based awards disclosed below.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Employees – Performance-Based Stock Awards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issued approximately 43 thousand shares of our common stock to certain officers, which vest in two equal installments on each of April 20, 2027 and April 20, 2028. In addition, during the six months ended June 30, 2026, we established, and our board of directors approved, performance-based targets in connection with common stock awards to be issued to certain officers in 2027 contingent upon achievement of these targets.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are various performance-based bonus plans for certain employees to be issued through the 2029 performance period that are accounted for as liability-based awards since they represent a predominantly-fixed monetary amount that will be settled with a variable number of common shares contingent upon achievement of certain performance targets. During the three and six months ended June 30, 2026, we issued approximately three thousand and five thousand shares of our common stock, respectively, to certain employees under one of the bonus plans that are scheduled to vest in April 2030. In addition, during the six months ended June 30, 2026, we issued approximately eight thousand shares of our common stock under a bonus plan that vested in the second quarter of 2026. During the six months ended June 30, 2025, we issued approximately 11 thousand shares of our common stock under a bonus plan which vested in the second quarter of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Employees – Performance-Based Restricted Stock Units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2025, we established, and our board of directors approved, performance-based restricted stock units in connection with common stock awards which were issued to certain employees in 2026 based upon achievement of a performance target. In addition, during the six months ended June 30, 2026, we established, and our board of directors approved, performance-based restricted stock units in connection with common stock awards to be issued to certain employees in 2027 based upon achievement of a performance target. These units will be accounted for as equity-based awards that will be settled with a fixed number of common shares.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Amounts and changes for each category of equity-based award were as follows:</w:t>
      </w:r>
    </w:p>
    <w:tbl>
      <w:tblPr>
        <w:tblW w:w="11262" w:type="dxa"/>
        <w:jc w:val="left"/>
        <w:tblInd w:w="0" w:type="dxa"/>
        <w:tblLayout w:type="fixed"/>
        <w:tblCellMar>
          <w:top w:w="28" w:type="dxa"/>
          <w:left w:w="28" w:type="dxa"/>
          <w:bottom w:w="28" w:type="dxa"/>
          <w:right w:w="28" w:type="dxa"/>
        </w:tblCellMar>
      </w:tblPr>
      <w:tblGrid>
        <w:gridCol w:w="446"/>
        <w:gridCol w:w="392"/>
        <w:gridCol w:w="393"/>
        <w:gridCol w:w="367"/>
        <w:gridCol w:w="369"/>
        <w:gridCol w:w="236"/>
        <w:gridCol w:w="129"/>
        <w:gridCol w:w="129"/>
        <w:gridCol w:w="129"/>
        <w:gridCol w:w="250"/>
        <w:gridCol w:w="855"/>
        <w:gridCol w:w="132"/>
        <w:gridCol w:w="109"/>
        <w:gridCol w:w="109"/>
        <w:gridCol w:w="109"/>
        <w:gridCol w:w="413"/>
        <w:gridCol w:w="413"/>
        <w:gridCol w:w="236"/>
        <w:gridCol w:w="181"/>
        <w:gridCol w:w="181"/>
        <w:gridCol w:w="181"/>
        <w:gridCol w:w="351"/>
        <w:gridCol w:w="1199"/>
        <w:gridCol w:w="185"/>
        <w:gridCol w:w="109"/>
        <w:gridCol w:w="109"/>
        <w:gridCol w:w="109"/>
        <w:gridCol w:w="367"/>
        <w:gridCol w:w="369"/>
        <w:gridCol w:w="193"/>
        <w:gridCol w:w="193"/>
        <w:gridCol w:w="193"/>
        <w:gridCol w:w="193"/>
        <w:gridCol w:w="374"/>
        <w:gridCol w:w="1280"/>
        <w:gridCol w:w="279"/>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Performance-Based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Awards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Awards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awards/units at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awards/units at June 30,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0250"/>
                <wp:effectExtent l="0" t="0" r="0" b="0"/>
                <wp:wrapNone/>
                <wp:docPr id="23" name="Frame2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share-based compensation expense recognized by award type (in millions):</w:t>
      </w:r>
    </w:p>
    <w:tbl>
      <w:tblPr>
        <w:tblW w:w="8720" w:type="dxa"/>
        <w:jc w:val="center"/>
        <w:tblInd w:w="0" w:type="dxa"/>
        <w:tblLayout w:type="fixed"/>
        <w:tblCellMar>
          <w:top w:w="28" w:type="dxa"/>
          <w:left w:w="28" w:type="dxa"/>
          <w:bottom w:w="28" w:type="dxa"/>
          <w:right w:w="28" w:type="dxa"/>
        </w:tblCellMar>
      </w:tblPr>
      <w:tblGrid>
        <w:gridCol w:w="1302"/>
        <w:gridCol w:w="1146"/>
        <w:gridCol w:w="1152"/>
        <w:gridCol w:w="293"/>
        <w:gridCol w:w="565"/>
        <w:gridCol w:w="151"/>
        <w:gridCol w:w="151"/>
        <w:gridCol w:w="151"/>
        <w:gridCol w:w="151"/>
        <w:gridCol w:w="293"/>
        <w:gridCol w:w="565"/>
        <w:gridCol w:w="151"/>
        <w:gridCol w:w="109"/>
        <w:gridCol w:w="109"/>
        <w:gridCol w:w="109"/>
        <w:gridCol w:w="241"/>
        <w:gridCol w:w="584"/>
        <w:gridCol w:w="124"/>
        <w:gridCol w:w="124"/>
        <w:gridCol w:w="124"/>
        <w:gridCol w:w="124"/>
        <w:gridCol w:w="241"/>
        <w:gridCol w:w="584"/>
        <w:gridCol w:w="176"/>
      </w:tblGrid>
      <w:tr>
        <w:trPr/>
        <w:tc>
          <w:tcPr>
            <w:tcW w:w="130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Awards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Common Stock Awards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Stock Awards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Performance-Based Stock Awards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recorded the following stock compensation expense by income statement category (in millions):</w:t>
      </w:r>
    </w:p>
    <w:tbl>
      <w:tblPr>
        <w:tblW w:w="6566" w:type="dxa"/>
        <w:jc w:val="center"/>
        <w:tblInd w:w="0" w:type="dxa"/>
        <w:tblLayout w:type="fixed"/>
        <w:tblCellMar>
          <w:top w:w="28" w:type="dxa"/>
          <w:left w:w="28" w:type="dxa"/>
          <w:bottom w:w="28" w:type="dxa"/>
          <w:right w:w="28" w:type="dxa"/>
        </w:tblCellMar>
      </w:tblPr>
      <w:tblGrid>
        <w:gridCol w:w="719"/>
        <w:gridCol w:w="361"/>
        <w:gridCol w:w="366"/>
        <w:gridCol w:w="293"/>
        <w:gridCol w:w="565"/>
        <w:gridCol w:w="151"/>
        <w:gridCol w:w="151"/>
        <w:gridCol w:w="151"/>
        <w:gridCol w:w="151"/>
        <w:gridCol w:w="293"/>
        <w:gridCol w:w="565"/>
        <w:gridCol w:w="151"/>
        <w:gridCol w:w="109"/>
        <w:gridCol w:w="109"/>
        <w:gridCol w:w="109"/>
        <w:gridCol w:w="241"/>
        <w:gridCol w:w="584"/>
        <w:gridCol w:w="124"/>
        <w:gridCol w:w="124"/>
        <w:gridCol w:w="124"/>
        <w:gridCol w:w="124"/>
        <w:gridCol w:w="241"/>
        <w:gridCol w:w="584"/>
        <w:gridCol w:w="176"/>
      </w:tblGrid>
      <w:tr>
        <w:trPr/>
        <w:tc>
          <w:tcPr>
            <w:tcW w:w="71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Administrative stock compensation expense includes all stock compensation earned by our administrative personnel, while cost of sales and selling stock compensation represent all stock compensation earned by our installation and sales employees, respectively.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Unrecognized share-based compensation expense related to unvested awards was as follows (in millions):</w:t>
      </w:r>
    </w:p>
    <w:tbl>
      <w:tblPr>
        <w:tblW w:w="9853" w:type="dxa"/>
        <w:jc w:val="center"/>
        <w:tblInd w:w="0" w:type="dxa"/>
        <w:tblLayout w:type="fixed"/>
        <w:tblCellMar>
          <w:top w:w="28" w:type="dxa"/>
          <w:left w:w="28" w:type="dxa"/>
          <w:bottom w:w="28" w:type="dxa"/>
          <w:right w:w="28" w:type="dxa"/>
        </w:tblCellMar>
      </w:tblPr>
      <w:tblGrid>
        <w:gridCol w:w="2093"/>
        <w:gridCol w:w="1843"/>
        <w:gridCol w:w="1853"/>
        <w:gridCol w:w="513"/>
        <w:gridCol w:w="1244"/>
        <w:gridCol w:w="268"/>
        <w:gridCol w:w="125"/>
        <w:gridCol w:w="125"/>
        <w:gridCol w:w="125"/>
        <w:gridCol w:w="486"/>
        <w:gridCol w:w="486"/>
        <w:gridCol w:w="692"/>
      </w:tblGrid>
      <w:tr>
        <w:trPr/>
        <w:tc>
          <w:tcPr>
            <w:tcW w:w="209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 2026</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Unrecognized</w:t>
              <w:br/>
              <w:t>Compensation Expense</w:t>
              <w:br/>
              <w:t>on Unvested Awards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Remaining</w:t>
              <w:br/>
              <w:t>Vesting Period</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Awards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years</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Stock Awards</w:t>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years</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compensation expense related to unvested awards</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compensation expense is subject to future adjustments for forfeitures. This expense is expected to be recognized over the remaining weighted-average period shown above on a straight-line basis except for the Performance-Based Stock Awards which uses the graded-vesting method. Shares forfeited are returned as treasury shares and available for future issuances.</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2026 and 2025</w:t>
      </w:r>
      <w:r>
        <w:rPr>
          <w:rFonts w:ascii="Times New Roman;serif" w:hAnsi="Times New Roman;serif"/>
          <w:b w:val="false"/>
          <w:color w:val="000000"/>
          <w:sz w:val="20"/>
          <w:shd w:fill="FFFFFF" w:val="clear"/>
        </w:rPr>
        <w:t>, our employees surrendered approxim</w:t>
      </w:r>
      <w:r>
        <w:rPr>
          <w:rFonts w:ascii="Times New Roman;serif" w:hAnsi="Times New Roman;serif"/>
          <w:b w:val="false"/>
          <w:color w:val="000000"/>
          <w:sz w:val="20"/>
        </w:rPr>
        <w:t xml:space="preserve">ately 42 thousand and 53 thousand </w:t>
      </w:r>
      <w:r>
        <w:rPr>
          <w:rFonts w:ascii="Times New Roman;serif" w:hAnsi="Times New Roman;serif"/>
          <w:b w:val="false"/>
          <w:color w:val="000000"/>
          <w:sz w:val="20"/>
          <w:shd w:fill="FFFFFF" w:val="clear"/>
        </w:rPr>
        <w:t>shares of our common stock, respectively, to satisfy tax withholding obligations arising in connection with the vesting of common stock awards issued under our 2023 Omnibus Incentive Plans.</w:t>
      </w:r>
    </w:p>
    <w:p>
      <w:pPr>
        <w:pStyle w:val="TextBody"/>
        <w:bidi w:val="0"/>
        <w:spacing w:lineRule="auto" w:line="288" w:before="180" w:after="283"/>
        <w:jc w:val="left"/>
        <w:rPr/>
      </w:pPr>
      <w:r>
        <w:rPr>
          <w:rFonts w:ascii="Times New Roman;serif" w:hAnsi="Times New Roman;serif"/>
          <w:b w:val="false"/>
          <w:color w:val="000000"/>
          <w:sz w:val="20"/>
        </w:rPr>
        <w:t xml:space="preserve">As of June 30, 2026, approximately 1.6 million of the </w:t>
      </w:r>
      <w:r>
        <w:rPr>
          <w:rFonts w:ascii="Times New Roman;serif" w:hAnsi="Times New Roman;serif"/>
          <w:b w:val="false"/>
          <w:color w:val="000000"/>
          <w:sz w:val="20"/>
          <w:shd w:fill="FFFFFF" w:val="clear"/>
        </w:rPr>
        <w:t>2.1 million</w:t>
      </w:r>
      <w:r>
        <w:rPr>
          <w:color w:val="000000"/>
        </w:rPr>
        <w:t xml:space="preserve"> </w:t>
      </w:r>
      <w:r>
        <w:rPr>
          <w:rFonts w:ascii="Times New Roman;serif" w:hAnsi="Times New Roman;serif"/>
          <w:b w:val="false"/>
          <w:color w:val="000000"/>
          <w:sz w:val="20"/>
        </w:rPr>
        <w:t xml:space="preserve">shares of common stock authorized for issuance were available for issuance under the 2023 Omnibus Incentive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14 - INCOME TAXES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as a percentage of pretax earnings is based on a current estimate of the annual effective income tax rate adjusted to reflect the impact of discrete items.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our effective tax rates were 23.7% and 24.6%, respectively. These rates for the three and six months ended June 30, 2026 were impacted favorably by recognition of windfall tax benefits resulting from equity vesting. During the three and six months ended June 30, 2025, our effective tax rates were 26.1% and 26.0%,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0250"/>
                <wp:effectExtent l="0" t="0" r="0" b="0"/>
                <wp:wrapNone/>
                <wp:docPr id="24" name="Frame2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respectively. The rates for each of the three and six months ended June 30, 2026 and 2025 were based on estimated annual effective tax rates for federal, state and local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15 - RELATED PARTY TRANSACTIONS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sell installation services to other companies related to us through common or affiliated ownership and/or board of directors and/or management relationships. We also purchase services and materials and pay rent to companies with common or affiliated ownership. We relocated our corporate headquarters in the second quarter of 2026 to a location that is leased from a related party.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lease certain other facilities from related parties. See Note 8, Leases, for future minimum lease payments to be paid to these related parties.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amount of sales to common or related parties as well as the purchases from and rent expense paid to common or related parties were as follows (in millions):</w:t>
      </w:r>
    </w:p>
    <w:tbl>
      <w:tblPr>
        <w:tblW w:w="6036" w:type="dxa"/>
        <w:jc w:val="center"/>
        <w:tblInd w:w="0" w:type="dxa"/>
        <w:tblLayout w:type="fixed"/>
        <w:tblCellMar>
          <w:top w:w="28" w:type="dxa"/>
          <w:left w:w="28" w:type="dxa"/>
          <w:bottom w:w="28" w:type="dxa"/>
          <w:right w:w="28" w:type="dxa"/>
        </w:tblCellMar>
      </w:tblPr>
      <w:tblGrid>
        <w:gridCol w:w="331"/>
        <w:gridCol w:w="291"/>
        <w:gridCol w:w="294"/>
        <w:gridCol w:w="293"/>
        <w:gridCol w:w="565"/>
        <w:gridCol w:w="151"/>
        <w:gridCol w:w="151"/>
        <w:gridCol w:w="151"/>
        <w:gridCol w:w="151"/>
        <w:gridCol w:w="293"/>
        <w:gridCol w:w="565"/>
        <w:gridCol w:w="151"/>
        <w:gridCol w:w="109"/>
        <w:gridCol w:w="109"/>
        <w:gridCol w:w="109"/>
        <w:gridCol w:w="241"/>
        <w:gridCol w:w="584"/>
        <w:gridCol w:w="124"/>
        <w:gridCol w:w="124"/>
        <w:gridCol w:w="124"/>
        <w:gridCol w:w="124"/>
        <w:gridCol w:w="241"/>
        <w:gridCol w:w="584"/>
        <w:gridCol w:w="17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amount of receivables due from related parties was as follows (in millions):</w:t>
      </w:r>
    </w:p>
    <w:tbl>
      <w:tblPr>
        <w:tblW w:w="6670" w:type="dxa"/>
        <w:jc w:val="left"/>
        <w:tblInd w:w="0" w:type="dxa"/>
        <w:tblLayout w:type="fixed"/>
        <w:tblCellMar>
          <w:top w:w="28" w:type="dxa"/>
          <w:left w:w="28" w:type="dxa"/>
          <w:bottom w:w="28" w:type="dxa"/>
          <w:right w:w="28" w:type="dxa"/>
        </w:tblCellMar>
      </w:tblPr>
      <w:tblGrid>
        <w:gridCol w:w="1222"/>
        <w:gridCol w:w="1074"/>
        <w:gridCol w:w="1078"/>
        <w:gridCol w:w="362"/>
        <w:gridCol w:w="696"/>
        <w:gridCol w:w="187"/>
        <w:gridCol w:w="109"/>
        <w:gridCol w:w="109"/>
        <w:gridCol w:w="109"/>
        <w:gridCol w:w="470"/>
        <w:gridCol w:w="908"/>
        <w:gridCol w:w="346"/>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related parties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 Homes, Inc., a customer whose Chairman, Chief Executive Officer and President serves on our board of directors, accounted for $1.7 million and $1.5 million of the related party accounts receivable balances as of June 30, 2026 and December 31, 2025, respectively. Additionally, M/I Homes, Inc. accounted for a significant portion of our related party sales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Accrued General Liability and Auto Insurance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Accrued general liability and auto insurance reserves included on the Condensed Consolidated Balance Sheets were as follows (in millions):</w:t>
      </w:r>
    </w:p>
    <w:tbl>
      <w:tblPr>
        <w:tblW w:w="6476" w:type="dxa"/>
        <w:jc w:val="left"/>
        <w:tblInd w:w="0" w:type="dxa"/>
        <w:tblLayout w:type="fixed"/>
        <w:tblCellMar>
          <w:top w:w="28" w:type="dxa"/>
          <w:left w:w="28" w:type="dxa"/>
          <w:bottom w:w="28" w:type="dxa"/>
          <w:right w:w="28" w:type="dxa"/>
        </w:tblCellMar>
      </w:tblPr>
      <w:tblGrid>
        <w:gridCol w:w="1151"/>
        <w:gridCol w:w="1013"/>
        <w:gridCol w:w="1016"/>
        <w:gridCol w:w="316"/>
        <w:gridCol w:w="766"/>
        <w:gridCol w:w="163"/>
        <w:gridCol w:w="109"/>
        <w:gridCol w:w="109"/>
        <w:gridCol w:w="109"/>
        <w:gridCol w:w="414"/>
        <w:gridCol w:w="1005"/>
        <w:gridCol w:w="30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long-term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had insurance receivables and indemnification assets included on the Condensed Consolidated Balance Sheets that, in aggregate, offset equal liabilities included within the reserve amounts noted above. The amounts were as follows (in millions):</w:t>
      </w:r>
    </w:p>
    <w:tbl>
      <w:tblPr>
        <w:tblW w:w="10205" w:type="dxa"/>
        <w:jc w:val="left"/>
        <w:tblInd w:w="0" w:type="dxa"/>
        <w:tblLayout w:type="fixed"/>
        <w:tblCellMar>
          <w:top w:w="28" w:type="dxa"/>
          <w:left w:w="28" w:type="dxa"/>
          <w:bottom w:w="28" w:type="dxa"/>
          <w:right w:w="28" w:type="dxa"/>
        </w:tblCellMar>
      </w:tblPr>
      <w:tblGrid>
        <w:gridCol w:w="2539"/>
        <w:gridCol w:w="2229"/>
        <w:gridCol w:w="2234"/>
        <w:gridCol w:w="307"/>
        <w:gridCol w:w="745"/>
        <w:gridCol w:w="158"/>
        <w:gridCol w:w="109"/>
        <w:gridCol w:w="109"/>
        <w:gridCol w:w="109"/>
        <w:gridCol w:w="453"/>
        <w:gridCol w:w="876"/>
        <w:gridCol w:w="337"/>
      </w:tblGrid>
      <w:tr>
        <w:trPr/>
        <w:tc>
          <w:tcPr>
            <w:tcW w:w="253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receivables and indemnification assets for claims under fully insured policies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receivables for claims that exceeded the stop loss limit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insurance receivables and indemnification assets included in other non-current assets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0250"/>
                <wp:effectExtent l="0" t="0" r="0" b="0"/>
                <wp:wrapNone/>
                <wp:docPr id="25" name="Frame2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Note 8, Leases, for further information regarding our lease commitments.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Commitments and Contingencies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various claims and litigation are asserted or commenced against us principally arising from contractual matters and personnel and employment disputes. In determining loss contingencies, management considers the likelihood of loss as well as the ability to reasonably estimate the amount of such loss or liability. An estimated loss is recorded when it is considered probable that such a liability has been incurred and when the amount of loss can be reasonably estimated. As litigation is subject to inherent uncertainties, we cannot be certain that we will prevail in these matters. However, we do not believe that the ultimate outcome of any pending matters will have a material adverse effect on our consolidated financial position, results of operations or cash flows.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an agreement with one of our suppliers to purchase a portion of the materials we utilize in our business with variable pricing. This agreement is effective March 31, 2023 through May 15, 2026 with a purchase obligation of 12.0 million pounds for the period ending May 15, 2024, 14.4 million pounds for the period ending May 15, 2025 and 17.3 million pounds for the period ending August 31, 2026. In 2025, we entered into an amendment which reduced our 17.3 million pounds commitment to 12.3 million pounds and amended the period commitment to May 15, 2026. In May 2026, we entered into an amendment which extended the period commitment from May 15, 2026 to August 31, 2026. Through June 30, 2026, we purchased approximately 11.4 million pounds of materials under the amended agreement for the period ending August 31, 2026.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have a contract with a supplier to purchase various products we employ in our business with fixed rate pricing. The agreement is effective January 1, 2025 through December 31, 2027 with a purchase obligation of 8.0 million pounds for each of the periods ending December 31, 2025, 2026 and 2027, and a total minimum commitment of $10.8 million. During the six months ended June 30, 2026, we purchased approximately 4.7 million pounds of materials under this agreement for the period ending December 31,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we have a 5 year purchase agreement with one of our suppliers to purchase products with variable pricing terms. The volume commitment is 89.1 million pounds in 2026 and is subject to conditional adjustments in future periods beyond 2026 based upon certain contingencies. During the six months ended June 30, 2026, we purchased approximately 46.1 million pounds of materials under this agreement for the period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17 - BUSINESS COMBINATIONS</w:t>
      </w:r>
    </w:p>
    <w:p>
      <w:pPr>
        <w:pStyle w:val="TextBody"/>
        <w:bidi w:val="0"/>
        <w:spacing w:lineRule="auto" w:line="288" w:before="180" w:after="283"/>
        <w:jc w:val="left"/>
        <w:rPr/>
      </w:pPr>
      <w:r>
        <w:rPr>
          <w:rFonts w:ascii="Times New Roman;serif" w:hAnsi="Times New Roman;serif"/>
          <w:b w:val="false"/>
          <w:color w:val="000000"/>
          <w:sz w:val="20"/>
        </w:rPr>
        <w:t>As part of our ongoing strategy to expand geographically and increase market share in certain markets, as well as diversify our products and end markets, we completed five business combinations and four insignificant bolt-on acquisitions merged into existing operations during the six months ended June 30, 2026</w:t>
      </w:r>
      <w:r>
        <w:rPr>
          <w:color w:val="000000"/>
          <w:shd w:fill="FFFFFF" w:val="clear"/>
        </w:rPr>
        <w:t xml:space="preserve"> </w:t>
      </w:r>
      <w:r>
        <w:rPr>
          <w:rFonts w:ascii="Times New Roman;serif" w:hAnsi="Times New Roman;serif"/>
          <w:b w:val="false"/>
          <w:color w:val="000000"/>
          <w:sz w:val="20"/>
          <w:shd w:fill="FFFFFF" w:val="clear"/>
        </w:rPr>
        <w:t>and two business combinations and two insi</w:t>
      </w:r>
      <w:r>
        <w:rPr>
          <w:rFonts w:ascii="Times New Roman;serif" w:hAnsi="Times New Roman;serif"/>
          <w:b w:val="false"/>
          <w:color w:val="000000"/>
          <w:sz w:val="20"/>
        </w:rPr>
        <w:t>gnificant bolt-on acquisition merged into an existing operation during the six months ended June 30, 2025. The largest of these acquisitions were Thermo-Tech Mechanical Insulation, Inc. ("Thermo-Tech") in February 2026 and Diamond Energy Systems, Inc. ("Diamond Energy") in May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Below is a summary of acquisitions in aggregate by year, including revenue and net (loss) income since date of acquisition shown for the year of acquisition. Net income includes amortization and taxes when appropriate.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 millions):         </w:t>
      </w:r>
    </w:p>
    <w:tbl>
      <w:tblPr>
        <w:tblW w:w="11033" w:type="dxa"/>
        <w:jc w:val="left"/>
        <w:tblInd w:w="0" w:type="dxa"/>
        <w:tblLayout w:type="fixed"/>
        <w:tblCellMar>
          <w:top w:w="28" w:type="dxa"/>
          <w:left w:w="28" w:type="dxa"/>
          <w:bottom w:w="28" w:type="dxa"/>
          <w:right w:w="28" w:type="dxa"/>
        </w:tblCellMar>
      </w:tblPr>
      <w:tblGrid>
        <w:gridCol w:w="430"/>
        <w:gridCol w:w="325"/>
        <w:gridCol w:w="326"/>
        <w:gridCol w:w="109"/>
        <w:gridCol w:w="109"/>
        <w:gridCol w:w="109"/>
        <w:gridCol w:w="273"/>
        <w:gridCol w:w="245"/>
        <w:gridCol w:w="158"/>
        <w:gridCol w:w="109"/>
        <w:gridCol w:w="109"/>
        <w:gridCol w:w="109"/>
        <w:gridCol w:w="310"/>
        <w:gridCol w:w="310"/>
        <w:gridCol w:w="311"/>
        <w:gridCol w:w="109"/>
        <w:gridCol w:w="109"/>
        <w:gridCol w:w="109"/>
        <w:gridCol w:w="196"/>
        <w:gridCol w:w="466"/>
        <w:gridCol w:w="109"/>
        <w:gridCol w:w="109"/>
        <w:gridCol w:w="109"/>
        <w:gridCol w:w="109"/>
        <w:gridCol w:w="267"/>
        <w:gridCol w:w="514"/>
        <w:gridCol w:w="150"/>
        <w:gridCol w:w="109"/>
        <w:gridCol w:w="109"/>
        <w:gridCol w:w="109"/>
        <w:gridCol w:w="196"/>
        <w:gridCol w:w="466"/>
        <w:gridCol w:w="109"/>
        <w:gridCol w:w="109"/>
        <w:gridCol w:w="109"/>
        <w:gridCol w:w="109"/>
        <w:gridCol w:w="236"/>
        <w:gridCol w:w="376"/>
        <w:gridCol w:w="109"/>
        <w:gridCol w:w="109"/>
        <w:gridCol w:w="109"/>
        <w:gridCol w:w="109"/>
        <w:gridCol w:w="196"/>
        <w:gridCol w:w="391"/>
        <w:gridCol w:w="109"/>
        <w:gridCol w:w="109"/>
        <w:gridCol w:w="109"/>
        <w:gridCol w:w="109"/>
        <w:gridCol w:w="196"/>
        <w:gridCol w:w="466"/>
        <w:gridCol w:w="109"/>
        <w:gridCol w:w="109"/>
        <w:gridCol w:w="109"/>
        <w:gridCol w:w="109"/>
        <w:gridCol w:w="196"/>
        <w:gridCol w:w="391"/>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Acquisition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Cash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Seller</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(Loss)</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Thermo-Tech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Diamond Energy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0250"/>
                <wp:effectExtent l="0" t="0" r="0" b="0"/>
                <wp:wrapNone/>
                <wp:docPr id="26" name="Frame2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(in millions):</w:t>
      </w:r>
    </w:p>
    <w:tbl>
      <w:tblPr>
        <w:tblW w:w="10893"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24"/>
        <w:gridCol w:w="224"/>
        <w:gridCol w:w="228"/>
        <w:gridCol w:w="109"/>
        <w:gridCol w:w="109"/>
        <w:gridCol w:w="109"/>
        <w:gridCol w:w="310"/>
        <w:gridCol w:w="310"/>
        <w:gridCol w:w="311"/>
        <w:gridCol w:w="109"/>
        <w:gridCol w:w="109"/>
        <w:gridCol w:w="109"/>
        <w:gridCol w:w="196"/>
        <w:gridCol w:w="466"/>
        <w:gridCol w:w="109"/>
        <w:gridCol w:w="109"/>
        <w:gridCol w:w="109"/>
        <w:gridCol w:w="109"/>
        <w:gridCol w:w="267"/>
        <w:gridCol w:w="514"/>
        <w:gridCol w:w="150"/>
        <w:gridCol w:w="109"/>
        <w:gridCol w:w="109"/>
        <w:gridCol w:w="109"/>
        <w:gridCol w:w="196"/>
        <w:gridCol w:w="466"/>
        <w:gridCol w:w="109"/>
        <w:gridCol w:w="109"/>
        <w:gridCol w:w="109"/>
        <w:gridCol w:w="109"/>
        <w:gridCol w:w="236"/>
        <w:gridCol w:w="376"/>
        <w:gridCol w:w="109"/>
        <w:gridCol w:w="109"/>
        <w:gridCol w:w="109"/>
        <w:gridCol w:w="109"/>
        <w:gridCol w:w="196"/>
        <w:gridCol w:w="376"/>
        <w:gridCol w:w="109"/>
        <w:gridCol w:w="109"/>
        <w:gridCol w:w="109"/>
        <w:gridCol w:w="109"/>
        <w:gridCol w:w="236"/>
        <w:gridCol w:w="376"/>
        <w:gridCol w:w="109"/>
        <w:gridCol w:w="109"/>
        <w:gridCol w:w="109"/>
        <w:gridCol w:w="109"/>
        <w:gridCol w:w="196"/>
        <w:gridCol w:w="37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Acquisition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Cash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Seller</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recorded within administrative expenses on the Condensed Consolidated Statements of Operations and Comprehensive Income amounted to $0.7 million and $0.5 million for the three months ended June 30, 2026 and 2025, respectively, and $1.7 million and $1.0 million for the six months ended June 30, 2026 and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goodwill recognized in conjunction with these business combinations represents the excess cost of the acquired entity over the net amount assigned to assets acquired and liabilities assumed (including the identifiable intangible assets). The goodwill recognized for Thermo-Tech reflects the value of its mechanical insulation services, supplier relationships, commercial market expansion and other synergies that are expected to be realized from the acquisition. The goodwill recognized for Diamond Energy reflects the advantage of its industrial and commercial mechanical insulation solutions, key regional markets, experienced workforce, technical expertise and other benefits that are expected to be achieved from the acquisition. We expect to deduct approximately $17.1 million of goodwill for tax purposes as a result of 2026 acquisitions.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Purchase Price Allocations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the assets acquired and liabilities assumed for the acquisitions, as well as total purchase prices and cash paid, approximated the following (in millions):</w:t>
      </w:r>
    </w:p>
    <w:tbl>
      <w:tblPr>
        <w:tblW w:w="10205" w:type="dxa"/>
        <w:jc w:val="left"/>
        <w:tblInd w:w="0" w:type="dxa"/>
        <w:tblLayout w:type="fixed"/>
        <w:tblCellMar>
          <w:top w:w="28" w:type="dxa"/>
          <w:left w:w="28" w:type="dxa"/>
          <w:bottom w:w="28" w:type="dxa"/>
          <w:right w:w="28" w:type="dxa"/>
        </w:tblCellMar>
      </w:tblPr>
      <w:tblGrid>
        <w:gridCol w:w="962"/>
        <w:gridCol w:w="788"/>
        <w:gridCol w:w="792"/>
        <w:gridCol w:w="304"/>
        <w:gridCol w:w="738"/>
        <w:gridCol w:w="159"/>
        <w:gridCol w:w="109"/>
        <w:gridCol w:w="109"/>
        <w:gridCol w:w="109"/>
        <w:gridCol w:w="304"/>
        <w:gridCol w:w="737"/>
        <w:gridCol w:w="158"/>
        <w:gridCol w:w="109"/>
        <w:gridCol w:w="109"/>
        <w:gridCol w:w="109"/>
        <w:gridCol w:w="211"/>
        <w:gridCol w:w="511"/>
        <w:gridCol w:w="109"/>
        <w:gridCol w:w="109"/>
        <w:gridCol w:w="109"/>
        <w:gridCol w:w="109"/>
        <w:gridCol w:w="109"/>
        <w:gridCol w:w="109"/>
        <w:gridCol w:w="459"/>
        <w:gridCol w:w="1112"/>
        <w:gridCol w:w="237"/>
        <w:gridCol w:w="109"/>
        <w:gridCol w:w="109"/>
        <w:gridCol w:w="109"/>
        <w:gridCol w:w="211"/>
        <w:gridCol w:w="511"/>
        <w:gridCol w:w="109"/>
        <w:gridCol w:w="109"/>
        <w:gridCol w:w="158"/>
      </w:tblGrid>
      <w:tr>
        <w:trPr/>
        <w:tc>
          <w:tcPr>
            <w:tcW w:w="9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Thermo-Tech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Diamond Energy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purchase price</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seller obligations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non-compete agreements and/or amounts based on working capital calculations are included as “seller obligations” in the above table or within “fair value of assets acquired” if subsequently paid during the period presented. Contingent consideration payments consist primarily of earnouts based on performance that are recorded at fair value at the time of acquisition. When these payments are expected to be made over one year from the acquisition date, the contingent consideration is discounted to net present value of future payments based on a weighted average of various future forecast scenarios.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 adjustments to the allocation for each acquisition still under its measurement period are expected as third-party or internal valuations are finalized, certain tax aspects of the transaction are completed and customary post-closing reviews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0250"/>
                <wp:effectExtent l="0" t="0" r="0" b="0"/>
                <wp:wrapNone/>
                <wp:docPr id="27" name="Frame2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concluded during the measurement period attributable to each individual business combination. As a result, adjustments to the fair value of assets acquired, and in some cases total purchase price, have been made to certain business combinations since the date of acquisition and future adjustments may be made through the end of each measurement period. Any acquisition acquired after June 30, 2025 is deemed to be within the measurement period and its purchase price considered preliminary.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and intangibles per the above table may not agree to the total gross increase of these assets as shown in Note 6, Goodwill and Intangibles, during each of the six months ended June 30, 2026 and 2025 due to adjustments to goodwill for the allocation of certain acquisitions still under measurement as well as other immaterial intangible assets added during the ordinary course of business. All acquisitions during the six months ended June 30, 2026 and 2025 had their respective goodwill assigned to our Installation operating segment.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Estimates of acquired intangible assets related to the acquisitions are as follows (in millions):</w:t>
      </w:r>
    </w:p>
    <w:tbl>
      <w:tblPr>
        <w:tblW w:w="10205" w:type="dxa"/>
        <w:jc w:val="left"/>
        <w:tblInd w:w="0" w:type="dxa"/>
        <w:tblLayout w:type="fixed"/>
        <w:tblCellMar>
          <w:top w:w="28" w:type="dxa"/>
          <w:left w:w="28" w:type="dxa"/>
          <w:bottom w:w="28" w:type="dxa"/>
          <w:right w:w="28" w:type="dxa"/>
        </w:tblCellMar>
      </w:tblPr>
      <w:tblGrid>
        <w:gridCol w:w="1003"/>
        <w:gridCol w:w="793"/>
        <w:gridCol w:w="796"/>
        <w:gridCol w:w="109"/>
        <w:gridCol w:w="109"/>
        <w:gridCol w:w="109"/>
        <w:gridCol w:w="240"/>
        <w:gridCol w:w="581"/>
        <w:gridCol w:w="125"/>
        <w:gridCol w:w="109"/>
        <w:gridCol w:w="109"/>
        <w:gridCol w:w="109"/>
        <w:gridCol w:w="721"/>
        <w:gridCol w:w="721"/>
        <w:gridCol w:w="723"/>
        <w:gridCol w:w="109"/>
        <w:gridCol w:w="109"/>
        <w:gridCol w:w="109"/>
        <w:gridCol w:w="274"/>
        <w:gridCol w:w="529"/>
        <w:gridCol w:w="143"/>
        <w:gridCol w:w="109"/>
        <w:gridCol w:w="109"/>
        <w:gridCol w:w="109"/>
        <w:gridCol w:w="656"/>
        <w:gridCol w:w="656"/>
        <w:gridCol w:w="936"/>
      </w:tblGrid>
      <w:tr>
        <w:trPr/>
        <w:tc>
          <w:tcPr>
            <w:tcW w:w="10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Estimated</w:t>
              <w:br/>
              <w:t>Useful Life (yrs.)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 Average Estimated </w:t>
              <w:br/>
              <w:t>Useful Life (yrs.)</w:t>
            </w:r>
          </w:p>
        </w:tc>
      </w:tr>
      <w:tr>
        <w:trPr/>
        <w:tc>
          <w:tcPr>
            <w:tcW w:w="2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tradenames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 Forma Information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information for the combined results of the Company has been prepared as if the 2026 acquisitions had taken place on January 1, 2025 and the 2025 acquisitions had taken place on January 1, 2024. The unaudited pro forma information is not necessarily indicative of the results that we would have achieved had the transactions actually taken place on January 1, 2025 and 2024, respectively, and the unaudited pro forma information does not purport to be indicative of future financial operating results (in millions, except per share data):</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702"/>
        <w:gridCol w:w="619"/>
        <w:gridCol w:w="621"/>
        <w:gridCol w:w="380"/>
        <w:gridCol w:w="1109"/>
        <w:gridCol w:w="196"/>
        <w:gridCol w:w="196"/>
        <w:gridCol w:w="196"/>
        <w:gridCol w:w="196"/>
        <w:gridCol w:w="380"/>
        <w:gridCol w:w="1109"/>
        <w:gridCol w:w="196"/>
        <w:gridCol w:w="109"/>
        <w:gridCol w:w="109"/>
        <w:gridCol w:w="109"/>
        <w:gridCol w:w="329"/>
        <w:gridCol w:w="1198"/>
        <w:gridCol w:w="170"/>
        <w:gridCol w:w="170"/>
        <w:gridCol w:w="170"/>
        <w:gridCol w:w="170"/>
        <w:gridCol w:w="329"/>
        <w:gridCol w:w="1198"/>
        <w:gridCol w:w="244"/>
      </w:tblGrid>
      <w:tr>
        <w:trPr/>
        <w:tc>
          <w:tcPr>
            <w:tcW w:w="7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pro forma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pro forma for the six months ended June 30,</w:t>
            </w:r>
          </w:p>
        </w:tc>
      </w:tr>
      <w:tr>
        <w:trPr/>
        <w:tc>
          <w:tcPr>
            <w:tcW w:w="1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Unaudited pro forma net income reflects additional intangible asset amortization expense of approximately $0.4 million and $1.5 million for the three months ended June 30, 2026 and 2025, respectively, and $1.1 million and $3.2 million for the six months ended June 30, 2026 and 2025, respectively, as well as additional income tax (benefit) expense of approximately $(17) thousand and $0.5 million for the three months ended June 30, 2026 and 2025, respectively, and $(0.1) million and $1.0 million for the six months ended June 30, 2026 and 2025, respectively, that would have been recorded had the 2026 acquisitions taken place on January 1, 2025 and the 2025 acquisitions taken place on January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18 - INCOME PER COMMON SHARE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 is calculated by dividing net income by the weighted average shares outstanding during the period, without consideration for common stock equivalents.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common share is calculated by adjusting weighted average shares outstanding for the dilutive effect of common stock equivalents outstanding for the period, determined using the treasury stock method. Potential common stock is included in the diluted income per common share calculation when dilutive. The dilutive effect of outstanding restricted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0250"/>
                <wp:effectExtent l="0" t="0" r="0" b="0"/>
                <wp:wrapNone/>
                <wp:docPr id="28" name="Frame2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awards after application of the treasury stock method was approximately 77 thousand and 122 thousand shares for the three and six months ended June 30, 2026, respectively, and 81 thousand and 130 thousand shares for the three and six months ended June 30, 2025, respectively. Approximately 10 thousand and six thousand weighted average shares of potential common stock were not included in the calculation of diluted weighted average shares outstanding for the three and six months ended June 30, 2026, respectively, because the effect would have been anti-dilutive. Approximately 17 thousand and eight thousand weighted average shares of potential common stock were not included in the calculation of diluted weighted average shares outstanding for the three and six months ended June 30, 2025, respectively, because the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19 - SUBSEQUENT EVENTS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announced on August 6, 2026 that our board of directors declared a quarterly dividend, payable on September 30, 2026 to stockholders of record on September 15, 2026, at a rate of 39 cents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0250"/>
                <wp:effectExtent l="0" t="0" r="0" b="0"/>
                <wp:wrapNone/>
                <wp:docPr id="29" name="Frame2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19" w:before="140" w:after="283"/>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should be read in conjunction with our condensed consolidated financial statements and related notes in “Item 1. Financial Statements” of this Quarterly Report on Form 10-Q, as well as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one of the nation’s largest insulation installers for the residential new construction market and are also a diversified installer of complementary building products throughout the United States, including waterproofing, fire-stopping and fireproofing, garage doors, rain gutters, window blinds, shower doors, closet shelving, mirrors and other products. We offer our portfolio of services for new and existing single-family and multi-family residential and commercial building projects in all 48 continental states and the District of Columbia from our national network of over 250 branch locations. During the three months ended June 30, 2026, 91% of our net revenue came from the service-based installation of these products across all of our end markets which forms our Installation operating segment and single reportable segment. In addition, we have regional distribution operations that serve the Midwest, Mountain West, Northeast and Mid-Atlantic regions of the United States, and we operate multiple cellulose insulation manufacturing facilities. We believe our business is well positioned to continue to profitably grow over the long-term due to our strong balance sheet, liquidity and our continuing acquisition strategy.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large portion of our net revenue comes from the U.S. residential new construction market, which depends upon a number of economic factors, including demographic trends, interest rates, inflation, consumer confidence, employment rates, housing inventory levels and affordability, foreclosure rates, the health of the economy and availability of mortgage financing.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Second Quarter Highlights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revenue increased 2.3%, or $17.5 million to $777.8 million, while gross profit decreased 0.4% to $258.9 million during the three months ended June 30, 2026 compared to the same period in 2025. The increase in net revenue was primarily due to a 14.1% increase in commercial end market sales growth and the contribution of our recent acquisitions, partially offset by a decline in Installation job volume in our single-family residential end market. The decrease in gross profit was primarily driven by vehicle-related costs including fuel, insurance and depreciation expense. Gross profit percentage was also impacted by higher sales in our Other category which has a lower gross margin than our Installation segment. Certain net revenue and industry metrics we use to monitor our operations are discussed in the "Key Measures of Performance" section below, and further details regarding results of our various end markets are discussed further in the "Net Revenue, Cost of Sales and Gross Profit" section below.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$394.5 million of cash and cash equivalents and had not drawn on our revolving line of credit. This strong liquidity position allowed us to return capital to shareholders by increasing our regular quarterly dividend 5% over the second quarter of 2025 to $0.39 per share, or $10.4 million in the aggregate. Additionally, we repurchased $76.2 million of our outstanding common stock during the three months ended June 30, 2026 for a total capital return to shareholders of $86.6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Key Measures of Performance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utilize certain net revenue and industry metrics to monitor our operations. Key metrics include total sales growth and same branch growth metrics for our consolidated results, our Installation reportable segment and our Other category consisting of our Distribution and Manufacturing operating segments. We also monitor sales growth for our Installation segment by end market and track volume growth and price/mix growth. Furthermore, we now present additional volume and price/mix growth metrics that include the heavy commercial subset of the commercial end market due to the greater impact of that end market on our revenue and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the revenue growth measures are important indicators of how our business is performing, however, we may rely on different metrics in the future. We also utilize gross profit percentage as shown in the following section to monitor our most significant variable costs and to evaluate labor efficiency and success at passing increasing costs of materials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0250"/>
                <wp:effectExtent l="0" t="0" r="0" b="0"/>
                <wp:wrapNone/>
                <wp:docPr id="30" name="Frame3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key measures of performance we utilize to evaluate our results:</w:t>
      </w:r>
    </w:p>
    <w:tbl>
      <w:tblPr>
        <w:tblW w:w="9113" w:type="dxa"/>
        <w:jc w:val="center"/>
        <w:tblInd w:w="0" w:type="dxa"/>
        <w:tblLayout w:type="fixed"/>
        <w:tblCellMar>
          <w:top w:w="28" w:type="dxa"/>
          <w:left w:w="28" w:type="dxa"/>
          <w:bottom w:w="28" w:type="dxa"/>
          <w:right w:w="28" w:type="dxa"/>
        </w:tblCellMar>
      </w:tblPr>
      <w:tblGrid>
        <w:gridCol w:w="1628"/>
        <w:gridCol w:w="1433"/>
        <w:gridCol w:w="1438"/>
        <w:gridCol w:w="243"/>
        <w:gridCol w:w="243"/>
        <w:gridCol w:w="243"/>
        <w:gridCol w:w="243"/>
        <w:gridCol w:w="243"/>
        <w:gridCol w:w="243"/>
        <w:gridCol w:w="243"/>
        <w:gridCol w:w="243"/>
        <w:gridCol w:w="243"/>
        <w:gridCol w:w="109"/>
        <w:gridCol w:w="109"/>
        <w:gridCol w:w="109"/>
        <w:gridCol w:w="230"/>
        <w:gridCol w:w="230"/>
        <w:gridCol w:w="230"/>
        <w:gridCol w:w="220"/>
        <w:gridCol w:w="220"/>
        <w:gridCol w:w="220"/>
        <w:gridCol w:w="220"/>
        <w:gridCol w:w="220"/>
        <w:gridCol w:w="310"/>
      </w:tblGrid>
      <w:tr>
        <w:trPr/>
        <w:tc>
          <w:tcPr>
            <w:tcW w:w="16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Period-over-period Growth</w:t>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Sales Growth</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Consolidated Same Branch Sales Growth</w:t>
            </w:r>
            <w:r>
              <w:rPr>
                <w:color w:val="000000"/>
              </w:rPr>
              <w:t xml:space="preserve"> </w:t>
            </w:r>
            <w:r>
              <w:rPr>
                <w:rFonts w:ascii="Times New Roman;serif" w:hAnsi="Times New Roman;serif"/>
                <w:b w:val="false"/>
                <w:color w:val="000000"/>
                <w:sz w:val="12"/>
              </w:rPr>
              <w:t>(1)</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Installation Segment Sales Growth</w:t>
            </w:r>
            <w:r>
              <w:rPr>
                <w:color w:val="000000"/>
              </w:rPr>
              <w:t xml:space="preserve"> </w:t>
            </w:r>
            <w:r>
              <w:rPr>
                <w:rFonts w:ascii="Times New Roman;serif" w:hAnsi="Times New Roman;serif"/>
                <w:b w:val="false"/>
                <w:color w:val="000000"/>
                <w:sz w:val="12"/>
              </w:rPr>
              <w:t>(2)</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Sales Growth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Residential Sales Growth</w:t>
            </w:r>
            <w:r>
              <w:rPr>
                <w:color w:val="000000"/>
              </w:rPr>
              <w:t xml:space="preserve">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Single-Family Sales Growth</w:t>
            </w:r>
            <w:r>
              <w:rPr>
                <w:color w:val="000000"/>
              </w:rPr>
              <w:t xml:space="preserve">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Multi-Family Sales Growth</w:t>
            </w:r>
            <w:r>
              <w:rPr>
                <w:color w:val="000000"/>
              </w:rPr>
              <w:t xml:space="preserve">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Sales Growth</w:t>
            </w:r>
            <w:r>
              <w:rPr>
                <w:color w:val="000000"/>
              </w:rPr>
              <w:t xml:space="preserve">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14.1%</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Installation Segment Same Branch Sales Growth</w:t>
            </w:r>
            <w:r>
              <w:rPr>
                <w:color w:val="000000"/>
              </w:rPr>
              <w:t xml:space="preserve"> </w:t>
            </w:r>
            <w:r>
              <w:rPr>
                <w:rFonts w:ascii="Times New Roman;serif" w:hAnsi="Times New Roman;serif"/>
                <w:b w:val="false"/>
                <w:color w:val="000000"/>
                <w:sz w:val="12"/>
              </w:rPr>
              <w:t>(1)(2)</w:t>
            </w:r>
            <w:r>
              <w:rPr>
                <w:color w:val="000000"/>
              </w:rPr>
              <w:t xml:space="preserve"> </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Same Branch Sales Growth</w:t>
            </w:r>
            <w:r>
              <w:rPr>
                <w:color w:val="000000"/>
              </w:rPr>
              <w:t xml:space="preserve">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Volume, Price/Mix Growth Including Heavy Commercial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Volume Growth</w:t>
            </w:r>
            <w:r>
              <w:rPr>
                <w:color w:val="000000"/>
              </w:rPr>
              <w:t xml:space="preserve"> </w:t>
            </w:r>
            <w:r>
              <w:rPr>
                <w:rFonts w:ascii="Times New Roman;serif" w:hAnsi="Times New Roman;serif"/>
                <w:b w:val="false"/>
                <w:color w:val="000000"/>
                <w:sz w:val="12"/>
              </w:rPr>
              <w:t>(4)</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Price/Mix Growth</w:t>
            </w:r>
            <w:r>
              <w:rPr>
                <w:color w:val="000000"/>
              </w:rPr>
              <w:t xml:space="preserve"> </w:t>
            </w:r>
            <w:r>
              <w:rPr>
                <w:rFonts w:ascii="Times New Roman;serif" w:hAnsi="Times New Roman;serif"/>
                <w:b w:val="false"/>
                <w:color w:val="000000"/>
                <w:sz w:val="12"/>
              </w:rPr>
              <w:t>(5)</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Volume, Price/Mix Growth Excluding Heavy Commercial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Volume Growth</w:t>
            </w:r>
            <w:r>
              <w:rPr>
                <w:color w:val="000000"/>
              </w:rPr>
              <w:t xml:space="preserve"> </w:t>
            </w:r>
            <w:r>
              <w:rPr>
                <w:rFonts w:ascii="Times New Roman;serif" w:hAnsi="Times New Roman;serif"/>
                <w:b w:val="false"/>
                <w:color w:val="000000"/>
                <w:sz w:val="12"/>
              </w:rPr>
              <w:t>(4)</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Price/Mix Growth</w:t>
            </w:r>
            <w:r>
              <w:rPr>
                <w:color w:val="000000"/>
              </w:rPr>
              <w:t xml:space="preserve"> </w:t>
            </w:r>
            <w:r>
              <w:rPr>
                <w:rFonts w:ascii="Times New Roman;serif" w:hAnsi="Times New Roman;serif"/>
                <w:b w:val="false"/>
                <w:color w:val="000000"/>
                <w:sz w:val="12"/>
              </w:rPr>
              <w:t>(5)</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Residential Same Branch Sales Growth</w:t>
            </w:r>
            <w:r>
              <w:rPr>
                <w:color w:val="000000"/>
              </w:rPr>
              <w:t xml:space="preserve">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Single-Family Same Branch Sales Growth</w:t>
            </w:r>
            <w:r>
              <w:rPr>
                <w:color w:val="000000"/>
              </w:rPr>
              <w:t xml:space="preserve">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Multi-Family Same Branch Sales Growth</w:t>
            </w:r>
            <w:r>
              <w:rPr>
                <w:color w:val="000000"/>
              </w:rPr>
              <w:t xml:space="preserve">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Commercial Same Branch Sales Growth</w:t>
            </w:r>
            <w:r>
              <w:rPr>
                <w:color w:val="000000"/>
              </w:rPr>
              <w:t xml:space="preserve">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Other Sales Growth (Net of Eliminations) </w:t>
            </w:r>
            <w:r>
              <w:rPr>
                <w:rFonts w:ascii="Times New Roman;serif" w:hAnsi="Times New Roman;serif"/>
                <w:b w:val="false"/>
                <w:color w:val="000000"/>
                <w:sz w:val="12"/>
              </w:rPr>
              <w:t>(6)(7)</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Sales Growth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50.4%</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Same Branch Sales Growth </w:t>
            </w:r>
            <w:r>
              <w:rPr>
                <w:rFonts w:ascii="Times New Roman;serif" w:hAnsi="Times New Roman;serif"/>
                <w:b w:val="false"/>
                <w:color w:val="000000"/>
                <w:sz w:val="12"/>
              </w:rPr>
              <w:t>(1)</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21.2%</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U.S. Housing Market Growth</w:t>
            </w:r>
            <w:r>
              <w:rPr>
                <w:color w:val="000000"/>
              </w:rPr>
              <w:t xml:space="preserve"> </w:t>
            </w:r>
            <w:r>
              <w:rPr>
                <w:rFonts w:ascii="Times New Roman;serif" w:hAnsi="Times New Roman;serif"/>
                <w:b w:val="false"/>
                <w:color w:val="000000"/>
                <w:sz w:val="12"/>
              </w:rPr>
              <w:t>(8)</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Completions Growth</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Single-Family Completions Growth</w:t>
            </w:r>
            <w:r>
              <w:rPr>
                <w:color w:val="000000"/>
              </w:rPr>
              <w:t xml:space="preserve">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Multi-Family Completions Growth</w:t>
            </w:r>
            <w:r>
              <w:rPr>
                <w:color w:val="000000"/>
              </w:rPr>
              <w:t xml:space="preserve"> </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Same-branch basis represents period-over-period change in sales for branch locations owned greater than 12 months as of each financial statement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Calculated based on period-over-period change in sales within our Installation segment and its end markets.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The heavy commercial end market, a subset of our total commercial end market, comprises projects that are much larger than our average installation job. As such, per-job revenue is much larger than the average job in all other end markets.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Calculated as period-over-period change in the number of completed same-branch jobs within our Installation segment for all markets.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Defined as change in the mix of products sold and related pricing changes and calculated as the change in period-over-period average selling price per same-branch jobs within our Installation segment for all markets we serve, multiplied by total current year jobs. The mix of end customer and product would have an impact on the year-over-year price per job.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Calculated based on period-over-period gross sales change, excluding intercompany transactions, in our Other category which consists of our Manufacturing and Distribution operating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revised this calculation to exclude certain intercompany sales. Percentages in all periods presented conform to this revised method.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Census Bureau data, as revised.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0250"/>
                <wp:effectExtent l="0" t="0" r="0" b="0"/>
                <wp:wrapNone/>
                <wp:docPr id="31" name="Frame3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 Cost of Sales and Gross Profit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gross profit were as follows (in millions):</w:t>
      </w:r>
    </w:p>
    <w:tbl>
      <w:tblPr>
        <w:tblW w:w="10142" w:type="dxa"/>
        <w:jc w:val="center"/>
        <w:tblInd w:w="0" w:type="dxa"/>
        <w:tblLayout w:type="fixed"/>
        <w:tblCellMar>
          <w:top w:w="28" w:type="dxa"/>
          <w:left w:w="28" w:type="dxa"/>
          <w:bottom w:w="28" w:type="dxa"/>
          <w:right w:w="28" w:type="dxa"/>
        </w:tblCellMar>
      </w:tblPr>
      <w:tblGrid>
        <w:gridCol w:w="721"/>
        <w:gridCol w:w="636"/>
        <w:gridCol w:w="637"/>
        <w:gridCol w:w="211"/>
        <w:gridCol w:w="616"/>
        <w:gridCol w:w="271"/>
        <w:gridCol w:w="109"/>
        <w:gridCol w:w="109"/>
        <w:gridCol w:w="109"/>
        <w:gridCol w:w="239"/>
        <w:gridCol w:w="241"/>
        <w:gridCol w:w="408"/>
        <w:gridCol w:w="109"/>
        <w:gridCol w:w="109"/>
        <w:gridCol w:w="109"/>
        <w:gridCol w:w="211"/>
        <w:gridCol w:w="616"/>
        <w:gridCol w:w="271"/>
        <w:gridCol w:w="109"/>
        <w:gridCol w:w="109"/>
        <w:gridCol w:w="109"/>
        <w:gridCol w:w="211"/>
        <w:gridCol w:w="766"/>
        <w:gridCol w:w="271"/>
        <w:gridCol w:w="109"/>
        <w:gridCol w:w="109"/>
        <w:gridCol w:w="109"/>
        <w:gridCol w:w="239"/>
        <w:gridCol w:w="241"/>
        <w:gridCol w:w="408"/>
        <w:gridCol w:w="109"/>
        <w:gridCol w:w="109"/>
        <w:gridCol w:w="109"/>
        <w:gridCol w:w="211"/>
        <w:gridCol w:w="766"/>
        <w:gridCol w:w="316"/>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w:t>
            </w:r>
          </w:p>
        </w:tc>
        <w:tc>
          <w:tcPr>
            <w:tcW w:w="8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increased during the three months ended June 30, 2026 over the same period in 2025 primarily due to sales growth from our commercial end market and contributions from our recent acquisitions. Our commercial end market sales grew 10.4% on a same branch basis for the three months ended June 30, 2026 over the same period in 2025. Same branch sales from our single-family end market declined 7.2% while same branch sales from our multi-family end market decreased 1.4%, outpacing the 2.8% decline in national multi-family completions. These markets combined for a residential same branch sales decline of 6.1% for the three months ended March 31, 2026 over the same period in 2025. Lastly, sales within our Distribution and Manufacturing businesses increased 50.4% during the three months ended June 30, 2026 which aligns with our strategy to enhance our procurement efforts through vertical integration in select product and end markets.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revenue decreased 0.5% over the same period in 2025 primarily due to the decline in residential job volume.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gross profit as a percentage of net revenue decreased as compared to the same period in 2025, primarily due to higher labor costs and other indirect costs from shifts in product and end market mix, increased vehicle costs including fuel, depreciation expense and auto insurance, and increased freight and shipping costs from higher Manufacturing and Distribution activity.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were as follows (in millions):</w:t>
      </w:r>
    </w:p>
    <w:tbl>
      <w:tblPr>
        <w:tblW w:w="10205" w:type="dxa"/>
        <w:jc w:val="center"/>
        <w:tblInd w:w="0" w:type="dxa"/>
        <w:tblLayout w:type="fixed"/>
        <w:tblCellMar>
          <w:top w:w="28" w:type="dxa"/>
          <w:left w:w="28" w:type="dxa"/>
          <w:bottom w:w="28" w:type="dxa"/>
          <w:right w:w="28" w:type="dxa"/>
        </w:tblCellMar>
      </w:tblPr>
      <w:tblGrid>
        <w:gridCol w:w="910"/>
        <w:gridCol w:w="760"/>
        <w:gridCol w:w="768"/>
        <w:gridCol w:w="211"/>
        <w:gridCol w:w="616"/>
        <w:gridCol w:w="271"/>
        <w:gridCol w:w="109"/>
        <w:gridCol w:w="109"/>
        <w:gridCol w:w="109"/>
        <w:gridCol w:w="203"/>
        <w:gridCol w:w="203"/>
        <w:gridCol w:w="408"/>
        <w:gridCol w:w="109"/>
        <w:gridCol w:w="109"/>
        <w:gridCol w:w="109"/>
        <w:gridCol w:w="211"/>
        <w:gridCol w:w="616"/>
        <w:gridCol w:w="271"/>
        <w:gridCol w:w="109"/>
        <w:gridCol w:w="109"/>
        <w:gridCol w:w="109"/>
        <w:gridCol w:w="211"/>
        <w:gridCol w:w="616"/>
        <w:gridCol w:w="271"/>
        <w:gridCol w:w="109"/>
        <w:gridCol w:w="109"/>
        <w:gridCol w:w="109"/>
        <w:gridCol w:w="234"/>
        <w:gridCol w:w="236"/>
        <w:gridCol w:w="408"/>
        <w:gridCol w:w="109"/>
        <w:gridCol w:w="109"/>
        <w:gridCol w:w="109"/>
        <w:gridCol w:w="211"/>
        <w:gridCol w:w="616"/>
        <w:gridCol w:w="319"/>
      </w:tblGrid>
      <w:tr>
        <w:trPr/>
        <w:tc>
          <w:tcPr>
            <w:tcW w:w="91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Selling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dollar increase in selling expenses for the three months ended June 30, 2026 compared to 2025 was primarily driven by an increase in selling compensation and increased credit loss expense on higher revenues. Selling expenses for the six months ended June 30, 2026 decreased compared to 2025 primarily due to a decline in commissions on lower revenues. Selling expense as a percentage of sales remained flat during the three and six months ended June 30, 2026 compared to 2025.</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Administrative</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dollar increase in administrative expenses for the three and six months ended June 30, 2026 compared to 2025 was primarily due to an increase in medical benefits and liability insurance costs. In addition, facility costs increased due to inflationary pressures and acquisitions. Administrative expenses increased as a percentage of net revenue for the three and six months ended June 30, 2026 compared to 2025 primarily due to inflationary pressures on insurance costs, partially offset by organizational optimization cost savings and lower transaction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0250"/>
                <wp:effectExtent l="0" t="0" r="0" b="0"/>
                <wp:wrapNone/>
                <wp:docPr id="32" name="Frame3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Amortization</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the three and six months ended June 30, 2026 compared to 2025 increased primarily due to the acquisition of more finite-lived intangible assets.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was as follows (in millions):</w:t>
      </w:r>
    </w:p>
    <w:tbl>
      <w:tblPr>
        <w:tblW w:w="8807" w:type="dxa"/>
        <w:jc w:val="center"/>
        <w:tblInd w:w="0" w:type="dxa"/>
        <w:tblLayout w:type="fixed"/>
        <w:tblCellMar>
          <w:top w:w="28" w:type="dxa"/>
          <w:left w:w="28" w:type="dxa"/>
          <w:bottom w:w="28" w:type="dxa"/>
          <w:right w:w="28" w:type="dxa"/>
        </w:tblCellMar>
      </w:tblPr>
      <w:tblGrid>
        <w:gridCol w:w="750"/>
        <w:gridCol w:w="658"/>
        <w:gridCol w:w="662"/>
        <w:gridCol w:w="211"/>
        <w:gridCol w:w="511"/>
        <w:gridCol w:w="109"/>
        <w:gridCol w:w="109"/>
        <w:gridCol w:w="109"/>
        <w:gridCol w:w="109"/>
        <w:gridCol w:w="255"/>
        <w:gridCol w:w="256"/>
        <w:gridCol w:w="408"/>
        <w:gridCol w:w="109"/>
        <w:gridCol w:w="109"/>
        <w:gridCol w:w="109"/>
        <w:gridCol w:w="211"/>
        <w:gridCol w:w="406"/>
        <w:gridCol w:w="109"/>
        <w:gridCol w:w="109"/>
        <w:gridCol w:w="109"/>
        <w:gridCol w:w="109"/>
        <w:gridCol w:w="211"/>
        <w:gridCol w:w="511"/>
        <w:gridCol w:w="109"/>
        <w:gridCol w:w="109"/>
        <w:gridCol w:w="109"/>
        <w:gridCol w:w="109"/>
        <w:gridCol w:w="255"/>
        <w:gridCol w:w="256"/>
        <w:gridCol w:w="408"/>
        <w:gridCol w:w="109"/>
        <w:gridCol w:w="109"/>
        <w:gridCol w:w="109"/>
        <w:gridCol w:w="211"/>
        <w:gridCol w:w="51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during the three months ended June 30, 2026 compared to the same period in 2025 primarily due to higher debt levels. For the six months ended June 30, 2026, interest expense, net was also impacted by the write-offs of debt issuance costs resulting from our January 2026 transactions related to the Senior Notes (as defined below). During the three and six months ended June 30, 2026, the increases were partially offset by increased interest income from higher cash balances in interest bearing money market accounts. See Part I, Item 1. Financial Statements, Note 7, Long-Term Debt, for more information on the January 2026 debt transactions.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and effective tax rates were as follows (in millions):</w:t>
      </w:r>
    </w:p>
    <w:tbl>
      <w:tblPr>
        <w:tblW w:w="7002" w:type="dxa"/>
        <w:jc w:val="center"/>
        <w:tblInd w:w="0" w:type="dxa"/>
        <w:tblLayout w:type="fixed"/>
        <w:tblCellMar>
          <w:top w:w="28" w:type="dxa"/>
          <w:left w:w="28" w:type="dxa"/>
          <w:bottom w:w="28" w:type="dxa"/>
          <w:right w:w="28" w:type="dxa"/>
        </w:tblCellMar>
      </w:tblPr>
      <w:tblGrid>
        <w:gridCol w:w="667"/>
        <w:gridCol w:w="588"/>
        <w:gridCol w:w="590"/>
        <w:gridCol w:w="225"/>
        <w:gridCol w:w="547"/>
        <w:gridCol w:w="290"/>
        <w:gridCol w:w="116"/>
        <w:gridCol w:w="116"/>
        <w:gridCol w:w="116"/>
        <w:gridCol w:w="225"/>
        <w:gridCol w:w="547"/>
        <w:gridCol w:w="290"/>
        <w:gridCol w:w="109"/>
        <w:gridCol w:w="109"/>
        <w:gridCol w:w="109"/>
        <w:gridCol w:w="211"/>
        <w:gridCol w:w="511"/>
        <w:gridCol w:w="271"/>
        <w:gridCol w:w="109"/>
        <w:gridCol w:w="109"/>
        <w:gridCol w:w="109"/>
        <w:gridCol w:w="211"/>
        <w:gridCol w:w="511"/>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three and six months ended June 30, 2026 were impacted favorably by recognition of windfall tax benefits resulted from equity vesting. The effective tax rates for the three and six months ended June 30, 2026 and 2025 were based on an estimated annual effective tax rate for federal, state and local tax expense.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Comprehensive Income (Loss), Net of Tax</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was as follows (in millions):</w:t>
      </w:r>
    </w:p>
    <w:tbl>
      <w:tblPr>
        <w:tblW w:w="8854" w:type="dxa"/>
        <w:jc w:val="center"/>
        <w:tblInd w:w="0" w:type="dxa"/>
        <w:tblLayout w:type="fixed"/>
        <w:tblCellMar>
          <w:top w:w="28" w:type="dxa"/>
          <w:left w:w="28" w:type="dxa"/>
          <w:bottom w:w="28" w:type="dxa"/>
          <w:right w:w="28" w:type="dxa"/>
        </w:tblCellMar>
      </w:tblPr>
      <w:tblGrid>
        <w:gridCol w:w="1350"/>
        <w:gridCol w:w="1187"/>
        <w:gridCol w:w="1197"/>
        <w:gridCol w:w="281"/>
        <w:gridCol w:w="542"/>
        <w:gridCol w:w="145"/>
        <w:gridCol w:w="145"/>
        <w:gridCol w:w="145"/>
        <w:gridCol w:w="145"/>
        <w:gridCol w:w="281"/>
        <w:gridCol w:w="642"/>
        <w:gridCol w:w="145"/>
        <w:gridCol w:w="109"/>
        <w:gridCol w:w="109"/>
        <w:gridCol w:w="109"/>
        <w:gridCol w:w="258"/>
        <w:gridCol w:w="497"/>
        <w:gridCol w:w="133"/>
        <w:gridCol w:w="133"/>
        <w:gridCol w:w="133"/>
        <w:gridCol w:w="133"/>
        <w:gridCol w:w="258"/>
        <w:gridCol w:w="589"/>
        <w:gridCol w:w="188"/>
      </w:tblGrid>
      <w:tr>
        <w:trPr/>
        <w:tc>
          <w:tcPr>
            <w:tcW w:w="135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on cash flow hedges, net of taxes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unrealized gains of $2.3 million and $3.9 million, respectively, net of taxes, on our cash flow hedges due to the market's expectations for higher interest rates in the future. During the three and six months ended June 30, 2025, we recorded unrealized losses of $4.3 million and $10.4 million, respectively, net of taxes, on our cash flow hedges due to changes in the market's expectations for future long-term interest rates.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amortized $1.8 million and $3.5 million, respectively, and during the three and six months ended June 30, 2025, we amortized $0.2 million and $1.0 million, respectively, of our remaining unrealized gains and losses, net, on our terminated cash flow hedges to interest expense, not including the offsetting tax effects of $0.5 million and $0.9 million for the three and six months ended June 30, 2026, respectively, and $0.1 million and $0.3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0250"/>
                <wp:effectExtent l="0" t="0" r="0" b="0"/>
                <wp:wrapNone/>
                <wp:docPr id="33" name="Frame3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FACTORS AFFECTING OUR OPERATING RESULTS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Inflation, Housing Affordability and Mortgage Interest Rates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Inflation has affected the economy as a whole since 2022, but began moderating in 2023 as the Federal Reserve took actions to stabilize inflation by raising the federal funds rate multiple times through July 2023. These rate hikes indirectly affected the 30-year fixed rate mortgage average in the United States, resulting in mortgage rates peaking above 7% in recent years. These rate-driven pressures have curtailed housing demand as mortgage financing affordability has been reduced. Inflation rates in 2026 have remained above the 2% stated target, and the Iranian conflict in the Middle East has significantly raised oil prices which could push inflation higher and cause the Federal Reserve to continue to pause rate cuts or institute new rate hikes. While a more accommodating Federal Reserve monetary policy does not directly determine mortgage rates, any easing of the federal funds rate would likely contribute to a downward trend in mortgage rates. We expect to continue to be impacted by the current elevated rates for the remainder of 2026 but anticipate pressures to lessen over time if mortgage rates are further reduced.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housing affordability is impacted by international trade as certain housing inputs such as lumber are more reliant on imports than domestic production. While we purchase the large majority of the products we install and sell domestically, our business could be impacted if overall home affordability is further reduced by higher material prices due to increased tariffs.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Trends in the Construction Industry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Elevated home prices, high mortgage rates, recent economic uncertainty, subdued consumer sentiment and high new home inventory were the primary contributors to the decline in demand of new homes in the first half of 2026. Activity slowed in the residential homebuilding market as non-seasonally adjusted single-family starts, our largest end market, decreased 5.3% according to the U.S. Census during the six months ended June 30, 2026 compared to the same period in 2025. Employment remains stable and continues to support demand for residential new construction activity despite the affordability concerns and recent economic uncertainty. As a result, while we expect cyclicality to continue in the housing industry, we believe the long-term opportunities in our residential and commercial end markets are favorable. Our largest customers are publicly traded homebuilders, and these builders have been able to increase affordability by offering mortgage rate buydowns as incentives to their customers. Regarding the repair and remodel markets, many existing homeowners are locked into low interest mortgages and an aging housing stock exists in many areas of the United States, bolstering demand in this end market.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and Availability of Materials</w:t>
      </w:r>
    </w:p>
    <w:p>
      <w:pPr>
        <w:pStyle w:val="TextBody"/>
        <w:bidi w:val="0"/>
        <w:spacing w:lineRule="auto" w:line="288" w:before="180" w:after="283"/>
        <w:jc w:val="left"/>
        <w:rPr/>
      </w:pPr>
      <w:r>
        <w:rPr>
          <w:rFonts w:ascii="Times New Roman;serif" w:hAnsi="Times New Roman;serif"/>
          <w:b w:val="false"/>
          <w:color w:val="000000"/>
          <w:sz w:val="20"/>
        </w:rPr>
        <w:t>We typically purchase the materials we use in our business directly from manufacturers. The largest fiberglass manufacturers have cut production capacity during past business cycles which has caused periods of industry-wide supply allocations. While we are not currently experiencing material supply shortages, we could incur such shortages during the remainder of 2026 and beyond if these manufacturers reduce production this year. We also experience price increases from our suppliers from time to time, and we may have more difficulty raising selling prices to offset any material price increases in 2026 if housing demand slows.</w:t>
      </w:r>
      <w:r>
        <w:rPr>
          <w:color w:val="000000"/>
          <w:shd w:fill="FFFFFF" w:val="clear"/>
        </w:rPr>
        <w:t xml:space="preserve"> </w:t>
      </w:r>
      <w:r>
        <w:rPr>
          <w:rFonts w:ascii="Times New Roman;serif" w:hAnsi="Times New Roman;serif"/>
          <w:b w:val="false"/>
          <w:color w:val="000000"/>
          <w:sz w:val="20"/>
          <w:shd w:fill="FFFFFF" w:val="clear"/>
        </w:rPr>
        <w:t>We could be subject to increased material pricing on some of the complementary building products we install and sell due to tariffs imposed on goods imported from certain foreign nations. The extent of these increases will depend on a variety of factors including the magnitude of each tariff, the extent our vendors pass on the tariffs they incur, and the number of countries subject to tariffs in the future</w:t>
      </w:r>
      <w:r>
        <w:rPr>
          <w:rFonts w:ascii="Times New Roman;serif" w:hAnsi="Times New Roman;serif"/>
          <w:b w:val="false"/>
          <w:color w:val="000000"/>
          <w:sz w:val="20"/>
        </w:rPr>
        <w:t>. Additionally, we may be subject to increased shipping and freight costs on inventory if the recent spike in oil prices continues and those costs are passed onto us from our suppliers as we began to see during the most recent quarter. Increased market pricing, regardless of the catalyst, has and could continue to impact our results of operations in 2026, to the extent that price increases cannot be passed on to our customers. We will continue to work with our suppliers to lessen the impact on our margins and our customers to adjust selling prices to offset higher costs as they occur.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Labor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labor intensive and the majority of our employees work as installers on local construction sites. We anticipate a slower hiring pace in 2026, but still expect to spend more to hire, train and retain installers to support our business as tight labor availability continues within the construction industry. Our workers’ compensation costs also continue to rise as we increase our coverage for additional personnel.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 retention rates remained better than industry averages in the six months ended June 30, 2026. We believe this is a result of our strong culture and the various programs meant to benefit our employees, including our financial wellness plan, emotional well-being coaching, longevity stock compensation plan and comprehensive benefit packages we offer. We also provide assistance from the Installed Building Products Foundation meant to benefit our employees, their families and their communities. While improved retention drives lower costs to recruit and train new employees, resulting in greater installer productivity, these improvements are somewhat offset by the additional costs of these incentives.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0250"/>
                <wp:effectExtent l="0" t="0" r="0" b="0"/>
                <wp:wrapNone/>
                <wp:docPr id="34" name="Frame3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resources primarily consist of cash from operations and borrowings under our various debt agreements and capital equipment leases and loans. As of June 30, 2026, we had cash and cash equivalents of $394.5 million as well as access to $375.0 million under our asset-based lending credit facility (as defined below), less $2.9 million of outstanding letters of credit, resulting in total liquidity of $766.6 million. Liquidity may also be limited in the future by certain cash collateral limitations under our asset-based credit facility (as defined below), depending on the status of our borrowing base availability.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Short-Term Material Cash Requirements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capital requirements are to fund working capital needs, operating expenses, acquisitions and capital expenditures, to meet debt and leasing principal and interest obligations and to make required income tax payments. We may also use our resources to fund our optional stock repurchase program and pay quarterly and annual dividends. We expect to spend cash and cash equivalents to acquire various companies with at least $100.0 million in aggregate net revenue each fiscal year. The amount of cash paid for an acquisition is dependent on various factors, including the size and determined value of the business being acquired.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meet our short-term liquidity requirements primarily through net cash flows from operations, our cash and cash equivalents on hand and borrowings from various lenders under equipment and loan agreements. Additional sources of funds, should we need them, include borrowing capacity under our asset-based lending credit facility (as defined below).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combined with our current cash levels and available borrowing capacity, will be adequate to support our ongoing operations and to fund our business needs, commitments and contractual obligations for at least the next 12 months as evidenced by our net positive cash flows from operations for the six months ended June 30, 2026. We believe that we have access to additional funds, if needed, through the capital markets to obtain further debt financing under the current market conditions, but we cannot guarantee that such financing will be available on favorable terms, or at all. In the short-term, we expect the seasonal trends we typically experience to return, including higher sales in the spring, summer and fall than in the winter. This could affect the timing of cash collections and payments during the rest of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Long-Term Material Cash Requirements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Beyond the next twelve months, our principal demands for funds will be to fund working capital needs and operating expenses, to meet principal and interest obligations on our long-term debts and finance leases as they become due or mature, and to make required income tax payments. Additional funds may be spent on acquisitions, stock repurchases, capital improvements and dividend payments, at our discretion.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 long-term basis, we may refinance existing debt or obtain further debt financing to the extent that our sources of capital are insufficient to meet our operating needs and/or growth strategy.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"Management's Discussion and Analysis of Financial Condition and Results of Operations" included in our 2025 Form 10-K, we disclosed that we had $1.1 billion aggregate long-term material cash requirements as of December 31, 2025. Our long-term commitments have since changed materially due to the issuance of $500.0 million in aggregate principal amount of 5.625% senior unsecured notes due 2034 and using a portion of the proceeds to redeem in full the outstanding principal and interest on our $300.0 million senior unsecured notes due 2028. This transaction reduced the principal payments included in the 2028 known obligations by $300.0 million and increased the thereafter known obligations by $500.0 million. The increased principal and extended maturity of the 2034 Senior Notes (as defined below) will also increase the amount of interest we will be required to pay in 2026 and beyond. There were no other material changes to our cash requirements during the period covered by this Quarterly Report on Form 10-Q outside of the normal course of our business. For further information about our debt transactions, see Part I, Item 1. Financial Statements, Note 7, Long-Term Debt.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and Uses of Cash and Related Trends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Working Capital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carefully manage our working capital and operating expenses. As of June 30, 2026 and December 31, 2025, our working capital including cash and cash equivalents was $768.4 million and $698.4 million, respectively. The increase in 2026 was primarily driven by the increase in cash due to the net borrowings of our 2034 Senior Notes (as defined below). The increase was partially offset by accounts payable increasing $32.7 million due to timing and increased material costs. We continue to look for opportunities to reduce our working capital as a percentage of net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0250"/>
                <wp:effectExtent l="0" t="0" r="0" b="0"/>
                <wp:wrapNone/>
                <wp:docPr id="35" name="Frame3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activity (in millions):</w:t>
      </w:r>
    </w:p>
    <w:tbl>
      <w:tblPr>
        <w:tblW w:w="5784" w:type="dxa"/>
        <w:jc w:val="center"/>
        <w:tblInd w:w="0" w:type="dxa"/>
        <w:tblLayout w:type="fixed"/>
        <w:tblCellMar>
          <w:top w:w="28" w:type="dxa"/>
          <w:left w:w="28" w:type="dxa"/>
          <w:bottom w:w="28" w:type="dxa"/>
          <w:right w:w="28" w:type="dxa"/>
        </w:tblCellMar>
      </w:tblPr>
      <w:tblGrid>
        <w:gridCol w:w="1254"/>
        <w:gridCol w:w="1104"/>
        <w:gridCol w:w="1107"/>
        <w:gridCol w:w="218"/>
        <w:gridCol w:w="638"/>
        <w:gridCol w:w="112"/>
        <w:gridCol w:w="112"/>
        <w:gridCol w:w="112"/>
        <w:gridCol w:w="112"/>
        <w:gridCol w:w="218"/>
        <w:gridCol w:w="638"/>
        <w:gridCol w:w="159"/>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provided by operations is revenues generated from installing or selling building products and the resulting operating income generated by these revenues. Operating income is adjusted for certain non-cash items, and our cash flows from operations can be impacted by the timing of our cash collections on sales and collection of retainage amounts.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from operating activities include payments for inventory, compensation costs, leases, income taxes and other general corporate expenditures included in net income.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from 2025 to 2026 primarily due to lower net income and increases in inventories and accounts receivable, partially offset by an increase in accounts payable due to the timing of business working days within the period.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Sources of cash from investing activities consist primarily of proceeds from the sales of property and equipment. Cash used in investing activities consists primarily of purchases of property and equipment and payments for acquisitions.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from 2025 to 2026 primarily due to increased spending on acquisitions of businesses in 2026 compared to 2025, partially offset by fewer purchases of property and equipment during the six months ended June 30,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sources of cash from financing activities consist of proceeds from the issuances of vehicle and equipment notes payable and, periodically, other sources of debt financing. Cash used in financing activities consists primarily of debt repayments, acquisition-related obligations, dividends and stock repurchases.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from 2025 to 2026 primarily due to the net proceeds on the 2034 Senior Notes (as defined below). The decrease in net cash used was partially offset by less proceeds from vehicle and equipment notes and higher capital returns to shareholders via dividends and common stock repurchases during the six months ended June 30, 2026. See Part I, Item 1. Financial Statements, Note 7, Long-Term Debt, for more information on our debt transactions.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5.625% Senior Notes due 2034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January 2026, we issued $500.0 million in aggregate principal amount of 5.625% senior unsecured notes (the "2034 Senior Notes"). The 2034 Senior Notes will mature on February 1, 2034 and interest will accrue at a rate of 5.625% per annum from the date of original issuance and be payable semi-annually in cash in arrears on February 1 and August 1 of each year, commencing on August 1, 2026. The net proceeds from the 2034 Senior Notes offering were approximately $492.4 million after deducting fees and offering expenses. We used approximately $308.2 million of the net proceeds to redeem the outstanding principal and accrued interest on our 5.75% senior unsecured notes due 2028 (the "2028 Senior Notes" and, together with the 2034 Senior Notes, the “Senior Notes”). The remaining net proceeds will be used for general corporate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covering the 2034 Senior Notes contains restrictive covenants that, among other things, limit the ability of the Company and certain of our subsidiaries (subject to certain exceptions) to: (i) pay dividends on, redeem or repurchase stock; (ii) prepay subordinated debt; (iii) apply net proceeds from certain asset sales; (iv) engage in transactions with affiliates; (v) merge, consolidate or sell substantially all of its assets; and (vi) pay dividends and make other distributions from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0250"/>
                <wp:effectExtent l="0" t="0" r="0" b="0"/>
                <wp:wrapNone/>
                <wp:docPr id="36" name="Frame3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Term Loan Facility</w:t>
      </w:r>
    </w:p>
    <w:p>
      <w:pPr>
        <w:pStyle w:val="TextBody"/>
        <w:bidi w:val="0"/>
        <w:spacing w:lineRule="auto" w:line="288" w:before="180" w:after="283"/>
        <w:jc w:val="left"/>
        <w:rPr/>
      </w:pPr>
      <w:r>
        <w:rPr>
          <w:rFonts w:ascii="Times New Roman;serif" w:hAnsi="Times New Roman;serif"/>
          <w:b w:val="false"/>
          <w:color w:val="000000"/>
          <w:sz w:val="20"/>
        </w:rPr>
        <w:t xml:space="preserve">We have a term loan credit agreement with Royal Bank of Canada as the administrative agent and collateral agent thereunder (the “Term Loan Agreement”), dated as of December 14, 2021 (as amended by the </w:t>
      </w:r>
      <w:r>
        <w:rPr>
          <w:rFonts w:ascii="Times New Roman;serif" w:hAnsi="Times New Roman;serif"/>
          <w:b w:val="false"/>
          <w:color w:val="000000"/>
          <w:sz w:val="20"/>
          <w:shd w:fill="FFFFFF" w:val="clear"/>
        </w:rPr>
        <w:t>First Amendment thereto dated April 28, 2023, by the Second Amendment thereto dated August 14, 2023, by the Third Amendment thereto dated March 28, 2024, and by the Fourth Amendment thereto dated November 26, 2024)</w:t>
      </w:r>
      <w:r>
        <w:rPr>
          <w:rFonts w:ascii="Times New Roman;serif" w:hAnsi="Times New Roman;serif"/>
          <w:b w:val="false"/>
          <w:color w:val="000000"/>
          <w:sz w:val="20"/>
        </w:rPr>
        <w:t>. The Third Amendment allowed for the issuance of a new term loan (the "Term Loan") in the amount of $500.0 million which will mature on March 28, 2031. Net proceeds of the Term Loan were used to refinance the remaining principal on our previous term loan, pay fees and increase working capital. The Term Loan bears interest, at our option, at a rate equal to either: the adjusted Term SOFR plus 1.75% per annum, or an alternative base rate plus 0.75%.</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The Term Loan amortizes in quarterly principal payments of $1.25 million, with any remaining unpaid balances due on the maturity date of March 28, 2031.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had $485.9 million, net of unamortized debt issuance costs, due on our Term Loan.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exceptions, the Term Loan will be subject to mandatory prepayments of (i) 100% of the net cash proceeds from issuances or incurrence of debt by the Company or any of its restricted subsidiaries (other than with respect to certain permitted indebtedness (excluding any refinancing indebtedness); (ii) 100% (with step-downs to 50% and 0% based on achievement of specified net leverage ratios) of the net cash proceeds from certain sales or dispositions of assets by the Company or any of its restricted subsidiaries in excess of a certain amount and subject to reinvestment provision and certain other exception; and (iii) 50% (with step-downs to 25% and 0% based upon achievement of specified net leverage ratios) of excess cash flow of the Company and its restricted subsidiaries in excess of $15.0 million, subject to certain exceptions and limitations.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Asset-based Lending Credit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January 2026, we amended and extended the term of our asset-based lending credit agreement (the "ABL Credit Agreement"). The ABL Credit Agreement transaction increased the commitment under the asset-based lending credit facility (the "ABL Revolver") from $250.0 million to $375.0 million and extended the maturity date to January 21, 2031. Terms include a springing maturity 91 days ahead of the maturity date of any material indebtedness.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ABL Revolver now bears interest at either the Secured Overnight Financing Rate ("Term SOFR") or the base rate, at our election, plus a margin of 1.00% or 1.25% per annum in the case of Term SOFR advances or 0.00% or 0.25% per annum in the case of base rate loans (in each case based on a measure of availability under the ABL Credit Agreement). The ABL Credit Agreement contains a financial covenant requiring the satisfaction of a minimum of fixed charge coverage ratio of 1.0x in the event that we do not meet a minimum measure of availability under the ABL Revolver.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ABL Revolver also provides incremental revolving credit facility commitments of up to $105.0 million. The ABL Revolver also allows for the issuance of letters of credit of up to $100.0 million in aggregate and borrowing of swingline loans of up to $50.0 million in aggregate. Including outstanding letters of credit, our remaining availability under the ABL Revolver as of June 30, 2026 was $372.1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June 30, 2026, we were in compliance with all applicable covenants under the Term Loan Agreement, ABL Credit Agreement and the 2034 Senior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Derivative Instruments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two active interest rate swaps with maturity dates of December 14, 2028. When combined, these interest rate swaps serve to hedge $400.0 million of the variable cash flows on our Term Loan through December 14, 2028. For further information about our interest rate swaps, see Part I, Item 1. Financial Statements, Note 11, Derivatives and Hedging Activities. The assets associated with the interest rate swaps are included in other current assets and other non-current assets on the Consolidated Balance Sheets at their fair value amounts as described in Note 9, Fair Value Measurements.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and Equipment Notes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 Master Loan and Security Agreement (“Master Loan and Security Agreement”), a Master Equipment Lease Agreement (“Master Equipment Agreement”) and one or more Master Loan Agreements (“Master Loan Agreements” and together with the Master Loan and Security Agreement and Master Equipment Agreement, the “Master Loan and Equipment Agreements”) with various lenders to provide financing for the purpose of purchasing or leasing vehicles and equipment used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0250"/>
                <wp:effectExtent l="0" t="0" r="0" b="0"/>
                <wp:wrapNone/>
                <wp:docPr id="37" name="Frame3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normal course of business. Vehicles and equipment purchased or leased under each financing arrangement serve as collateral for the note applicable to such financing arrangement. Regular payments are due under each note for a period of typically 60 consecutive months after the incurrence of the obligation.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loan balances relating to our Master Loan and Equipment Agreements were $82.2 million as of June 30, 2026 and $98.5 million as of December 31, 2025. Depreciation of assets held under these agreements is included within cost of sales on the Condensed Consolidated Statements of Operations and Comprehensive Income included herein.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 and Bonds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performance bonds to ensure completion of our work on certain larger customer contracts that can span multiple accounting periods. Performance bonds are generally released as the contractual performance is completed. In addition, we occasionally use letters of credit and cash to secure our performance under our general liability, workers’ compensation and auto insurance programs. Permit and license bonds are typically issued for one year and are required by certain states and municipalities when we obtain licenses and permits to perform work in their jurisdictions.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outstanding bonds, letters of credit and cash collateral (in millions):</w:t>
      </w:r>
    </w:p>
    <w:tbl>
      <w:tblPr>
        <w:tblW w:w="5473" w:type="dxa"/>
        <w:jc w:val="center"/>
        <w:tblInd w:w="0" w:type="dxa"/>
        <w:tblLayout w:type="fixed"/>
        <w:tblCellMar>
          <w:top w:w="28" w:type="dxa"/>
          <w:left w:w="28" w:type="dxa"/>
          <w:bottom w:w="28" w:type="dxa"/>
          <w:right w:w="28" w:type="dxa"/>
        </w:tblCellMar>
      </w:tblPr>
      <w:tblGrid>
        <w:gridCol w:w="1348"/>
        <w:gridCol w:w="1182"/>
        <w:gridCol w:w="1189"/>
        <w:gridCol w:w="377"/>
        <w:gridCol w:w="1102"/>
        <w:gridCol w:w="275"/>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 2026</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bonds</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letters of credit and cash collateral</w:t>
            </w:r>
          </w:p>
        </w:tc>
        <w:tc>
          <w:tcPr>
            <w:tcW w:w="14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 and license bonds</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 and letters of credit</w:t>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$65.3 million included in our insurance letters of credit in the above table that are unsecured and therefore do not reduce total liquidity.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using different assumptions or under different conditions.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our assets and liabilities that are not readily apparent from other sources. Actual results may differ from these estimates and assumptions used in preparation of our consolidated financial statements. There have been no significant changes to our critical accounting policies and estimates during the six months ended June 30, 2026 from those disclosed in the “Management’s Discussion and Analysis of Financial Condition and Results of Operations” section of our 2025 Form 10-K.</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recently issued and/or adopted accounting pronouncements, see Note 2, Significant Accounting Policies, to our audited consolidated financial statements included in our 2025 Form 10-K.</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federal securities laws, including with respect to the housing market and the commercial market, our operations, economic and industry conditions, our financial and business model, payment of dividends, the demand for our services and product offerings, trends in the commercial business, expansion of our national footprint and diversification, our ability to grow and strengthen our market position, our ability to pursue and integrate value-enhancing acquisitions, our ability to improve sales and profitability, our efforts to navigate the material pricing environment, our ability to increase selling prices, our material and labor costs, supply chain and material constraints, impacts of inflation and interest rate trends, our hiring practices and expectations for demand for our services and our earnings in 2026. Forward-looking statements may generally be identified by the use of words such as “anticipate,” “believe,” “estimate,” “project,” “predict,” “possible,” “forecast,” “may,” “could,” “would,” “should,” “expect,” “intends,” “plan,” and “will” or, in each case, their negative, or other variations or comparable terminology. These forward-looking statements include all matters that are not historical facts. By their nature, forward-looking statements involve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0250"/>
                <wp:effectExtent l="0" t="0" r="0" b="0"/>
                <wp:wrapNone/>
                <wp:docPr id="38" name="Frame3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the general economic and industry conditions; increases in mortgage interest rates and rising home prices; inflation and interest rates; the material price and supply environment; increased tariffs; uncertainty regarding the federal government’s changes in fiscal, trade, monetary or regulatory policy; geopolitical conflicts, including the conflict in Iran; the timing of increases in our selling prices; the risk that the Company may reduce, suspend or eliminate dividend payments in the future; and the factors discussed in the “Risk Factors” section of our 2025 Form 10-K, as the same may be updated from time to time in our subsequent filings with the SEC. In addition, any future declaration of dividends will be subject to the final determination of our Board of Directors. Any forward-looking statement made by the Company in this report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related to fluctuations in interest rates on our outstanding variable rate debt. As of June 30, 2026, we had $488.7 million outstanding on our Term Loan, gross of unamortized debt issuance costs, no outstanding borrowings on our ABL Revolver and no outstanding borrowings under finance leases subject to variable interest rates. As of June 30, 2026, we had two active interest rate swaps which, when combined, serve to hedge $400.0 million of the variable cash flows on our Term Loan through December 14, 2028. As a result, total variable rate debt of $88.7 million was exposed to market risks as of June 30, 2026. A hypothetical one percentage point increase (decrease) in interest rates on our variable rate debt would increase (decrease) our annual interest expense by approximately $0.9 million. The 2034 Senior Notes accrue interest at a fixed rate of 5.625%.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evaluated the effectiveness of our disclosure controls and procedures as of the end of the period covered by this report with the participation of our Chief Executive Officer (“CEO”) and Chief Financial Officer (“CFO”) as required by Exchange Act Rules 13a-15(e) and 15d-15(e). Based on that evaluation, our CEO and CFO concluded that our disclosure controls and procedures were effective as of June 30,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during the three months ended June 30, 2026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0250"/>
                <wp:effectExtent l="0" t="0" r="0" b="0"/>
                <wp:wrapNone/>
                <wp:docPr id="39" name="Frame3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Part I, Item 1. Financial Statements, Note 16, Commitments and Contingencies – Other Commitments and Contingencies, for information about existing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the date of this report, there have been no material changes from the risk factors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stock repurchase activity, including shares surrendered by employees in connection with the vesting of restricted stock awards, for the three months ended June 30, 2026:</w:t>
      </w:r>
    </w:p>
    <w:tbl>
      <w:tblPr>
        <w:tblW w:w="10205" w:type="dxa"/>
        <w:jc w:val="left"/>
        <w:tblInd w:w="0" w:type="dxa"/>
        <w:tblLayout w:type="fixed"/>
        <w:tblCellMar>
          <w:top w:w="28" w:type="dxa"/>
          <w:left w:w="28" w:type="dxa"/>
          <w:bottom w:w="28" w:type="dxa"/>
          <w:right w:w="28" w:type="dxa"/>
        </w:tblCellMar>
      </w:tblPr>
      <w:tblGrid>
        <w:gridCol w:w="351"/>
        <w:gridCol w:w="307"/>
        <w:gridCol w:w="311"/>
        <w:gridCol w:w="413"/>
        <w:gridCol w:w="413"/>
        <w:gridCol w:w="411"/>
        <w:gridCol w:w="109"/>
        <w:gridCol w:w="109"/>
        <w:gridCol w:w="109"/>
        <w:gridCol w:w="211"/>
        <w:gridCol w:w="721"/>
        <w:gridCol w:w="109"/>
        <w:gridCol w:w="109"/>
        <w:gridCol w:w="109"/>
        <w:gridCol w:w="109"/>
        <w:gridCol w:w="921"/>
        <w:gridCol w:w="921"/>
        <w:gridCol w:w="923"/>
        <w:gridCol w:w="109"/>
        <w:gridCol w:w="109"/>
        <w:gridCol w:w="109"/>
        <w:gridCol w:w="416"/>
        <w:gridCol w:w="1216"/>
        <w:gridCol w:w="1580"/>
      </w:tblGrid>
      <w:tr>
        <w:trPr/>
        <w:tc>
          <w:tcPr>
            <w:tcW w:w="3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Shares</w:t>
            </w:r>
          </w:p>
          <w:p>
            <w:pPr>
              <w:pStyle w:val="TableContents"/>
              <w:bidi w:val="0"/>
              <w:spacing w:lineRule="auto" w:line="240" w:before="0" w:after="0"/>
              <w:jc w:val="center"/>
              <w:rPr/>
            </w:pPr>
            <w:r>
              <w:rPr>
                <w:rFonts w:ascii="Times New Roman;serif" w:hAnsi="Times New Roman;serif"/>
                <w:b w:val="false"/>
                <w:color w:val="000000"/>
                <w:sz w:val="20"/>
              </w:rPr>
              <w:t xml:space="preserve">Purchased </w:t>
            </w:r>
            <w:r>
              <w:rPr>
                <w:rFonts w:ascii="Times New Roman;serif" w:hAnsi="Times New Roman;serif"/>
                <w:b w:val="false"/>
                <w:color w:val="000000"/>
                <w:sz w:val="13"/>
              </w:rPr>
              <w:t xml:space="preserve">(2)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Approximate Dollar Value of Shares that May Yet Be Purchased under the Plans or Programs </w:t>
            </w:r>
            <w:r>
              <w:rPr>
                <w:rFonts w:ascii="Times New Roman;serif" w:hAnsi="Times New Roman;serif"/>
                <w:b w:val="false"/>
                <w:color w:val="000000"/>
                <w:sz w:val="13"/>
              </w:rPr>
              <w:t>(1)</w:t>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38,429 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 </w:t>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243,198 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240,370 </w:t>
            </w:r>
          </w:p>
        </w:tc>
        <w:tc>
          <w:tcPr>
            <w:tcW w:w="9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 </w:t>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125,985 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 </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407,612 </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365,370 </w:t>
            </w:r>
          </w:p>
        </w:tc>
        <w:tc>
          <w:tcPr>
            <w:tcW w:w="9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(1)On February 26, 2026, we announced that our board of directors authorized a new stock repurchase program that allows for the repurchase of up to $500.0 million of our outstanding common stock. The new program replaces the previous program and is in effect through March 1, 2027. We repurchased $76.2 million and $101.7 million of common stock under our stock repurchase programs during the three and six months ended June 30, 2026, respectively. For further information about our stock repurchase program, see Part I, Item 1. Financial Statements, Note 12, Stockholders' Equity.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(2)Includes 42,242 shares surrendered to the Company by employees to satisfy tax withholding obligations arising in connection with the vesting of 125,646 shares of restricted stock awarded under our 2023 Omnibus Incentive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defaults in senior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0250"/>
                <wp:effectExtent l="0" t="0" r="0" b="0"/>
                <wp:wrapNone/>
                <wp:docPr id="40" name="Frame4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(a)(3)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as part of this Quarterly Report on Form 10-Q:</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610"/>
        <w:gridCol w:w="2610"/>
        <w:gridCol w:w="372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color w:val="000000"/>
                <w:u w:val="single"/>
              </w:rPr>
            </w:pPr>
            <w:r>
              <w:rPr>
                <w:color w:val="000000"/>
                <w:u w:val="single"/>
              </w:rPr>
              <w: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p-20260630xex311.htm">
              <w:r>
                <w:rPr>
                  <w:rStyle w:val="InternetLink"/>
                  <w:rFonts w:ascii="Times New Roman;serif" w:hAnsi="Times New Roman;serif"/>
                  <w:b w:val="false"/>
                  <w:color w:val="0000FF"/>
                  <w:sz w:val="20"/>
                  <w:u w:val="single"/>
                </w:rPr>
                <w:t>CEO Certification pursuant to Exchange Act Rule 13a-14(a), as adopted pursuant to Section 302 of the Sarbanes-Oxley Act of 2002.</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p-20260630xex312.htm">
              <w:r>
                <w:rPr>
                  <w:rStyle w:val="InternetLink"/>
                  <w:rFonts w:ascii="Times New Roman;serif" w:hAnsi="Times New Roman;serif"/>
                  <w:b w:val="false"/>
                  <w:color w:val="0000FF"/>
                  <w:sz w:val="20"/>
                  <w:u w:val="single"/>
                </w:rPr>
                <w:t>CFO Certification pursuant to Exchange Act Rule 13a-14(a), as adopted pursuant to Section 302 of the Sarbanes-Oxley Act of 2002.</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p-20260630xex321.htm">
              <w:r>
                <w:rPr>
                  <w:rStyle w:val="InternetLink"/>
                  <w:rFonts w:ascii="Times New Roman;serif" w:hAnsi="Times New Roman;serif"/>
                  <w:b w:val="false"/>
                  <w:color w:val="0000FF"/>
                  <w:sz w:val="20"/>
                  <w:u w:val="single"/>
                </w:rPr>
                <w:t>CEO Certification pursuant to 18 U.S.C. Section 1350, as adopted pursuant to Section 906 of the Sarbanes-Oxley Act of 2002.</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p-20260630xex322.htm">
              <w:r>
                <w:rPr>
                  <w:rStyle w:val="InternetLink"/>
                  <w:rFonts w:ascii="Times New Roman;serif" w:hAnsi="Times New Roman;serif"/>
                  <w:b w:val="false"/>
                  <w:color w:val="0000FF"/>
                  <w:sz w:val="20"/>
                  <w:u w:val="single"/>
                </w:rPr>
                <w:t>CFO Certification pursuant to 18 U.S.C. Section 1350, as adopted pursuant to Section 906 of the Sarbanes-Oxley Act of 2002.</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period ended June 30, 2026, formatted in inline XBRL, include: (i) Condensed Consolidated Balance Sheets, (ii) Condensed Consolidated Statements of Operations and Comprehensive Income, (iii) Condensed Consolidated Statements of Stockholders’ Equity, (iv) Condensed Consolidated Statements of Cash Flows and (v) the Notes to the Condensed Consolidated Financial Statements.</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Submitted electronically with the report.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15950"/>
                <wp:effectExtent l="0" t="0" r="0" b="0"/>
                <wp:wrapNone/>
                <wp:docPr id="41" name="Frame41"/>
                <a:graphic xmlns:a="http://schemas.openxmlformats.org/drawingml/2006/main">
                  <a:graphicData uri="http://schemas.microsoft.com/office/word/2010/wordprocessingShape">
                    <wps:wsp>
                      <wps:cNvSpPr txBox="1"/>
                      <wps:spPr>
                        <a:xfrm>
                          <a:off x="0" y="0"/>
                          <a:ext cx="6480175" cy="6159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d3185f98a58d44fb9a736f9950744d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180" w:after="283"/>
        <w:jc w:val="left"/>
        <w:rPr/>
      </w:pPr>
      <w:r>
        <w:rPr/>
      </w:r>
    </w:p>
    <w:tbl>
      <w:tblPr>
        <w:tblW w:w="6801" w:type="dxa"/>
        <w:jc w:val="right"/>
        <w:tblInd w:w="0" w:type="dxa"/>
        <w:tblLayout w:type="fixed"/>
        <w:tblCellMar>
          <w:top w:w="28" w:type="dxa"/>
          <w:left w:w="28" w:type="dxa"/>
          <w:bottom w:w="28" w:type="dxa"/>
          <w:right w:w="28" w:type="dxa"/>
        </w:tblCellMar>
      </w:tblPr>
      <w:tblGrid>
        <w:gridCol w:w="437"/>
        <w:gridCol w:w="385"/>
        <w:gridCol w:w="385"/>
        <w:gridCol w:w="385"/>
        <w:gridCol w:w="385"/>
        <w:gridCol w:w="385"/>
        <w:gridCol w:w="1290"/>
        <w:gridCol w:w="1290"/>
        <w:gridCol w:w="1859"/>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68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Jeffrey W. Edwards</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Edwards</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 Miller</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 Miller</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18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0250"/>
                <wp:effectExtent l="0" t="0" r="0" b="0"/>
                <wp:wrapNone/>
                <wp:docPr id="42" name="Frame4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Required by Rule 13a-14(a) or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Jeffrey W. Edwards,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Installed Building Products,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50"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09"/>
        <w:gridCol w:w="109"/>
        <w:gridCol w:w="109"/>
        <w:gridCol w:w="939"/>
        <w:gridCol w:w="939"/>
        <w:gridCol w:w="133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W. Edwards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Edwards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Required by Rule 13a-14(a) or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T. Miller,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Installed Building Products,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79"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09"/>
        <w:gridCol w:w="109"/>
        <w:gridCol w:w="109"/>
        <w:gridCol w:w="1296"/>
        <w:gridCol w:w="1296"/>
        <w:gridCol w:w="184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 Miller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 Miller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Required by Rule 13a-14(b) or 15d-14(b)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Securities Exchange Act of 1934 and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1350 of Chapter 63 of Title 18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Installed Building Products, Inc. Quarterly Report on Form 10-Q for the quarterly period ended June 30, 2026 (the “Report”) for the purpose of complying with Rule 13a-14(b) or Rule 15d-14(b) of the Securities Exchange Act of 1934 (the “Exchange Act”) and Section 1350 of Chapter 63 of Title 18 of the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Jeffrey W. Edwards, the President and Chief Executive Officer, of Installed Building Products, Inc., certifies that, to the best of his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consolidated financial condition and results of operations of Installed Building Products, Inc.</w:t>
      </w:r>
    </w:p>
    <w:tbl>
      <w:tblPr>
        <w:tblW w:w="5950"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09"/>
        <w:gridCol w:w="109"/>
        <w:gridCol w:w="109"/>
        <w:gridCol w:w="939"/>
        <w:gridCol w:w="939"/>
        <w:gridCol w:w="133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0"/>
              </w:rPr>
              <w:t>/</w:t>
            </w:r>
            <w:r>
              <w:rPr>
                <w:rFonts w:ascii="Times New Roman;serif" w:hAnsi="Times New Roman;serif"/>
                <w:b w:val="false"/>
                <w:color w:val="000000"/>
                <w:sz w:val="20"/>
              </w:rPr>
              <w:t>s/ Jeffrey W. Edwards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Edwards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Required by Rule 13a-14(b) or 15d-14(b)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Securities Exchange Act of 1934 and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1350 of Chapter 63 of Title 18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Installed Building Products, Inc. Quarterly Report on Form 10-Q for the quarterly period ended June 30, 2026 (the “Report”) for the purpose of complying with Rule 13a-14(b) or Rule 15d-14(b) of the Securities Exchange Act of 1934 (the “Exchange Act”) and Section 1350 of Chapter 63 of Title 18 of the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T. Miller, the Executive Vice President and Chief Financial Officer, of Installed Building Products, Inc., certifies that, to the best of his knowledge:</w:t>
      </w:r>
    </w:p>
    <w:p>
      <w:pPr>
        <w:pStyle w:val="TextBody"/>
        <w:bidi w:val="0"/>
        <w:spacing w:lineRule="auto" w:line="288" w:before="240" w:after="283"/>
        <w:ind w:left="0" w:right="0" w:hanging="36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consolidated financial condition and results of operations of Installed Building Products, Inc.</w:t>
      </w:r>
    </w:p>
    <w:tbl>
      <w:tblPr>
        <w:tblW w:w="7179"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09"/>
        <w:gridCol w:w="109"/>
        <w:gridCol w:w="109"/>
        <w:gridCol w:w="1296"/>
        <w:gridCol w:w="1296"/>
        <w:gridCol w:w="184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 Miller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 Miller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21126</Words>
  <Characters>115217</Characters>
  <CharactersWithSpaces>134325</CharactersWithSpaces>
  <Paragraphs>3271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