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2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78" w:lineRule="exact"/>
        <w:rPr>
          <w:sz w:val="24"/>
          <w:szCs w:val="24"/>
          <w:color w:val="auto"/>
        </w:rPr>
      </w:pPr>
    </w:p>
    <w:p>
      <w:pPr>
        <w:ind w:left="120"/>
        <w:spacing w:after="0" w:line="207" w:lineRule="exact"/>
        <w:tabs>
          <w:tab w:leader="none" w:pos="33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1" w:lineRule="exact"/>
        <w:rPr>
          <w:sz w:val="24"/>
          <w:szCs w:val="24"/>
          <w:color w:val="auto"/>
        </w:rPr>
      </w:pPr>
    </w:p>
    <w:p>
      <w:pPr>
        <w:ind w:left="560" w:hanging="44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560" w:hanging="44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5"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58" w:lineRule="exact"/>
        <w:rPr>
          <w:rFonts w:ascii="MS PGothic" w:cs="MS PGothic" w:eastAsia="MS PGothic" w:hAnsi="MS PGothic"/>
          <w:sz w:val="18"/>
          <w:szCs w:val="18"/>
          <w:color w:val="auto"/>
        </w:rPr>
      </w:pPr>
    </w:p>
    <w:p>
      <w:pPr>
        <w:ind w:left="560" w:hanging="44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60" w:hanging="44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79" w:lineRule="exact"/>
        <w:rPr>
          <w:sz w:val="24"/>
          <w:szCs w:val="24"/>
          <w:color w:val="auto"/>
        </w:rPr>
      </w:pPr>
    </w:p>
    <w:p>
      <w:pPr>
        <w:jc w:val="center"/>
        <w:ind w:left="440"/>
        <w:spacing w:after="0"/>
        <w:rPr>
          <w:sz w:val="20"/>
          <w:szCs w:val="20"/>
          <w:color w:val="auto"/>
        </w:rPr>
      </w:pPr>
      <w:r>
        <w:rPr>
          <w:rFonts w:ascii="Arial" w:cs="Arial" w:eastAsia="Arial" w:hAnsi="Arial"/>
          <w:sz w:val="43"/>
          <w:szCs w:val="43"/>
          <w:b w:val="1"/>
          <w:bCs w:val="1"/>
          <w:color w:val="auto"/>
        </w:rPr>
        <w:t>Installed Building Products, Inc.</w:t>
      </w:r>
    </w:p>
    <w:p>
      <w:pPr>
        <w:spacing w:after="0" w:line="138"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359" w:lineRule="exact"/>
        <w:rPr>
          <w:sz w:val="24"/>
          <w:szCs w:val="24"/>
          <w:color w:val="auto"/>
        </w:rPr>
      </w:pPr>
    </w:p>
    <w:p>
      <w:pPr>
        <w:ind w:left="34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37"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25" w:lineRule="exact"/>
        <w:rPr>
          <w:sz w:val="24"/>
          <w:szCs w:val="24"/>
          <w:color w:val="auto"/>
        </w:rPr>
      </w:pPr>
    </w:p>
    <w:p>
      <w:pPr>
        <w:ind w:left="560" w:hanging="444"/>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560" w:hanging="444"/>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0" w:hanging="444"/>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215265</wp:posOffset>
            </wp:positionV>
            <wp:extent cx="5786755" cy="7543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86755"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0060" cy="24892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705485</wp:posOffset>
            </wp:positionV>
            <wp:extent cx="1054100" cy="1080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410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960"/>
        <w:spacing w:after="0"/>
        <w:rPr>
          <w:sz w:val="20"/>
          <w:szCs w:val="20"/>
          <w:color w:val="auto"/>
        </w:rPr>
      </w:pPr>
      <w:r>
        <w:rPr>
          <w:rFonts w:ascii="Arial" w:cs="Arial" w:eastAsia="Arial" w:hAnsi="Arial"/>
          <w:sz w:val="32"/>
          <w:szCs w:val="32"/>
          <w:b w:val="1"/>
          <w:bCs w:val="1"/>
          <w:color w:val="0070C0"/>
        </w:rPr>
        <w:t>To Our Stockholders</w:t>
      </w:r>
    </w:p>
    <w:p>
      <w:pPr>
        <w:spacing w:after="0" w:line="264" w:lineRule="exact"/>
        <w:rPr>
          <w:sz w:val="20"/>
          <w:szCs w:val="20"/>
          <w:color w:val="auto"/>
        </w:rPr>
      </w:pPr>
    </w:p>
    <w:p>
      <w:pPr>
        <w:ind w:left="1960"/>
        <w:spacing w:after="0" w:line="256" w:lineRule="auto"/>
        <w:rPr>
          <w:sz w:val="20"/>
          <w:szCs w:val="20"/>
          <w:color w:val="auto"/>
        </w:rPr>
      </w:pPr>
      <w:r>
        <w:rPr>
          <w:rFonts w:ascii="Arial" w:cs="Arial" w:eastAsia="Arial" w:hAnsi="Arial"/>
          <w:sz w:val="17"/>
          <w:szCs w:val="17"/>
          <w:color w:val="auto"/>
        </w:rPr>
        <w:t>Installed Building Products, Inc. (“IBP” or the “Company”) achieved yet another record year of financial results. The Company focused on supporting its residential and commercial customers during a challenging period of rapidly rising inflation and interest rates. We ensured our pricing aligned with the value the Company offers its customers, especially difficult during a period of elevated backlog in residential housing. Our record results generated substantial operating cash flow. IBP returned a record amount of cash to shareholders through its dividend</w:t>
      </w:r>
    </w:p>
    <w:p>
      <w:pPr>
        <w:spacing w:after="0" w:line="1" w:lineRule="exact"/>
        <w:rPr>
          <w:sz w:val="20"/>
          <w:szCs w:val="20"/>
          <w:color w:val="auto"/>
        </w:rPr>
      </w:pPr>
    </w:p>
    <w:p>
      <w:pPr>
        <w:ind w:left="120"/>
        <w:spacing w:after="0" w:line="250" w:lineRule="auto"/>
        <w:rPr>
          <w:sz w:val="20"/>
          <w:szCs w:val="20"/>
          <w:color w:val="auto"/>
        </w:rPr>
      </w:pPr>
      <w:r>
        <w:rPr>
          <w:rFonts w:ascii="Arial" w:cs="Arial" w:eastAsia="Arial" w:hAnsi="Arial"/>
          <w:sz w:val="18"/>
          <w:szCs w:val="18"/>
          <w:color w:val="auto"/>
        </w:rPr>
        <w:t>and share repurchase programs. As a support system for growth, IBP’s leadership team and Board of Directors practices strong corporate governance and prioritizes our commitment to the betterment of our employees and the communities in which they live.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ACQUISITIONS CONTINUED, OUR DIVIDEND GREW, MARKET VOLATILITY ACCELERATED BUYBACKS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Expanding through acquisition remains the top priority for IBP. We invested $114 million to acquire eight businesses with annual revenue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approximately $109 million in 2022. IBP experienced a unique opportunity to repurchase its shares at attractive levels given the stock</w:t>
      </w:r>
    </w:p>
    <w:p>
      <w:pPr>
        <w:ind w:left="120"/>
        <w:spacing w:after="0" w:line="234" w:lineRule="auto"/>
        <w:rPr>
          <w:sz w:val="20"/>
          <w:szCs w:val="20"/>
          <w:color w:val="auto"/>
        </w:rPr>
      </w:pPr>
      <w:r>
        <w:rPr>
          <w:rFonts w:ascii="Arial" w:cs="Arial" w:eastAsia="Arial" w:hAnsi="Arial"/>
          <w:sz w:val="18"/>
          <w:szCs w:val="18"/>
          <w:color w:val="auto"/>
        </w:rPr>
        <w:t>market volatility throughout the year. Combining $138 million in share repurchases with $63 million paid in dividends, IBP returned</w:t>
      </w:r>
    </w:p>
    <w:p>
      <w:pPr>
        <w:ind w:left="120"/>
        <w:spacing w:after="0" w:line="235" w:lineRule="auto"/>
        <w:rPr>
          <w:sz w:val="20"/>
          <w:szCs w:val="20"/>
          <w:color w:val="auto"/>
        </w:rPr>
      </w:pPr>
      <w:r>
        <w:rPr>
          <w:rFonts w:ascii="Arial" w:cs="Arial" w:eastAsia="Arial" w:hAnsi="Arial"/>
          <w:sz w:val="18"/>
          <w:szCs w:val="18"/>
          <w:color w:val="auto"/>
        </w:rPr>
        <w:t>$200 million in capital to shareholders in 2022. This result is a testament to the success of IBP’s asset-light business model, its ability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generate substantial cash flow, and its disciplined approach toward a growth-oriented capital allocation strategy.</w:t>
      </w:r>
    </w:p>
    <w:p>
      <w:pPr>
        <w:spacing w:after="0" w:line="126" w:lineRule="exact"/>
        <w:rPr>
          <w:sz w:val="20"/>
          <w:szCs w:val="20"/>
          <w:color w:val="auto"/>
        </w:rPr>
      </w:pPr>
    </w:p>
    <w:p>
      <w:pPr>
        <w:ind w:left="120" w:right="180"/>
        <w:spacing w:after="0" w:line="301" w:lineRule="auto"/>
        <w:rPr>
          <w:sz w:val="20"/>
          <w:szCs w:val="20"/>
          <w:color w:val="auto"/>
        </w:rPr>
      </w:pPr>
      <w:r>
        <w:rPr>
          <w:rFonts w:ascii="Arial" w:cs="Arial" w:eastAsia="Arial" w:hAnsi="Arial"/>
          <w:sz w:val="17"/>
          <w:szCs w:val="17"/>
          <w:color w:val="auto"/>
        </w:rPr>
        <w:t>In February 2023, IBP’s Board declared a quarterly cash dividend of $0.33 per share, representing a 5% increase to its previous regular quarterly dividend. Additionally, the Board declared a 2023 annual variable dividend of $0.90 per share, in-line with the previous year.</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ENVIRONMENTAL STEWARDSHIP</w:t>
      </w:r>
    </w:p>
    <w:p>
      <w:pPr>
        <w:spacing w:after="0" w:line="14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In August 2022, IBP published its second annual Environment, Social, and Governance (“ESG”) report. The report details the Company’s dedication to its ESG policies and emphasizes IBP’s positive impact on the environment, its employees, and its communities by promoting a more sustainable and equitable future.</w:t>
      </w:r>
    </w:p>
    <w:p>
      <w:pPr>
        <w:spacing w:after="0" w:line="101"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IBP’s core insulation installation service is one of the best ways to prevent energy waste in most homes and commercial structures. We are in the business of energy efficiency solutions. IBP’s support of greenhouse gas reducing initiatives is also evidenced by its 2022 investment in Energi.ai, a technology company that uses artificial intelligence for sustainability solutions.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PROVIDING EMPLOYEES WITH A SAFE ENVIRONMENT, RESOURCES AND OPPORTUNITIES</w:t>
      </w:r>
    </w:p>
    <w:p>
      <w:pPr>
        <w:spacing w:after="0" w:line="144"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As outlined in our latest ESG report, IBP’s aim is for its workplace culture to embody the ideals espoused by the United Nations Guiding Principles on Business and Human Rights and Universal Declaration on Human Rights. IBP offers robust health and safety programs, emotional wellbeing coaching programs, financial literacy and assistance programs. IBP is committed to building an equitable and inclusive workplace with the opportunity for advancement for everyone.</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Lead With Safety has been a cornerstone program at IBP and has contributed to a safer work environment for our employees.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tracking and reporting of safety information has been a key factor in minimizing the occurrences of severe injuries and fatalities. Again in</w:t>
      </w:r>
    </w:p>
    <w:p>
      <w:pPr>
        <w:ind w:left="120"/>
        <w:spacing w:after="0" w:line="234" w:lineRule="auto"/>
        <w:rPr>
          <w:sz w:val="20"/>
          <w:szCs w:val="20"/>
          <w:color w:val="auto"/>
        </w:rPr>
      </w:pPr>
      <w:r>
        <w:rPr>
          <w:rFonts w:ascii="Arial" w:cs="Arial" w:eastAsia="Arial" w:hAnsi="Arial"/>
          <w:sz w:val="18"/>
          <w:szCs w:val="18"/>
          <w:color w:val="auto"/>
        </w:rPr>
        <w:t>2022, there were no work site fatalities and the incident rate of severe injuries improved approximately 27% from 2021, to less than 0.1</w:t>
      </w:r>
    </w:p>
    <w:p>
      <w:pPr>
        <w:ind w:left="120"/>
        <w:spacing w:after="0" w:line="235" w:lineRule="auto"/>
        <w:rPr>
          <w:sz w:val="20"/>
          <w:szCs w:val="20"/>
          <w:color w:val="auto"/>
        </w:rPr>
      </w:pPr>
      <w:r>
        <w:rPr>
          <w:rFonts w:ascii="Arial" w:cs="Arial" w:eastAsia="Arial" w:hAnsi="Arial"/>
          <w:sz w:val="18"/>
          <w:szCs w:val="18"/>
          <w:color w:val="auto"/>
        </w:rPr>
        <w:t>per 100 full time employees. While safety will always be the most important aspect of our culture, our commitment to our employees goes</w:t>
      </w:r>
    </w:p>
    <w:p>
      <w:pPr>
        <w:ind w:left="120"/>
        <w:spacing w:after="0" w:line="235" w:lineRule="auto"/>
        <w:rPr>
          <w:sz w:val="20"/>
          <w:szCs w:val="20"/>
          <w:color w:val="auto"/>
        </w:rPr>
      </w:pPr>
      <w:r>
        <w:rPr>
          <w:rFonts w:ascii="Arial" w:cs="Arial" w:eastAsia="Arial" w:hAnsi="Arial"/>
          <w:sz w:val="18"/>
          <w:szCs w:val="18"/>
          <w:color w:val="auto"/>
        </w:rPr>
        <w:t>well beyond their physical safety. Since its inception in March 2019, the Installed Building Products Impact initiatives have committed</w:t>
      </w:r>
    </w:p>
    <w:p>
      <w:pPr>
        <w:ind w:left="120"/>
        <w:spacing w:after="0" w:line="235" w:lineRule="auto"/>
        <w:rPr>
          <w:sz w:val="20"/>
          <w:szCs w:val="20"/>
          <w:color w:val="auto"/>
        </w:rPr>
      </w:pPr>
      <w:r>
        <w:rPr>
          <w:rFonts w:ascii="Arial" w:cs="Arial" w:eastAsia="Arial" w:hAnsi="Arial"/>
          <w:sz w:val="18"/>
          <w:szCs w:val="18"/>
          <w:color w:val="auto"/>
        </w:rPr>
        <w:t>$2.4 million in scholarships to benefit 230 employees and family members in their educational endeavors. We have also given over</w:t>
      </w:r>
    </w:p>
    <w:p>
      <w:pPr>
        <w:ind w:left="120"/>
        <w:spacing w:after="0" w:line="235" w:lineRule="auto"/>
        <w:rPr>
          <w:sz w:val="20"/>
          <w:szCs w:val="20"/>
          <w:color w:val="auto"/>
        </w:rPr>
      </w:pPr>
      <w:r>
        <w:rPr>
          <w:rFonts w:ascii="Arial" w:cs="Arial" w:eastAsia="Arial" w:hAnsi="Arial"/>
          <w:sz w:val="18"/>
          <w:szCs w:val="18"/>
          <w:color w:val="auto"/>
        </w:rPr>
        <w:t>$280,000 in grants to help employees overcome difficult financial situations. IBP has empowered others, through our financial wellness</w:t>
      </w:r>
    </w:p>
    <w:p>
      <w:pPr>
        <w:ind w:left="120"/>
        <w:spacing w:after="0" w:line="234" w:lineRule="auto"/>
        <w:rPr>
          <w:sz w:val="20"/>
          <w:szCs w:val="20"/>
          <w:color w:val="auto"/>
        </w:rPr>
      </w:pPr>
      <w:r>
        <w:rPr>
          <w:rFonts w:ascii="Arial" w:cs="Arial" w:eastAsia="Arial" w:hAnsi="Arial"/>
          <w:sz w:val="18"/>
          <w:szCs w:val="18"/>
          <w:color w:val="auto"/>
        </w:rPr>
        <w:t>program, to independently reach financial goals. Additionally, through both our foundation and other corporate giving programs, we have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awarded $5 million in grants to support nonprofits focused on housing, education, and strengthening our communities.</w:t>
      </w:r>
    </w:p>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DIVERSE BOARD ADDS ANOTHER EXPERIENCED MEMBER</w:t>
      </w:r>
    </w:p>
    <w:p>
      <w:pPr>
        <w:spacing w:after="0" w:line="144"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In July 2022, IBP’s board increased to nine members with the appointment of Robert H. Schottenstein as an independent director. As the CEO of one of the country’s leading publicly traded homebuilders, he brings a strong understanding of IBP and a wealth of residential construction and corporate management experience to our Board. Bob also served on IBP’s Board from April 2014 to March 2020.</w:t>
      </w:r>
    </w:p>
    <w:p>
      <w:pPr>
        <w:spacing w:after="0" w:line="84"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The skills of our nine-member Board range from extensive knowledge of the insulation industry, manufacturing, technology, and building materials to law, finance, nonprofits, and more. We are proud to have built a diverse Board with 44% of members representing gender, racial, ethnic, or orientation diversity. IBP’s Board is highly engaged and committed to responsible oversight.</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ENHANCING OUR DIVERSITY, EQUITY, AND INCLUSION (“DEI”) EFFORTS</w:t>
      </w:r>
    </w:p>
    <w:p>
      <w:pPr>
        <w:spacing w:after="0" w:line="144"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With oversight from the Compensation and Human Capital Committee of our Board of Directors, leadership is held accountable with the goal of continually moving IBP toward greater diversity. Our DEI initiatives include management training programs, promoting relationships with minority and women owned vendors and suppliers, building relationships with students attending Historically Black Colleges and Universities to build a diverse hiring pipeline, understanding diversity needs and perceptions throughout the Company, and offering a language training program to remove communication hurdles across our organization.</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WE APPRECIATE YOUR SUPPORT AND FEEDBACK</w:t>
      </w:r>
    </w:p>
    <w:p>
      <w:pPr>
        <w:spacing w:after="0" w:line="131"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It is our stockholders, management, Board members, branch employees, and support group members working together that enables IBP to achieve great results. We are encouraged by our past success but continue to strive for improvement. IBP is a company that both values and is committed to strong corporate governance and corporate responsibility. We thank you for your continued support, trust, and investment in Installed Building Products.</w:t>
      </w:r>
    </w:p>
    <w:p>
      <w:pPr>
        <w:spacing w:after="0" w:line="106"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We encourage you to read the accompanying Proxy Statement carefully and attend our Virtual Annual Meeting on May 25, 2023. Please vote your shares as soon as possible, whether or not you are planning to attend the Annual Meeting. You may vote by telephone or Internet, or by signing, dating and returning the proxy card in the prepaid envelope provided if you requested printed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1388745" cy="351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87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Margot L. Carter</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Presiding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369050" cy="2588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69050" cy="2588895"/>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6990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990715"/>
                    </a:xfrm>
                    <a:prstGeom prst="rect">
                      <a:avLst/>
                    </a:prstGeom>
                    <a:noFill/>
                  </pic:spPr>
                </pic:pic>
              </a:graphicData>
            </a:graphic>
          </wp:anchor>
        </w:drawing>
      </w:r>
    </w:p>
    <w:p>
      <w:pPr>
        <w:sectPr>
          <w:pgSz w:w="11900" w:h="16838" w:orient="portrait"/>
          <w:cols w:equalWidth="0" w:num="1">
            <w:col w:w="10940"/>
          </w:cols>
          <w:pgMar w:left="320" w:top="482"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700"/>
        <w:spacing w:after="0"/>
        <w:rPr>
          <w:sz w:val="20"/>
          <w:szCs w:val="20"/>
          <w:color w:val="auto"/>
        </w:rPr>
      </w:pPr>
      <w:r>
        <w:rPr>
          <w:rFonts w:ascii="Arial" w:cs="Arial" w:eastAsia="Arial" w:hAnsi="Arial"/>
          <w:sz w:val="40"/>
          <w:szCs w:val="40"/>
          <w:b w:val="1"/>
          <w:bCs w:val="1"/>
          <w:color w:val="0070C0"/>
        </w:rPr>
        <w:t>Notice of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0" w:right="140"/>
        <w:spacing w:after="0" w:line="271" w:lineRule="auto"/>
        <w:rPr>
          <w:sz w:val="20"/>
          <w:szCs w:val="20"/>
          <w:color w:val="auto"/>
        </w:rPr>
      </w:pPr>
      <w:r>
        <w:rPr>
          <w:rFonts w:ascii="Arial" w:cs="Arial" w:eastAsia="Arial" w:hAnsi="Arial"/>
          <w:sz w:val="18"/>
          <w:szCs w:val="18"/>
          <w:color w:val="auto"/>
        </w:rPr>
        <w:t>The 2023 Annual Meeting of Stockholders (“Annual Meeting”) of Installed Building Products, Inc. (“we,” “us,” “our” or the “Company”) will be held on Thursday, May 25, 2023 at 10:00 a.m. Eastern Time in a virtual format.</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2060"/>
        </w:rPr>
        <w:t>Items of Business.</w:t>
      </w:r>
    </w:p>
    <w:p>
      <w:pPr>
        <w:spacing w:after="0" w:line="115" w:lineRule="exact"/>
        <w:rPr>
          <w:sz w:val="20"/>
          <w:szCs w:val="20"/>
          <w:color w:val="auto"/>
        </w:rPr>
      </w:pPr>
    </w:p>
    <w:p>
      <w:pPr>
        <w:ind w:left="1240" w:hanging="527"/>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Michael T. Miller, Marchelle E. Moore and Robert H. Schottenstein as directors to serve for three-year terms;</w:t>
      </w:r>
    </w:p>
    <w:p>
      <w:pPr>
        <w:spacing w:after="0" w:line="76" w:lineRule="exact"/>
        <w:rPr>
          <w:rFonts w:ascii="Arial" w:cs="Arial" w:eastAsia="Arial" w:hAnsi="Arial"/>
          <w:sz w:val="18"/>
          <w:szCs w:val="18"/>
          <w:color w:val="auto"/>
        </w:rPr>
      </w:pPr>
    </w:p>
    <w:p>
      <w:pPr>
        <w:ind w:left="1240" w:hanging="527"/>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our independent registered public accounting firm for 2023;</w:t>
      </w:r>
    </w:p>
    <w:p>
      <w:pPr>
        <w:spacing w:after="0" w:line="76" w:lineRule="exact"/>
        <w:rPr>
          <w:rFonts w:ascii="Arial" w:cs="Arial" w:eastAsia="Arial" w:hAnsi="Arial"/>
          <w:sz w:val="18"/>
          <w:szCs w:val="18"/>
          <w:color w:val="auto"/>
        </w:rPr>
      </w:pPr>
    </w:p>
    <w:p>
      <w:pPr>
        <w:ind w:left="1240" w:hanging="527"/>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on an advisory basis, of the compensation of our named executive officers;</w:t>
      </w:r>
    </w:p>
    <w:p>
      <w:pPr>
        <w:spacing w:after="0" w:line="76" w:lineRule="exact"/>
        <w:rPr>
          <w:rFonts w:ascii="Arial" w:cs="Arial" w:eastAsia="Arial" w:hAnsi="Arial"/>
          <w:sz w:val="18"/>
          <w:szCs w:val="18"/>
          <w:color w:val="auto"/>
        </w:rPr>
      </w:pPr>
    </w:p>
    <w:p>
      <w:pPr>
        <w:ind w:left="1240" w:right="280" w:hanging="527"/>
        <w:spacing w:after="0" w:line="271"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Vote, on an advisory basis, on the frequency (every year, every two years or every three years) of the advisory vote on the compensation of our named executive officers;</w:t>
      </w:r>
    </w:p>
    <w:p>
      <w:pPr>
        <w:spacing w:after="0" w:line="18" w:lineRule="exact"/>
        <w:rPr>
          <w:rFonts w:ascii="Arial" w:cs="Arial" w:eastAsia="Arial" w:hAnsi="Arial"/>
          <w:sz w:val="18"/>
          <w:szCs w:val="18"/>
          <w:color w:val="auto"/>
        </w:rPr>
      </w:pPr>
    </w:p>
    <w:p>
      <w:pPr>
        <w:ind w:left="1240" w:hanging="527"/>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of our 2023 Omnibus Incentive Plan; and</w:t>
      </w:r>
    </w:p>
    <w:p>
      <w:pPr>
        <w:spacing w:after="0" w:line="76" w:lineRule="exact"/>
        <w:rPr>
          <w:rFonts w:ascii="Arial" w:cs="Arial" w:eastAsia="Arial" w:hAnsi="Arial"/>
          <w:sz w:val="18"/>
          <w:szCs w:val="18"/>
          <w:color w:val="auto"/>
        </w:rPr>
      </w:pPr>
    </w:p>
    <w:p>
      <w:pPr>
        <w:ind w:left="1240" w:hanging="527"/>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Transaction of any other business that may properly come before the meeting or any adjournment thereof.</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002060"/>
        </w:rPr>
        <w:t xml:space="preserve">Record and Mailing Dates. </w:t>
      </w:r>
      <w:r>
        <w:rPr>
          <w:rFonts w:ascii="Arial" w:cs="Arial" w:eastAsia="Arial" w:hAnsi="Arial"/>
          <w:sz w:val="18"/>
          <w:szCs w:val="18"/>
          <w:color w:val="000000"/>
        </w:rPr>
        <w:t>Stockholders of record at the close of business on March 30, 2023 will be eligible to receive notice of and</w:t>
      </w:r>
      <w:r>
        <w:rPr>
          <w:rFonts w:ascii="Arial" w:cs="Arial" w:eastAsia="Arial" w:hAnsi="Arial"/>
          <w:sz w:val="18"/>
          <w:szCs w:val="18"/>
          <w:b w:val="1"/>
          <w:bCs w:val="1"/>
          <w:i w:val="1"/>
          <w:iCs w:val="1"/>
          <w:color w:val="002060"/>
        </w:rPr>
        <w:t xml:space="preserve"> </w:t>
      </w:r>
      <w:r>
        <w:rPr>
          <w:rFonts w:ascii="Arial" w:cs="Arial" w:eastAsia="Arial" w:hAnsi="Arial"/>
          <w:sz w:val="18"/>
          <w:szCs w:val="18"/>
          <w:color w:val="000000"/>
        </w:rPr>
        <w:t>to vote at the Annual Meeting. On or about April 13, 2023, we will mail a Notice of Internet Availability of Proxy Materials to our stockholders of record on the record date. The notice contains instructions on obtaining internet access to our Proxy Statement and our Annual Report, including our Form 10-K for the 2022 fiscal year. The notice also has instructions on requesting a paper copy of the proxy materials. We are making our proxy materials available to our stockholders electronically instead of mailing a full set of proxy materials. This process allows us to provide you with the information you need in a timely manner, while reducing our impact on the environment and lowering the costs of printing and distributing our proxy materials.</w:t>
      </w:r>
    </w:p>
    <w:p>
      <w:pPr>
        <w:spacing w:after="0" w:line="77" w:lineRule="exact"/>
        <w:rPr>
          <w:sz w:val="20"/>
          <w:szCs w:val="20"/>
          <w:color w:val="auto"/>
        </w:rPr>
      </w:pPr>
    </w:p>
    <w:p>
      <w:pPr>
        <w:ind w:left="300" w:right="100"/>
        <w:spacing w:after="0" w:line="271" w:lineRule="auto"/>
        <w:rPr>
          <w:sz w:val="20"/>
          <w:szCs w:val="20"/>
          <w:color w:val="auto"/>
        </w:rPr>
      </w:pPr>
      <w:r>
        <w:rPr>
          <w:rFonts w:ascii="Arial" w:cs="Arial" w:eastAsia="Arial" w:hAnsi="Arial"/>
          <w:sz w:val="18"/>
          <w:szCs w:val="18"/>
          <w:b w:val="1"/>
          <w:bCs w:val="1"/>
          <w:i w:val="1"/>
          <w:iCs w:val="1"/>
          <w:color w:val="002060"/>
        </w:rPr>
        <w:t xml:space="preserve">Your vote is important. </w:t>
      </w:r>
      <w:r>
        <w:rPr>
          <w:rFonts w:ascii="Arial" w:cs="Arial" w:eastAsia="Arial" w:hAnsi="Arial"/>
          <w:sz w:val="18"/>
          <w:szCs w:val="18"/>
          <w:color w:val="000000"/>
        </w:rPr>
        <w:t>Please vote your shares as early as possible. For more detailed information on voting and other information</w:t>
      </w:r>
      <w:r>
        <w:rPr>
          <w:rFonts w:ascii="Arial" w:cs="Arial" w:eastAsia="Arial" w:hAnsi="Arial"/>
          <w:sz w:val="18"/>
          <w:szCs w:val="18"/>
          <w:b w:val="1"/>
          <w:bCs w:val="1"/>
          <w:i w:val="1"/>
          <w:iCs w:val="1"/>
          <w:color w:val="002060"/>
        </w:rPr>
        <w:t xml:space="preserve"> </w:t>
      </w:r>
      <w:r>
        <w:rPr>
          <w:rFonts w:ascii="Arial" w:cs="Arial" w:eastAsia="Arial" w:hAnsi="Arial"/>
          <w:sz w:val="18"/>
          <w:szCs w:val="18"/>
          <w:color w:val="000000"/>
        </w:rPr>
        <w:t>about the Annual Meeting, see “</w:t>
      </w:r>
      <w:r>
        <w:rPr>
          <w:rFonts w:ascii="Arial" w:cs="Arial" w:eastAsia="Arial" w:hAnsi="Arial"/>
          <w:sz w:val="18"/>
          <w:szCs w:val="18"/>
          <w:i w:val="1"/>
          <w:iCs w:val="1"/>
          <w:color w:val="000000"/>
        </w:rPr>
        <w:t>Frequently Asked Questions”</w:t>
      </w:r>
      <w:r>
        <w:rPr>
          <w:rFonts w:ascii="Arial" w:cs="Arial" w:eastAsia="Arial" w:hAnsi="Arial"/>
          <w:sz w:val="18"/>
          <w:szCs w:val="18"/>
          <w:color w:val="000000"/>
        </w:rPr>
        <w:t xml:space="preserve"> beginning on page 93.</w:t>
      </w:r>
    </w:p>
    <w:p>
      <w:pPr>
        <w:sectPr>
          <w:pgSz w:w="11900" w:h="16838" w:orient="portrait"/>
          <w:cols w:equalWidth="0" w:num="1">
            <w:col w:w="10940"/>
          </w:cols>
          <w:pgMar w:left="320" w:top="482" w:right="6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0" w:type="dxa"/>
            <w:vAlign w:val="bottom"/>
            <w:gridSpan w:val="4"/>
          </w:tcPr>
          <w:p>
            <w:pPr>
              <w:ind w:left="340"/>
              <w:spacing w:after="0"/>
              <w:rPr>
                <w:sz w:val="20"/>
                <w:szCs w:val="20"/>
                <w:color w:val="auto"/>
              </w:rPr>
            </w:pPr>
            <w:r>
              <w:rPr>
                <w:rFonts w:ascii="Arial" w:cs="Arial" w:eastAsia="Arial" w:hAnsi="Arial"/>
                <w:sz w:val="20"/>
                <w:szCs w:val="20"/>
                <w:color w:val="0070C0"/>
              </w:rPr>
              <w:t>TABLE OF CONTENTS</w:t>
            </w:r>
          </w:p>
        </w:tc>
        <w:tc>
          <w:tcPr>
            <w:tcW w:w="400" w:type="dxa"/>
            <w:vAlign w:val="bottom"/>
          </w:tcPr>
          <w:p>
            <w:pPr>
              <w:spacing w:after="0"/>
              <w:rPr>
                <w:sz w:val="22"/>
                <w:szCs w:val="22"/>
                <w:color w:val="auto"/>
              </w:rPr>
            </w:pPr>
          </w:p>
        </w:tc>
      </w:tr>
      <w:tr>
        <w:trPr>
          <w:trHeight w:val="395"/>
        </w:trPr>
        <w:tc>
          <w:tcPr>
            <w:tcW w:w="16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8"/>
              </w:rPr>
              <w:t>PROXY SUMMARY</w:t>
            </w:r>
          </w:p>
        </w:tc>
        <w:tc>
          <w:tcPr>
            <w:tcW w:w="8960" w:type="dxa"/>
            <w:vAlign w:val="bottom"/>
            <w:gridSpan w:val="3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0070C0"/>
              </w:rPr>
              <w:t>6</w:t>
            </w:r>
          </w:p>
        </w:tc>
      </w:tr>
      <w:tr>
        <w:trPr>
          <w:trHeight w:val="196"/>
        </w:trPr>
        <w:tc>
          <w:tcPr>
            <w:tcW w:w="10560" w:type="dxa"/>
            <w:vAlign w:val="bottom"/>
            <w:gridSpan w:val="43"/>
          </w:tcPr>
          <w:p>
            <w:pPr>
              <w:spacing w:after="0"/>
              <w:rPr>
                <w:sz w:val="20"/>
                <w:szCs w:val="20"/>
                <w:color w:val="auto"/>
              </w:rPr>
            </w:pPr>
            <w:r>
              <w:rPr>
                <w:rFonts w:ascii="Arial" w:cs="Arial" w:eastAsia="Arial" w:hAnsi="Arial"/>
                <w:sz w:val="16"/>
                <w:szCs w:val="16"/>
                <w:color w:val="0000EE"/>
              </w:rPr>
              <w:t>P</w:t>
            </w:r>
            <w:r>
              <w:rPr>
                <w:rFonts w:ascii="Arial" w:cs="Arial" w:eastAsia="Arial" w:hAnsi="Arial"/>
                <w:sz w:val="13"/>
                <w:szCs w:val="13"/>
                <w:color w:val="0000EE"/>
              </w:rPr>
              <w:t>ROPOSALS</w:t>
            </w:r>
          </w:p>
        </w:tc>
        <w:tc>
          <w:tcPr>
            <w:tcW w:w="400" w:type="dxa"/>
            <w:vAlign w:val="bottom"/>
          </w:tcPr>
          <w:p>
            <w:pPr>
              <w:jc w:val="right"/>
              <w:spacing w:after="0"/>
              <w:rPr>
                <w:sz w:val="20"/>
                <w:szCs w:val="20"/>
                <w:color w:val="auto"/>
              </w:rPr>
            </w:pPr>
            <w:r>
              <w:rPr>
                <w:rFonts w:ascii="Arial" w:cs="Arial" w:eastAsia="Arial" w:hAnsi="Arial"/>
                <w:sz w:val="16"/>
                <w:szCs w:val="16"/>
                <w:color w:val="002060"/>
              </w:rPr>
              <w:t>6</w:t>
            </w:r>
          </w:p>
        </w:tc>
      </w:tr>
      <w:tr>
        <w:trPr>
          <w:trHeight w:val="20"/>
        </w:trPr>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560" w:type="dxa"/>
            <w:vAlign w:val="bottom"/>
            <w:gridSpan w:val="43"/>
          </w:tcPr>
          <w:p>
            <w:pPr>
              <w:spacing w:after="0"/>
              <w:rPr>
                <w:sz w:val="20"/>
                <w:szCs w:val="20"/>
                <w:color w:val="auto"/>
              </w:rPr>
            </w:pPr>
            <w:r>
              <w:rPr>
                <w:rFonts w:ascii="Arial" w:cs="Arial" w:eastAsia="Arial" w:hAnsi="Arial"/>
                <w:sz w:val="16"/>
                <w:szCs w:val="16"/>
                <w:color w:val="0000EE"/>
              </w:rPr>
              <w:t>B</w:t>
            </w:r>
            <w:r>
              <w:rPr>
                <w:rFonts w:ascii="Arial" w:cs="Arial" w:eastAsia="Arial" w:hAnsi="Arial"/>
                <w:sz w:val="13"/>
                <w:szCs w:val="13"/>
                <w:color w:val="0000EE"/>
              </w:rPr>
              <w:t>USINESS</w:t>
            </w:r>
            <w:r>
              <w:rPr>
                <w:rFonts w:ascii="Arial" w:cs="Arial" w:eastAsia="Arial" w:hAnsi="Arial"/>
                <w:sz w:val="16"/>
                <w:szCs w:val="16"/>
                <w:color w:val="0000EE"/>
              </w:rPr>
              <w:t xml:space="preserve"> O</w:t>
            </w:r>
            <w:r>
              <w:rPr>
                <w:rFonts w:ascii="Arial" w:cs="Arial" w:eastAsia="Arial" w:hAnsi="Arial"/>
                <w:sz w:val="13"/>
                <w:szCs w:val="13"/>
                <w:color w:val="0000EE"/>
              </w:rPr>
              <w:t>VERVIEW</w:t>
            </w:r>
          </w:p>
        </w:tc>
        <w:tc>
          <w:tcPr>
            <w:tcW w:w="400" w:type="dxa"/>
            <w:vAlign w:val="bottom"/>
          </w:tcPr>
          <w:p>
            <w:pPr>
              <w:jc w:val="right"/>
              <w:spacing w:after="0"/>
              <w:rPr>
                <w:sz w:val="20"/>
                <w:szCs w:val="20"/>
                <w:color w:val="auto"/>
              </w:rPr>
            </w:pPr>
            <w:r>
              <w:rPr>
                <w:rFonts w:ascii="Arial" w:cs="Arial" w:eastAsia="Arial" w:hAnsi="Arial"/>
                <w:sz w:val="16"/>
                <w:szCs w:val="16"/>
                <w:color w:val="002060"/>
              </w:rPr>
              <w:t>6</w:t>
            </w:r>
          </w:p>
        </w:tc>
      </w:tr>
      <w:tr>
        <w:trPr>
          <w:trHeight w:val="20"/>
        </w:trPr>
        <w:tc>
          <w:tcPr>
            <w:tcW w:w="7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78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rPr>
              <w:t>O</w:t>
            </w:r>
            <w:r>
              <w:rPr>
                <w:rFonts w:ascii="Arial" w:cs="Arial" w:eastAsia="Arial" w:hAnsi="Arial"/>
                <w:sz w:val="13"/>
                <w:szCs w:val="13"/>
                <w:color w:val="0000EE"/>
              </w:rPr>
              <w:t>UR</w:t>
            </w:r>
            <w:r>
              <w:rPr>
                <w:rFonts w:ascii="Arial" w:cs="Arial" w:eastAsia="Arial" w:hAnsi="Arial"/>
                <w:sz w:val="16"/>
                <w:szCs w:val="16"/>
                <w:color w:val="0000EE"/>
              </w:rPr>
              <w:t xml:space="preserve"> G</w:t>
            </w:r>
            <w:r>
              <w:rPr>
                <w:rFonts w:ascii="Arial" w:cs="Arial" w:eastAsia="Arial" w:hAnsi="Arial"/>
                <w:sz w:val="13"/>
                <w:szCs w:val="13"/>
                <w:color w:val="0000EE"/>
              </w:rPr>
              <w:t>ROWTH</w:t>
            </w:r>
            <w:r>
              <w:rPr>
                <w:rFonts w:ascii="Arial" w:cs="Arial" w:eastAsia="Arial" w:hAnsi="Arial"/>
                <w:sz w:val="16"/>
                <w:szCs w:val="16"/>
                <w:color w:val="0000EE"/>
              </w:rPr>
              <w:t xml:space="preserve"> S</w:t>
            </w:r>
            <w:r>
              <w:rPr>
                <w:rFonts w:ascii="Arial" w:cs="Arial" w:eastAsia="Arial" w:hAnsi="Arial"/>
                <w:sz w:val="13"/>
                <w:szCs w:val="13"/>
                <w:color w:val="0000EE"/>
              </w:rPr>
              <w:t>TRATEGY</w:t>
            </w:r>
          </w:p>
        </w:tc>
        <w:tc>
          <w:tcPr>
            <w:tcW w:w="8780" w:type="dxa"/>
            <w:vAlign w:val="bottom"/>
            <w:gridSpan w:val="33"/>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7</w:t>
            </w:r>
          </w:p>
        </w:tc>
      </w:tr>
      <w:tr>
        <w:trPr>
          <w:trHeight w:val="196"/>
        </w:trPr>
        <w:tc>
          <w:tcPr>
            <w:tcW w:w="264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color w:val="0000EE"/>
              </w:rPr>
              <w:t>O</w:t>
            </w:r>
            <w:r>
              <w:rPr>
                <w:rFonts w:ascii="Arial" w:cs="Arial" w:eastAsia="Arial" w:hAnsi="Arial"/>
                <w:sz w:val="13"/>
                <w:szCs w:val="13"/>
                <w:color w:val="0000EE"/>
              </w:rPr>
              <w:t>UR</w:t>
            </w:r>
            <w:r>
              <w:rPr>
                <w:rFonts w:ascii="Arial" w:cs="Arial" w:eastAsia="Arial" w:hAnsi="Arial"/>
                <w:sz w:val="16"/>
                <w:szCs w:val="16"/>
                <w:color w:val="0000EE"/>
              </w:rPr>
              <w:t xml:space="preserve"> C</w:t>
            </w:r>
            <w:r>
              <w:rPr>
                <w:rFonts w:ascii="Arial" w:cs="Arial" w:eastAsia="Arial" w:hAnsi="Arial"/>
                <w:sz w:val="13"/>
                <w:szCs w:val="13"/>
                <w:color w:val="0000EE"/>
              </w:rPr>
              <w:t>APITAL</w:t>
            </w:r>
            <w:r>
              <w:rPr>
                <w:rFonts w:ascii="Arial" w:cs="Arial" w:eastAsia="Arial" w:hAnsi="Arial"/>
                <w:sz w:val="16"/>
                <w:szCs w:val="16"/>
                <w:color w:val="0000EE"/>
              </w:rPr>
              <w:t xml:space="preserve"> A</w:t>
            </w:r>
            <w:r>
              <w:rPr>
                <w:rFonts w:ascii="Arial" w:cs="Arial" w:eastAsia="Arial" w:hAnsi="Arial"/>
                <w:sz w:val="13"/>
                <w:szCs w:val="13"/>
                <w:color w:val="0000EE"/>
              </w:rPr>
              <w:t>LLOCATION</w:t>
            </w:r>
            <w:r>
              <w:rPr>
                <w:rFonts w:ascii="Arial" w:cs="Arial" w:eastAsia="Arial" w:hAnsi="Arial"/>
                <w:sz w:val="16"/>
                <w:szCs w:val="16"/>
                <w:color w:val="0000EE"/>
              </w:rPr>
              <w:t xml:space="preserve"> S</w:t>
            </w:r>
            <w:r>
              <w:rPr>
                <w:rFonts w:ascii="Arial" w:cs="Arial" w:eastAsia="Arial" w:hAnsi="Arial"/>
                <w:sz w:val="13"/>
                <w:szCs w:val="13"/>
                <w:color w:val="0000EE"/>
              </w:rPr>
              <w:t>TRATEGY</w:t>
            </w:r>
          </w:p>
        </w:tc>
        <w:tc>
          <w:tcPr>
            <w:tcW w:w="7920" w:type="dxa"/>
            <w:vAlign w:val="bottom"/>
            <w:gridSpan w:val="20"/>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7</w:t>
            </w:r>
          </w:p>
        </w:tc>
      </w:tr>
      <w:tr>
        <w:trPr>
          <w:trHeight w:val="196"/>
        </w:trPr>
        <w:tc>
          <w:tcPr>
            <w:tcW w:w="206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rPr>
              <w:t>O</w:t>
            </w:r>
            <w:r>
              <w:rPr>
                <w:rFonts w:ascii="Arial" w:cs="Arial" w:eastAsia="Arial" w:hAnsi="Arial"/>
                <w:sz w:val="13"/>
                <w:szCs w:val="13"/>
                <w:color w:val="0000EE"/>
              </w:rPr>
              <w:t>UR</w:t>
            </w:r>
            <w:r>
              <w:rPr>
                <w:rFonts w:ascii="Arial" w:cs="Arial" w:eastAsia="Arial" w:hAnsi="Arial"/>
                <w:sz w:val="16"/>
                <w:szCs w:val="16"/>
                <w:color w:val="0000EE"/>
              </w:rPr>
              <w:t xml:space="preserve"> A</w:t>
            </w:r>
            <w:r>
              <w:rPr>
                <w:rFonts w:ascii="Arial" w:cs="Arial" w:eastAsia="Arial" w:hAnsi="Arial"/>
                <w:sz w:val="13"/>
                <w:szCs w:val="13"/>
                <w:color w:val="0000EE"/>
              </w:rPr>
              <w:t>CQUISITION</w:t>
            </w:r>
            <w:r>
              <w:rPr>
                <w:rFonts w:ascii="Arial" w:cs="Arial" w:eastAsia="Arial" w:hAnsi="Arial"/>
                <w:sz w:val="16"/>
                <w:szCs w:val="16"/>
                <w:color w:val="0000EE"/>
              </w:rPr>
              <w:t xml:space="preserve"> S</w:t>
            </w:r>
            <w:r>
              <w:rPr>
                <w:rFonts w:ascii="Arial" w:cs="Arial" w:eastAsia="Arial" w:hAnsi="Arial"/>
                <w:sz w:val="13"/>
                <w:szCs w:val="13"/>
                <w:color w:val="0000EE"/>
              </w:rPr>
              <w:t>TRATEGY</w:t>
            </w:r>
          </w:p>
        </w:tc>
        <w:tc>
          <w:tcPr>
            <w:tcW w:w="8500" w:type="dxa"/>
            <w:vAlign w:val="bottom"/>
            <w:gridSpan w:val="28"/>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8</w:t>
            </w:r>
          </w:p>
        </w:tc>
      </w:tr>
      <w:tr>
        <w:trPr>
          <w:trHeight w:val="196"/>
        </w:trPr>
        <w:tc>
          <w:tcPr>
            <w:tcW w:w="202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2022 F</w:t>
            </w:r>
            <w:r>
              <w:rPr>
                <w:rFonts w:ascii="Arial" w:cs="Arial" w:eastAsia="Arial" w:hAnsi="Arial"/>
                <w:sz w:val="13"/>
                <w:szCs w:val="13"/>
                <w:color w:val="0000EE"/>
              </w:rPr>
              <w:t>INANCIAL</w:t>
            </w:r>
            <w:r>
              <w:rPr>
                <w:rFonts w:ascii="Arial" w:cs="Arial" w:eastAsia="Arial" w:hAnsi="Arial"/>
                <w:sz w:val="16"/>
                <w:szCs w:val="16"/>
                <w:color w:val="0000EE"/>
              </w:rPr>
              <w:t xml:space="preserve"> H</w:t>
            </w:r>
            <w:r>
              <w:rPr>
                <w:rFonts w:ascii="Arial" w:cs="Arial" w:eastAsia="Arial" w:hAnsi="Arial"/>
                <w:sz w:val="13"/>
                <w:szCs w:val="13"/>
                <w:color w:val="0000EE"/>
              </w:rPr>
              <w:t>IGHLIGHTS</w:t>
            </w:r>
          </w:p>
        </w:tc>
        <w:tc>
          <w:tcPr>
            <w:tcW w:w="8540" w:type="dxa"/>
            <w:vAlign w:val="bottom"/>
            <w:gridSpan w:val="30"/>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8</w:t>
            </w:r>
          </w:p>
        </w:tc>
      </w:tr>
      <w:tr>
        <w:trPr>
          <w:trHeight w:val="196"/>
        </w:trPr>
        <w:tc>
          <w:tcPr>
            <w:tcW w:w="204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00EE"/>
              </w:rPr>
              <w:t>C</w:t>
            </w:r>
            <w:r>
              <w:rPr>
                <w:rFonts w:ascii="Arial" w:cs="Arial" w:eastAsia="Arial" w:hAnsi="Arial"/>
                <w:sz w:val="13"/>
                <w:szCs w:val="13"/>
                <w:color w:val="0000EE"/>
              </w:rPr>
              <w:t>ORPORATE</w:t>
            </w:r>
            <w:r>
              <w:rPr>
                <w:rFonts w:ascii="Arial" w:cs="Arial" w:eastAsia="Arial" w:hAnsi="Arial"/>
                <w:sz w:val="16"/>
                <w:szCs w:val="16"/>
                <w:color w:val="0000EE"/>
              </w:rPr>
              <w:t xml:space="preserve"> R</w:t>
            </w:r>
            <w:r>
              <w:rPr>
                <w:rFonts w:ascii="Arial" w:cs="Arial" w:eastAsia="Arial" w:hAnsi="Arial"/>
                <w:sz w:val="13"/>
                <w:szCs w:val="13"/>
                <w:color w:val="0000EE"/>
              </w:rPr>
              <w:t>ESPONSIBILITY</w:t>
            </w:r>
          </w:p>
        </w:tc>
        <w:tc>
          <w:tcPr>
            <w:tcW w:w="8520" w:type="dxa"/>
            <w:vAlign w:val="bottom"/>
            <w:gridSpan w:val="29"/>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8</w:t>
            </w:r>
          </w:p>
        </w:tc>
      </w:tr>
      <w:tr>
        <w:trPr>
          <w:trHeight w:val="196"/>
        </w:trPr>
        <w:tc>
          <w:tcPr>
            <w:tcW w:w="3220" w:type="dxa"/>
            <w:vAlign w:val="bottom"/>
            <w:tcBorders>
              <w:bottom w:val="single" w:sz="8" w:color="0000EE"/>
            </w:tcBorders>
            <w:gridSpan w:val="29"/>
          </w:tcPr>
          <w:p>
            <w:pPr>
              <w:spacing w:after="0"/>
              <w:rPr>
                <w:sz w:val="20"/>
                <w:szCs w:val="20"/>
                <w:color w:val="auto"/>
              </w:rPr>
            </w:pPr>
            <w:r>
              <w:rPr>
                <w:rFonts w:ascii="Arial" w:cs="Arial" w:eastAsia="Arial" w:hAnsi="Arial"/>
                <w:sz w:val="16"/>
                <w:szCs w:val="16"/>
                <w:color w:val="0000EE"/>
              </w:rPr>
              <w:t>B</w:t>
            </w:r>
            <w:r>
              <w:rPr>
                <w:rFonts w:ascii="Arial" w:cs="Arial" w:eastAsia="Arial" w:hAnsi="Arial"/>
                <w:sz w:val="13"/>
                <w:szCs w:val="13"/>
                <w:color w:val="0000EE"/>
              </w:rPr>
              <w:t>OARD OF</w:t>
            </w:r>
            <w:r>
              <w:rPr>
                <w:rFonts w:ascii="Arial" w:cs="Arial" w:eastAsia="Arial" w:hAnsi="Arial"/>
                <w:sz w:val="16"/>
                <w:szCs w:val="16"/>
                <w:color w:val="0000EE"/>
              </w:rPr>
              <w:t xml:space="preserve"> D</w:t>
            </w:r>
            <w:r>
              <w:rPr>
                <w:rFonts w:ascii="Arial" w:cs="Arial" w:eastAsia="Arial" w:hAnsi="Arial"/>
                <w:sz w:val="13"/>
                <w:szCs w:val="13"/>
                <w:color w:val="0000EE"/>
              </w:rPr>
              <w:t>IRECTORS</w:t>
            </w:r>
            <w:r>
              <w:rPr>
                <w:rFonts w:ascii="Arial" w:cs="Arial" w:eastAsia="Arial" w:hAnsi="Arial"/>
                <w:sz w:val="16"/>
                <w:szCs w:val="16"/>
                <w:color w:val="0000EE"/>
              </w:rPr>
              <w:t xml:space="preserve"> D</w:t>
            </w:r>
            <w:r>
              <w:rPr>
                <w:rFonts w:ascii="Arial" w:cs="Arial" w:eastAsia="Arial" w:hAnsi="Arial"/>
                <w:sz w:val="13"/>
                <w:szCs w:val="13"/>
                <w:color w:val="0000EE"/>
              </w:rPr>
              <w:t>IVERSITY AND</w:t>
            </w:r>
            <w:r>
              <w:rPr>
                <w:rFonts w:ascii="Arial" w:cs="Arial" w:eastAsia="Arial" w:hAnsi="Arial"/>
                <w:sz w:val="16"/>
                <w:szCs w:val="16"/>
                <w:color w:val="0000EE"/>
              </w:rPr>
              <w:t xml:space="preserve"> S</w:t>
            </w:r>
            <w:r>
              <w:rPr>
                <w:rFonts w:ascii="Arial" w:cs="Arial" w:eastAsia="Arial" w:hAnsi="Arial"/>
                <w:sz w:val="13"/>
                <w:szCs w:val="13"/>
                <w:color w:val="0000EE"/>
              </w:rPr>
              <w:t>KILLS</w:t>
            </w:r>
          </w:p>
        </w:tc>
        <w:tc>
          <w:tcPr>
            <w:tcW w:w="7340" w:type="dxa"/>
            <w:vAlign w:val="bottom"/>
            <w:gridSpan w:val="14"/>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9</w:t>
            </w:r>
          </w:p>
        </w:tc>
      </w:tr>
      <w:tr>
        <w:trPr>
          <w:trHeight w:val="196"/>
        </w:trPr>
        <w:tc>
          <w:tcPr>
            <w:tcW w:w="3300" w:type="dxa"/>
            <w:vAlign w:val="bottom"/>
            <w:tcBorders>
              <w:bottom w:val="single" w:sz="8" w:color="0000EE"/>
            </w:tcBorders>
            <w:gridSpan w:val="30"/>
          </w:tcPr>
          <w:p>
            <w:pPr>
              <w:spacing w:after="0"/>
              <w:rPr>
                <w:sz w:val="20"/>
                <w:szCs w:val="20"/>
                <w:color w:val="auto"/>
              </w:rPr>
            </w:pPr>
            <w:r>
              <w:rPr>
                <w:rFonts w:ascii="Arial" w:cs="Arial" w:eastAsia="Arial" w:hAnsi="Arial"/>
                <w:sz w:val="16"/>
                <w:szCs w:val="16"/>
                <w:color w:val="0000EE"/>
              </w:rPr>
              <w:t>2022 E</w:t>
            </w:r>
            <w:r>
              <w:rPr>
                <w:rFonts w:ascii="Arial" w:cs="Arial" w:eastAsia="Arial" w:hAnsi="Arial"/>
                <w:sz w:val="13"/>
                <w:szCs w:val="13"/>
                <w:color w:val="0000EE"/>
              </w:rPr>
              <w:t>XECUTIVE</w:t>
            </w:r>
            <w:r>
              <w:rPr>
                <w:rFonts w:ascii="Arial" w:cs="Arial" w:eastAsia="Arial" w:hAnsi="Arial"/>
                <w:sz w:val="16"/>
                <w:szCs w:val="16"/>
                <w:color w:val="0000EE"/>
              </w:rPr>
              <w:t xml:space="preserve"> C</w:t>
            </w:r>
            <w:r>
              <w:rPr>
                <w:rFonts w:ascii="Arial" w:cs="Arial" w:eastAsia="Arial" w:hAnsi="Arial"/>
                <w:sz w:val="13"/>
                <w:szCs w:val="13"/>
                <w:color w:val="0000EE"/>
              </w:rPr>
              <w:t>OMPENSATION AT A</w:t>
            </w:r>
            <w:r>
              <w:rPr>
                <w:rFonts w:ascii="Arial" w:cs="Arial" w:eastAsia="Arial" w:hAnsi="Arial"/>
                <w:sz w:val="16"/>
                <w:szCs w:val="16"/>
                <w:color w:val="0000EE"/>
              </w:rPr>
              <w:t xml:space="preserve"> G</w:t>
            </w:r>
            <w:r>
              <w:rPr>
                <w:rFonts w:ascii="Arial" w:cs="Arial" w:eastAsia="Arial" w:hAnsi="Arial"/>
                <w:sz w:val="13"/>
                <w:szCs w:val="13"/>
                <w:color w:val="0000EE"/>
              </w:rPr>
              <w:t>LANCE</w:t>
            </w:r>
          </w:p>
        </w:tc>
        <w:tc>
          <w:tcPr>
            <w:tcW w:w="7260" w:type="dxa"/>
            <w:vAlign w:val="bottom"/>
            <w:gridSpan w:val="13"/>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10</w:t>
            </w:r>
          </w:p>
        </w:tc>
      </w:tr>
      <w:tr>
        <w:trPr>
          <w:trHeight w:val="196"/>
        </w:trPr>
        <w:tc>
          <w:tcPr>
            <w:tcW w:w="3520" w:type="dxa"/>
            <w:vAlign w:val="bottom"/>
            <w:tcBorders>
              <w:bottom w:val="single" w:sz="8" w:color="0000EE"/>
            </w:tcBorders>
            <w:gridSpan w:val="32"/>
          </w:tcPr>
          <w:p>
            <w:pPr>
              <w:spacing w:after="0"/>
              <w:rPr>
                <w:sz w:val="20"/>
                <w:szCs w:val="20"/>
                <w:color w:val="auto"/>
              </w:rPr>
            </w:pPr>
            <w:r>
              <w:rPr>
                <w:rFonts w:ascii="Arial" w:cs="Arial" w:eastAsia="Arial" w:hAnsi="Arial"/>
                <w:sz w:val="16"/>
                <w:szCs w:val="16"/>
                <w:color w:val="0000EE"/>
              </w:rPr>
              <w:t>K</w:t>
            </w:r>
            <w:r>
              <w:rPr>
                <w:rFonts w:ascii="Arial" w:cs="Arial" w:eastAsia="Arial" w:hAnsi="Arial"/>
                <w:sz w:val="13"/>
                <w:szCs w:val="13"/>
                <w:color w:val="0000EE"/>
              </w:rPr>
              <w:t>EY</w:t>
            </w:r>
            <w:r>
              <w:rPr>
                <w:rFonts w:ascii="Arial" w:cs="Arial" w:eastAsia="Arial" w:hAnsi="Arial"/>
                <w:sz w:val="16"/>
                <w:szCs w:val="16"/>
                <w:color w:val="0000EE"/>
              </w:rPr>
              <w:t xml:space="preserve"> C</w:t>
            </w:r>
            <w:r>
              <w:rPr>
                <w:rFonts w:ascii="Arial" w:cs="Arial" w:eastAsia="Arial" w:hAnsi="Arial"/>
                <w:sz w:val="13"/>
                <w:szCs w:val="13"/>
                <w:color w:val="0000EE"/>
              </w:rPr>
              <w:t>OMPENSATION</w:t>
            </w:r>
            <w:r>
              <w:rPr>
                <w:rFonts w:ascii="Arial" w:cs="Arial" w:eastAsia="Arial" w:hAnsi="Arial"/>
                <w:sz w:val="16"/>
                <w:szCs w:val="16"/>
                <w:color w:val="0000EE"/>
              </w:rPr>
              <w:t xml:space="preserve"> P</w:t>
            </w:r>
            <w:r>
              <w:rPr>
                <w:rFonts w:ascii="Arial" w:cs="Arial" w:eastAsia="Arial" w:hAnsi="Arial"/>
                <w:sz w:val="13"/>
                <w:szCs w:val="13"/>
                <w:color w:val="0000EE"/>
              </w:rPr>
              <w:t>RACTICES FOR</w:t>
            </w:r>
            <w:r>
              <w:rPr>
                <w:rFonts w:ascii="Arial" w:cs="Arial" w:eastAsia="Arial" w:hAnsi="Arial"/>
                <w:sz w:val="16"/>
                <w:szCs w:val="16"/>
                <w:color w:val="0000EE"/>
              </w:rPr>
              <w:t xml:space="preserve"> E</w:t>
            </w:r>
            <w:r>
              <w:rPr>
                <w:rFonts w:ascii="Arial" w:cs="Arial" w:eastAsia="Arial" w:hAnsi="Arial"/>
                <w:sz w:val="13"/>
                <w:szCs w:val="13"/>
                <w:color w:val="0000EE"/>
              </w:rPr>
              <w:t>XECUTIVES</w:t>
            </w:r>
          </w:p>
        </w:tc>
        <w:tc>
          <w:tcPr>
            <w:tcW w:w="7040" w:type="dxa"/>
            <w:vAlign w:val="bottom"/>
            <w:gridSpan w:val="11"/>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11</w:t>
            </w:r>
          </w:p>
        </w:tc>
      </w:tr>
      <w:tr>
        <w:trPr>
          <w:trHeight w:val="250"/>
        </w:trPr>
        <w:tc>
          <w:tcPr>
            <w:tcW w:w="10560" w:type="dxa"/>
            <w:vAlign w:val="bottom"/>
            <w:gridSpan w:val="43"/>
          </w:tcPr>
          <w:p>
            <w:pPr>
              <w:spacing w:after="0"/>
              <w:rPr>
                <w:sz w:val="20"/>
                <w:szCs w:val="20"/>
                <w:color w:val="auto"/>
              </w:rPr>
            </w:pPr>
            <w:r>
              <w:rPr>
                <w:rFonts w:ascii="Arial" w:cs="Arial" w:eastAsia="Arial" w:hAnsi="Arial"/>
                <w:sz w:val="18"/>
                <w:szCs w:val="18"/>
                <w:color w:val="0000EE"/>
              </w:rPr>
              <w:t>PROPOSAL 1 – ELECTION OF DIRECTORS</w:t>
            </w:r>
          </w:p>
        </w:tc>
        <w:tc>
          <w:tcPr>
            <w:tcW w:w="400" w:type="dxa"/>
            <w:vAlign w:val="bottom"/>
          </w:tcPr>
          <w:p>
            <w:pPr>
              <w:jc w:val="right"/>
              <w:spacing w:after="0"/>
              <w:rPr>
                <w:sz w:val="20"/>
                <w:szCs w:val="20"/>
                <w:color w:val="auto"/>
              </w:rPr>
            </w:pPr>
            <w:r>
              <w:rPr>
                <w:rFonts w:ascii="Arial" w:cs="Arial" w:eastAsia="Arial" w:hAnsi="Arial"/>
                <w:sz w:val="18"/>
                <w:szCs w:val="18"/>
                <w:color w:val="0070C0"/>
              </w:rPr>
              <w:t>12</w:t>
            </w:r>
          </w:p>
        </w:tc>
      </w:tr>
      <w:tr>
        <w:trPr>
          <w:trHeight w:val="264"/>
        </w:trPr>
        <w:tc>
          <w:tcPr>
            <w:tcW w:w="3640" w:type="dxa"/>
            <w:vAlign w:val="bottom"/>
            <w:tcBorders>
              <w:top w:val="single" w:sz="8" w:color="0000EE"/>
            </w:tcBorders>
            <w:gridSpan w:val="35"/>
          </w:tcPr>
          <w:p>
            <w:pPr>
              <w:spacing w:after="0"/>
              <w:rPr>
                <w:sz w:val="20"/>
                <w:szCs w:val="20"/>
                <w:color w:val="auto"/>
              </w:rPr>
            </w:pPr>
            <w:r>
              <w:rPr>
                <w:rFonts w:ascii="Arial" w:cs="Arial" w:eastAsia="Arial" w:hAnsi="Arial"/>
                <w:sz w:val="16"/>
                <w:szCs w:val="16"/>
                <w:color w:val="0000EE"/>
              </w:rPr>
              <w:t>O</w:t>
            </w:r>
            <w:r>
              <w:rPr>
                <w:rFonts w:ascii="Arial" w:cs="Arial" w:eastAsia="Arial" w:hAnsi="Arial"/>
                <w:sz w:val="13"/>
                <w:szCs w:val="13"/>
                <w:color w:val="0000EE"/>
              </w:rPr>
              <w:t>VERVIEW OF THE</w:t>
            </w:r>
            <w:r>
              <w:rPr>
                <w:rFonts w:ascii="Arial" w:cs="Arial" w:eastAsia="Arial" w:hAnsi="Arial"/>
                <w:sz w:val="16"/>
                <w:szCs w:val="16"/>
                <w:color w:val="0000EE"/>
              </w:rPr>
              <w:t xml:space="preserve"> B</w:t>
            </w:r>
            <w:r>
              <w:rPr>
                <w:rFonts w:ascii="Arial" w:cs="Arial" w:eastAsia="Arial" w:hAnsi="Arial"/>
                <w:sz w:val="13"/>
                <w:szCs w:val="13"/>
                <w:color w:val="0000EE"/>
              </w:rPr>
              <w:t>OARD OF</w:t>
            </w:r>
            <w:r>
              <w:rPr>
                <w:rFonts w:ascii="Arial" w:cs="Arial" w:eastAsia="Arial" w:hAnsi="Arial"/>
                <w:sz w:val="16"/>
                <w:szCs w:val="16"/>
                <w:color w:val="0000EE"/>
              </w:rPr>
              <w:t xml:space="preserve"> D</w:t>
            </w:r>
            <w:r>
              <w:rPr>
                <w:rFonts w:ascii="Arial" w:cs="Arial" w:eastAsia="Arial" w:hAnsi="Arial"/>
                <w:sz w:val="13"/>
                <w:szCs w:val="13"/>
                <w:color w:val="0000EE"/>
              </w:rPr>
              <w:t>IRECTORS</w:t>
            </w:r>
          </w:p>
        </w:tc>
        <w:tc>
          <w:tcPr>
            <w:tcW w:w="6920" w:type="dxa"/>
            <w:vAlign w:val="bottom"/>
            <w:gridSpan w:val="8"/>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12</w:t>
            </w:r>
          </w:p>
        </w:tc>
      </w:tr>
      <w:tr>
        <w:trPr>
          <w:trHeight w:val="20"/>
        </w:trPr>
        <w:tc>
          <w:tcPr>
            <w:tcW w:w="7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560" w:type="dxa"/>
            <w:vAlign w:val="bottom"/>
            <w:gridSpan w:val="43"/>
          </w:tcPr>
          <w:p>
            <w:pPr>
              <w:spacing w:after="0"/>
              <w:rPr>
                <w:sz w:val="20"/>
                <w:szCs w:val="20"/>
                <w:color w:val="auto"/>
              </w:rPr>
            </w:pPr>
            <w:r>
              <w:rPr>
                <w:rFonts w:ascii="Arial" w:cs="Arial" w:eastAsia="Arial" w:hAnsi="Arial"/>
                <w:sz w:val="16"/>
                <w:szCs w:val="16"/>
                <w:color w:val="0000EE"/>
              </w:rPr>
              <w:t>D</w:t>
            </w:r>
            <w:r>
              <w:rPr>
                <w:rFonts w:ascii="Arial" w:cs="Arial" w:eastAsia="Arial" w:hAnsi="Arial"/>
                <w:sz w:val="13"/>
                <w:szCs w:val="13"/>
                <w:color w:val="0000EE"/>
              </w:rPr>
              <w:t>IRECTOR</w:t>
            </w:r>
            <w:r>
              <w:rPr>
                <w:rFonts w:ascii="Arial" w:cs="Arial" w:eastAsia="Arial" w:hAnsi="Arial"/>
                <w:sz w:val="16"/>
                <w:szCs w:val="16"/>
                <w:color w:val="0000EE"/>
              </w:rPr>
              <w:t xml:space="preserve"> Q</w:t>
            </w:r>
            <w:r>
              <w:rPr>
                <w:rFonts w:ascii="Arial" w:cs="Arial" w:eastAsia="Arial" w:hAnsi="Arial"/>
                <w:sz w:val="13"/>
                <w:szCs w:val="13"/>
                <w:color w:val="0000EE"/>
              </w:rPr>
              <w:t>UALIFICATIONS AND</w:t>
            </w:r>
            <w:r>
              <w:rPr>
                <w:rFonts w:ascii="Arial" w:cs="Arial" w:eastAsia="Arial" w:hAnsi="Arial"/>
                <w:sz w:val="16"/>
                <w:szCs w:val="16"/>
                <w:color w:val="0000EE"/>
              </w:rPr>
              <w:t xml:space="preserve"> B</w:t>
            </w:r>
            <w:r>
              <w:rPr>
                <w:rFonts w:ascii="Arial" w:cs="Arial" w:eastAsia="Arial" w:hAnsi="Arial"/>
                <w:sz w:val="13"/>
                <w:szCs w:val="13"/>
                <w:color w:val="0000EE"/>
              </w:rPr>
              <w:t>OARD</w:t>
            </w:r>
            <w:r>
              <w:rPr>
                <w:rFonts w:ascii="Arial" w:cs="Arial" w:eastAsia="Arial" w:hAnsi="Arial"/>
                <w:sz w:val="16"/>
                <w:szCs w:val="16"/>
                <w:color w:val="0000EE"/>
              </w:rPr>
              <w:t xml:space="preserve"> D</w:t>
            </w:r>
            <w:r>
              <w:rPr>
                <w:rFonts w:ascii="Arial" w:cs="Arial" w:eastAsia="Arial" w:hAnsi="Arial"/>
                <w:sz w:val="13"/>
                <w:szCs w:val="13"/>
                <w:color w:val="0000EE"/>
              </w:rPr>
              <w:t>IVERSITY</w:t>
            </w:r>
          </w:p>
        </w:tc>
        <w:tc>
          <w:tcPr>
            <w:tcW w:w="400" w:type="dxa"/>
            <w:vAlign w:val="bottom"/>
          </w:tcPr>
          <w:p>
            <w:pPr>
              <w:jc w:val="right"/>
              <w:spacing w:after="0"/>
              <w:rPr>
                <w:sz w:val="20"/>
                <w:szCs w:val="20"/>
                <w:color w:val="auto"/>
              </w:rPr>
            </w:pPr>
            <w:r>
              <w:rPr>
                <w:rFonts w:ascii="Arial" w:cs="Arial" w:eastAsia="Arial" w:hAnsi="Arial"/>
                <w:sz w:val="16"/>
                <w:szCs w:val="16"/>
                <w:color w:val="002060"/>
              </w:rPr>
              <w:t>12</w:t>
            </w:r>
          </w:p>
        </w:tc>
      </w:tr>
      <w:tr>
        <w:trPr>
          <w:trHeight w:val="20"/>
        </w:trPr>
        <w:tc>
          <w:tcPr>
            <w:tcW w:w="7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580" w:type="dxa"/>
            <w:vAlign w:val="bottom"/>
            <w:tcBorders>
              <w:bottom w:val="single" w:sz="8" w:color="0000EE"/>
            </w:tcBorders>
            <w:gridSpan w:val="34"/>
          </w:tcPr>
          <w:p>
            <w:pPr>
              <w:spacing w:after="0"/>
              <w:rPr>
                <w:sz w:val="20"/>
                <w:szCs w:val="20"/>
                <w:color w:val="auto"/>
              </w:rPr>
            </w:pPr>
            <w:r>
              <w:rPr>
                <w:rFonts w:ascii="Arial" w:cs="Arial" w:eastAsia="Arial" w:hAnsi="Arial"/>
                <w:sz w:val="16"/>
                <w:szCs w:val="16"/>
                <w:color w:val="0000EE"/>
              </w:rPr>
              <w:t>D</w:t>
            </w:r>
            <w:r>
              <w:rPr>
                <w:rFonts w:ascii="Arial" w:cs="Arial" w:eastAsia="Arial" w:hAnsi="Arial"/>
                <w:sz w:val="13"/>
                <w:szCs w:val="13"/>
                <w:color w:val="0000EE"/>
              </w:rPr>
              <w:t>IRECTOR</w:t>
            </w:r>
            <w:r>
              <w:rPr>
                <w:rFonts w:ascii="Arial" w:cs="Arial" w:eastAsia="Arial" w:hAnsi="Arial"/>
                <w:sz w:val="16"/>
                <w:szCs w:val="16"/>
                <w:color w:val="0000EE"/>
              </w:rPr>
              <w:t xml:space="preserve"> S</w:t>
            </w:r>
            <w:r>
              <w:rPr>
                <w:rFonts w:ascii="Arial" w:cs="Arial" w:eastAsia="Arial" w:hAnsi="Arial"/>
                <w:sz w:val="13"/>
                <w:szCs w:val="13"/>
                <w:color w:val="0000EE"/>
              </w:rPr>
              <w:t>KILLS</w:t>
            </w:r>
            <w:r>
              <w:rPr>
                <w:rFonts w:ascii="Arial" w:cs="Arial" w:eastAsia="Arial" w:hAnsi="Arial"/>
                <w:sz w:val="16"/>
                <w:szCs w:val="16"/>
                <w:color w:val="0000EE"/>
              </w:rPr>
              <w:t>, E</w:t>
            </w:r>
            <w:r>
              <w:rPr>
                <w:rFonts w:ascii="Arial" w:cs="Arial" w:eastAsia="Arial" w:hAnsi="Arial"/>
                <w:sz w:val="13"/>
                <w:szCs w:val="13"/>
                <w:color w:val="0000EE"/>
              </w:rPr>
              <w:t>XPERIENCE AND</w:t>
            </w:r>
            <w:r>
              <w:rPr>
                <w:rFonts w:ascii="Arial" w:cs="Arial" w:eastAsia="Arial" w:hAnsi="Arial"/>
                <w:sz w:val="16"/>
                <w:szCs w:val="16"/>
                <w:color w:val="0000EE"/>
              </w:rPr>
              <w:t xml:space="preserve"> B</w:t>
            </w:r>
            <w:r>
              <w:rPr>
                <w:rFonts w:ascii="Arial" w:cs="Arial" w:eastAsia="Arial" w:hAnsi="Arial"/>
                <w:sz w:val="13"/>
                <w:szCs w:val="13"/>
                <w:color w:val="0000EE"/>
              </w:rPr>
              <w:t>ACKGROUND</w:t>
            </w:r>
          </w:p>
        </w:tc>
        <w:tc>
          <w:tcPr>
            <w:tcW w:w="6980" w:type="dxa"/>
            <w:vAlign w:val="bottom"/>
            <w:gridSpan w:val="9"/>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14</w:t>
            </w:r>
          </w:p>
        </w:tc>
      </w:tr>
      <w:tr>
        <w:trPr>
          <w:trHeight w:val="196"/>
        </w:trPr>
        <w:tc>
          <w:tcPr>
            <w:tcW w:w="10560" w:type="dxa"/>
            <w:vAlign w:val="bottom"/>
            <w:gridSpan w:val="43"/>
          </w:tcPr>
          <w:p>
            <w:pPr>
              <w:spacing w:after="0"/>
              <w:rPr>
                <w:sz w:val="20"/>
                <w:szCs w:val="20"/>
                <w:color w:val="auto"/>
              </w:rPr>
            </w:pPr>
            <w:r>
              <w:rPr>
                <w:rFonts w:ascii="Arial" w:cs="Arial" w:eastAsia="Arial" w:hAnsi="Arial"/>
                <w:sz w:val="16"/>
                <w:szCs w:val="16"/>
                <w:color w:val="0000EE"/>
              </w:rPr>
              <w:t>R</w:t>
            </w:r>
            <w:r>
              <w:rPr>
                <w:rFonts w:ascii="Arial" w:cs="Arial" w:eastAsia="Arial" w:hAnsi="Arial"/>
                <w:sz w:val="13"/>
                <w:szCs w:val="13"/>
                <w:color w:val="0000EE"/>
              </w:rPr>
              <w:t>EQUIRED</w:t>
            </w:r>
            <w:r>
              <w:rPr>
                <w:rFonts w:ascii="Arial" w:cs="Arial" w:eastAsia="Arial" w:hAnsi="Arial"/>
                <w:sz w:val="16"/>
                <w:szCs w:val="16"/>
                <w:color w:val="0000EE"/>
              </w:rPr>
              <w:t xml:space="preserve"> V</w:t>
            </w:r>
            <w:r>
              <w:rPr>
                <w:rFonts w:ascii="Arial" w:cs="Arial" w:eastAsia="Arial" w:hAnsi="Arial"/>
                <w:sz w:val="13"/>
                <w:szCs w:val="13"/>
                <w:color w:val="0000EE"/>
              </w:rPr>
              <w:t>OTE AND</w:t>
            </w:r>
            <w:r>
              <w:rPr>
                <w:rFonts w:ascii="Arial" w:cs="Arial" w:eastAsia="Arial" w:hAnsi="Arial"/>
                <w:sz w:val="16"/>
                <w:szCs w:val="16"/>
                <w:color w:val="0000EE"/>
              </w:rPr>
              <w:t xml:space="preserve"> R</w:t>
            </w:r>
            <w:r>
              <w:rPr>
                <w:rFonts w:ascii="Arial" w:cs="Arial" w:eastAsia="Arial" w:hAnsi="Arial"/>
                <w:sz w:val="13"/>
                <w:szCs w:val="13"/>
                <w:color w:val="0000EE"/>
              </w:rPr>
              <w:t>ECOMMENDATION OF</w:t>
            </w:r>
            <w:r>
              <w:rPr>
                <w:rFonts w:ascii="Arial" w:cs="Arial" w:eastAsia="Arial" w:hAnsi="Arial"/>
                <w:sz w:val="16"/>
                <w:szCs w:val="16"/>
                <w:color w:val="0000EE"/>
              </w:rPr>
              <w:t xml:space="preserve"> T</w:t>
            </w:r>
            <w:r>
              <w:rPr>
                <w:rFonts w:ascii="Arial" w:cs="Arial" w:eastAsia="Arial" w:hAnsi="Arial"/>
                <w:sz w:val="13"/>
                <w:szCs w:val="13"/>
                <w:color w:val="0000EE"/>
              </w:rPr>
              <w:t>HE</w:t>
            </w:r>
            <w:r>
              <w:rPr>
                <w:rFonts w:ascii="Arial" w:cs="Arial" w:eastAsia="Arial" w:hAnsi="Arial"/>
                <w:sz w:val="16"/>
                <w:szCs w:val="16"/>
                <w:color w:val="0000EE"/>
              </w:rPr>
              <w:t xml:space="preserve"> B</w:t>
            </w:r>
            <w:r>
              <w:rPr>
                <w:rFonts w:ascii="Arial" w:cs="Arial" w:eastAsia="Arial" w:hAnsi="Arial"/>
                <w:sz w:val="13"/>
                <w:szCs w:val="13"/>
                <w:color w:val="0000EE"/>
              </w:rPr>
              <w:t>OARD</w:t>
            </w:r>
          </w:p>
        </w:tc>
        <w:tc>
          <w:tcPr>
            <w:tcW w:w="400" w:type="dxa"/>
            <w:vAlign w:val="bottom"/>
          </w:tcPr>
          <w:p>
            <w:pPr>
              <w:jc w:val="right"/>
              <w:spacing w:after="0"/>
              <w:rPr>
                <w:sz w:val="20"/>
                <w:szCs w:val="20"/>
                <w:color w:val="auto"/>
              </w:rPr>
            </w:pPr>
            <w:r>
              <w:rPr>
                <w:rFonts w:ascii="Arial" w:cs="Arial" w:eastAsia="Arial" w:hAnsi="Arial"/>
                <w:sz w:val="16"/>
                <w:szCs w:val="16"/>
                <w:color w:val="002060"/>
              </w:rPr>
              <w:t>24</w:t>
            </w:r>
          </w:p>
        </w:tc>
      </w:tr>
      <w:tr>
        <w:trPr>
          <w:trHeight w:val="250"/>
        </w:trPr>
        <w:tc>
          <w:tcPr>
            <w:tcW w:w="2460" w:type="dxa"/>
            <w:vAlign w:val="bottom"/>
            <w:tcBorders>
              <w:top w:val="single" w:sz="8" w:color="0000EE"/>
              <w:bottom w:val="single" w:sz="8" w:color="0000EE"/>
            </w:tcBorders>
            <w:gridSpan w:val="21"/>
          </w:tcPr>
          <w:p>
            <w:pPr>
              <w:spacing w:after="0"/>
              <w:rPr>
                <w:sz w:val="20"/>
                <w:szCs w:val="20"/>
                <w:color w:val="auto"/>
              </w:rPr>
            </w:pPr>
            <w:r>
              <w:rPr>
                <w:rFonts w:ascii="Arial" w:cs="Arial" w:eastAsia="Arial" w:hAnsi="Arial"/>
                <w:sz w:val="18"/>
                <w:szCs w:val="18"/>
                <w:color w:val="0000EE"/>
                <w:w w:val="98"/>
              </w:rPr>
              <w:t>CORPORATE GOVERNANCE</w:t>
            </w:r>
          </w:p>
        </w:tc>
        <w:tc>
          <w:tcPr>
            <w:tcW w:w="1500" w:type="dxa"/>
            <w:vAlign w:val="bottom"/>
            <w:tcBorders>
              <w:top w:val="single" w:sz="8" w:color="0000EE"/>
            </w:tcBorders>
            <w:gridSpan w:val="18"/>
          </w:tcPr>
          <w:p>
            <w:pPr>
              <w:spacing w:after="0"/>
              <w:rPr>
                <w:sz w:val="21"/>
                <w:szCs w:val="21"/>
                <w:color w:val="auto"/>
              </w:rPr>
            </w:pPr>
          </w:p>
        </w:tc>
        <w:tc>
          <w:tcPr>
            <w:tcW w:w="6600" w:type="dxa"/>
            <w:vAlign w:val="bottom"/>
            <w:gridSpan w:val="4"/>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0070C0"/>
              </w:rPr>
              <w:t>25</w:t>
            </w:r>
          </w:p>
        </w:tc>
      </w:tr>
      <w:tr>
        <w:trPr>
          <w:trHeight w:val="263"/>
        </w:trPr>
        <w:tc>
          <w:tcPr>
            <w:tcW w:w="10560" w:type="dxa"/>
            <w:vAlign w:val="bottom"/>
            <w:gridSpan w:val="43"/>
          </w:tcPr>
          <w:p>
            <w:pPr>
              <w:spacing w:after="0"/>
              <w:rPr>
                <w:sz w:val="20"/>
                <w:szCs w:val="20"/>
                <w:color w:val="auto"/>
              </w:rPr>
            </w:pPr>
            <w:r>
              <w:rPr>
                <w:rFonts w:ascii="Arial" w:cs="Arial" w:eastAsia="Arial" w:hAnsi="Arial"/>
                <w:sz w:val="16"/>
                <w:szCs w:val="16"/>
                <w:color w:val="0000EE"/>
              </w:rPr>
              <w:t>B</w:t>
            </w:r>
            <w:r>
              <w:rPr>
                <w:rFonts w:ascii="Arial" w:cs="Arial" w:eastAsia="Arial" w:hAnsi="Arial"/>
                <w:sz w:val="13"/>
                <w:szCs w:val="13"/>
                <w:color w:val="0000EE"/>
              </w:rPr>
              <w:t>OARD</w:t>
            </w:r>
            <w:r>
              <w:rPr>
                <w:rFonts w:ascii="Arial" w:cs="Arial" w:eastAsia="Arial" w:hAnsi="Arial"/>
                <w:sz w:val="16"/>
                <w:szCs w:val="16"/>
                <w:color w:val="0000EE"/>
              </w:rPr>
              <w:t xml:space="preserve"> S</w:t>
            </w:r>
            <w:r>
              <w:rPr>
                <w:rFonts w:ascii="Arial" w:cs="Arial" w:eastAsia="Arial" w:hAnsi="Arial"/>
                <w:sz w:val="13"/>
                <w:szCs w:val="13"/>
                <w:color w:val="0000EE"/>
              </w:rPr>
              <w:t>TRUCTURE AND</w:t>
            </w:r>
            <w:r>
              <w:rPr>
                <w:rFonts w:ascii="Arial" w:cs="Arial" w:eastAsia="Arial" w:hAnsi="Arial"/>
                <w:sz w:val="16"/>
                <w:szCs w:val="16"/>
                <w:color w:val="0000EE"/>
              </w:rPr>
              <w:t xml:space="preserve"> R</w:t>
            </w:r>
            <w:r>
              <w:rPr>
                <w:rFonts w:ascii="Arial" w:cs="Arial" w:eastAsia="Arial" w:hAnsi="Arial"/>
                <w:sz w:val="13"/>
                <w:szCs w:val="13"/>
                <w:color w:val="0000EE"/>
              </w:rPr>
              <w:t>ESPONSIBILITIES</w:t>
            </w:r>
          </w:p>
        </w:tc>
        <w:tc>
          <w:tcPr>
            <w:tcW w:w="400" w:type="dxa"/>
            <w:vAlign w:val="bottom"/>
          </w:tcPr>
          <w:p>
            <w:pPr>
              <w:jc w:val="right"/>
              <w:spacing w:after="0"/>
              <w:rPr>
                <w:sz w:val="20"/>
                <w:szCs w:val="20"/>
                <w:color w:val="auto"/>
              </w:rPr>
            </w:pPr>
            <w:r>
              <w:rPr>
                <w:rFonts w:ascii="Arial" w:cs="Arial" w:eastAsia="Arial" w:hAnsi="Arial"/>
                <w:sz w:val="16"/>
                <w:szCs w:val="16"/>
                <w:color w:val="002060"/>
              </w:rPr>
              <w:t>25</w:t>
            </w:r>
          </w:p>
        </w:tc>
      </w:tr>
      <w:tr>
        <w:trPr>
          <w:trHeight w:val="196"/>
        </w:trPr>
        <w:tc>
          <w:tcPr>
            <w:tcW w:w="3020" w:type="dxa"/>
            <w:vAlign w:val="bottom"/>
            <w:tcBorders>
              <w:top w:val="single" w:sz="8" w:color="0000EE"/>
            </w:tcBorders>
            <w:gridSpan w:val="28"/>
          </w:tcPr>
          <w:p>
            <w:pPr>
              <w:spacing w:after="0"/>
              <w:rPr>
                <w:sz w:val="20"/>
                <w:szCs w:val="20"/>
                <w:color w:val="auto"/>
              </w:rPr>
            </w:pPr>
            <w:r>
              <w:rPr>
                <w:rFonts w:ascii="Arial" w:cs="Arial" w:eastAsia="Arial" w:hAnsi="Arial"/>
                <w:sz w:val="16"/>
                <w:szCs w:val="16"/>
                <w:color w:val="0000EE"/>
              </w:rPr>
              <w:t>B</w:t>
            </w:r>
            <w:r>
              <w:rPr>
                <w:rFonts w:ascii="Arial" w:cs="Arial" w:eastAsia="Arial" w:hAnsi="Arial"/>
                <w:sz w:val="13"/>
                <w:szCs w:val="13"/>
                <w:color w:val="0000EE"/>
              </w:rPr>
              <w:t>OARD</w:t>
            </w:r>
            <w:r>
              <w:rPr>
                <w:rFonts w:ascii="Arial" w:cs="Arial" w:eastAsia="Arial" w:hAnsi="Arial"/>
                <w:sz w:val="16"/>
                <w:szCs w:val="16"/>
                <w:color w:val="0000EE"/>
              </w:rPr>
              <w:t xml:space="preserve"> L</w:t>
            </w:r>
            <w:r>
              <w:rPr>
                <w:rFonts w:ascii="Arial" w:cs="Arial" w:eastAsia="Arial" w:hAnsi="Arial"/>
                <w:sz w:val="13"/>
                <w:szCs w:val="13"/>
                <w:color w:val="0000EE"/>
              </w:rPr>
              <w:t>EADERSHIP</w:t>
            </w:r>
            <w:r>
              <w:rPr>
                <w:rFonts w:ascii="Arial" w:cs="Arial" w:eastAsia="Arial" w:hAnsi="Arial"/>
                <w:sz w:val="16"/>
                <w:szCs w:val="16"/>
                <w:color w:val="0000EE"/>
              </w:rPr>
              <w:t xml:space="preserve"> S</w:t>
            </w:r>
            <w:r>
              <w:rPr>
                <w:rFonts w:ascii="Arial" w:cs="Arial" w:eastAsia="Arial" w:hAnsi="Arial"/>
                <w:sz w:val="13"/>
                <w:szCs w:val="13"/>
                <w:color w:val="0000EE"/>
              </w:rPr>
              <w:t>TRUCTURE</w:t>
            </w:r>
          </w:p>
        </w:tc>
        <w:tc>
          <w:tcPr>
            <w:tcW w:w="7540" w:type="dxa"/>
            <w:vAlign w:val="bottom"/>
            <w:gridSpan w:val="15"/>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26</w:t>
            </w:r>
          </w:p>
        </w:tc>
      </w:tr>
      <w:tr>
        <w:trPr>
          <w:trHeight w:val="20"/>
        </w:trPr>
        <w:tc>
          <w:tcPr>
            <w:tcW w:w="7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27"/>
          </w:tcPr>
          <w:p>
            <w:pPr>
              <w:spacing w:after="0"/>
              <w:rPr>
                <w:sz w:val="20"/>
                <w:szCs w:val="20"/>
                <w:color w:val="auto"/>
              </w:rPr>
            </w:pPr>
            <w:r>
              <w:rPr>
                <w:rFonts w:ascii="Arial" w:cs="Arial" w:eastAsia="Arial" w:hAnsi="Arial"/>
                <w:sz w:val="16"/>
                <w:szCs w:val="16"/>
                <w:color w:val="0000EE"/>
              </w:rPr>
              <w:t>R</w:t>
            </w:r>
            <w:r>
              <w:rPr>
                <w:rFonts w:ascii="Arial" w:cs="Arial" w:eastAsia="Arial" w:hAnsi="Arial"/>
                <w:sz w:val="13"/>
                <w:szCs w:val="13"/>
                <w:color w:val="0000EE"/>
              </w:rPr>
              <w:t>OLE OF THE</w:t>
            </w:r>
            <w:r>
              <w:rPr>
                <w:rFonts w:ascii="Arial" w:cs="Arial" w:eastAsia="Arial" w:hAnsi="Arial"/>
                <w:sz w:val="16"/>
                <w:szCs w:val="16"/>
                <w:color w:val="0000EE"/>
              </w:rPr>
              <w:t xml:space="preserve"> B</w:t>
            </w:r>
            <w:r>
              <w:rPr>
                <w:rFonts w:ascii="Arial" w:cs="Arial" w:eastAsia="Arial" w:hAnsi="Arial"/>
                <w:sz w:val="13"/>
                <w:szCs w:val="13"/>
                <w:color w:val="0000EE"/>
              </w:rPr>
              <w:t>OARD IN</w:t>
            </w:r>
            <w:r>
              <w:rPr>
                <w:rFonts w:ascii="Arial" w:cs="Arial" w:eastAsia="Arial" w:hAnsi="Arial"/>
                <w:sz w:val="16"/>
                <w:szCs w:val="16"/>
                <w:color w:val="0000EE"/>
              </w:rPr>
              <w:t xml:space="preserve"> R</w:t>
            </w:r>
            <w:r>
              <w:rPr>
                <w:rFonts w:ascii="Arial" w:cs="Arial" w:eastAsia="Arial" w:hAnsi="Arial"/>
                <w:sz w:val="13"/>
                <w:szCs w:val="13"/>
                <w:color w:val="0000EE"/>
              </w:rPr>
              <w:t>ISK</w:t>
            </w:r>
            <w:r>
              <w:rPr>
                <w:rFonts w:ascii="Arial" w:cs="Arial" w:eastAsia="Arial" w:hAnsi="Arial"/>
                <w:sz w:val="16"/>
                <w:szCs w:val="16"/>
                <w:color w:val="0000EE"/>
              </w:rPr>
              <w:t xml:space="preserve"> O</w:t>
            </w:r>
            <w:r>
              <w:rPr>
                <w:rFonts w:ascii="Arial" w:cs="Arial" w:eastAsia="Arial" w:hAnsi="Arial"/>
                <w:sz w:val="13"/>
                <w:szCs w:val="13"/>
                <w:color w:val="0000EE"/>
              </w:rPr>
              <w:t>VERSIGHT</w:t>
            </w:r>
          </w:p>
        </w:tc>
        <w:tc>
          <w:tcPr>
            <w:tcW w:w="7640" w:type="dxa"/>
            <w:vAlign w:val="bottom"/>
            <w:gridSpan w:val="16"/>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26</w:t>
            </w:r>
          </w:p>
        </w:tc>
      </w:tr>
      <w:tr>
        <w:trPr>
          <w:trHeight w:val="196"/>
        </w:trPr>
        <w:tc>
          <w:tcPr>
            <w:tcW w:w="3440" w:type="dxa"/>
            <w:vAlign w:val="bottom"/>
            <w:tcBorders>
              <w:bottom w:val="single" w:sz="8" w:color="0000EE"/>
            </w:tcBorders>
            <w:gridSpan w:val="31"/>
          </w:tcPr>
          <w:p>
            <w:pPr>
              <w:spacing w:after="0"/>
              <w:rPr>
                <w:sz w:val="20"/>
                <w:szCs w:val="20"/>
                <w:color w:val="auto"/>
              </w:rPr>
            </w:pPr>
            <w:r>
              <w:rPr>
                <w:rFonts w:ascii="Arial" w:cs="Arial" w:eastAsia="Arial" w:hAnsi="Arial"/>
                <w:sz w:val="16"/>
                <w:szCs w:val="16"/>
                <w:color w:val="0000EE"/>
              </w:rPr>
              <w:t>C</w:t>
            </w:r>
            <w:r>
              <w:rPr>
                <w:rFonts w:ascii="Arial" w:cs="Arial" w:eastAsia="Arial" w:hAnsi="Arial"/>
                <w:sz w:val="13"/>
                <w:szCs w:val="13"/>
                <w:color w:val="0000EE"/>
              </w:rPr>
              <w:t>YBERSECURITY</w:t>
            </w:r>
            <w:r>
              <w:rPr>
                <w:rFonts w:ascii="Arial" w:cs="Arial" w:eastAsia="Arial" w:hAnsi="Arial"/>
                <w:sz w:val="16"/>
                <w:szCs w:val="16"/>
                <w:color w:val="0000EE"/>
              </w:rPr>
              <w:t xml:space="preserve"> R</w:t>
            </w:r>
            <w:r>
              <w:rPr>
                <w:rFonts w:ascii="Arial" w:cs="Arial" w:eastAsia="Arial" w:hAnsi="Arial"/>
                <w:sz w:val="13"/>
                <w:szCs w:val="13"/>
                <w:color w:val="0000EE"/>
              </w:rPr>
              <w:t>ISK</w:t>
            </w:r>
            <w:r>
              <w:rPr>
                <w:rFonts w:ascii="Arial" w:cs="Arial" w:eastAsia="Arial" w:hAnsi="Arial"/>
                <w:sz w:val="16"/>
                <w:szCs w:val="16"/>
                <w:color w:val="0000EE"/>
              </w:rPr>
              <w:t xml:space="preserve"> M</w:t>
            </w:r>
            <w:r>
              <w:rPr>
                <w:rFonts w:ascii="Arial" w:cs="Arial" w:eastAsia="Arial" w:hAnsi="Arial"/>
                <w:sz w:val="13"/>
                <w:szCs w:val="13"/>
                <w:color w:val="0000EE"/>
              </w:rPr>
              <w:t>ANAGEMENT</w:t>
            </w:r>
            <w:r>
              <w:rPr>
                <w:rFonts w:ascii="Arial" w:cs="Arial" w:eastAsia="Arial" w:hAnsi="Arial"/>
                <w:sz w:val="16"/>
                <w:szCs w:val="16"/>
                <w:color w:val="0000EE"/>
              </w:rPr>
              <w:t xml:space="preserve"> O</w:t>
            </w:r>
            <w:r>
              <w:rPr>
                <w:rFonts w:ascii="Arial" w:cs="Arial" w:eastAsia="Arial" w:hAnsi="Arial"/>
                <w:sz w:val="13"/>
                <w:szCs w:val="13"/>
                <w:color w:val="0000EE"/>
              </w:rPr>
              <w:t>VERSIGHT</w:t>
            </w:r>
          </w:p>
        </w:tc>
        <w:tc>
          <w:tcPr>
            <w:tcW w:w="7120" w:type="dxa"/>
            <w:vAlign w:val="bottom"/>
            <w:gridSpan w:val="12"/>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27</w:t>
            </w:r>
          </w:p>
        </w:tc>
      </w:tr>
      <w:tr>
        <w:trPr>
          <w:trHeight w:val="196"/>
        </w:trPr>
        <w:tc>
          <w:tcPr>
            <w:tcW w:w="1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rPr>
              <w:t>ESG O</w:t>
            </w:r>
            <w:r>
              <w:rPr>
                <w:rFonts w:ascii="Arial" w:cs="Arial" w:eastAsia="Arial" w:hAnsi="Arial"/>
                <w:sz w:val="13"/>
                <w:szCs w:val="13"/>
                <w:color w:val="0000EE"/>
              </w:rPr>
              <w:t>VERSIGHT</w:t>
            </w:r>
          </w:p>
        </w:tc>
        <w:tc>
          <w:tcPr>
            <w:tcW w:w="9360" w:type="dxa"/>
            <w:vAlign w:val="bottom"/>
            <w:gridSpan w:val="39"/>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27</w:t>
            </w:r>
          </w:p>
        </w:tc>
      </w:tr>
      <w:tr>
        <w:trPr>
          <w:trHeight w:val="196"/>
        </w:trPr>
        <w:tc>
          <w:tcPr>
            <w:tcW w:w="10560" w:type="dxa"/>
            <w:vAlign w:val="bottom"/>
            <w:gridSpan w:val="43"/>
          </w:tcPr>
          <w:p>
            <w:pPr>
              <w:spacing w:after="0"/>
              <w:rPr>
                <w:sz w:val="20"/>
                <w:szCs w:val="20"/>
                <w:color w:val="auto"/>
              </w:rPr>
            </w:pPr>
            <w:r>
              <w:rPr>
                <w:rFonts w:ascii="Arial" w:cs="Arial" w:eastAsia="Arial" w:hAnsi="Arial"/>
                <w:sz w:val="16"/>
                <w:szCs w:val="16"/>
                <w:color w:val="0000EE"/>
              </w:rPr>
              <w:t>B</w:t>
            </w:r>
            <w:r>
              <w:rPr>
                <w:rFonts w:ascii="Arial" w:cs="Arial" w:eastAsia="Arial" w:hAnsi="Arial"/>
                <w:sz w:val="13"/>
                <w:szCs w:val="13"/>
                <w:color w:val="0000EE"/>
              </w:rPr>
              <w:t>OARD</w:t>
            </w:r>
            <w:r>
              <w:rPr>
                <w:rFonts w:ascii="Arial" w:cs="Arial" w:eastAsia="Arial" w:hAnsi="Arial"/>
                <w:sz w:val="16"/>
                <w:szCs w:val="16"/>
                <w:color w:val="0000EE"/>
              </w:rPr>
              <w:t xml:space="preserve"> C</w:t>
            </w:r>
            <w:r>
              <w:rPr>
                <w:rFonts w:ascii="Arial" w:cs="Arial" w:eastAsia="Arial" w:hAnsi="Arial"/>
                <w:sz w:val="13"/>
                <w:szCs w:val="13"/>
                <w:color w:val="0000EE"/>
              </w:rPr>
              <w:t>OMMITTEE</w:t>
            </w:r>
            <w:r>
              <w:rPr>
                <w:rFonts w:ascii="Arial" w:cs="Arial" w:eastAsia="Arial" w:hAnsi="Arial"/>
                <w:sz w:val="16"/>
                <w:szCs w:val="16"/>
                <w:color w:val="0000EE"/>
              </w:rPr>
              <w:t xml:space="preserve"> O</w:t>
            </w:r>
            <w:r>
              <w:rPr>
                <w:rFonts w:ascii="Arial" w:cs="Arial" w:eastAsia="Arial" w:hAnsi="Arial"/>
                <w:sz w:val="13"/>
                <w:szCs w:val="13"/>
                <w:color w:val="0000EE"/>
              </w:rPr>
              <w:t>VERSIGHT</w:t>
            </w:r>
          </w:p>
        </w:tc>
        <w:tc>
          <w:tcPr>
            <w:tcW w:w="400" w:type="dxa"/>
            <w:vAlign w:val="bottom"/>
          </w:tcPr>
          <w:p>
            <w:pPr>
              <w:jc w:val="right"/>
              <w:spacing w:after="0"/>
              <w:rPr>
                <w:sz w:val="20"/>
                <w:szCs w:val="20"/>
                <w:color w:val="auto"/>
              </w:rPr>
            </w:pPr>
            <w:r>
              <w:rPr>
                <w:rFonts w:ascii="Arial" w:cs="Arial" w:eastAsia="Arial" w:hAnsi="Arial"/>
                <w:sz w:val="16"/>
                <w:szCs w:val="16"/>
                <w:color w:val="002060"/>
              </w:rPr>
              <w:t>28</w:t>
            </w:r>
          </w:p>
        </w:tc>
      </w:tr>
      <w:tr>
        <w:trPr>
          <w:trHeight w:val="196"/>
        </w:trPr>
        <w:tc>
          <w:tcPr>
            <w:tcW w:w="2220" w:type="dxa"/>
            <w:vAlign w:val="bottom"/>
            <w:tcBorders>
              <w:top w:val="single" w:sz="8" w:color="0000EE"/>
            </w:tcBorders>
            <w:gridSpan w:val="17"/>
          </w:tcPr>
          <w:p>
            <w:pPr>
              <w:spacing w:after="0"/>
              <w:rPr>
                <w:sz w:val="20"/>
                <w:szCs w:val="20"/>
                <w:color w:val="auto"/>
              </w:rPr>
            </w:pPr>
            <w:r>
              <w:rPr>
                <w:rFonts w:ascii="Arial" w:cs="Arial" w:eastAsia="Arial" w:hAnsi="Arial"/>
                <w:sz w:val="16"/>
                <w:szCs w:val="16"/>
                <w:color w:val="0000EE"/>
              </w:rPr>
              <w:t>D</w:t>
            </w:r>
            <w:r>
              <w:rPr>
                <w:rFonts w:ascii="Arial" w:cs="Arial" w:eastAsia="Arial" w:hAnsi="Arial"/>
                <w:sz w:val="13"/>
                <w:szCs w:val="13"/>
                <w:color w:val="0000EE"/>
              </w:rPr>
              <w:t>IRECTOR</w:t>
            </w:r>
            <w:r>
              <w:rPr>
                <w:rFonts w:ascii="Arial" w:cs="Arial" w:eastAsia="Arial" w:hAnsi="Arial"/>
                <w:sz w:val="16"/>
                <w:szCs w:val="16"/>
                <w:color w:val="0000EE"/>
              </w:rPr>
              <w:t xml:space="preserve"> I</w:t>
            </w:r>
            <w:r>
              <w:rPr>
                <w:rFonts w:ascii="Arial" w:cs="Arial" w:eastAsia="Arial" w:hAnsi="Arial"/>
                <w:sz w:val="13"/>
                <w:szCs w:val="13"/>
                <w:color w:val="0000EE"/>
              </w:rPr>
              <w:t>NDEPENDENCE</w:t>
            </w:r>
          </w:p>
        </w:tc>
        <w:tc>
          <w:tcPr>
            <w:tcW w:w="8340" w:type="dxa"/>
            <w:vAlign w:val="bottom"/>
            <w:gridSpan w:val="26"/>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29</w:t>
            </w:r>
          </w:p>
        </w:tc>
      </w:tr>
      <w:tr>
        <w:trPr>
          <w:trHeight w:val="20"/>
        </w:trPr>
        <w:tc>
          <w:tcPr>
            <w:tcW w:w="7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800" w:type="dxa"/>
            <w:vAlign w:val="bottom"/>
            <w:tcBorders>
              <w:bottom w:val="single" w:sz="8" w:color="0000EE"/>
            </w:tcBorders>
            <w:gridSpan w:val="36"/>
          </w:tcPr>
          <w:p>
            <w:pPr>
              <w:spacing w:after="0"/>
              <w:rPr>
                <w:sz w:val="20"/>
                <w:szCs w:val="20"/>
                <w:color w:val="auto"/>
              </w:rPr>
            </w:pPr>
            <w:r>
              <w:rPr>
                <w:rFonts w:ascii="Arial" w:cs="Arial" w:eastAsia="Arial" w:hAnsi="Arial"/>
                <w:sz w:val="16"/>
                <w:szCs w:val="16"/>
                <w:color w:val="0000EE"/>
              </w:rPr>
              <w:t>A</w:t>
            </w:r>
            <w:r>
              <w:rPr>
                <w:rFonts w:ascii="Arial" w:cs="Arial" w:eastAsia="Arial" w:hAnsi="Arial"/>
                <w:sz w:val="13"/>
                <w:szCs w:val="13"/>
                <w:color w:val="0000EE"/>
              </w:rPr>
              <w:t>NNUAL</w:t>
            </w:r>
            <w:r>
              <w:rPr>
                <w:rFonts w:ascii="Arial" w:cs="Arial" w:eastAsia="Arial" w:hAnsi="Arial"/>
                <w:sz w:val="16"/>
                <w:szCs w:val="16"/>
                <w:color w:val="0000EE"/>
              </w:rPr>
              <w:t xml:space="preserve"> B</w:t>
            </w:r>
            <w:r>
              <w:rPr>
                <w:rFonts w:ascii="Arial" w:cs="Arial" w:eastAsia="Arial" w:hAnsi="Arial"/>
                <w:sz w:val="13"/>
                <w:szCs w:val="13"/>
                <w:color w:val="0000EE"/>
              </w:rPr>
              <w:t>OARD AND</w:t>
            </w:r>
            <w:r>
              <w:rPr>
                <w:rFonts w:ascii="Arial" w:cs="Arial" w:eastAsia="Arial" w:hAnsi="Arial"/>
                <w:sz w:val="16"/>
                <w:szCs w:val="16"/>
                <w:color w:val="0000EE"/>
              </w:rPr>
              <w:t xml:space="preserve"> C</w:t>
            </w:r>
            <w:r>
              <w:rPr>
                <w:rFonts w:ascii="Arial" w:cs="Arial" w:eastAsia="Arial" w:hAnsi="Arial"/>
                <w:sz w:val="13"/>
                <w:szCs w:val="13"/>
                <w:color w:val="0000EE"/>
              </w:rPr>
              <w:t>OMMITTEE</w:t>
            </w:r>
            <w:r>
              <w:rPr>
                <w:rFonts w:ascii="Arial" w:cs="Arial" w:eastAsia="Arial" w:hAnsi="Arial"/>
                <w:sz w:val="16"/>
                <w:szCs w:val="16"/>
                <w:color w:val="0000EE"/>
              </w:rPr>
              <w:t xml:space="preserve"> S</w:t>
            </w:r>
            <w:r>
              <w:rPr>
                <w:rFonts w:ascii="Arial" w:cs="Arial" w:eastAsia="Arial" w:hAnsi="Arial"/>
                <w:sz w:val="13"/>
                <w:szCs w:val="13"/>
                <w:color w:val="0000EE"/>
              </w:rPr>
              <w:t>ELF</w:t>
            </w:r>
            <w:r>
              <w:rPr>
                <w:rFonts w:ascii="Arial" w:cs="Arial" w:eastAsia="Arial" w:hAnsi="Arial"/>
                <w:sz w:val="16"/>
                <w:szCs w:val="16"/>
                <w:color w:val="0000EE"/>
              </w:rPr>
              <w:t>-A</w:t>
            </w:r>
            <w:r>
              <w:rPr>
                <w:rFonts w:ascii="Arial" w:cs="Arial" w:eastAsia="Arial" w:hAnsi="Arial"/>
                <w:sz w:val="13"/>
                <w:szCs w:val="13"/>
                <w:color w:val="0000EE"/>
              </w:rPr>
              <w:t>SSESSMENTS</w:t>
            </w:r>
          </w:p>
        </w:tc>
        <w:tc>
          <w:tcPr>
            <w:tcW w:w="6760" w:type="dxa"/>
            <w:vAlign w:val="bottom"/>
            <w:gridSpan w:val="7"/>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30</w:t>
            </w:r>
          </w:p>
        </w:tc>
      </w:tr>
      <w:tr>
        <w:trPr>
          <w:trHeight w:val="196"/>
        </w:trPr>
        <w:tc>
          <w:tcPr>
            <w:tcW w:w="10560" w:type="dxa"/>
            <w:vAlign w:val="bottom"/>
            <w:gridSpan w:val="43"/>
          </w:tcPr>
          <w:p>
            <w:pPr>
              <w:spacing w:after="0"/>
              <w:rPr>
                <w:sz w:val="20"/>
                <w:szCs w:val="20"/>
                <w:color w:val="auto"/>
              </w:rPr>
            </w:pPr>
            <w:r>
              <w:rPr>
                <w:rFonts w:ascii="Arial" w:cs="Arial" w:eastAsia="Arial" w:hAnsi="Arial"/>
                <w:sz w:val="16"/>
                <w:szCs w:val="16"/>
                <w:color w:val="0000EE"/>
              </w:rPr>
              <w:t>M</w:t>
            </w:r>
            <w:r>
              <w:rPr>
                <w:rFonts w:ascii="Arial" w:cs="Arial" w:eastAsia="Arial" w:hAnsi="Arial"/>
                <w:sz w:val="13"/>
                <w:szCs w:val="13"/>
                <w:color w:val="0000EE"/>
              </w:rPr>
              <w:t>EETINGS OF THE</w:t>
            </w:r>
            <w:r>
              <w:rPr>
                <w:rFonts w:ascii="Arial" w:cs="Arial" w:eastAsia="Arial" w:hAnsi="Arial"/>
                <w:sz w:val="16"/>
                <w:szCs w:val="16"/>
                <w:color w:val="0000EE"/>
              </w:rPr>
              <w:t xml:space="preserve"> B</w:t>
            </w:r>
            <w:r>
              <w:rPr>
                <w:rFonts w:ascii="Arial" w:cs="Arial" w:eastAsia="Arial" w:hAnsi="Arial"/>
                <w:sz w:val="13"/>
                <w:szCs w:val="13"/>
                <w:color w:val="0000EE"/>
              </w:rPr>
              <w:t>OARD AND</w:t>
            </w:r>
            <w:r>
              <w:rPr>
                <w:rFonts w:ascii="Arial" w:cs="Arial" w:eastAsia="Arial" w:hAnsi="Arial"/>
                <w:sz w:val="16"/>
                <w:szCs w:val="16"/>
                <w:color w:val="0000EE"/>
              </w:rPr>
              <w:t xml:space="preserve"> D</w:t>
            </w:r>
            <w:r>
              <w:rPr>
                <w:rFonts w:ascii="Arial" w:cs="Arial" w:eastAsia="Arial" w:hAnsi="Arial"/>
                <w:sz w:val="13"/>
                <w:szCs w:val="13"/>
                <w:color w:val="0000EE"/>
              </w:rPr>
              <w:t>IRECTOR</w:t>
            </w:r>
            <w:r>
              <w:rPr>
                <w:rFonts w:ascii="Arial" w:cs="Arial" w:eastAsia="Arial" w:hAnsi="Arial"/>
                <w:sz w:val="16"/>
                <w:szCs w:val="16"/>
                <w:color w:val="0000EE"/>
              </w:rPr>
              <w:t xml:space="preserve"> A</w:t>
            </w:r>
            <w:r>
              <w:rPr>
                <w:rFonts w:ascii="Arial" w:cs="Arial" w:eastAsia="Arial" w:hAnsi="Arial"/>
                <w:sz w:val="13"/>
                <w:szCs w:val="13"/>
                <w:color w:val="0000EE"/>
              </w:rPr>
              <w:t>TTENDANCE</w:t>
            </w:r>
          </w:p>
        </w:tc>
        <w:tc>
          <w:tcPr>
            <w:tcW w:w="400" w:type="dxa"/>
            <w:vAlign w:val="bottom"/>
          </w:tcPr>
          <w:p>
            <w:pPr>
              <w:jc w:val="right"/>
              <w:spacing w:after="0"/>
              <w:rPr>
                <w:sz w:val="20"/>
                <w:szCs w:val="20"/>
                <w:color w:val="auto"/>
              </w:rPr>
            </w:pPr>
            <w:r>
              <w:rPr>
                <w:rFonts w:ascii="Arial" w:cs="Arial" w:eastAsia="Arial" w:hAnsi="Arial"/>
                <w:sz w:val="16"/>
                <w:szCs w:val="16"/>
                <w:color w:val="002060"/>
              </w:rPr>
              <w:t>30</w:t>
            </w:r>
          </w:p>
        </w:tc>
      </w:tr>
      <w:tr>
        <w:trPr>
          <w:trHeight w:val="196"/>
        </w:trPr>
        <w:tc>
          <w:tcPr>
            <w:tcW w:w="3880" w:type="dxa"/>
            <w:vAlign w:val="bottom"/>
            <w:tcBorders>
              <w:top w:val="single" w:sz="8" w:color="0000EE"/>
            </w:tcBorders>
            <w:gridSpan w:val="37"/>
          </w:tcPr>
          <w:p>
            <w:pPr>
              <w:spacing w:after="0"/>
              <w:rPr>
                <w:sz w:val="20"/>
                <w:szCs w:val="20"/>
                <w:color w:val="auto"/>
              </w:rPr>
            </w:pPr>
            <w:r>
              <w:rPr>
                <w:rFonts w:ascii="Arial" w:cs="Arial" w:eastAsia="Arial" w:hAnsi="Arial"/>
                <w:sz w:val="16"/>
                <w:szCs w:val="16"/>
                <w:color w:val="0000EE"/>
              </w:rPr>
              <w:t>E</w:t>
            </w:r>
            <w:r>
              <w:rPr>
                <w:rFonts w:ascii="Arial" w:cs="Arial" w:eastAsia="Arial" w:hAnsi="Arial"/>
                <w:sz w:val="13"/>
                <w:szCs w:val="13"/>
                <w:color w:val="0000EE"/>
              </w:rPr>
              <w:t>XECUTIVE</w:t>
            </w:r>
            <w:r>
              <w:rPr>
                <w:rFonts w:ascii="Arial" w:cs="Arial" w:eastAsia="Arial" w:hAnsi="Arial"/>
                <w:sz w:val="16"/>
                <w:szCs w:val="16"/>
                <w:color w:val="0000EE"/>
              </w:rPr>
              <w:t xml:space="preserve"> S</w:t>
            </w:r>
            <w:r>
              <w:rPr>
                <w:rFonts w:ascii="Arial" w:cs="Arial" w:eastAsia="Arial" w:hAnsi="Arial"/>
                <w:sz w:val="13"/>
                <w:szCs w:val="13"/>
                <w:color w:val="0000EE"/>
              </w:rPr>
              <w:t>ESSIONS OF THE</w:t>
            </w:r>
            <w:r>
              <w:rPr>
                <w:rFonts w:ascii="Arial" w:cs="Arial" w:eastAsia="Arial" w:hAnsi="Arial"/>
                <w:sz w:val="16"/>
                <w:szCs w:val="16"/>
                <w:color w:val="0000EE"/>
              </w:rPr>
              <w:t xml:space="preserve"> B</w:t>
            </w:r>
            <w:r>
              <w:rPr>
                <w:rFonts w:ascii="Arial" w:cs="Arial" w:eastAsia="Arial" w:hAnsi="Arial"/>
                <w:sz w:val="13"/>
                <w:szCs w:val="13"/>
                <w:color w:val="0000EE"/>
              </w:rPr>
              <w:t>OARD</w:t>
            </w:r>
          </w:p>
        </w:tc>
        <w:tc>
          <w:tcPr>
            <w:tcW w:w="6680" w:type="dxa"/>
            <w:vAlign w:val="bottom"/>
            <w:gridSpan w:val="6"/>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30</w:t>
            </w:r>
          </w:p>
        </w:tc>
      </w:tr>
      <w:tr>
        <w:trPr>
          <w:trHeight w:val="20"/>
        </w:trPr>
        <w:tc>
          <w:tcPr>
            <w:tcW w:w="7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840" w:type="dxa"/>
            <w:vAlign w:val="bottom"/>
            <w:tcBorders>
              <w:bottom w:val="single" w:sz="8" w:color="0000EE"/>
            </w:tcBorders>
            <w:gridSpan w:val="40"/>
          </w:tcPr>
          <w:p>
            <w:pPr>
              <w:spacing w:after="0"/>
              <w:rPr>
                <w:sz w:val="20"/>
                <w:szCs w:val="20"/>
                <w:color w:val="auto"/>
              </w:rPr>
            </w:pPr>
            <w:r>
              <w:rPr>
                <w:rFonts w:ascii="Arial" w:cs="Arial" w:eastAsia="Arial" w:hAnsi="Arial"/>
                <w:sz w:val="16"/>
                <w:szCs w:val="16"/>
                <w:color w:val="0000EE"/>
              </w:rPr>
              <w:t>I</w:t>
            </w:r>
            <w:r>
              <w:rPr>
                <w:rFonts w:ascii="Arial" w:cs="Arial" w:eastAsia="Arial" w:hAnsi="Arial"/>
                <w:sz w:val="13"/>
                <w:szCs w:val="13"/>
                <w:color w:val="0000EE"/>
              </w:rPr>
              <w:t>NSIDER</w:t>
            </w:r>
            <w:r>
              <w:rPr>
                <w:rFonts w:ascii="Arial" w:cs="Arial" w:eastAsia="Arial" w:hAnsi="Arial"/>
                <w:sz w:val="16"/>
                <w:szCs w:val="16"/>
                <w:color w:val="0000EE"/>
              </w:rPr>
              <w:t xml:space="preserve"> T</w:t>
            </w:r>
            <w:r>
              <w:rPr>
                <w:rFonts w:ascii="Arial" w:cs="Arial" w:eastAsia="Arial" w:hAnsi="Arial"/>
                <w:sz w:val="13"/>
                <w:szCs w:val="13"/>
                <w:color w:val="0000EE"/>
              </w:rPr>
              <w:t>RADING</w:t>
            </w:r>
            <w:r>
              <w:rPr>
                <w:rFonts w:ascii="Arial" w:cs="Arial" w:eastAsia="Arial" w:hAnsi="Arial"/>
                <w:sz w:val="16"/>
                <w:szCs w:val="16"/>
                <w:color w:val="0000EE"/>
              </w:rPr>
              <w:t xml:space="preserve"> P</w:t>
            </w:r>
            <w:r>
              <w:rPr>
                <w:rFonts w:ascii="Arial" w:cs="Arial" w:eastAsia="Arial" w:hAnsi="Arial"/>
                <w:sz w:val="13"/>
                <w:szCs w:val="13"/>
                <w:color w:val="0000EE"/>
              </w:rPr>
              <w:t>OLICY AND</w:t>
            </w:r>
            <w:r>
              <w:rPr>
                <w:rFonts w:ascii="Arial" w:cs="Arial" w:eastAsia="Arial" w:hAnsi="Arial"/>
                <w:sz w:val="16"/>
                <w:szCs w:val="16"/>
                <w:color w:val="0000EE"/>
              </w:rPr>
              <w:t xml:space="preserve"> H</w:t>
            </w:r>
            <w:r>
              <w:rPr>
                <w:rFonts w:ascii="Arial" w:cs="Arial" w:eastAsia="Arial" w:hAnsi="Arial"/>
                <w:sz w:val="13"/>
                <w:szCs w:val="13"/>
                <w:color w:val="0000EE"/>
              </w:rPr>
              <w:t>EDGING AND</w:t>
            </w:r>
            <w:r>
              <w:rPr>
                <w:rFonts w:ascii="Arial" w:cs="Arial" w:eastAsia="Arial" w:hAnsi="Arial"/>
                <w:sz w:val="16"/>
                <w:szCs w:val="16"/>
                <w:color w:val="0000EE"/>
              </w:rPr>
              <w:t xml:space="preserve"> P</w:t>
            </w:r>
            <w:r>
              <w:rPr>
                <w:rFonts w:ascii="Arial" w:cs="Arial" w:eastAsia="Arial" w:hAnsi="Arial"/>
                <w:sz w:val="13"/>
                <w:szCs w:val="13"/>
                <w:color w:val="0000EE"/>
              </w:rPr>
              <w:t>LEDGING</w:t>
            </w:r>
            <w:r>
              <w:rPr>
                <w:rFonts w:ascii="Arial" w:cs="Arial" w:eastAsia="Arial" w:hAnsi="Arial"/>
                <w:sz w:val="16"/>
                <w:szCs w:val="16"/>
                <w:color w:val="0000EE"/>
              </w:rPr>
              <w:t xml:space="preserve"> P</w:t>
            </w:r>
            <w:r>
              <w:rPr>
                <w:rFonts w:ascii="Arial" w:cs="Arial" w:eastAsia="Arial" w:hAnsi="Arial"/>
                <w:sz w:val="13"/>
                <w:szCs w:val="13"/>
                <w:color w:val="0000EE"/>
              </w:rPr>
              <w:t>ROHIBITION</w:t>
            </w:r>
          </w:p>
        </w:tc>
        <w:tc>
          <w:tcPr>
            <w:tcW w:w="5720" w:type="dxa"/>
            <w:vAlign w:val="bottom"/>
            <w:gridSpan w:val="3"/>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30</w:t>
            </w:r>
          </w:p>
        </w:tc>
      </w:tr>
      <w:tr>
        <w:trPr>
          <w:trHeight w:val="196"/>
        </w:trPr>
        <w:tc>
          <w:tcPr>
            <w:tcW w:w="10560" w:type="dxa"/>
            <w:vAlign w:val="bottom"/>
            <w:gridSpan w:val="43"/>
          </w:tcPr>
          <w:p>
            <w:pPr>
              <w:spacing w:after="0"/>
              <w:rPr>
                <w:sz w:val="20"/>
                <w:szCs w:val="20"/>
                <w:color w:val="auto"/>
              </w:rPr>
            </w:pPr>
            <w:r>
              <w:rPr>
                <w:rFonts w:ascii="Arial" w:cs="Arial" w:eastAsia="Arial" w:hAnsi="Arial"/>
                <w:sz w:val="16"/>
                <w:szCs w:val="16"/>
                <w:color w:val="0000EE"/>
              </w:rPr>
              <w:t>D</w:t>
            </w:r>
            <w:r>
              <w:rPr>
                <w:rFonts w:ascii="Arial" w:cs="Arial" w:eastAsia="Arial" w:hAnsi="Arial"/>
                <w:sz w:val="13"/>
                <w:szCs w:val="13"/>
                <w:color w:val="0000EE"/>
              </w:rPr>
              <w:t>IRECTOR</w:t>
            </w:r>
            <w:r>
              <w:rPr>
                <w:rFonts w:ascii="Arial" w:cs="Arial" w:eastAsia="Arial" w:hAnsi="Arial"/>
                <w:sz w:val="16"/>
                <w:szCs w:val="16"/>
                <w:color w:val="0000EE"/>
              </w:rPr>
              <w:t xml:space="preserve"> C</w:t>
            </w:r>
            <w:r>
              <w:rPr>
                <w:rFonts w:ascii="Arial" w:cs="Arial" w:eastAsia="Arial" w:hAnsi="Arial"/>
                <w:sz w:val="13"/>
                <w:szCs w:val="13"/>
                <w:color w:val="0000EE"/>
              </w:rPr>
              <w:t>OMPENSATION</w:t>
            </w:r>
          </w:p>
        </w:tc>
        <w:tc>
          <w:tcPr>
            <w:tcW w:w="400" w:type="dxa"/>
            <w:vAlign w:val="bottom"/>
          </w:tcPr>
          <w:p>
            <w:pPr>
              <w:jc w:val="right"/>
              <w:spacing w:after="0"/>
              <w:rPr>
                <w:sz w:val="20"/>
                <w:szCs w:val="20"/>
                <w:color w:val="auto"/>
              </w:rPr>
            </w:pPr>
            <w:r>
              <w:rPr>
                <w:rFonts w:ascii="Arial" w:cs="Arial" w:eastAsia="Arial" w:hAnsi="Arial"/>
                <w:sz w:val="16"/>
                <w:szCs w:val="16"/>
                <w:color w:val="002060"/>
              </w:rPr>
              <w:t>31</w:t>
            </w:r>
          </w:p>
        </w:tc>
      </w:tr>
      <w:tr>
        <w:trPr>
          <w:trHeight w:val="20"/>
        </w:trPr>
        <w:tc>
          <w:tcPr>
            <w:tcW w:w="7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236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rPr>
              <w:t>D</w:t>
            </w:r>
            <w:r>
              <w:rPr>
                <w:rFonts w:ascii="Arial" w:cs="Arial" w:eastAsia="Arial" w:hAnsi="Arial"/>
                <w:sz w:val="13"/>
                <w:szCs w:val="13"/>
                <w:color w:val="0000EE"/>
              </w:rPr>
              <w:t>IRECTOR</w:t>
            </w:r>
            <w:r>
              <w:rPr>
                <w:rFonts w:ascii="Arial" w:cs="Arial" w:eastAsia="Arial" w:hAnsi="Arial"/>
                <w:sz w:val="16"/>
                <w:szCs w:val="16"/>
                <w:color w:val="0000EE"/>
              </w:rPr>
              <w:t xml:space="preserve"> C</w:t>
            </w:r>
            <w:r>
              <w:rPr>
                <w:rFonts w:ascii="Arial" w:cs="Arial" w:eastAsia="Arial" w:hAnsi="Arial"/>
                <w:sz w:val="13"/>
                <w:szCs w:val="13"/>
                <w:color w:val="0000EE"/>
              </w:rPr>
              <w:t>OMPENSATION</w:t>
            </w:r>
            <w:r>
              <w:rPr>
                <w:rFonts w:ascii="Arial" w:cs="Arial" w:eastAsia="Arial" w:hAnsi="Arial"/>
                <w:sz w:val="16"/>
                <w:szCs w:val="16"/>
                <w:color w:val="0000EE"/>
              </w:rPr>
              <w:t xml:space="preserve"> T</w:t>
            </w:r>
            <w:r>
              <w:rPr>
                <w:rFonts w:ascii="Arial" w:cs="Arial" w:eastAsia="Arial" w:hAnsi="Arial"/>
                <w:sz w:val="13"/>
                <w:szCs w:val="13"/>
                <w:color w:val="0000EE"/>
              </w:rPr>
              <w:t>ABLE</w:t>
            </w:r>
          </w:p>
        </w:tc>
        <w:tc>
          <w:tcPr>
            <w:tcW w:w="8200" w:type="dxa"/>
            <w:vAlign w:val="bottom"/>
            <w:gridSpan w:val="24"/>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32</w:t>
            </w:r>
          </w:p>
        </w:tc>
      </w:tr>
      <w:tr>
        <w:trPr>
          <w:trHeight w:val="196"/>
        </w:trPr>
        <w:tc>
          <w:tcPr>
            <w:tcW w:w="2700" w:type="dxa"/>
            <w:vAlign w:val="bottom"/>
            <w:tcBorders>
              <w:bottom w:val="single" w:sz="8" w:color="0000EE"/>
            </w:tcBorders>
            <w:gridSpan w:val="25"/>
          </w:tcPr>
          <w:p>
            <w:pPr>
              <w:spacing w:after="0"/>
              <w:rPr>
                <w:sz w:val="20"/>
                <w:szCs w:val="20"/>
                <w:color w:val="auto"/>
              </w:rPr>
            </w:pPr>
            <w:r>
              <w:rPr>
                <w:rFonts w:ascii="Arial" w:cs="Arial" w:eastAsia="Arial" w:hAnsi="Arial"/>
                <w:sz w:val="16"/>
                <w:szCs w:val="16"/>
                <w:color w:val="0000EE"/>
              </w:rPr>
              <w:t>D</w:t>
            </w:r>
            <w:r>
              <w:rPr>
                <w:rFonts w:ascii="Arial" w:cs="Arial" w:eastAsia="Arial" w:hAnsi="Arial"/>
                <w:sz w:val="13"/>
                <w:szCs w:val="13"/>
                <w:color w:val="0000EE"/>
              </w:rPr>
              <w:t>IRECTOR</w:t>
            </w:r>
            <w:r>
              <w:rPr>
                <w:rFonts w:ascii="Arial" w:cs="Arial" w:eastAsia="Arial" w:hAnsi="Arial"/>
                <w:sz w:val="16"/>
                <w:szCs w:val="16"/>
                <w:color w:val="0000EE"/>
              </w:rPr>
              <w:t xml:space="preserve"> S</w:t>
            </w:r>
            <w:r>
              <w:rPr>
                <w:rFonts w:ascii="Arial" w:cs="Arial" w:eastAsia="Arial" w:hAnsi="Arial"/>
                <w:sz w:val="13"/>
                <w:szCs w:val="13"/>
                <w:color w:val="0000EE"/>
              </w:rPr>
              <w:t>TOCK</w:t>
            </w:r>
            <w:r>
              <w:rPr>
                <w:rFonts w:ascii="Arial" w:cs="Arial" w:eastAsia="Arial" w:hAnsi="Arial"/>
                <w:sz w:val="16"/>
                <w:szCs w:val="16"/>
                <w:color w:val="0000EE"/>
              </w:rPr>
              <w:t xml:space="preserve"> O</w:t>
            </w:r>
            <w:r>
              <w:rPr>
                <w:rFonts w:ascii="Arial" w:cs="Arial" w:eastAsia="Arial" w:hAnsi="Arial"/>
                <w:sz w:val="13"/>
                <w:szCs w:val="13"/>
                <w:color w:val="0000EE"/>
              </w:rPr>
              <w:t>WNERSHIP</w:t>
            </w:r>
            <w:r>
              <w:rPr>
                <w:rFonts w:ascii="Arial" w:cs="Arial" w:eastAsia="Arial" w:hAnsi="Arial"/>
                <w:sz w:val="16"/>
                <w:szCs w:val="16"/>
                <w:color w:val="0000EE"/>
              </w:rPr>
              <w:t xml:space="preserve"> P</w:t>
            </w:r>
            <w:r>
              <w:rPr>
                <w:rFonts w:ascii="Arial" w:cs="Arial" w:eastAsia="Arial" w:hAnsi="Arial"/>
                <w:sz w:val="13"/>
                <w:szCs w:val="13"/>
                <w:color w:val="0000EE"/>
              </w:rPr>
              <w:t>OLICY</w:t>
            </w:r>
          </w:p>
        </w:tc>
        <w:tc>
          <w:tcPr>
            <w:tcW w:w="7860" w:type="dxa"/>
            <w:vAlign w:val="bottom"/>
            <w:gridSpan w:val="18"/>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33</w:t>
            </w:r>
          </w:p>
        </w:tc>
      </w:tr>
      <w:tr>
        <w:trPr>
          <w:trHeight w:val="196"/>
        </w:trPr>
        <w:tc>
          <w:tcPr>
            <w:tcW w:w="208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rPr>
              <w:t>S</w:t>
            </w:r>
            <w:r>
              <w:rPr>
                <w:rFonts w:ascii="Arial" w:cs="Arial" w:eastAsia="Arial" w:hAnsi="Arial"/>
                <w:sz w:val="13"/>
                <w:szCs w:val="13"/>
                <w:color w:val="0000EE"/>
              </w:rPr>
              <w:t>TOCKHOLDER</w:t>
            </w:r>
            <w:r>
              <w:rPr>
                <w:rFonts w:ascii="Arial" w:cs="Arial" w:eastAsia="Arial" w:hAnsi="Arial"/>
                <w:sz w:val="16"/>
                <w:szCs w:val="16"/>
                <w:color w:val="0000EE"/>
              </w:rPr>
              <w:t xml:space="preserve"> E</w:t>
            </w:r>
            <w:r>
              <w:rPr>
                <w:rFonts w:ascii="Arial" w:cs="Arial" w:eastAsia="Arial" w:hAnsi="Arial"/>
                <w:sz w:val="13"/>
                <w:szCs w:val="13"/>
                <w:color w:val="0000EE"/>
              </w:rPr>
              <w:t>NGAGEMENT</w:t>
            </w:r>
          </w:p>
        </w:tc>
        <w:tc>
          <w:tcPr>
            <w:tcW w:w="8480" w:type="dxa"/>
            <w:vAlign w:val="bottom"/>
            <w:gridSpan w:val="27"/>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33</w:t>
            </w:r>
          </w:p>
        </w:tc>
      </w:tr>
      <w:tr>
        <w:trPr>
          <w:trHeight w:val="196"/>
        </w:trPr>
        <w:tc>
          <w:tcPr>
            <w:tcW w:w="10560" w:type="dxa"/>
            <w:vAlign w:val="bottom"/>
            <w:gridSpan w:val="43"/>
          </w:tcPr>
          <w:p>
            <w:pPr>
              <w:spacing w:after="0"/>
              <w:rPr>
                <w:sz w:val="20"/>
                <w:szCs w:val="20"/>
                <w:color w:val="auto"/>
              </w:rPr>
            </w:pPr>
            <w:r>
              <w:rPr>
                <w:rFonts w:ascii="Arial" w:cs="Arial" w:eastAsia="Arial" w:hAnsi="Arial"/>
                <w:sz w:val="16"/>
                <w:szCs w:val="16"/>
                <w:color w:val="0000EE"/>
              </w:rPr>
              <w:t>C</w:t>
            </w:r>
            <w:r>
              <w:rPr>
                <w:rFonts w:ascii="Arial" w:cs="Arial" w:eastAsia="Arial" w:hAnsi="Arial"/>
                <w:sz w:val="13"/>
                <w:szCs w:val="13"/>
                <w:color w:val="0000EE"/>
              </w:rPr>
              <w:t>OMMUNICATION WITH</w:t>
            </w:r>
            <w:r>
              <w:rPr>
                <w:rFonts w:ascii="Arial" w:cs="Arial" w:eastAsia="Arial" w:hAnsi="Arial"/>
                <w:sz w:val="16"/>
                <w:szCs w:val="16"/>
                <w:color w:val="0000EE"/>
              </w:rPr>
              <w:t xml:space="preserve"> D</w:t>
            </w:r>
            <w:r>
              <w:rPr>
                <w:rFonts w:ascii="Arial" w:cs="Arial" w:eastAsia="Arial" w:hAnsi="Arial"/>
                <w:sz w:val="13"/>
                <w:szCs w:val="13"/>
                <w:color w:val="0000EE"/>
              </w:rPr>
              <w:t>IRECTORS</w:t>
            </w:r>
          </w:p>
        </w:tc>
        <w:tc>
          <w:tcPr>
            <w:tcW w:w="400" w:type="dxa"/>
            <w:vAlign w:val="bottom"/>
          </w:tcPr>
          <w:p>
            <w:pPr>
              <w:jc w:val="right"/>
              <w:spacing w:after="0"/>
              <w:rPr>
                <w:sz w:val="20"/>
                <w:szCs w:val="20"/>
                <w:color w:val="auto"/>
              </w:rPr>
            </w:pPr>
            <w:r>
              <w:rPr>
                <w:rFonts w:ascii="Arial" w:cs="Arial" w:eastAsia="Arial" w:hAnsi="Arial"/>
                <w:sz w:val="16"/>
                <w:szCs w:val="16"/>
                <w:color w:val="002060"/>
              </w:rPr>
              <w:t>33</w:t>
            </w:r>
          </w:p>
        </w:tc>
      </w:tr>
      <w:tr>
        <w:trPr>
          <w:trHeight w:val="20"/>
        </w:trPr>
        <w:tc>
          <w:tcPr>
            <w:tcW w:w="7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560" w:type="dxa"/>
            <w:vAlign w:val="bottom"/>
            <w:gridSpan w:val="43"/>
          </w:tcPr>
          <w:p>
            <w:pPr>
              <w:spacing w:after="0"/>
              <w:rPr>
                <w:sz w:val="20"/>
                <w:szCs w:val="20"/>
                <w:color w:val="auto"/>
              </w:rPr>
            </w:pPr>
            <w:r>
              <w:rPr>
                <w:rFonts w:ascii="Arial" w:cs="Arial" w:eastAsia="Arial" w:hAnsi="Arial"/>
                <w:sz w:val="16"/>
                <w:szCs w:val="16"/>
                <w:color w:val="0000EE"/>
              </w:rPr>
              <w:t>S</w:t>
            </w:r>
            <w:r>
              <w:rPr>
                <w:rFonts w:ascii="Arial" w:cs="Arial" w:eastAsia="Arial" w:hAnsi="Arial"/>
                <w:sz w:val="13"/>
                <w:szCs w:val="13"/>
                <w:color w:val="0000EE"/>
              </w:rPr>
              <w:t>TOCKHOLDER</w:t>
            </w:r>
            <w:r>
              <w:rPr>
                <w:rFonts w:ascii="Arial" w:cs="Arial" w:eastAsia="Arial" w:hAnsi="Arial"/>
                <w:sz w:val="16"/>
                <w:szCs w:val="16"/>
                <w:color w:val="0000EE"/>
              </w:rPr>
              <w:t xml:space="preserve"> N</w:t>
            </w:r>
            <w:r>
              <w:rPr>
                <w:rFonts w:ascii="Arial" w:cs="Arial" w:eastAsia="Arial" w:hAnsi="Arial"/>
                <w:sz w:val="13"/>
                <w:szCs w:val="13"/>
                <w:color w:val="0000EE"/>
              </w:rPr>
              <w:t>OMINATIONS OF</w:t>
            </w:r>
            <w:r>
              <w:rPr>
                <w:rFonts w:ascii="Arial" w:cs="Arial" w:eastAsia="Arial" w:hAnsi="Arial"/>
                <w:sz w:val="16"/>
                <w:szCs w:val="16"/>
                <w:color w:val="0000EE"/>
              </w:rPr>
              <w:t xml:space="preserve"> D</w:t>
            </w:r>
            <w:r>
              <w:rPr>
                <w:rFonts w:ascii="Arial" w:cs="Arial" w:eastAsia="Arial" w:hAnsi="Arial"/>
                <w:sz w:val="13"/>
                <w:szCs w:val="13"/>
                <w:color w:val="0000EE"/>
              </w:rPr>
              <w:t>IRECTOR</w:t>
            </w:r>
            <w:r>
              <w:rPr>
                <w:rFonts w:ascii="Arial" w:cs="Arial" w:eastAsia="Arial" w:hAnsi="Arial"/>
                <w:sz w:val="16"/>
                <w:szCs w:val="16"/>
                <w:color w:val="0000EE"/>
              </w:rPr>
              <w:t xml:space="preserve"> C</w:t>
            </w:r>
            <w:r>
              <w:rPr>
                <w:rFonts w:ascii="Arial" w:cs="Arial" w:eastAsia="Arial" w:hAnsi="Arial"/>
                <w:sz w:val="13"/>
                <w:szCs w:val="13"/>
                <w:color w:val="0000EE"/>
              </w:rPr>
              <w:t>ANDIDATES</w:t>
            </w:r>
          </w:p>
        </w:tc>
        <w:tc>
          <w:tcPr>
            <w:tcW w:w="400" w:type="dxa"/>
            <w:vAlign w:val="bottom"/>
          </w:tcPr>
          <w:p>
            <w:pPr>
              <w:jc w:val="right"/>
              <w:spacing w:after="0"/>
              <w:rPr>
                <w:sz w:val="20"/>
                <w:szCs w:val="20"/>
                <w:color w:val="auto"/>
              </w:rPr>
            </w:pPr>
            <w:r>
              <w:rPr>
                <w:rFonts w:ascii="Arial" w:cs="Arial" w:eastAsia="Arial" w:hAnsi="Arial"/>
                <w:sz w:val="16"/>
                <w:szCs w:val="16"/>
                <w:color w:val="002060"/>
              </w:rPr>
              <w:t>34</w:t>
            </w:r>
          </w:p>
        </w:tc>
      </w:tr>
      <w:tr>
        <w:trPr>
          <w:trHeight w:val="196"/>
        </w:trPr>
        <w:tc>
          <w:tcPr>
            <w:tcW w:w="3960" w:type="dxa"/>
            <w:vAlign w:val="bottom"/>
            <w:tcBorders>
              <w:top w:val="single" w:sz="8" w:color="0000EE"/>
            </w:tcBorders>
            <w:gridSpan w:val="39"/>
          </w:tcPr>
          <w:p>
            <w:pPr>
              <w:spacing w:after="0"/>
              <w:rPr>
                <w:sz w:val="20"/>
                <w:szCs w:val="20"/>
                <w:color w:val="auto"/>
              </w:rPr>
            </w:pPr>
            <w:r>
              <w:rPr>
                <w:rFonts w:ascii="Arial" w:cs="Arial" w:eastAsia="Arial" w:hAnsi="Arial"/>
                <w:sz w:val="16"/>
                <w:szCs w:val="16"/>
                <w:color w:val="0000EE"/>
              </w:rPr>
              <w:t>C</w:t>
            </w:r>
            <w:r>
              <w:rPr>
                <w:rFonts w:ascii="Arial" w:cs="Arial" w:eastAsia="Arial" w:hAnsi="Arial"/>
                <w:sz w:val="13"/>
                <w:szCs w:val="13"/>
                <w:color w:val="0000EE"/>
              </w:rPr>
              <w:t>ORPORATE</w:t>
            </w:r>
            <w:r>
              <w:rPr>
                <w:rFonts w:ascii="Arial" w:cs="Arial" w:eastAsia="Arial" w:hAnsi="Arial"/>
                <w:sz w:val="16"/>
                <w:szCs w:val="16"/>
                <w:color w:val="0000EE"/>
              </w:rPr>
              <w:t xml:space="preserve"> G</w:t>
            </w:r>
            <w:r>
              <w:rPr>
                <w:rFonts w:ascii="Arial" w:cs="Arial" w:eastAsia="Arial" w:hAnsi="Arial"/>
                <w:sz w:val="13"/>
                <w:szCs w:val="13"/>
                <w:color w:val="0000EE"/>
              </w:rPr>
              <w:t>OVERNANCE</w:t>
            </w:r>
            <w:r>
              <w:rPr>
                <w:rFonts w:ascii="Arial" w:cs="Arial" w:eastAsia="Arial" w:hAnsi="Arial"/>
                <w:sz w:val="16"/>
                <w:szCs w:val="16"/>
                <w:color w:val="0000EE"/>
              </w:rPr>
              <w:t xml:space="preserve"> M</w:t>
            </w:r>
            <w:r>
              <w:rPr>
                <w:rFonts w:ascii="Arial" w:cs="Arial" w:eastAsia="Arial" w:hAnsi="Arial"/>
                <w:sz w:val="13"/>
                <w:szCs w:val="13"/>
                <w:color w:val="0000EE"/>
              </w:rPr>
              <w:t>ATERIALS</w:t>
            </w:r>
          </w:p>
        </w:tc>
        <w:tc>
          <w:tcPr>
            <w:tcW w:w="6600" w:type="dxa"/>
            <w:vAlign w:val="bottom"/>
            <w:gridSpan w:val="4"/>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34</w:t>
            </w:r>
          </w:p>
        </w:tc>
      </w:tr>
      <w:tr>
        <w:trPr>
          <w:trHeight w:val="250"/>
        </w:trPr>
        <w:tc>
          <w:tcPr>
            <w:tcW w:w="2660" w:type="dxa"/>
            <w:vAlign w:val="bottom"/>
            <w:tcBorders>
              <w:top w:val="single" w:sz="8" w:color="0000EE"/>
              <w:bottom w:val="single" w:sz="8" w:color="0000EE"/>
            </w:tcBorders>
            <w:gridSpan w:val="24"/>
          </w:tcPr>
          <w:p>
            <w:pPr>
              <w:spacing w:after="0"/>
              <w:rPr>
                <w:sz w:val="20"/>
                <w:szCs w:val="20"/>
                <w:color w:val="auto"/>
              </w:rPr>
            </w:pPr>
            <w:r>
              <w:rPr>
                <w:rFonts w:ascii="Arial" w:cs="Arial" w:eastAsia="Arial" w:hAnsi="Arial"/>
                <w:sz w:val="18"/>
                <w:szCs w:val="18"/>
                <w:color w:val="0000EE"/>
                <w:w w:val="98"/>
              </w:rPr>
              <w:t>CORPORATE RESPONSIBILITY</w:t>
            </w:r>
          </w:p>
        </w:tc>
        <w:tc>
          <w:tcPr>
            <w:tcW w:w="40" w:type="dxa"/>
            <w:vAlign w:val="bottom"/>
            <w:tcBorders>
              <w:top w:val="single" w:sz="8" w:color="0000EE"/>
            </w:tcBorders>
          </w:tcPr>
          <w:p>
            <w:pPr>
              <w:spacing w:after="0"/>
              <w:rPr>
                <w:sz w:val="21"/>
                <w:szCs w:val="21"/>
                <w:color w:val="auto"/>
              </w:rPr>
            </w:pPr>
          </w:p>
        </w:tc>
        <w:tc>
          <w:tcPr>
            <w:tcW w:w="7860" w:type="dxa"/>
            <w:vAlign w:val="bottom"/>
            <w:gridSpan w:val="18"/>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0070C0"/>
              </w:rPr>
              <w:t>35</w:t>
            </w:r>
          </w:p>
        </w:tc>
      </w:tr>
      <w:tr>
        <w:trPr>
          <w:trHeight w:val="263"/>
        </w:trPr>
        <w:tc>
          <w:tcPr>
            <w:tcW w:w="138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O</w:t>
            </w:r>
            <w:r>
              <w:rPr>
                <w:rFonts w:ascii="Arial" w:cs="Arial" w:eastAsia="Arial" w:hAnsi="Arial"/>
                <w:sz w:val="13"/>
                <w:szCs w:val="13"/>
                <w:color w:val="0000EE"/>
              </w:rPr>
              <w:t>UR</w:t>
            </w:r>
            <w:r>
              <w:rPr>
                <w:rFonts w:ascii="Arial" w:cs="Arial" w:eastAsia="Arial" w:hAnsi="Arial"/>
                <w:sz w:val="16"/>
                <w:szCs w:val="16"/>
                <w:color w:val="0000EE"/>
              </w:rPr>
              <w:t xml:space="preserve"> E</w:t>
            </w:r>
            <w:r>
              <w:rPr>
                <w:rFonts w:ascii="Arial" w:cs="Arial" w:eastAsia="Arial" w:hAnsi="Arial"/>
                <w:sz w:val="13"/>
                <w:szCs w:val="13"/>
                <w:color w:val="0000EE"/>
              </w:rPr>
              <w:t>NVIRONMENT</w:t>
            </w:r>
          </w:p>
        </w:tc>
        <w:tc>
          <w:tcPr>
            <w:tcW w:w="9180" w:type="dxa"/>
            <w:vAlign w:val="bottom"/>
            <w:gridSpan w:val="37"/>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35</w:t>
            </w:r>
          </w:p>
        </w:tc>
      </w:tr>
      <w:tr>
        <w:trPr>
          <w:trHeight w:val="196"/>
        </w:trPr>
        <w:tc>
          <w:tcPr>
            <w:tcW w:w="92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rPr>
              <w:t>O</w:t>
            </w:r>
            <w:r>
              <w:rPr>
                <w:rFonts w:ascii="Arial" w:cs="Arial" w:eastAsia="Arial" w:hAnsi="Arial"/>
                <w:sz w:val="13"/>
                <w:szCs w:val="13"/>
                <w:color w:val="0000EE"/>
              </w:rPr>
              <w:t>UR</w:t>
            </w:r>
            <w:r>
              <w:rPr>
                <w:rFonts w:ascii="Arial" w:cs="Arial" w:eastAsia="Arial" w:hAnsi="Arial"/>
                <w:sz w:val="16"/>
                <w:szCs w:val="16"/>
                <w:color w:val="0000EE"/>
              </w:rPr>
              <w:t xml:space="preserve"> P</w:t>
            </w:r>
            <w:r>
              <w:rPr>
                <w:rFonts w:ascii="Arial" w:cs="Arial" w:eastAsia="Arial" w:hAnsi="Arial"/>
                <w:sz w:val="13"/>
                <w:szCs w:val="13"/>
                <w:color w:val="0000EE"/>
              </w:rPr>
              <w:t>EOPLE</w:t>
            </w:r>
          </w:p>
        </w:tc>
        <w:tc>
          <w:tcPr>
            <w:tcW w:w="9640" w:type="dxa"/>
            <w:vAlign w:val="bottom"/>
            <w:gridSpan w:val="40"/>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37</w:t>
            </w:r>
          </w:p>
        </w:tc>
      </w:tr>
      <w:tr>
        <w:trPr>
          <w:trHeight w:val="196"/>
        </w:trPr>
        <w:tc>
          <w:tcPr>
            <w:tcW w:w="10560" w:type="dxa"/>
            <w:vAlign w:val="bottom"/>
            <w:gridSpan w:val="43"/>
          </w:tcPr>
          <w:p>
            <w:pPr>
              <w:spacing w:after="0"/>
              <w:rPr>
                <w:sz w:val="20"/>
                <w:szCs w:val="20"/>
                <w:color w:val="auto"/>
              </w:rPr>
            </w:pPr>
            <w:r>
              <w:rPr>
                <w:rFonts w:ascii="Arial" w:cs="Arial" w:eastAsia="Arial" w:hAnsi="Arial"/>
                <w:sz w:val="16"/>
                <w:szCs w:val="16"/>
                <w:color w:val="0000EE"/>
              </w:rPr>
              <w:t>O</w:t>
            </w:r>
            <w:r>
              <w:rPr>
                <w:rFonts w:ascii="Arial" w:cs="Arial" w:eastAsia="Arial" w:hAnsi="Arial"/>
                <w:sz w:val="13"/>
                <w:szCs w:val="13"/>
                <w:color w:val="0000EE"/>
              </w:rPr>
              <w:t>UR</w:t>
            </w:r>
            <w:r>
              <w:rPr>
                <w:rFonts w:ascii="Arial" w:cs="Arial" w:eastAsia="Arial" w:hAnsi="Arial"/>
                <w:sz w:val="16"/>
                <w:szCs w:val="16"/>
                <w:color w:val="0000EE"/>
              </w:rPr>
              <w:t xml:space="preserve"> C</w:t>
            </w:r>
            <w:r>
              <w:rPr>
                <w:rFonts w:ascii="Arial" w:cs="Arial" w:eastAsia="Arial" w:hAnsi="Arial"/>
                <w:sz w:val="13"/>
                <w:szCs w:val="13"/>
                <w:color w:val="0000EE"/>
              </w:rPr>
              <w:t>OMMUNITIES</w:t>
            </w:r>
          </w:p>
        </w:tc>
        <w:tc>
          <w:tcPr>
            <w:tcW w:w="400" w:type="dxa"/>
            <w:vAlign w:val="bottom"/>
          </w:tcPr>
          <w:p>
            <w:pPr>
              <w:jc w:val="right"/>
              <w:spacing w:after="0"/>
              <w:rPr>
                <w:sz w:val="20"/>
                <w:szCs w:val="20"/>
                <w:color w:val="auto"/>
              </w:rPr>
            </w:pPr>
            <w:r>
              <w:rPr>
                <w:rFonts w:ascii="Arial" w:cs="Arial" w:eastAsia="Arial" w:hAnsi="Arial"/>
                <w:sz w:val="16"/>
                <w:szCs w:val="16"/>
                <w:color w:val="002060"/>
              </w:rPr>
              <w:t>39</w:t>
            </w:r>
          </w:p>
        </w:tc>
      </w:tr>
      <w:tr>
        <w:trPr>
          <w:trHeight w:val="20"/>
        </w:trPr>
        <w:tc>
          <w:tcPr>
            <w:tcW w:w="7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80" w:type="dxa"/>
            <w:vAlign w:val="bottom"/>
            <w:gridSpan w:val="12"/>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26"/>
          </w:tcPr>
          <w:p>
            <w:pPr>
              <w:spacing w:after="0"/>
              <w:rPr>
                <w:sz w:val="20"/>
                <w:szCs w:val="20"/>
                <w:color w:val="auto"/>
              </w:rPr>
            </w:pPr>
            <w:r>
              <w:rPr>
                <w:rFonts w:ascii="Arial" w:cs="Arial" w:eastAsia="Arial" w:hAnsi="Arial"/>
                <w:sz w:val="16"/>
                <w:szCs w:val="16"/>
                <w:color w:val="0000EE"/>
              </w:rPr>
              <w:t>C</w:t>
            </w:r>
            <w:r>
              <w:rPr>
                <w:rFonts w:ascii="Arial" w:cs="Arial" w:eastAsia="Arial" w:hAnsi="Arial"/>
                <w:sz w:val="13"/>
                <w:szCs w:val="13"/>
                <w:color w:val="0000EE"/>
              </w:rPr>
              <w:t>ORPORATE</w:t>
            </w:r>
            <w:r>
              <w:rPr>
                <w:rFonts w:ascii="Arial" w:cs="Arial" w:eastAsia="Arial" w:hAnsi="Arial"/>
                <w:sz w:val="16"/>
                <w:szCs w:val="16"/>
                <w:color w:val="0000EE"/>
              </w:rPr>
              <w:t xml:space="preserve"> R</w:t>
            </w:r>
            <w:r>
              <w:rPr>
                <w:rFonts w:ascii="Arial" w:cs="Arial" w:eastAsia="Arial" w:hAnsi="Arial"/>
                <w:sz w:val="13"/>
                <w:szCs w:val="13"/>
                <w:color w:val="0000EE"/>
              </w:rPr>
              <w:t>ESPONSIBILITY</w:t>
            </w:r>
            <w:r>
              <w:rPr>
                <w:rFonts w:ascii="Arial" w:cs="Arial" w:eastAsia="Arial" w:hAnsi="Arial"/>
                <w:sz w:val="16"/>
                <w:szCs w:val="16"/>
                <w:color w:val="0000EE"/>
              </w:rPr>
              <w:t xml:space="preserve"> M</w:t>
            </w:r>
            <w:r>
              <w:rPr>
                <w:rFonts w:ascii="Arial" w:cs="Arial" w:eastAsia="Arial" w:hAnsi="Arial"/>
                <w:sz w:val="13"/>
                <w:szCs w:val="13"/>
                <w:color w:val="0000EE"/>
              </w:rPr>
              <w:t>ATERIALS</w:t>
            </w:r>
          </w:p>
        </w:tc>
        <w:tc>
          <w:tcPr>
            <w:tcW w:w="7700" w:type="dxa"/>
            <w:vAlign w:val="bottom"/>
            <w:gridSpan w:val="17"/>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41</w:t>
            </w:r>
          </w:p>
        </w:tc>
      </w:tr>
      <w:tr>
        <w:trPr>
          <w:trHeight w:val="250"/>
        </w:trPr>
        <w:tc>
          <w:tcPr>
            <w:tcW w:w="10380" w:type="dxa"/>
            <w:vAlign w:val="bottom"/>
            <w:tcBorders>
              <w:bottom w:val="single" w:sz="8" w:color="0000EE"/>
            </w:tcBorders>
            <w:gridSpan w:val="42"/>
          </w:tcPr>
          <w:p>
            <w:pPr>
              <w:spacing w:after="0"/>
              <w:rPr>
                <w:sz w:val="20"/>
                <w:szCs w:val="20"/>
                <w:color w:val="auto"/>
              </w:rPr>
            </w:pPr>
            <w:r>
              <w:rPr>
                <w:rFonts w:ascii="Arial" w:cs="Arial" w:eastAsia="Arial" w:hAnsi="Arial"/>
                <w:sz w:val="18"/>
                <w:szCs w:val="18"/>
                <w:color w:val="0000EE"/>
                <w:w w:val="99"/>
              </w:rPr>
              <w:t>PROPOSAL 2 – RATIFICATION OF THE APPOINTMENT OF OUR INDEPENDENT REGISTERED PUBLIC ACCOUNTING FIRM</w:t>
            </w: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0070C0"/>
              </w:rPr>
              <w:t>42</w:t>
            </w:r>
          </w:p>
        </w:tc>
      </w:tr>
      <w:tr>
        <w:trPr>
          <w:trHeight w:val="263"/>
        </w:trPr>
        <w:tc>
          <w:tcPr>
            <w:tcW w:w="10560" w:type="dxa"/>
            <w:vAlign w:val="bottom"/>
            <w:gridSpan w:val="43"/>
          </w:tcPr>
          <w:p>
            <w:pPr>
              <w:spacing w:after="0"/>
              <w:rPr>
                <w:sz w:val="20"/>
                <w:szCs w:val="20"/>
                <w:color w:val="auto"/>
              </w:rPr>
            </w:pPr>
            <w:r>
              <w:rPr>
                <w:rFonts w:ascii="Arial" w:cs="Arial" w:eastAsia="Arial" w:hAnsi="Arial"/>
                <w:sz w:val="16"/>
                <w:szCs w:val="16"/>
                <w:color w:val="0000EE"/>
              </w:rPr>
              <w:t>O</w:t>
            </w:r>
            <w:r>
              <w:rPr>
                <w:rFonts w:ascii="Arial" w:cs="Arial" w:eastAsia="Arial" w:hAnsi="Arial"/>
                <w:sz w:val="13"/>
                <w:szCs w:val="13"/>
                <w:color w:val="0000EE"/>
              </w:rPr>
              <w:t>VERVIEW</w:t>
            </w:r>
          </w:p>
        </w:tc>
        <w:tc>
          <w:tcPr>
            <w:tcW w:w="400" w:type="dxa"/>
            <w:vAlign w:val="bottom"/>
          </w:tcPr>
          <w:p>
            <w:pPr>
              <w:jc w:val="right"/>
              <w:spacing w:after="0"/>
              <w:rPr>
                <w:sz w:val="20"/>
                <w:szCs w:val="20"/>
                <w:color w:val="auto"/>
              </w:rPr>
            </w:pPr>
            <w:r>
              <w:rPr>
                <w:rFonts w:ascii="Arial" w:cs="Arial" w:eastAsia="Arial" w:hAnsi="Arial"/>
                <w:sz w:val="16"/>
                <w:szCs w:val="16"/>
                <w:color w:val="002060"/>
              </w:rPr>
              <w:t>42</w:t>
            </w:r>
          </w:p>
        </w:tc>
      </w:tr>
      <w:tr>
        <w:trPr>
          <w:trHeight w:val="20"/>
        </w:trPr>
        <w:tc>
          <w:tcPr>
            <w:tcW w:w="740" w:type="dxa"/>
            <w:vAlign w:val="bottom"/>
            <w:shd w:val="clear" w:color="auto" w:fill="0000EE"/>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480" w:type="dxa"/>
            <w:vAlign w:val="bottom"/>
            <w:gridSpan w:val="17"/>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70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00EE"/>
              </w:rPr>
              <w:t>F</w:t>
            </w:r>
            <w:r>
              <w:rPr>
                <w:rFonts w:ascii="Arial" w:cs="Arial" w:eastAsia="Arial" w:hAnsi="Arial"/>
                <w:sz w:val="13"/>
                <w:szCs w:val="13"/>
                <w:color w:val="0000EE"/>
              </w:rPr>
              <w:t>EES</w:t>
            </w:r>
            <w:r>
              <w:rPr>
                <w:rFonts w:ascii="Arial" w:cs="Arial" w:eastAsia="Arial" w:hAnsi="Arial"/>
                <w:sz w:val="16"/>
                <w:szCs w:val="16"/>
                <w:color w:val="0000EE"/>
              </w:rPr>
              <w:t xml:space="preserve"> P</w:t>
            </w:r>
            <w:r>
              <w:rPr>
                <w:rFonts w:ascii="Arial" w:cs="Arial" w:eastAsia="Arial" w:hAnsi="Arial"/>
                <w:sz w:val="13"/>
                <w:szCs w:val="13"/>
                <w:color w:val="0000EE"/>
              </w:rPr>
              <w:t>AID TO</w:t>
            </w:r>
            <w:r>
              <w:rPr>
                <w:rFonts w:ascii="Arial" w:cs="Arial" w:eastAsia="Arial" w:hAnsi="Arial"/>
                <w:sz w:val="16"/>
                <w:szCs w:val="16"/>
                <w:color w:val="0000EE"/>
              </w:rPr>
              <w:t xml:space="preserve"> D</w:t>
            </w:r>
            <w:r>
              <w:rPr>
                <w:rFonts w:ascii="Arial" w:cs="Arial" w:eastAsia="Arial" w:hAnsi="Arial"/>
                <w:sz w:val="13"/>
                <w:szCs w:val="13"/>
                <w:color w:val="0000EE"/>
              </w:rPr>
              <w:t>ELOITTE</w:t>
            </w:r>
          </w:p>
        </w:tc>
        <w:tc>
          <w:tcPr>
            <w:tcW w:w="8860" w:type="dxa"/>
            <w:vAlign w:val="bottom"/>
            <w:gridSpan w:val="34"/>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42</w:t>
            </w:r>
          </w:p>
        </w:tc>
      </w:tr>
      <w:tr>
        <w:trPr>
          <w:trHeight w:val="196"/>
        </w:trPr>
        <w:tc>
          <w:tcPr>
            <w:tcW w:w="206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rPr>
              <w:t>P</w:t>
            </w:r>
            <w:r>
              <w:rPr>
                <w:rFonts w:ascii="Arial" w:cs="Arial" w:eastAsia="Arial" w:hAnsi="Arial"/>
                <w:sz w:val="13"/>
                <w:szCs w:val="13"/>
                <w:color w:val="0000EE"/>
              </w:rPr>
              <w:t>RE</w:t>
            </w:r>
            <w:r>
              <w:rPr>
                <w:rFonts w:ascii="Arial" w:cs="Arial" w:eastAsia="Arial" w:hAnsi="Arial"/>
                <w:sz w:val="16"/>
                <w:szCs w:val="16"/>
                <w:color w:val="0000EE"/>
              </w:rPr>
              <w:t>-A</w:t>
            </w:r>
            <w:r>
              <w:rPr>
                <w:rFonts w:ascii="Arial" w:cs="Arial" w:eastAsia="Arial" w:hAnsi="Arial"/>
                <w:sz w:val="13"/>
                <w:szCs w:val="13"/>
                <w:color w:val="0000EE"/>
              </w:rPr>
              <w:t>PPROVAL OF</w:t>
            </w:r>
            <w:r>
              <w:rPr>
                <w:rFonts w:ascii="Arial" w:cs="Arial" w:eastAsia="Arial" w:hAnsi="Arial"/>
                <w:sz w:val="16"/>
                <w:szCs w:val="16"/>
                <w:color w:val="0000EE"/>
              </w:rPr>
              <w:t xml:space="preserve"> S</w:t>
            </w:r>
            <w:r>
              <w:rPr>
                <w:rFonts w:ascii="Arial" w:cs="Arial" w:eastAsia="Arial" w:hAnsi="Arial"/>
                <w:sz w:val="13"/>
                <w:szCs w:val="13"/>
                <w:color w:val="0000EE"/>
              </w:rPr>
              <w:t>ERVICES</w:t>
            </w:r>
          </w:p>
        </w:tc>
        <w:tc>
          <w:tcPr>
            <w:tcW w:w="8500" w:type="dxa"/>
            <w:vAlign w:val="bottom"/>
            <w:gridSpan w:val="28"/>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002060"/>
              </w:rPr>
              <w:t>43</w:t>
            </w:r>
          </w:p>
        </w:tc>
      </w:tr>
      <w:tr>
        <w:trPr>
          <w:trHeight w:val="196"/>
        </w:trPr>
        <w:tc>
          <w:tcPr>
            <w:tcW w:w="10560" w:type="dxa"/>
            <w:vAlign w:val="bottom"/>
            <w:gridSpan w:val="43"/>
          </w:tcPr>
          <w:p>
            <w:pPr>
              <w:spacing w:after="0"/>
              <w:rPr>
                <w:sz w:val="20"/>
                <w:szCs w:val="20"/>
                <w:color w:val="auto"/>
              </w:rPr>
            </w:pPr>
            <w:r>
              <w:rPr>
                <w:rFonts w:ascii="Arial" w:cs="Arial" w:eastAsia="Arial" w:hAnsi="Arial"/>
                <w:sz w:val="16"/>
                <w:szCs w:val="16"/>
                <w:color w:val="0000EE"/>
              </w:rPr>
              <w:t>R</w:t>
            </w:r>
            <w:r>
              <w:rPr>
                <w:rFonts w:ascii="Arial" w:cs="Arial" w:eastAsia="Arial" w:hAnsi="Arial"/>
                <w:sz w:val="13"/>
                <w:szCs w:val="13"/>
                <w:color w:val="0000EE"/>
              </w:rPr>
              <w:t>EPORT OF THE</w:t>
            </w:r>
            <w:r>
              <w:rPr>
                <w:rFonts w:ascii="Arial" w:cs="Arial" w:eastAsia="Arial" w:hAnsi="Arial"/>
                <w:sz w:val="16"/>
                <w:szCs w:val="16"/>
                <w:color w:val="0000EE"/>
              </w:rPr>
              <w:t xml:space="preserve"> A</w:t>
            </w:r>
            <w:r>
              <w:rPr>
                <w:rFonts w:ascii="Arial" w:cs="Arial" w:eastAsia="Arial" w:hAnsi="Arial"/>
                <w:sz w:val="13"/>
                <w:szCs w:val="13"/>
                <w:color w:val="0000EE"/>
              </w:rPr>
              <w:t>UDIT</w:t>
            </w:r>
            <w:r>
              <w:rPr>
                <w:rFonts w:ascii="Arial" w:cs="Arial" w:eastAsia="Arial" w:hAnsi="Arial"/>
                <w:sz w:val="16"/>
                <w:szCs w:val="16"/>
                <w:color w:val="0000EE"/>
              </w:rPr>
              <w:t xml:space="preserve"> C</w:t>
            </w:r>
            <w:r>
              <w:rPr>
                <w:rFonts w:ascii="Arial" w:cs="Arial" w:eastAsia="Arial" w:hAnsi="Arial"/>
                <w:sz w:val="13"/>
                <w:szCs w:val="13"/>
                <w:color w:val="0000EE"/>
              </w:rPr>
              <w:t>OMMITTEE</w:t>
            </w:r>
          </w:p>
        </w:tc>
        <w:tc>
          <w:tcPr>
            <w:tcW w:w="400" w:type="dxa"/>
            <w:vAlign w:val="bottom"/>
          </w:tcPr>
          <w:p>
            <w:pPr>
              <w:jc w:val="right"/>
              <w:spacing w:after="0"/>
              <w:rPr>
                <w:sz w:val="20"/>
                <w:szCs w:val="20"/>
                <w:color w:val="auto"/>
              </w:rPr>
            </w:pPr>
            <w:r>
              <w:rPr>
                <w:rFonts w:ascii="Arial" w:cs="Arial" w:eastAsia="Arial" w:hAnsi="Arial"/>
                <w:sz w:val="16"/>
                <w:szCs w:val="16"/>
                <w:color w:val="002060"/>
              </w:rPr>
              <w:t>43</w:t>
            </w:r>
          </w:p>
        </w:tc>
      </w:tr>
      <w:tr>
        <w:trPr>
          <w:trHeight w:val="20"/>
        </w:trPr>
        <w:tc>
          <w:tcPr>
            <w:tcW w:w="2460" w:type="dxa"/>
            <w:vAlign w:val="bottom"/>
            <w:gridSpan w:val="21"/>
            <w:shd w:val="clear" w:color="auto" w:fill="0000EE"/>
          </w:tcPr>
          <w:p>
            <w:pPr>
              <w:spacing w:after="0" w:line="20" w:lineRule="exact"/>
              <w:rPr>
                <w:sz w:val="1"/>
                <w:szCs w:val="1"/>
                <w:color w:val="auto"/>
              </w:rPr>
            </w:pPr>
          </w:p>
        </w:tc>
        <w:tc>
          <w:tcPr>
            <w:tcW w:w="1480" w:type="dxa"/>
            <w:vAlign w:val="bottom"/>
            <w:gridSpan w:val="17"/>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560" w:type="dxa"/>
            <w:vAlign w:val="bottom"/>
            <w:gridSpan w:val="43"/>
          </w:tcPr>
          <w:p>
            <w:pPr>
              <w:spacing w:after="0"/>
              <w:rPr>
                <w:sz w:val="20"/>
                <w:szCs w:val="20"/>
                <w:color w:val="auto"/>
              </w:rPr>
            </w:pPr>
            <w:r>
              <w:rPr>
                <w:rFonts w:ascii="Arial" w:cs="Arial" w:eastAsia="Arial" w:hAnsi="Arial"/>
                <w:sz w:val="16"/>
                <w:szCs w:val="16"/>
                <w:color w:val="0000EE"/>
              </w:rPr>
              <w:t>R</w:t>
            </w:r>
            <w:r>
              <w:rPr>
                <w:rFonts w:ascii="Arial" w:cs="Arial" w:eastAsia="Arial" w:hAnsi="Arial"/>
                <w:sz w:val="13"/>
                <w:szCs w:val="13"/>
                <w:color w:val="0000EE"/>
              </w:rPr>
              <w:t>EQUIRED</w:t>
            </w:r>
            <w:r>
              <w:rPr>
                <w:rFonts w:ascii="Arial" w:cs="Arial" w:eastAsia="Arial" w:hAnsi="Arial"/>
                <w:sz w:val="16"/>
                <w:szCs w:val="16"/>
                <w:color w:val="0000EE"/>
              </w:rPr>
              <w:t xml:space="preserve"> V</w:t>
            </w:r>
            <w:r>
              <w:rPr>
                <w:rFonts w:ascii="Arial" w:cs="Arial" w:eastAsia="Arial" w:hAnsi="Arial"/>
                <w:sz w:val="13"/>
                <w:szCs w:val="13"/>
                <w:color w:val="0000EE"/>
              </w:rPr>
              <w:t>OTE AND</w:t>
            </w:r>
            <w:r>
              <w:rPr>
                <w:rFonts w:ascii="Arial" w:cs="Arial" w:eastAsia="Arial" w:hAnsi="Arial"/>
                <w:sz w:val="16"/>
                <w:szCs w:val="16"/>
                <w:color w:val="0000EE"/>
              </w:rPr>
              <w:t xml:space="preserve"> R</w:t>
            </w:r>
            <w:r>
              <w:rPr>
                <w:rFonts w:ascii="Arial" w:cs="Arial" w:eastAsia="Arial" w:hAnsi="Arial"/>
                <w:sz w:val="13"/>
                <w:szCs w:val="13"/>
                <w:color w:val="0000EE"/>
              </w:rPr>
              <w:t>ECOMMENDATION OF THE</w:t>
            </w:r>
            <w:r>
              <w:rPr>
                <w:rFonts w:ascii="Arial" w:cs="Arial" w:eastAsia="Arial" w:hAnsi="Arial"/>
                <w:sz w:val="16"/>
                <w:szCs w:val="16"/>
                <w:color w:val="0000EE"/>
              </w:rPr>
              <w:t xml:space="preserve"> B</w:t>
            </w:r>
            <w:r>
              <w:rPr>
                <w:rFonts w:ascii="Arial" w:cs="Arial" w:eastAsia="Arial" w:hAnsi="Arial"/>
                <w:sz w:val="13"/>
                <w:szCs w:val="13"/>
                <w:color w:val="0000EE"/>
              </w:rPr>
              <w:t>OARD</w:t>
            </w:r>
          </w:p>
        </w:tc>
        <w:tc>
          <w:tcPr>
            <w:tcW w:w="400" w:type="dxa"/>
            <w:vAlign w:val="bottom"/>
          </w:tcPr>
          <w:p>
            <w:pPr>
              <w:jc w:val="right"/>
              <w:spacing w:after="0"/>
              <w:rPr>
                <w:sz w:val="20"/>
                <w:szCs w:val="20"/>
                <w:color w:val="auto"/>
              </w:rPr>
            </w:pPr>
            <w:r>
              <w:rPr>
                <w:rFonts w:ascii="Arial" w:cs="Arial" w:eastAsia="Arial" w:hAnsi="Arial"/>
                <w:sz w:val="16"/>
                <w:szCs w:val="16"/>
                <w:color w:val="002060"/>
              </w:rPr>
              <w:t>44</w:t>
            </w:r>
          </w:p>
        </w:tc>
      </w:tr>
      <w:tr>
        <w:trPr>
          <w:trHeight w:val="20"/>
        </w:trPr>
        <w:tc>
          <w:tcPr>
            <w:tcW w:w="3940" w:type="dxa"/>
            <w:vAlign w:val="bottom"/>
            <w:gridSpan w:val="38"/>
            <w:shd w:val="clear" w:color="auto" w:fill="0000EE"/>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6"/>
        </w:trPr>
        <w:tc>
          <w:tcPr>
            <w:tcW w:w="10560" w:type="dxa"/>
            <w:vAlign w:val="bottom"/>
            <w:gridSpan w:val="43"/>
          </w:tcPr>
          <w:p>
            <w:pPr>
              <w:spacing w:after="0"/>
              <w:rPr>
                <w:sz w:val="20"/>
                <w:szCs w:val="20"/>
                <w:color w:val="auto"/>
              </w:rPr>
            </w:pPr>
            <w:r>
              <w:rPr>
                <w:rFonts w:ascii="Arial" w:cs="Arial" w:eastAsia="Arial" w:hAnsi="Arial"/>
                <w:sz w:val="18"/>
                <w:szCs w:val="18"/>
                <w:color w:val="0000EE"/>
              </w:rPr>
              <w:t>PROPOSAL 3 – NON-BINDING ADVISORY VOTE ON EXECUTIVE COMPENSATION</w:t>
            </w:r>
          </w:p>
        </w:tc>
        <w:tc>
          <w:tcPr>
            <w:tcW w:w="400" w:type="dxa"/>
            <w:vAlign w:val="bottom"/>
          </w:tcPr>
          <w:p>
            <w:pPr>
              <w:jc w:val="right"/>
              <w:spacing w:after="0"/>
              <w:rPr>
                <w:sz w:val="20"/>
                <w:szCs w:val="20"/>
                <w:color w:val="auto"/>
              </w:rPr>
            </w:pPr>
            <w:r>
              <w:rPr>
                <w:rFonts w:ascii="Arial" w:cs="Arial" w:eastAsia="Arial" w:hAnsi="Arial"/>
                <w:sz w:val="18"/>
                <w:szCs w:val="18"/>
                <w:color w:val="0070C0"/>
              </w:rPr>
              <w:t>45</w:t>
            </w:r>
          </w:p>
        </w:tc>
      </w:tr>
      <w:tr>
        <w:trPr>
          <w:trHeight w:val="20"/>
        </w:trPr>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ectPr>
          <w:pgSz w:w="11900" w:h="16838" w:orient="portrait"/>
          <w:cols w:equalWidth="0" w:num="1">
            <w:col w:w="11080"/>
          </w:cols>
          <w:pgMar w:left="320" w:top="482"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0100" w:type="dxa"/>
            <w:vAlign w:val="bottom"/>
            <w:gridSpan w:val="37"/>
          </w:tcPr>
          <w:p>
            <w:pPr>
              <w:spacing w:after="0"/>
              <w:rPr>
                <w:sz w:val="20"/>
                <w:szCs w:val="20"/>
                <w:color w:val="auto"/>
              </w:rPr>
            </w:pPr>
            <w:r>
              <w:rPr>
                <w:rFonts w:ascii="Arial" w:cs="Arial" w:eastAsia="Arial" w:hAnsi="Arial"/>
                <w:sz w:val="13"/>
                <w:szCs w:val="13"/>
                <w:color w:val="0000EE"/>
              </w:rPr>
              <w:t>OVERVIEW</w:t>
            </w:r>
          </w:p>
        </w:tc>
        <w:tc>
          <w:tcPr>
            <w:tcW w:w="860" w:type="dxa"/>
            <w:vAlign w:val="bottom"/>
          </w:tcPr>
          <w:p>
            <w:pPr>
              <w:jc w:val="right"/>
              <w:spacing w:after="0"/>
              <w:rPr>
                <w:sz w:val="20"/>
                <w:szCs w:val="20"/>
                <w:color w:val="auto"/>
              </w:rPr>
            </w:pPr>
            <w:r>
              <w:rPr>
                <w:rFonts w:ascii="Arial" w:cs="Arial" w:eastAsia="Arial" w:hAnsi="Arial"/>
                <w:sz w:val="16"/>
                <w:szCs w:val="16"/>
                <w:color w:val="002060"/>
              </w:rPr>
              <w:t>45</w:t>
            </w:r>
          </w:p>
        </w:tc>
      </w:tr>
      <w:tr>
        <w:trPr>
          <w:trHeight w:val="20"/>
        </w:trPr>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3960" w:type="dxa"/>
            <w:vAlign w:val="bottom"/>
            <w:tcBorders>
              <w:bottom w:val="single" w:sz="8" w:color="0000EE"/>
            </w:tcBorders>
            <w:gridSpan w:val="25"/>
          </w:tcPr>
          <w:p>
            <w:pPr>
              <w:spacing w:after="0" w:line="183" w:lineRule="exact"/>
              <w:rPr>
                <w:sz w:val="20"/>
                <w:szCs w:val="20"/>
                <w:color w:val="auto"/>
              </w:rPr>
            </w:pPr>
            <w:r>
              <w:rPr>
                <w:rFonts w:ascii="Arial" w:cs="Arial" w:eastAsia="Arial" w:hAnsi="Arial"/>
                <w:sz w:val="16"/>
                <w:szCs w:val="16"/>
                <w:color w:val="0000EE"/>
              </w:rPr>
              <w:t>R</w:t>
            </w:r>
            <w:r>
              <w:rPr>
                <w:rFonts w:ascii="Arial" w:cs="Arial" w:eastAsia="Arial" w:hAnsi="Arial"/>
                <w:sz w:val="13"/>
                <w:szCs w:val="13"/>
                <w:color w:val="0000EE"/>
              </w:rPr>
              <w:t>EQUIRED</w:t>
            </w:r>
            <w:r>
              <w:rPr>
                <w:rFonts w:ascii="Arial" w:cs="Arial" w:eastAsia="Arial" w:hAnsi="Arial"/>
                <w:sz w:val="16"/>
                <w:szCs w:val="16"/>
                <w:color w:val="0000EE"/>
              </w:rPr>
              <w:t xml:space="preserve"> V</w:t>
            </w:r>
            <w:r>
              <w:rPr>
                <w:rFonts w:ascii="Arial" w:cs="Arial" w:eastAsia="Arial" w:hAnsi="Arial"/>
                <w:sz w:val="13"/>
                <w:szCs w:val="13"/>
                <w:color w:val="0000EE"/>
              </w:rPr>
              <w:t>OTE AND</w:t>
            </w:r>
            <w:r>
              <w:rPr>
                <w:rFonts w:ascii="Arial" w:cs="Arial" w:eastAsia="Arial" w:hAnsi="Arial"/>
                <w:sz w:val="16"/>
                <w:szCs w:val="16"/>
                <w:color w:val="0000EE"/>
              </w:rPr>
              <w:t xml:space="preserve"> R</w:t>
            </w:r>
            <w:r>
              <w:rPr>
                <w:rFonts w:ascii="Arial" w:cs="Arial" w:eastAsia="Arial" w:hAnsi="Arial"/>
                <w:sz w:val="13"/>
                <w:szCs w:val="13"/>
                <w:color w:val="0000EE"/>
              </w:rPr>
              <w:t>ECOMMENDATION OF THE</w:t>
            </w:r>
            <w:r>
              <w:rPr>
                <w:rFonts w:ascii="Arial" w:cs="Arial" w:eastAsia="Arial" w:hAnsi="Arial"/>
                <w:sz w:val="16"/>
                <w:szCs w:val="16"/>
                <w:color w:val="0000EE"/>
              </w:rPr>
              <w:t xml:space="preserve"> B</w:t>
            </w:r>
            <w:r>
              <w:rPr>
                <w:rFonts w:ascii="Arial" w:cs="Arial" w:eastAsia="Arial" w:hAnsi="Arial"/>
                <w:sz w:val="13"/>
                <w:szCs w:val="13"/>
                <w:color w:val="0000EE"/>
              </w:rPr>
              <w:t>OARD</w:t>
            </w:r>
          </w:p>
        </w:tc>
        <w:tc>
          <w:tcPr>
            <w:tcW w:w="6140" w:type="dxa"/>
            <w:vAlign w:val="bottom"/>
            <w:gridSpan w:val="12"/>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002060"/>
              </w:rPr>
              <w:t>46</w:t>
            </w:r>
          </w:p>
        </w:tc>
      </w:tr>
      <w:tr>
        <w:trPr>
          <w:trHeight w:val="250"/>
        </w:trPr>
        <w:tc>
          <w:tcPr>
            <w:tcW w:w="5580" w:type="dxa"/>
            <w:vAlign w:val="bottom"/>
            <w:tcBorders>
              <w:bottom w:val="single" w:sz="8" w:color="0000EE"/>
            </w:tcBorders>
            <w:gridSpan w:val="32"/>
          </w:tcPr>
          <w:p>
            <w:pPr>
              <w:spacing w:after="0"/>
              <w:rPr>
                <w:sz w:val="20"/>
                <w:szCs w:val="20"/>
                <w:color w:val="auto"/>
              </w:rPr>
            </w:pPr>
            <w:r>
              <w:rPr>
                <w:rFonts w:ascii="Arial" w:cs="Arial" w:eastAsia="Arial" w:hAnsi="Arial"/>
                <w:sz w:val="18"/>
                <w:szCs w:val="18"/>
                <w:color w:val="0000EE"/>
                <w:w w:val="99"/>
              </w:rPr>
              <w:t>EXECUTIVE OFFICERS AND CERTAIN SIGNIFICANT EMPLOYEES</w:t>
            </w:r>
          </w:p>
        </w:tc>
        <w:tc>
          <w:tcPr>
            <w:tcW w:w="4520" w:type="dxa"/>
            <w:vAlign w:val="bottom"/>
            <w:gridSpan w:val="5"/>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70C0"/>
              </w:rPr>
              <w:t>47</w:t>
            </w:r>
          </w:p>
        </w:tc>
      </w:tr>
      <w:tr>
        <w:trPr>
          <w:trHeight w:val="318"/>
        </w:trPr>
        <w:tc>
          <w:tcPr>
            <w:tcW w:w="398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9"/>
              </w:rPr>
              <w:t>COMPENSATION DISCUSSION AND ANALYSIS</w:t>
            </w:r>
          </w:p>
        </w:tc>
        <w:tc>
          <w:tcPr>
            <w:tcW w:w="6120" w:type="dxa"/>
            <w:vAlign w:val="bottom"/>
            <w:gridSpan w:val="11"/>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70C0"/>
              </w:rPr>
              <w:t>50</w:t>
            </w:r>
          </w:p>
        </w:tc>
      </w:tr>
      <w:tr>
        <w:trPr>
          <w:trHeight w:val="263"/>
        </w:trPr>
        <w:tc>
          <w:tcPr>
            <w:tcW w:w="10100" w:type="dxa"/>
            <w:vAlign w:val="bottom"/>
            <w:gridSpan w:val="37"/>
          </w:tcPr>
          <w:p>
            <w:pPr>
              <w:spacing w:after="0"/>
              <w:rPr>
                <w:sz w:val="20"/>
                <w:szCs w:val="20"/>
                <w:color w:val="auto"/>
              </w:rPr>
            </w:pPr>
            <w:r>
              <w:rPr>
                <w:rFonts w:ascii="Arial" w:cs="Arial" w:eastAsia="Arial" w:hAnsi="Arial"/>
                <w:sz w:val="16"/>
                <w:szCs w:val="16"/>
                <w:color w:val="0000EE"/>
              </w:rPr>
              <w:t>C</w:t>
            </w:r>
            <w:r>
              <w:rPr>
                <w:rFonts w:ascii="Arial" w:cs="Arial" w:eastAsia="Arial" w:hAnsi="Arial"/>
                <w:sz w:val="13"/>
                <w:szCs w:val="13"/>
                <w:color w:val="0000EE"/>
              </w:rPr>
              <w:t>OMPENSATION AND</w:t>
            </w:r>
            <w:r>
              <w:rPr>
                <w:rFonts w:ascii="Arial" w:cs="Arial" w:eastAsia="Arial" w:hAnsi="Arial"/>
                <w:sz w:val="16"/>
                <w:szCs w:val="16"/>
                <w:color w:val="0000EE"/>
              </w:rPr>
              <w:t xml:space="preserve"> H</w:t>
            </w:r>
            <w:r>
              <w:rPr>
                <w:rFonts w:ascii="Arial" w:cs="Arial" w:eastAsia="Arial" w:hAnsi="Arial"/>
                <w:sz w:val="13"/>
                <w:szCs w:val="13"/>
                <w:color w:val="0000EE"/>
              </w:rPr>
              <w:t>UMAN</w:t>
            </w:r>
            <w:r>
              <w:rPr>
                <w:rFonts w:ascii="Arial" w:cs="Arial" w:eastAsia="Arial" w:hAnsi="Arial"/>
                <w:sz w:val="16"/>
                <w:szCs w:val="16"/>
                <w:color w:val="0000EE"/>
              </w:rPr>
              <w:t xml:space="preserve"> C</w:t>
            </w:r>
            <w:r>
              <w:rPr>
                <w:rFonts w:ascii="Arial" w:cs="Arial" w:eastAsia="Arial" w:hAnsi="Arial"/>
                <w:sz w:val="13"/>
                <w:szCs w:val="13"/>
                <w:color w:val="0000EE"/>
              </w:rPr>
              <w:t>APITAL</w:t>
            </w:r>
            <w:r>
              <w:rPr>
                <w:rFonts w:ascii="Arial" w:cs="Arial" w:eastAsia="Arial" w:hAnsi="Arial"/>
                <w:sz w:val="16"/>
                <w:szCs w:val="16"/>
                <w:color w:val="0000EE"/>
              </w:rPr>
              <w:t xml:space="preserve"> C</w:t>
            </w:r>
            <w:r>
              <w:rPr>
                <w:rFonts w:ascii="Arial" w:cs="Arial" w:eastAsia="Arial" w:hAnsi="Arial"/>
                <w:sz w:val="13"/>
                <w:szCs w:val="13"/>
                <w:color w:val="0000EE"/>
              </w:rPr>
              <w:t>OMMITTEE</w:t>
            </w:r>
            <w:r>
              <w:rPr>
                <w:rFonts w:ascii="Arial" w:cs="Arial" w:eastAsia="Arial" w:hAnsi="Arial"/>
                <w:sz w:val="16"/>
                <w:szCs w:val="16"/>
                <w:color w:val="0000EE"/>
              </w:rPr>
              <w:t xml:space="preserve"> R</w:t>
            </w:r>
            <w:r>
              <w:rPr>
                <w:rFonts w:ascii="Arial" w:cs="Arial" w:eastAsia="Arial" w:hAnsi="Arial"/>
                <w:sz w:val="13"/>
                <w:szCs w:val="13"/>
                <w:color w:val="0000EE"/>
              </w:rPr>
              <w:t>EPORT</w:t>
            </w:r>
          </w:p>
        </w:tc>
        <w:tc>
          <w:tcPr>
            <w:tcW w:w="860" w:type="dxa"/>
            <w:vAlign w:val="bottom"/>
          </w:tcPr>
          <w:p>
            <w:pPr>
              <w:jc w:val="right"/>
              <w:spacing w:after="0"/>
              <w:rPr>
                <w:sz w:val="20"/>
                <w:szCs w:val="20"/>
                <w:color w:val="auto"/>
              </w:rPr>
            </w:pPr>
            <w:r>
              <w:rPr>
                <w:rFonts w:ascii="Arial" w:cs="Arial" w:eastAsia="Arial" w:hAnsi="Arial"/>
                <w:sz w:val="16"/>
                <w:szCs w:val="16"/>
                <w:color w:val="002060"/>
              </w:rPr>
              <w:t>50</w:t>
            </w:r>
          </w:p>
        </w:tc>
      </w:tr>
      <w:tr>
        <w:trPr>
          <w:trHeight w:val="196"/>
        </w:trPr>
        <w:tc>
          <w:tcPr>
            <w:tcW w:w="198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6"/>
                <w:szCs w:val="16"/>
                <w:color w:val="0000EE"/>
              </w:rPr>
              <w:t>CD&amp;A T</w:t>
            </w:r>
            <w:r>
              <w:rPr>
                <w:rFonts w:ascii="Arial" w:cs="Arial" w:eastAsia="Arial" w:hAnsi="Arial"/>
                <w:sz w:val="13"/>
                <w:szCs w:val="13"/>
                <w:color w:val="0000EE"/>
              </w:rPr>
              <w:t>ABLE OF</w:t>
            </w:r>
            <w:r>
              <w:rPr>
                <w:rFonts w:ascii="Arial" w:cs="Arial" w:eastAsia="Arial" w:hAnsi="Arial"/>
                <w:sz w:val="16"/>
                <w:szCs w:val="16"/>
                <w:color w:val="0000EE"/>
              </w:rPr>
              <w:t xml:space="preserve"> C</w:t>
            </w:r>
            <w:r>
              <w:rPr>
                <w:rFonts w:ascii="Arial" w:cs="Arial" w:eastAsia="Arial" w:hAnsi="Arial"/>
                <w:sz w:val="13"/>
                <w:szCs w:val="13"/>
                <w:color w:val="0000EE"/>
              </w:rPr>
              <w:t>ONTENTS</w:t>
            </w:r>
          </w:p>
        </w:tc>
        <w:tc>
          <w:tcPr>
            <w:tcW w:w="2120" w:type="dxa"/>
            <w:vAlign w:val="bottom"/>
            <w:tcBorders>
              <w:top w:val="single" w:sz="8" w:color="0000EE"/>
            </w:tcBorders>
            <w:gridSpan w:val="17"/>
          </w:tcPr>
          <w:p>
            <w:pPr>
              <w:spacing w:after="0"/>
              <w:rPr>
                <w:sz w:val="17"/>
                <w:szCs w:val="17"/>
                <w:color w:val="auto"/>
              </w:rPr>
            </w:pPr>
          </w:p>
        </w:tc>
        <w:tc>
          <w:tcPr>
            <w:tcW w:w="6000" w:type="dxa"/>
            <w:vAlign w:val="bottom"/>
            <w:gridSpan w:val="10"/>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002060"/>
              </w:rPr>
              <w:t>50</w:t>
            </w:r>
          </w:p>
        </w:tc>
      </w:tr>
      <w:tr>
        <w:trPr>
          <w:trHeight w:val="250"/>
        </w:trPr>
        <w:tc>
          <w:tcPr>
            <w:tcW w:w="252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8"/>
              </w:rPr>
              <w:t>EXECUTIVE COMPENSATION</w:t>
            </w:r>
          </w:p>
        </w:tc>
        <w:tc>
          <w:tcPr>
            <w:tcW w:w="7580" w:type="dxa"/>
            <w:vAlign w:val="bottom"/>
            <w:gridSpan w:val="20"/>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70C0"/>
              </w:rPr>
              <w:t>67</w:t>
            </w:r>
          </w:p>
        </w:tc>
      </w:tr>
      <w:tr>
        <w:trPr>
          <w:trHeight w:val="263"/>
        </w:trPr>
        <w:tc>
          <w:tcPr>
            <w:tcW w:w="10100" w:type="dxa"/>
            <w:vAlign w:val="bottom"/>
            <w:gridSpan w:val="37"/>
          </w:tcPr>
          <w:p>
            <w:pPr>
              <w:spacing w:after="0"/>
              <w:rPr>
                <w:sz w:val="20"/>
                <w:szCs w:val="20"/>
                <w:color w:val="auto"/>
              </w:rPr>
            </w:pPr>
            <w:r>
              <w:rPr>
                <w:rFonts w:ascii="Arial" w:cs="Arial" w:eastAsia="Arial" w:hAnsi="Arial"/>
                <w:sz w:val="16"/>
                <w:szCs w:val="16"/>
                <w:color w:val="0000EE"/>
              </w:rPr>
              <w:t>E</w:t>
            </w:r>
            <w:r>
              <w:rPr>
                <w:rFonts w:ascii="Arial" w:cs="Arial" w:eastAsia="Arial" w:hAnsi="Arial"/>
                <w:sz w:val="13"/>
                <w:szCs w:val="13"/>
                <w:color w:val="0000EE"/>
              </w:rPr>
              <w:t>XECUTIVE</w:t>
            </w:r>
            <w:r>
              <w:rPr>
                <w:rFonts w:ascii="Arial" w:cs="Arial" w:eastAsia="Arial" w:hAnsi="Arial"/>
                <w:sz w:val="16"/>
                <w:szCs w:val="16"/>
                <w:color w:val="0000EE"/>
              </w:rPr>
              <w:t xml:space="preserve"> C</w:t>
            </w:r>
            <w:r>
              <w:rPr>
                <w:rFonts w:ascii="Arial" w:cs="Arial" w:eastAsia="Arial" w:hAnsi="Arial"/>
                <w:sz w:val="13"/>
                <w:szCs w:val="13"/>
                <w:color w:val="0000EE"/>
              </w:rPr>
              <w:t>OMPENSATION</w:t>
            </w:r>
            <w:r>
              <w:rPr>
                <w:rFonts w:ascii="Arial" w:cs="Arial" w:eastAsia="Arial" w:hAnsi="Arial"/>
                <w:sz w:val="16"/>
                <w:szCs w:val="16"/>
                <w:color w:val="0000EE"/>
              </w:rPr>
              <w:t xml:space="preserve"> T</w:t>
            </w:r>
            <w:r>
              <w:rPr>
                <w:rFonts w:ascii="Arial" w:cs="Arial" w:eastAsia="Arial" w:hAnsi="Arial"/>
                <w:sz w:val="13"/>
                <w:szCs w:val="13"/>
                <w:color w:val="0000EE"/>
              </w:rPr>
              <w:t>ABLES</w:t>
            </w:r>
          </w:p>
        </w:tc>
        <w:tc>
          <w:tcPr>
            <w:tcW w:w="860" w:type="dxa"/>
            <w:vAlign w:val="bottom"/>
          </w:tcPr>
          <w:p>
            <w:pPr>
              <w:jc w:val="right"/>
              <w:spacing w:after="0"/>
              <w:rPr>
                <w:sz w:val="20"/>
                <w:szCs w:val="20"/>
                <w:color w:val="auto"/>
              </w:rPr>
            </w:pPr>
            <w:r>
              <w:rPr>
                <w:rFonts w:ascii="Arial" w:cs="Arial" w:eastAsia="Arial" w:hAnsi="Arial"/>
                <w:sz w:val="16"/>
                <w:szCs w:val="16"/>
                <w:color w:val="002060"/>
              </w:rPr>
              <w:t>67</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100" w:type="dxa"/>
            <w:vAlign w:val="bottom"/>
            <w:gridSpan w:val="37"/>
          </w:tcPr>
          <w:p>
            <w:pPr>
              <w:spacing w:after="0"/>
              <w:rPr>
                <w:sz w:val="20"/>
                <w:szCs w:val="20"/>
                <w:color w:val="auto"/>
              </w:rPr>
            </w:pPr>
            <w:r>
              <w:rPr>
                <w:rFonts w:ascii="Arial" w:cs="Arial" w:eastAsia="Arial" w:hAnsi="Arial"/>
                <w:sz w:val="16"/>
                <w:szCs w:val="16"/>
                <w:color w:val="0000EE"/>
              </w:rPr>
              <w:t>E</w:t>
            </w:r>
            <w:r>
              <w:rPr>
                <w:rFonts w:ascii="Arial" w:cs="Arial" w:eastAsia="Arial" w:hAnsi="Arial"/>
                <w:sz w:val="13"/>
                <w:szCs w:val="13"/>
                <w:color w:val="0000EE"/>
              </w:rPr>
              <w:t>MPLOYMENT</w:t>
            </w:r>
            <w:r>
              <w:rPr>
                <w:rFonts w:ascii="Arial" w:cs="Arial" w:eastAsia="Arial" w:hAnsi="Arial"/>
                <w:sz w:val="16"/>
                <w:szCs w:val="16"/>
                <w:color w:val="0000EE"/>
              </w:rPr>
              <w:t xml:space="preserve"> A</w:t>
            </w:r>
            <w:r>
              <w:rPr>
                <w:rFonts w:ascii="Arial" w:cs="Arial" w:eastAsia="Arial" w:hAnsi="Arial"/>
                <w:sz w:val="13"/>
                <w:szCs w:val="13"/>
                <w:color w:val="0000EE"/>
              </w:rPr>
              <w:t>GREEMENTS</w:t>
            </w:r>
            <w:r>
              <w:rPr>
                <w:rFonts w:ascii="Arial" w:cs="Arial" w:eastAsia="Arial" w:hAnsi="Arial"/>
                <w:sz w:val="16"/>
                <w:szCs w:val="16"/>
                <w:color w:val="0000EE"/>
              </w:rPr>
              <w:t>, S</w:t>
            </w:r>
            <w:r>
              <w:rPr>
                <w:rFonts w:ascii="Arial" w:cs="Arial" w:eastAsia="Arial" w:hAnsi="Arial"/>
                <w:sz w:val="13"/>
                <w:szCs w:val="13"/>
                <w:color w:val="0000EE"/>
              </w:rPr>
              <w:t>EVERANCE AND</w:t>
            </w:r>
            <w:r>
              <w:rPr>
                <w:rFonts w:ascii="Arial" w:cs="Arial" w:eastAsia="Arial" w:hAnsi="Arial"/>
                <w:sz w:val="16"/>
                <w:szCs w:val="16"/>
                <w:color w:val="0000EE"/>
              </w:rPr>
              <w:t xml:space="preserve"> C</w:t>
            </w:r>
            <w:r>
              <w:rPr>
                <w:rFonts w:ascii="Arial" w:cs="Arial" w:eastAsia="Arial" w:hAnsi="Arial"/>
                <w:sz w:val="13"/>
                <w:szCs w:val="13"/>
                <w:color w:val="0000EE"/>
              </w:rPr>
              <w:t>HANGE IN</w:t>
            </w:r>
            <w:r>
              <w:rPr>
                <w:rFonts w:ascii="Arial" w:cs="Arial" w:eastAsia="Arial" w:hAnsi="Arial"/>
                <w:sz w:val="16"/>
                <w:szCs w:val="16"/>
                <w:color w:val="0000EE"/>
              </w:rPr>
              <w:t xml:space="preserve"> C</w:t>
            </w:r>
            <w:r>
              <w:rPr>
                <w:rFonts w:ascii="Arial" w:cs="Arial" w:eastAsia="Arial" w:hAnsi="Arial"/>
                <w:sz w:val="13"/>
                <w:szCs w:val="13"/>
                <w:color w:val="0000EE"/>
              </w:rPr>
              <w:t>ONTROL</w:t>
            </w:r>
            <w:r>
              <w:rPr>
                <w:rFonts w:ascii="Arial" w:cs="Arial" w:eastAsia="Arial" w:hAnsi="Arial"/>
                <w:sz w:val="16"/>
                <w:szCs w:val="16"/>
                <w:color w:val="0000EE"/>
              </w:rPr>
              <w:t xml:space="preserve"> B</w:t>
            </w:r>
            <w:r>
              <w:rPr>
                <w:rFonts w:ascii="Arial" w:cs="Arial" w:eastAsia="Arial" w:hAnsi="Arial"/>
                <w:sz w:val="13"/>
                <w:szCs w:val="13"/>
                <w:color w:val="0000EE"/>
              </w:rPr>
              <w:t>ENEFITS</w:t>
            </w:r>
          </w:p>
        </w:tc>
        <w:tc>
          <w:tcPr>
            <w:tcW w:w="860" w:type="dxa"/>
            <w:vAlign w:val="bottom"/>
          </w:tcPr>
          <w:p>
            <w:pPr>
              <w:jc w:val="right"/>
              <w:spacing w:after="0"/>
              <w:rPr>
                <w:sz w:val="20"/>
                <w:szCs w:val="20"/>
                <w:color w:val="auto"/>
              </w:rPr>
            </w:pPr>
            <w:r>
              <w:rPr>
                <w:rFonts w:ascii="Arial" w:cs="Arial" w:eastAsia="Arial" w:hAnsi="Arial"/>
                <w:sz w:val="16"/>
                <w:szCs w:val="16"/>
                <w:color w:val="002060"/>
              </w:rPr>
              <w:t>71</w:t>
            </w:r>
          </w:p>
        </w:tc>
      </w:tr>
      <w:tr>
        <w:trPr>
          <w:trHeight w:val="196"/>
        </w:trPr>
        <w:tc>
          <w:tcPr>
            <w:tcW w:w="2700" w:type="dxa"/>
            <w:vAlign w:val="bottom"/>
            <w:tcBorders>
              <w:top w:val="single" w:sz="8" w:color="0000EE"/>
              <w:bottom w:val="single" w:sz="8" w:color="0000EE"/>
            </w:tcBorders>
            <w:gridSpan w:val="18"/>
          </w:tcPr>
          <w:p>
            <w:pPr>
              <w:spacing w:after="0"/>
              <w:rPr>
                <w:sz w:val="20"/>
                <w:szCs w:val="20"/>
                <w:color w:val="auto"/>
              </w:rPr>
            </w:pPr>
            <w:r>
              <w:rPr>
                <w:rFonts w:ascii="Arial" w:cs="Arial" w:eastAsia="Arial" w:hAnsi="Arial"/>
                <w:sz w:val="16"/>
                <w:szCs w:val="16"/>
                <w:color w:val="0000EE"/>
              </w:rPr>
              <w:t>C</w:t>
            </w:r>
            <w:r>
              <w:rPr>
                <w:rFonts w:ascii="Arial" w:cs="Arial" w:eastAsia="Arial" w:hAnsi="Arial"/>
                <w:sz w:val="13"/>
                <w:szCs w:val="13"/>
                <w:color w:val="0000EE"/>
              </w:rPr>
              <w:t>HIEF</w:t>
            </w:r>
            <w:r>
              <w:rPr>
                <w:rFonts w:ascii="Arial" w:cs="Arial" w:eastAsia="Arial" w:hAnsi="Arial"/>
                <w:sz w:val="16"/>
                <w:szCs w:val="16"/>
                <w:color w:val="0000EE"/>
              </w:rPr>
              <w:t xml:space="preserve"> E</w:t>
            </w:r>
            <w:r>
              <w:rPr>
                <w:rFonts w:ascii="Arial" w:cs="Arial" w:eastAsia="Arial" w:hAnsi="Arial"/>
                <w:sz w:val="13"/>
                <w:szCs w:val="13"/>
                <w:color w:val="0000EE"/>
              </w:rPr>
              <w:t>XECUTIVE</w:t>
            </w:r>
            <w:r>
              <w:rPr>
                <w:rFonts w:ascii="Arial" w:cs="Arial" w:eastAsia="Arial" w:hAnsi="Arial"/>
                <w:sz w:val="16"/>
                <w:szCs w:val="16"/>
                <w:color w:val="0000EE"/>
              </w:rPr>
              <w:t xml:space="preserve"> O</w:t>
            </w:r>
            <w:r>
              <w:rPr>
                <w:rFonts w:ascii="Arial" w:cs="Arial" w:eastAsia="Arial" w:hAnsi="Arial"/>
                <w:sz w:val="13"/>
                <w:szCs w:val="13"/>
                <w:color w:val="0000EE"/>
              </w:rPr>
              <w:t>FFICER</w:t>
            </w:r>
            <w:r>
              <w:rPr>
                <w:rFonts w:ascii="Arial" w:cs="Arial" w:eastAsia="Arial" w:hAnsi="Arial"/>
                <w:sz w:val="16"/>
                <w:szCs w:val="16"/>
                <w:color w:val="0000EE"/>
              </w:rPr>
              <w:t xml:space="preserve"> P</w:t>
            </w:r>
            <w:r>
              <w:rPr>
                <w:rFonts w:ascii="Arial" w:cs="Arial" w:eastAsia="Arial" w:hAnsi="Arial"/>
                <w:sz w:val="13"/>
                <w:szCs w:val="13"/>
                <w:color w:val="0000EE"/>
              </w:rPr>
              <w:t>AY</w:t>
            </w:r>
            <w:r>
              <w:rPr>
                <w:rFonts w:ascii="Arial" w:cs="Arial" w:eastAsia="Arial" w:hAnsi="Arial"/>
                <w:sz w:val="16"/>
                <w:szCs w:val="16"/>
                <w:color w:val="0000EE"/>
              </w:rPr>
              <w:t xml:space="preserve"> R</w:t>
            </w:r>
            <w:r>
              <w:rPr>
                <w:rFonts w:ascii="Arial" w:cs="Arial" w:eastAsia="Arial" w:hAnsi="Arial"/>
                <w:sz w:val="13"/>
                <w:szCs w:val="13"/>
                <w:color w:val="0000EE"/>
              </w:rPr>
              <w:t>ATIO</w:t>
            </w:r>
          </w:p>
        </w:tc>
        <w:tc>
          <w:tcPr>
            <w:tcW w:w="2800" w:type="dxa"/>
            <w:vAlign w:val="bottom"/>
            <w:tcBorders>
              <w:top w:val="single" w:sz="8" w:color="0000EE"/>
            </w:tcBorders>
            <w:gridSpan w:val="13"/>
          </w:tcPr>
          <w:p>
            <w:pPr>
              <w:spacing w:after="0"/>
              <w:rPr>
                <w:sz w:val="17"/>
                <w:szCs w:val="17"/>
                <w:color w:val="auto"/>
              </w:rPr>
            </w:pPr>
          </w:p>
        </w:tc>
        <w:tc>
          <w:tcPr>
            <w:tcW w:w="4600" w:type="dxa"/>
            <w:vAlign w:val="bottom"/>
            <w:gridSpan w:val="6"/>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002060"/>
              </w:rPr>
              <w:t>72</w:t>
            </w:r>
          </w:p>
        </w:tc>
      </w:tr>
      <w:tr>
        <w:trPr>
          <w:trHeight w:val="196"/>
        </w:trPr>
        <w:tc>
          <w:tcPr>
            <w:tcW w:w="10100" w:type="dxa"/>
            <w:vAlign w:val="bottom"/>
            <w:gridSpan w:val="37"/>
          </w:tcPr>
          <w:p>
            <w:pPr>
              <w:spacing w:after="0"/>
              <w:rPr>
                <w:sz w:val="20"/>
                <w:szCs w:val="20"/>
                <w:color w:val="auto"/>
              </w:rPr>
            </w:pPr>
            <w:r>
              <w:rPr>
                <w:rFonts w:ascii="Arial" w:cs="Arial" w:eastAsia="Arial" w:hAnsi="Arial"/>
                <w:sz w:val="16"/>
                <w:szCs w:val="16"/>
                <w:color w:val="0000EE"/>
              </w:rPr>
              <w:t>P</w:t>
            </w:r>
            <w:r>
              <w:rPr>
                <w:rFonts w:ascii="Arial" w:cs="Arial" w:eastAsia="Arial" w:hAnsi="Arial"/>
                <w:sz w:val="13"/>
                <w:szCs w:val="13"/>
                <w:color w:val="0000EE"/>
              </w:rPr>
              <w:t>AY</w:t>
            </w:r>
            <w:r>
              <w:rPr>
                <w:rFonts w:ascii="Arial" w:cs="Arial" w:eastAsia="Arial" w:hAnsi="Arial"/>
                <w:sz w:val="16"/>
                <w:szCs w:val="16"/>
                <w:color w:val="0000EE"/>
              </w:rPr>
              <w:t xml:space="preserve"> V</w:t>
            </w:r>
            <w:r>
              <w:rPr>
                <w:rFonts w:ascii="Arial" w:cs="Arial" w:eastAsia="Arial" w:hAnsi="Arial"/>
                <w:sz w:val="13"/>
                <w:szCs w:val="13"/>
                <w:color w:val="0000EE"/>
              </w:rPr>
              <w:t>ERSUS</w:t>
            </w:r>
            <w:r>
              <w:rPr>
                <w:rFonts w:ascii="Arial" w:cs="Arial" w:eastAsia="Arial" w:hAnsi="Arial"/>
                <w:sz w:val="16"/>
                <w:szCs w:val="16"/>
                <w:color w:val="0000EE"/>
              </w:rPr>
              <w:t xml:space="preserve"> P</w:t>
            </w:r>
            <w:r>
              <w:rPr>
                <w:rFonts w:ascii="Arial" w:cs="Arial" w:eastAsia="Arial" w:hAnsi="Arial"/>
                <w:sz w:val="13"/>
                <w:szCs w:val="13"/>
                <w:color w:val="0000EE"/>
              </w:rPr>
              <w:t>ERFORMANCE</w:t>
            </w:r>
          </w:p>
        </w:tc>
        <w:tc>
          <w:tcPr>
            <w:tcW w:w="860" w:type="dxa"/>
            <w:vAlign w:val="bottom"/>
          </w:tcPr>
          <w:p>
            <w:pPr>
              <w:jc w:val="right"/>
              <w:spacing w:after="0"/>
              <w:rPr>
                <w:sz w:val="20"/>
                <w:szCs w:val="20"/>
                <w:color w:val="auto"/>
              </w:rPr>
            </w:pPr>
            <w:r>
              <w:rPr>
                <w:rFonts w:ascii="Arial" w:cs="Arial" w:eastAsia="Arial" w:hAnsi="Arial"/>
                <w:sz w:val="16"/>
                <w:szCs w:val="16"/>
                <w:color w:val="002060"/>
              </w:rPr>
              <w:t>74</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9540" w:type="dxa"/>
            <w:vAlign w:val="bottom"/>
            <w:tcBorders>
              <w:bottom w:val="single" w:sz="8" w:color="0000EE"/>
            </w:tcBorders>
            <w:gridSpan w:val="36"/>
          </w:tcPr>
          <w:p>
            <w:pPr>
              <w:spacing w:after="0"/>
              <w:rPr>
                <w:sz w:val="20"/>
                <w:szCs w:val="20"/>
                <w:color w:val="auto"/>
              </w:rPr>
            </w:pPr>
            <w:r>
              <w:rPr>
                <w:rFonts w:ascii="Arial" w:cs="Arial" w:eastAsia="Arial" w:hAnsi="Arial"/>
                <w:sz w:val="18"/>
                <w:szCs w:val="18"/>
                <w:color w:val="0000EE"/>
                <w:w w:val="99"/>
              </w:rPr>
              <w:t>PROPOSAL 4 – ADVISORY VOTE ON THE FREQUENCY OF ADVISORY VOTES ON EXECUTIVE COMPENSATION</w:t>
            </w: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70C0"/>
              </w:rPr>
              <w:t>77</w:t>
            </w:r>
          </w:p>
        </w:tc>
      </w:tr>
      <w:tr>
        <w:trPr>
          <w:trHeight w:val="263"/>
        </w:trPr>
        <w:tc>
          <w:tcPr>
            <w:tcW w:w="10100" w:type="dxa"/>
            <w:vAlign w:val="bottom"/>
            <w:gridSpan w:val="37"/>
          </w:tcPr>
          <w:p>
            <w:pPr>
              <w:spacing w:after="0"/>
              <w:rPr>
                <w:sz w:val="20"/>
                <w:szCs w:val="20"/>
                <w:color w:val="auto"/>
              </w:rPr>
            </w:pPr>
            <w:r>
              <w:rPr>
                <w:rFonts w:ascii="Arial" w:cs="Arial" w:eastAsia="Arial" w:hAnsi="Arial"/>
                <w:sz w:val="16"/>
                <w:szCs w:val="16"/>
                <w:color w:val="0000EE"/>
              </w:rPr>
              <w:t>O</w:t>
            </w:r>
            <w:r>
              <w:rPr>
                <w:rFonts w:ascii="Arial" w:cs="Arial" w:eastAsia="Arial" w:hAnsi="Arial"/>
                <w:sz w:val="13"/>
                <w:szCs w:val="13"/>
                <w:color w:val="0000EE"/>
              </w:rPr>
              <w:t>VERVIEW</w:t>
            </w:r>
          </w:p>
        </w:tc>
        <w:tc>
          <w:tcPr>
            <w:tcW w:w="860" w:type="dxa"/>
            <w:vAlign w:val="bottom"/>
          </w:tcPr>
          <w:p>
            <w:pPr>
              <w:jc w:val="right"/>
              <w:spacing w:after="0"/>
              <w:rPr>
                <w:sz w:val="20"/>
                <w:szCs w:val="20"/>
                <w:color w:val="auto"/>
              </w:rPr>
            </w:pPr>
            <w:r>
              <w:rPr>
                <w:rFonts w:ascii="Arial" w:cs="Arial" w:eastAsia="Arial" w:hAnsi="Arial"/>
                <w:sz w:val="16"/>
                <w:szCs w:val="16"/>
                <w:color w:val="002060"/>
              </w:rPr>
              <w:t>77</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3960" w:type="dxa"/>
            <w:vAlign w:val="bottom"/>
            <w:tcBorders>
              <w:bottom w:val="single" w:sz="8" w:color="0000EE"/>
            </w:tcBorders>
            <w:gridSpan w:val="25"/>
          </w:tcPr>
          <w:p>
            <w:pPr>
              <w:spacing w:after="0"/>
              <w:rPr>
                <w:sz w:val="20"/>
                <w:szCs w:val="20"/>
                <w:color w:val="auto"/>
              </w:rPr>
            </w:pPr>
            <w:r>
              <w:rPr>
                <w:rFonts w:ascii="Arial" w:cs="Arial" w:eastAsia="Arial" w:hAnsi="Arial"/>
                <w:sz w:val="16"/>
                <w:szCs w:val="16"/>
                <w:color w:val="0000EE"/>
              </w:rPr>
              <w:t>R</w:t>
            </w:r>
            <w:r>
              <w:rPr>
                <w:rFonts w:ascii="Arial" w:cs="Arial" w:eastAsia="Arial" w:hAnsi="Arial"/>
                <w:sz w:val="13"/>
                <w:szCs w:val="13"/>
                <w:color w:val="0000EE"/>
              </w:rPr>
              <w:t>EQUIRED</w:t>
            </w:r>
            <w:r>
              <w:rPr>
                <w:rFonts w:ascii="Arial" w:cs="Arial" w:eastAsia="Arial" w:hAnsi="Arial"/>
                <w:sz w:val="16"/>
                <w:szCs w:val="16"/>
                <w:color w:val="0000EE"/>
              </w:rPr>
              <w:t xml:space="preserve"> V</w:t>
            </w:r>
            <w:r>
              <w:rPr>
                <w:rFonts w:ascii="Arial" w:cs="Arial" w:eastAsia="Arial" w:hAnsi="Arial"/>
                <w:sz w:val="13"/>
                <w:szCs w:val="13"/>
                <w:color w:val="0000EE"/>
              </w:rPr>
              <w:t>OTE AND</w:t>
            </w:r>
            <w:r>
              <w:rPr>
                <w:rFonts w:ascii="Arial" w:cs="Arial" w:eastAsia="Arial" w:hAnsi="Arial"/>
                <w:sz w:val="16"/>
                <w:szCs w:val="16"/>
                <w:color w:val="0000EE"/>
              </w:rPr>
              <w:t xml:space="preserve"> R</w:t>
            </w:r>
            <w:r>
              <w:rPr>
                <w:rFonts w:ascii="Arial" w:cs="Arial" w:eastAsia="Arial" w:hAnsi="Arial"/>
                <w:sz w:val="13"/>
                <w:szCs w:val="13"/>
                <w:color w:val="0000EE"/>
              </w:rPr>
              <w:t>ECOMMENDATION OF THE</w:t>
            </w:r>
            <w:r>
              <w:rPr>
                <w:rFonts w:ascii="Arial" w:cs="Arial" w:eastAsia="Arial" w:hAnsi="Arial"/>
                <w:sz w:val="16"/>
                <w:szCs w:val="16"/>
                <w:color w:val="0000EE"/>
              </w:rPr>
              <w:t xml:space="preserve"> B</w:t>
            </w:r>
            <w:r>
              <w:rPr>
                <w:rFonts w:ascii="Arial" w:cs="Arial" w:eastAsia="Arial" w:hAnsi="Arial"/>
                <w:sz w:val="13"/>
                <w:szCs w:val="13"/>
                <w:color w:val="0000EE"/>
              </w:rPr>
              <w:t>OARD</w:t>
            </w:r>
          </w:p>
        </w:tc>
        <w:tc>
          <w:tcPr>
            <w:tcW w:w="6140" w:type="dxa"/>
            <w:vAlign w:val="bottom"/>
            <w:gridSpan w:val="12"/>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002060"/>
              </w:rPr>
              <w:t>77</w:t>
            </w:r>
          </w:p>
        </w:tc>
      </w:tr>
      <w:tr>
        <w:trPr>
          <w:trHeight w:val="250"/>
        </w:trPr>
        <w:tc>
          <w:tcPr>
            <w:tcW w:w="5920" w:type="dxa"/>
            <w:vAlign w:val="bottom"/>
            <w:tcBorders>
              <w:bottom w:val="single" w:sz="8" w:color="0000EE"/>
            </w:tcBorders>
            <w:gridSpan w:val="35"/>
          </w:tcPr>
          <w:p>
            <w:pPr>
              <w:spacing w:after="0"/>
              <w:rPr>
                <w:sz w:val="20"/>
                <w:szCs w:val="20"/>
                <w:color w:val="auto"/>
              </w:rPr>
            </w:pPr>
            <w:r>
              <w:rPr>
                <w:rFonts w:ascii="Arial" w:cs="Arial" w:eastAsia="Arial" w:hAnsi="Arial"/>
                <w:sz w:val="18"/>
                <w:szCs w:val="18"/>
                <w:color w:val="0000EE"/>
                <w:w w:val="99"/>
              </w:rPr>
              <w:t>PROPOSAL 5 – APPROVAL OF OUR 2023 OMNIBUS INCENTIVE PLAN</w:t>
            </w:r>
          </w:p>
        </w:tc>
        <w:tc>
          <w:tcPr>
            <w:tcW w:w="4180" w:type="dxa"/>
            <w:vAlign w:val="bottom"/>
            <w:gridSpan w:val="2"/>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70C0"/>
              </w:rPr>
              <w:t>78</w:t>
            </w:r>
          </w:p>
        </w:tc>
      </w:tr>
      <w:tr>
        <w:trPr>
          <w:trHeight w:val="263"/>
        </w:trPr>
        <w:tc>
          <w:tcPr>
            <w:tcW w:w="10100" w:type="dxa"/>
            <w:vAlign w:val="bottom"/>
            <w:gridSpan w:val="37"/>
          </w:tcPr>
          <w:p>
            <w:pPr>
              <w:spacing w:after="0"/>
              <w:rPr>
                <w:sz w:val="20"/>
                <w:szCs w:val="20"/>
                <w:color w:val="auto"/>
              </w:rPr>
            </w:pPr>
            <w:r>
              <w:rPr>
                <w:rFonts w:ascii="Arial" w:cs="Arial" w:eastAsia="Arial" w:hAnsi="Arial"/>
                <w:sz w:val="16"/>
                <w:szCs w:val="16"/>
                <w:color w:val="0000EE"/>
              </w:rPr>
              <w:t>B</w:t>
            </w:r>
            <w:r>
              <w:rPr>
                <w:rFonts w:ascii="Arial" w:cs="Arial" w:eastAsia="Arial" w:hAnsi="Arial"/>
                <w:sz w:val="13"/>
                <w:szCs w:val="13"/>
                <w:color w:val="0000EE"/>
              </w:rPr>
              <w:t>ACKGROUND</w:t>
            </w:r>
          </w:p>
        </w:tc>
        <w:tc>
          <w:tcPr>
            <w:tcW w:w="860" w:type="dxa"/>
            <w:vAlign w:val="bottom"/>
          </w:tcPr>
          <w:p>
            <w:pPr>
              <w:jc w:val="right"/>
              <w:spacing w:after="0"/>
              <w:rPr>
                <w:sz w:val="20"/>
                <w:szCs w:val="20"/>
                <w:color w:val="auto"/>
              </w:rPr>
            </w:pPr>
            <w:r>
              <w:rPr>
                <w:rFonts w:ascii="Arial" w:cs="Arial" w:eastAsia="Arial" w:hAnsi="Arial"/>
                <w:sz w:val="16"/>
                <w:szCs w:val="16"/>
                <w:color w:val="002060"/>
              </w:rPr>
              <w:t>78</w:t>
            </w:r>
          </w:p>
        </w:tc>
      </w:tr>
      <w:tr>
        <w:trPr>
          <w:trHeight w:val="20"/>
        </w:trPr>
        <w:tc>
          <w:tcPr>
            <w:tcW w:w="9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100" w:type="dxa"/>
            <w:vAlign w:val="bottom"/>
            <w:gridSpan w:val="37"/>
          </w:tcPr>
          <w:p>
            <w:pPr>
              <w:spacing w:after="0"/>
              <w:rPr>
                <w:sz w:val="20"/>
                <w:szCs w:val="20"/>
                <w:color w:val="auto"/>
              </w:rPr>
            </w:pPr>
            <w:r>
              <w:rPr>
                <w:rFonts w:ascii="Arial" w:cs="Arial" w:eastAsia="Arial" w:hAnsi="Arial"/>
                <w:sz w:val="16"/>
                <w:szCs w:val="16"/>
                <w:color w:val="0000EE"/>
              </w:rPr>
              <w:t>H</w:t>
            </w:r>
            <w:r>
              <w:rPr>
                <w:rFonts w:ascii="Arial" w:cs="Arial" w:eastAsia="Arial" w:hAnsi="Arial"/>
                <w:sz w:val="13"/>
                <w:szCs w:val="13"/>
                <w:color w:val="0000EE"/>
              </w:rPr>
              <w:t>ISTORICAL</w:t>
            </w:r>
            <w:r>
              <w:rPr>
                <w:rFonts w:ascii="Arial" w:cs="Arial" w:eastAsia="Arial" w:hAnsi="Arial"/>
                <w:sz w:val="16"/>
                <w:szCs w:val="16"/>
                <w:color w:val="0000EE"/>
              </w:rPr>
              <w:t xml:space="preserve"> E</w:t>
            </w:r>
            <w:r>
              <w:rPr>
                <w:rFonts w:ascii="Arial" w:cs="Arial" w:eastAsia="Arial" w:hAnsi="Arial"/>
                <w:sz w:val="13"/>
                <w:szCs w:val="13"/>
                <w:color w:val="0000EE"/>
              </w:rPr>
              <w:t>QUITY</w:t>
            </w:r>
            <w:r>
              <w:rPr>
                <w:rFonts w:ascii="Arial" w:cs="Arial" w:eastAsia="Arial" w:hAnsi="Arial"/>
                <w:sz w:val="16"/>
                <w:szCs w:val="16"/>
                <w:color w:val="0000EE"/>
              </w:rPr>
              <w:t xml:space="preserve"> G</w:t>
            </w:r>
            <w:r>
              <w:rPr>
                <w:rFonts w:ascii="Arial" w:cs="Arial" w:eastAsia="Arial" w:hAnsi="Arial"/>
                <w:sz w:val="13"/>
                <w:szCs w:val="13"/>
                <w:color w:val="0000EE"/>
              </w:rPr>
              <w:t>RANTING</w:t>
            </w:r>
            <w:r>
              <w:rPr>
                <w:rFonts w:ascii="Arial" w:cs="Arial" w:eastAsia="Arial" w:hAnsi="Arial"/>
                <w:sz w:val="16"/>
                <w:szCs w:val="16"/>
                <w:color w:val="0000EE"/>
              </w:rPr>
              <w:t xml:space="preserve"> P</w:t>
            </w:r>
            <w:r>
              <w:rPr>
                <w:rFonts w:ascii="Arial" w:cs="Arial" w:eastAsia="Arial" w:hAnsi="Arial"/>
                <w:sz w:val="13"/>
                <w:szCs w:val="13"/>
                <w:color w:val="0000EE"/>
              </w:rPr>
              <w:t>RACTICES</w:t>
            </w:r>
          </w:p>
        </w:tc>
        <w:tc>
          <w:tcPr>
            <w:tcW w:w="860" w:type="dxa"/>
            <w:vAlign w:val="bottom"/>
          </w:tcPr>
          <w:p>
            <w:pPr>
              <w:jc w:val="right"/>
              <w:spacing w:after="0"/>
              <w:rPr>
                <w:sz w:val="20"/>
                <w:szCs w:val="20"/>
                <w:color w:val="auto"/>
              </w:rPr>
            </w:pPr>
            <w:r>
              <w:rPr>
                <w:rFonts w:ascii="Arial" w:cs="Arial" w:eastAsia="Arial" w:hAnsi="Arial"/>
                <w:sz w:val="16"/>
                <w:szCs w:val="16"/>
                <w:color w:val="002060"/>
              </w:rPr>
              <w:t>78</w:t>
            </w:r>
          </w:p>
        </w:tc>
      </w:tr>
      <w:tr>
        <w:trPr>
          <w:trHeight w:val="196"/>
        </w:trPr>
        <w:tc>
          <w:tcPr>
            <w:tcW w:w="3000" w:type="dxa"/>
            <w:vAlign w:val="bottom"/>
            <w:tcBorders>
              <w:top w:val="single" w:sz="8" w:color="0000EE"/>
            </w:tcBorders>
            <w:gridSpan w:val="21"/>
          </w:tcPr>
          <w:p>
            <w:pPr>
              <w:spacing w:after="0"/>
              <w:rPr>
                <w:sz w:val="20"/>
                <w:szCs w:val="20"/>
                <w:color w:val="auto"/>
              </w:rPr>
            </w:pPr>
            <w:r>
              <w:rPr>
                <w:rFonts w:ascii="Arial" w:cs="Arial" w:eastAsia="Arial" w:hAnsi="Arial"/>
                <w:sz w:val="16"/>
                <w:szCs w:val="16"/>
                <w:color w:val="0000EE"/>
              </w:rPr>
              <w:t>S</w:t>
            </w:r>
            <w:r>
              <w:rPr>
                <w:rFonts w:ascii="Arial" w:cs="Arial" w:eastAsia="Arial" w:hAnsi="Arial"/>
                <w:sz w:val="13"/>
                <w:szCs w:val="13"/>
                <w:color w:val="0000EE"/>
              </w:rPr>
              <w:t>UMMARY OF THE</w:t>
            </w:r>
            <w:r>
              <w:rPr>
                <w:rFonts w:ascii="Arial" w:cs="Arial" w:eastAsia="Arial" w:hAnsi="Arial"/>
                <w:sz w:val="16"/>
                <w:szCs w:val="16"/>
                <w:color w:val="0000EE"/>
              </w:rPr>
              <w:t xml:space="preserve"> 2023 P</w:t>
            </w:r>
            <w:r>
              <w:rPr>
                <w:rFonts w:ascii="Arial" w:cs="Arial" w:eastAsia="Arial" w:hAnsi="Arial"/>
                <w:sz w:val="13"/>
                <w:szCs w:val="13"/>
                <w:color w:val="0000EE"/>
              </w:rPr>
              <w:t>LAN</w:t>
            </w:r>
          </w:p>
        </w:tc>
        <w:tc>
          <w:tcPr>
            <w:tcW w:w="7100" w:type="dxa"/>
            <w:vAlign w:val="bottom"/>
            <w:gridSpan w:val="16"/>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002060"/>
              </w:rPr>
              <w:t>79</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100" w:type="dxa"/>
            <w:vAlign w:val="bottom"/>
            <w:gridSpan w:val="37"/>
          </w:tcPr>
          <w:p>
            <w:pPr>
              <w:spacing w:after="0"/>
              <w:rPr>
                <w:sz w:val="20"/>
                <w:szCs w:val="20"/>
                <w:color w:val="auto"/>
              </w:rPr>
            </w:pPr>
            <w:r>
              <w:rPr>
                <w:rFonts w:ascii="Arial" w:cs="Arial" w:eastAsia="Arial" w:hAnsi="Arial"/>
                <w:sz w:val="16"/>
                <w:szCs w:val="16"/>
                <w:color w:val="0000EE"/>
              </w:rPr>
              <w:t>R</w:t>
            </w:r>
            <w:r>
              <w:rPr>
                <w:rFonts w:ascii="Arial" w:cs="Arial" w:eastAsia="Arial" w:hAnsi="Arial"/>
                <w:sz w:val="13"/>
                <w:szCs w:val="13"/>
                <w:color w:val="0000EE"/>
              </w:rPr>
              <w:t>EQUIRED</w:t>
            </w:r>
            <w:r>
              <w:rPr>
                <w:rFonts w:ascii="Arial" w:cs="Arial" w:eastAsia="Arial" w:hAnsi="Arial"/>
                <w:sz w:val="16"/>
                <w:szCs w:val="16"/>
                <w:color w:val="0000EE"/>
              </w:rPr>
              <w:t xml:space="preserve"> V</w:t>
            </w:r>
            <w:r>
              <w:rPr>
                <w:rFonts w:ascii="Arial" w:cs="Arial" w:eastAsia="Arial" w:hAnsi="Arial"/>
                <w:sz w:val="13"/>
                <w:szCs w:val="13"/>
                <w:color w:val="0000EE"/>
              </w:rPr>
              <w:t>OTE AND</w:t>
            </w:r>
            <w:r>
              <w:rPr>
                <w:rFonts w:ascii="Arial" w:cs="Arial" w:eastAsia="Arial" w:hAnsi="Arial"/>
                <w:sz w:val="16"/>
                <w:szCs w:val="16"/>
                <w:color w:val="0000EE"/>
              </w:rPr>
              <w:t xml:space="preserve"> R</w:t>
            </w:r>
            <w:r>
              <w:rPr>
                <w:rFonts w:ascii="Arial" w:cs="Arial" w:eastAsia="Arial" w:hAnsi="Arial"/>
                <w:sz w:val="13"/>
                <w:szCs w:val="13"/>
                <w:color w:val="0000EE"/>
              </w:rPr>
              <w:t>ECOMMENDATION OF THE</w:t>
            </w:r>
            <w:r>
              <w:rPr>
                <w:rFonts w:ascii="Arial" w:cs="Arial" w:eastAsia="Arial" w:hAnsi="Arial"/>
                <w:sz w:val="16"/>
                <w:szCs w:val="16"/>
                <w:color w:val="0000EE"/>
              </w:rPr>
              <w:t xml:space="preserve"> B</w:t>
            </w:r>
            <w:r>
              <w:rPr>
                <w:rFonts w:ascii="Arial" w:cs="Arial" w:eastAsia="Arial" w:hAnsi="Arial"/>
                <w:sz w:val="13"/>
                <w:szCs w:val="13"/>
                <w:color w:val="0000EE"/>
              </w:rPr>
              <w:t>OARD</w:t>
            </w:r>
          </w:p>
        </w:tc>
        <w:tc>
          <w:tcPr>
            <w:tcW w:w="860" w:type="dxa"/>
            <w:vAlign w:val="bottom"/>
          </w:tcPr>
          <w:p>
            <w:pPr>
              <w:jc w:val="right"/>
              <w:spacing w:after="0"/>
              <w:rPr>
                <w:sz w:val="20"/>
                <w:szCs w:val="20"/>
                <w:color w:val="auto"/>
              </w:rPr>
            </w:pPr>
            <w:r>
              <w:rPr>
                <w:rFonts w:ascii="Arial" w:cs="Arial" w:eastAsia="Arial" w:hAnsi="Arial"/>
                <w:sz w:val="16"/>
                <w:szCs w:val="16"/>
                <w:color w:val="002060"/>
              </w:rPr>
              <w:t>83</w:t>
            </w:r>
          </w:p>
        </w:tc>
      </w:tr>
      <w:tr>
        <w:trPr>
          <w:trHeight w:val="250"/>
        </w:trPr>
        <w:tc>
          <w:tcPr>
            <w:tcW w:w="3940" w:type="dxa"/>
            <w:vAlign w:val="bottom"/>
            <w:tcBorders>
              <w:top w:val="single" w:sz="8" w:color="0000EE"/>
            </w:tcBorders>
            <w:gridSpan w:val="24"/>
          </w:tcPr>
          <w:p>
            <w:pPr>
              <w:spacing w:after="0"/>
              <w:rPr>
                <w:sz w:val="20"/>
                <w:szCs w:val="20"/>
                <w:color w:val="auto"/>
              </w:rPr>
            </w:pPr>
            <w:r>
              <w:rPr>
                <w:rFonts w:ascii="Arial" w:cs="Arial" w:eastAsia="Arial" w:hAnsi="Arial"/>
                <w:sz w:val="18"/>
                <w:szCs w:val="18"/>
                <w:color w:val="0000EE"/>
              </w:rPr>
              <w:t>STOCK OWNERSHIP INFORMATION</w:t>
            </w:r>
          </w:p>
        </w:tc>
        <w:tc>
          <w:tcPr>
            <w:tcW w:w="6160" w:type="dxa"/>
            <w:vAlign w:val="bottom"/>
            <w:gridSpan w:val="13"/>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70C0"/>
              </w:rPr>
              <w:t>84</w:t>
            </w:r>
          </w:p>
        </w:tc>
      </w:tr>
      <w:tr>
        <w:trPr>
          <w:trHeight w:val="264"/>
        </w:trPr>
        <w:tc>
          <w:tcPr>
            <w:tcW w:w="3060" w:type="dxa"/>
            <w:vAlign w:val="bottom"/>
            <w:tcBorders>
              <w:top w:val="single" w:sz="8" w:color="0000EE"/>
            </w:tcBorders>
            <w:gridSpan w:val="22"/>
          </w:tcPr>
          <w:p>
            <w:pPr>
              <w:spacing w:after="0"/>
              <w:rPr>
                <w:sz w:val="20"/>
                <w:szCs w:val="20"/>
                <w:color w:val="auto"/>
              </w:rPr>
            </w:pPr>
            <w:r>
              <w:rPr>
                <w:rFonts w:ascii="Arial" w:cs="Arial" w:eastAsia="Arial" w:hAnsi="Arial"/>
                <w:sz w:val="16"/>
                <w:szCs w:val="16"/>
                <w:color w:val="0000EE"/>
              </w:rPr>
              <w:t>S</w:t>
            </w:r>
            <w:r>
              <w:rPr>
                <w:rFonts w:ascii="Arial" w:cs="Arial" w:eastAsia="Arial" w:hAnsi="Arial"/>
                <w:sz w:val="13"/>
                <w:szCs w:val="13"/>
                <w:color w:val="0000EE"/>
              </w:rPr>
              <w:t>TOCK</w:t>
            </w:r>
            <w:r>
              <w:rPr>
                <w:rFonts w:ascii="Arial" w:cs="Arial" w:eastAsia="Arial" w:hAnsi="Arial"/>
                <w:sz w:val="16"/>
                <w:szCs w:val="16"/>
                <w:color w:val="0000EE"/>
              </w:rPr>
              <w:t xml:space="preserve"> O</w:t>
            </w:r>
            <w:r>
              <w:rPr>
                <w:rFonts w:ascii="Arial" w:cs="Arial" w:eastAsia="Arial" w:hAnsi="Arial"/>
                <w:sz w:val="13"/>
                <w:szCs w:val="13"/>
                <w:color w:val="0000EE"/>
              </w:rPr>
              <w:t>WNERSHIP</w:t>
            </w:r>
            <w:r>
              <w:rPr>
                <w:rFonts w:ascii="Arial" w:cs="Arial" w:eastAsia="Arial" w:hAnsi="Arial"/>
                <w:sz w:val="16"/>
                <w:szCs w:val="16"/>
                <w:color w:val="0000EE"/>
              </w:rPr>
              <w:t xml:space="preserve"> T</w:t>
            </w:r>
            <w:r>
              <w:rPr>
                <w:rFonts w:ascii="Arial" w:cs="Arial" w:eastAsia="Arial" w:hAnsi="Arial"/>
                <w:sz w:val="13"/>
                <w:szCs w:val="13"/>
                <w:color w:val="0000EE"/>
              </w:rPr>
              <w:t>ABLE</w:t>
            </w:r>
          </w:p>
        </w:tc>
        <w:tc>
          <w:tcPr>
            <w:tcW w:w="7040" w:type="dxa"/>
            <w:vAlign w:val="bottom"/>
            <w:gridSpan w:val="15"/>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002060"/>
              </w:rPr>
              <w:t>84</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100" w:type="dxa"/>
            <w:vAlign w:val="bottom"/>
            <w:gridSpan w:val="37"/>
          </w:tcPr>
          <w:p>
            <w:pPr>
              <w:spacing w:after="0"/>
              <w:rPr>
                <w:sz w:val="20"/>
                <w:szCs w:val="20"/>
                <w:color w:val="auto"/>
              </w:rPr>
            </w:pPr>
            <w:r>
              <w:rPr>
                <w:rFonts w:ascii="Arial" w:cs="Arial" w:eastAsia="Arial" w:hAnsi="Arial"/>
                <w:sz w:val="16"/>
                <w:szCs w:val="16"/>
                <w:color w:val="0000EE"/>
              </w:rPr>
              <w:t>S</w:t>
            </w:r>
            <w:r>
              <w:rPr>
                <w:rFonts w:ascii="Arial" w:cs="Arial" w:eastAsia="Arial" w:hAnsi="Arial"/>
                <w:sz w:val="13"/>
                <w:szCs w:val="13"/>
                <w:color w:val="0000EE"/>
              </w:rPr>
              <w:t>ECURITIES</w:t>
            </w:r>
            <w:r>
              <w:rPr>
                <w:rFonts w:ascii="Arial" w:cs="Arial" w:eastAsia="Arial" w:hAnsi="Arial"/>
                <w:sz w:val="16"/>
                <w:szCs w:val="16"/>
                <w:color w:val="0000EE"/>
              </w:rPr>
              <w:t xml:space="preserve"> A</w:t>
            </w:r>
            <w:r>
              <w:rPr>
                <w:rFonts w:ascii="Arial" w:cs="Arial" w:eastAsia="Arial" w:hAnsi="Arial"/>
                <w:sz w:val="13"/>
                <w:szCs w:val="13"/>
                <w:color w:val="0000EE"/>
              </w:rPr>
              <w:t>UTHORIZED FOR</w:t>
            </w:r>
            <w:r>
              <w:rPr>
                <w:rFonts w:ascii="Arial" w:cs="Arial" w:eastAsia="Arial" w:hAnsi="Arial"/>
                <w:sz w:val="16"/>
                <w:szCs w:val="16"/>
                <w:color w:val="0000EE"/>
              </w:rPr>
              <w:t xml:space="preserve"> I</w:t>
            </w:r>
            <w:r>
              <w:rPr>
                <w:rFonts w:ascii="Arial" w:cs="Arial" w:eastAsia="Arial" w:hAnsi="Arial"/>
                <w:sz w:val="13"/>
                <w:szCs w:val="13"/>
                <w:color w:val="0000EE"/>
              </w:rPr>
              <w:t>SSUANCE</w:t>
            </w:r>
            <w:r>
              <w:rPr>
                <w:rFonts w:ascii="Arial" w:cs="Arial" w:eastAsia="Arial" w:hAnsi="Arial"/>
                <w:sz w:val="16"/>
                <w:szCs w:val="16"/>
                <w:color w:val="0000EE"/>
              </w:rPr>
              <w:t xml:space="preserve"> U</w:t>
            </w:r>
            <w:r>
              <w:rPr>
                <w:rFonts w:ascii="Arial" w:cs="Arial" w:eastAsia="Arial" w:hAnsi="Arial"/>
                <w:sz w:val="13"/>
                <w:szCs w:val="13"/>
                <w:color w:val="0000EE"/>
              </w:rPr>
              <w:t>NDER</w:t>
            </w:r>
            <w:r>
              <w:rPr>
                <w:rFonts w:ascii="Arial" w:cs="Arial" w:eastAsia="Arial" w:hAnsi="Arial"/>
                <w:sz w:val="16"/>
                <w:szCs w:val="16"/>
                <w:color w:val="0000EE"/>
              </w:rPr>
              <w:t xml:space="preserve"> E</w:t>
            </w:r>
            <w:r>
              <w:rPr>
                <w:rFonts w:ascii="Arial" w:cs="Arial" w:eastAsia="Arial" w:hAnsi="Arial"/>
                <w:sz w:val="13"/>
                <w:szCs w:val="13"/>
                <w:color w:val="0000EE"/>
              </w:rPr>
              <w:t>QUITY</w:t>
            </w:r>
            <w:r>
              <w:rPr>
                <w:rFonts w:ascii="Arial" w:cs="Arial" w:eastAsia="Arial" w:hAnsi="Arial"/>
                <w:sz w:val="16"/>
                <w:szCs w:val="16"/>
                <w:color w:val="0000EE"/>
              </w:rPr>
              <w:t xml:space="preserve"> C</w:t>
            </w:r>
            <w:r>
              <w:rPr>
                <w:rFonts w:ascii="Arial" w:cs="Arial" w:eastAsia="Arial" w:hAnsi="Arial"/>
                <w:sz w:val="13"/>
                <w:szCs w:val="13"/>
                <w:color w:val="0000EE"/>
              </w:rPr>
              <w:t>OMPENSATION</w:t>
            </w:r>
            <w:r>
              <w:rPr>
                <w:rFonts w:ascii="Arial" w:cs="Arial" w:eastAsia="Arial" w:hAnsi="Arial"/>
                <w:sz w:val="16"/>
                <w:szCs w:val="16"/>
                <w:color w:val="0000EE"/>
              </w:rPr>
              <w:t xml:space="preserve"> P</w:t>
            </w:r>
            <w:r>
              <w:rPr>
                <w:rFonts w:ascii="Arial" w:cs="Arial" w:eastAsia="Arial" w:hAnsi="Arial"/>
                <w:sz w:val="13"/>
                <w:szCs w:val="13"/>
                <w:color w:val="0000EE"/>
              </w:rPr>
              <w:t>LANS</w:t>
            </w:r>
          </w:p>
        </w:tc>
        <w:tc>
          <w:tcPr>
            <w:tcW w:w="860" w:type="dxa"/>
            <w:vAlign w:val="bottom"/>
          </w:tcPr>
          <w:p>
            <w:pPr>
              <w:jc w:val="right"/>
              <w:spacing w:after="0"/>
              <w:rPr>
                <w:sz w:val="20"/>
                <w:szCs w:val="20"/>
                <w:color w:val="auto"/>
              </w:rPr>
            </w:pPr>
            <w:r>
              <w:rPr>
                <w:rFonts w:ascii="Arial" w:cs="Arial" w:eastAsia="Arial" w:hAnsi="Arial"/>
                <w:sz w:val="16"/>
                <w:szCs w:val="16"/>
                <w:color w:val="002060"/>
              </w:rPr>
              <w:t>86</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0100" w:type="dxa"/>
            <w:vAlign w:val="bottom"/>
            <w:gridSpan w:val="37"/>
          </w:tcPr>
          <w:p>
            <w:pPr>
              <w:spacing w:after="0"/>
              <w:rPr>
                <w:sz w:val="20"/>
                <w:szCs w:val="20"/>
                <w:color w:val="auto"/>
              </w:rPr>
            </w:pPr>
            <w:r>
              <w:rPr>
                <w:rFonts w:ascii="Arial" w:cs="Arial" w:eastAsia="Arial" w:hAnsi="Arial"/>
                <w:sz w:val="18"/>
                <w:szCs w:val="18"/>
                <w:color w:val="0000EE"/>
              </w:rPr>
              <w:t>CERTAIN RELATIONSHIPS AND RELATED-PARTY TRANSACTIONS</w:t>
            </w:r>
          </w:p>
        </w:tc>
        <w:tc>
          <w:tcPr>
            <w:tcW w:w="860" w:type="dxa"/>
            <w:vAlign w:val="bottom"/>
          </w:tcPr>
          <w:p>
            <w:pPr>
              <w:jc w:val="right"/>
              <w:spacing w:after="0"/>
              <w:rPr>
                <w:sz w:val="20"/>
                <w:szCs w:val="20"/>
                <w:color w:val="auto"/>
              </w:rPr>
            </w:pPr>
            <w:r>
              <w:rPr>
                <w:rFonts w:ascii="Arial" w:cs="Arial" w:eastAsia="Arial" w:hAnsi="Arial"/>
                <w:sz w:val="18"/>
                <w:szCs w:val="18"/>
                <w:color w:val="0070C0"/>
              </w:rPr>
              <w:t>87</w:t>
            </w:r>
          </w:p>
        </w:tc>
      </w:tr>
      <w:tr>
        <w:trPr>
          <w:trHeight w:val="264"/>
        </w:trPr>
        <w:tc>
          <w:tcPr>
            <w:tcW w:w="5640" w:type="dxa"/>
            <w:vAlign w:val="bottom"/>
            <w:tcBorders>
              <w:top w:val="single" w:sz="8" w:color="0000EE"/>
            </w:tcBorders>
            <w:gridSpan w:val="34"/>
          </w:tcPr>
          <w:p>
            <w:pPr>
              <w:spacing w:after="0"/>
              <w:rPr>
                <w:sz w:val="20"/>
                <w:szCs w:val="20"/>
                <w:color w:val="auto"/>
              </w:rPr>
            </w:pPr>
            <w:r>
              <w:rPr>
                <w:rFonts w:ascii="Arial" w:cs="Arial" w:eastAsia="Arial" w:hAnsi="Arial"/>
                <w:sz w:val="16"/>
                <w:szCs w:val="16"/>
                <w:color w:val="0000EE"/>
              </w:rPr>
              <w:t>A</w:t>
            </w:r>
            <w:r>
              <w:rPr>
                <w:rFonts w:ascii="Arial" w:cs="Arial" w:eastAsia="Arial" w:hAnsi="Arial"/>
                <w:sz w:val="13"/>
                <w:szCs w:val="13"/>
                <w:color w:val="0000EE"/>
              </w:rPr>
              <w:t>FFILIATE</w:t>
            </w:r>
            <w:r>
              <w:rPr>
                <w:rFonts w:ascii="Arial" w:cs="Arial" w:eastAsia="Arial" w:hAnsi="Arial"/>
                <w:sz w:val="16"/>
                <w:szCs w:val="16"/>
                <w:color w:val="0000EE"/>
              </w:rPr>
              <w:t xml:space="preserve"> S</w:t>
            </w:r>
            <w:r>
              <w:rPr>
                <w:rFonts w:ascii="Arial" w:cs="Arial" w:eastAsia="Arial" w:hAnsi="Arial"/>
                <w:sz w:val="13"/>
                <w:szCs w:val="13"/>
                <w:color w:val="0000EE"/>
              </w:rPr>
              <w:t>ALES</w:t>
            </w:r>
          </w:p>
        </w:tc>
        <w:tc>
          <w:tcPr>
            <w:tcW w:w="4460" w:type="dxa"/>
            <w:vAlign w:val="bottom"/>
            <w:gridSpan w:val="3"/>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002060"/>
              </w:rPr>
              <w:t>87</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rPr>
              <w:t>R</w:t>
            </w:r>
            <w:r>
              <w:rPr>
                <w:rFonts w:ascii="Arial" w:cs="Arial" w:eastAsia="Arial" w:hAnsi="Arial"/>
                <w:sz w:val="13"/>
                <w:szCs w:val="13"/>
                <w:color w:val="0000EE"/>
              </w:rPr>
              <w:t>EAL</w:t>
            </w:r>
            <w:r>
              <w:rPr>
                <w:rFonts w:ascii="Arial" w:cs="Arial" w:eastAsia="Arial" w:hAnsi="Arial"/>
                <w:sz w:val="16"/>
                <w:szCs w:val="16"/>
                <w:color w:val="0000EE"/>
              </w:rPr>
              <w:t xml:space="preserve"> P</w:t>
            </w:r>
            <w:r>
              <w:rPr>
                <w:rFonts w:ascii="Arial" w:cs="Arial" w:eastAsia="Arial" w:hAnsi="Arial"/>
                <w:sz w:val="13"/>
                <w:szCs w:val="13"/>
                <w:color w:val="0000EE"/>
              </w:rPr>
              <w:t>ROPERTY</w:t>
            </w:r>
            <w:r>
              <w:rPr>
                <w:rFonts w:ascii="Arial" w:cs="Arial" w:eastAsia="Arial" w:hAnsi="Arial"/>
                <w:sz w:val="16"/>
                <w:szCs w:val="16"/>
                <w:color w:val="0000EE"/>
              </w:rPr>
              <w:t xml:space="preserve"> L</w:t>
            </w:r>
            <w:r>
              <w:rPr>
                <w:rFonts w:ascii="Arial" w:cs="Arial" w:eastAsia="Arial" w:hAnsi="Arial"/>
                <w:sz w:val="13"/>
                <w:szCs w:val="13"/>
                <w:color w:val="0000EE"/>
              </w:rPr>
              <w:t>EASES</w:t>
            </w:r>
          </w:p>
        </w:tc>
        <w:tc>
          <w:tcPr>
            <w:tcW w:w="8340" w:type="dxa"/>
            <w:vAlign w:val="bottom"/>
            <w:gridSpan w:val="29"/>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002060"/>
              </w:rPr>
              <w:t>87</w:t>
            </w:r>
          </w:p>
        </w:tc>
      </w:tr>
      <w:tr>
        <w:trPr>
          <w:trHeight w:val="196"/>
        </w:trPr>
        <w:tc>
          <w:tcPr>
            <w:tcW w:w="10100" w:type="dxa"/>
            <w:vAlign w:val="bottom"/>
            <w:gridSpan w:val="37"/>
          </w:tcPr>
          <w:p>
            <w:pPr>
              <w:spacing w:after="0"/>
              <w:rPr>
                <w:sz w:val="20"/>
                <w:szCs w:val="20"/>
                <w:color w:val="auto"/>
              </w:rPr>
            </w:pPr>
            <w:r>
              <w:rPr>
                <w:rFonts w:ascii="Arial" w:cs="Arial" w:eastAsia="Arial" w:hAnsi="Arial"/>
                <w:sz w:val="16"/>
                <w:szCs w:val="16"/>
                <w:color w:val="0000EE"/>
              </w:rPr>
              <w:t>E</w:t>
            </w:r>
            <w:r>
              <w:rPr>
                <w:rFonts w:ascii="Arial" w:cs="Arial" w:eastAsia="Arial" w:hAnsi="Arial"/>
                <w:sz w:val="13"/>
                <w:szCs w:val="13"/>
                <w:color w:val="0000EE"/>
              </w:rPr>
              <w:t>STIMATING</w:t>
            </w:r>
            <w:r>
              <w:rPr>
                <w:rFonts w:ascii="Arial" w:cs="Arial" w:eastAsia="Arial" w:hAnsi="Arial"/>
                <w:sz w:val="16"/>
                <w:szCs w:val="16"/>
                <w:color w:val="0000EE"/>
              </w:rPr>
              <w:t xml:space="preserve"> A</w:t>
            </w:r>
            <w:r>
              <w:rPr>
                <w:rFonts w:ascii="Arial" w:cs="Arial" w:eastAsia="Arial" w:hAnsi="Arial"/>
                <w:sz w:val="13"/>
                <w:szCs w:val="13"/>
                <w:color w:val="0000EE"/>
              </w:rPr>
              <w:t>GREEMENT</w:t>
            </w:r>
          </w:p>
        </w:tc>
        <w:tc>
          <w:tcPr>
            <w:tcW w:w="860" w:type="dxa"/>
            <w:vAlign w:val="bottom"/>
          </w:tcPr>
          <w:p>
            <w:pPr>
              <w:jc w:val="right"/>
              <w:spacing w:after="0"/>
              <w:rPr>
                <w:sz w:val="20"/>
                <w:szCs w:val="20"/>
                <w:color w:val="auto"/>
              </w:rPr>
            </w:pPr>
            <w:r>
              <w:rPr>
                <w:rFonts w:ascii="Arial" w:cs="Arial" w:eastAsia="Arial" w:hAnsi="Arial"/>
                <w:sz w:val="16"/>
                <w:szCs w:val="16"/>
                <w:color w:val="002060"/>
              </w:rPr>
              <w:t>87</w:t>
            </w:r>
          </w:p>
        </w:tc>
      </w:tr>
      <w:tr>
        <w:trPr>
          <w:trHeight w:val="196"/>
        </w:trPr>
        <w:tc>
          <w:tcPr>
            <w:tcW w:w="1740" w:type="dxa"/>
            <w:vAlign w:val="bottom"/>
            <w:tcBorders>
              <w:top w:val="single" w:sz="8" w:color="0000EE"/>
            </w:tcBorders>
            <w:gridSpan w:val="7"/>
          </w:tcPr>
          <w:p>
            <w:pPr>
              <w:spacing w:after="0"/>
              <w:rPr>
                <w:sz w:val="20"/>
                <w:szCs w:val="20"/>
                <w:color w:val="auto"/>
              </w:rPr>
            </w:pPr>
            <w:r>
              <w:rPr>
                <w:rFonts w:ascii="Arial" w:cs="Arial" w:eastAsia="Arial" w:hAnsi="Arial"/>
                <w:sz w:val="16"/>
                <w:szCs w:val="16"/>
                <w:color w:val="0000EE"/>
              </w:rPr>
              <w:t>A</w:t>
            </w:r>
            <w:r>
              <w:rPr>
                <w:rFonts w:ascii="Arial" w:cs="Arial" w:eastAsia="Arial" w:hAnsi="Arial"/>
                <w:sz w:val="13"/>
                <w:szCs w:val="13"/>
                <w:color w:val="0000EE"/>
              </w:rPr>
              <w:t>IRCRAFT</w:t>
            </w:r>
            <w:r>
              <w:rPr>
                <w:rFonts w:ascii="Arial" w:cs="Arial" w:eastAsia="Arial" w:hAnsi="Arial"/>
                <w:sz w:val="16"/>
                <w:szCs w:val="16"/>
                <w:color w:val="0000EE"/>
              </w:rPr>
              <w:t xml:space="preserve"> L</w:t>
            </w:r>
            <w:r>
              <w:rPr>
                <w:rFonts w:ascii="Arial" w:cs="Arial" w:eastAsia="Arial" w:hAnsi="Arial"/>
                <w:sz w:val="13"/>
                <w:szCs w:val="13"/>
                <w:color w:val="0000EE"/>
              </w:rPr>
              <w:t>EASE</w:t>
            </w:r>
          </w:p>
        </w:tc>
        <w:tc>
          <w:tcPr>
            <w:tcW w:w="8360" w:type="dxa"/>
            <w:vAlign w:val="bottom"/>
            <w:gridSpan w:val="30"/>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002060"/>
              </w:rPr>
              <w:t>87</w:t>
            </w:r>
          </w:p>
        </w:tc>
      </w:tr>
      <w:tr>
        <w:trPr>
          <w:trHeight w:val="20"/>
        </w:trPr>
        <w:tc>
          <w:tcPr>
            <w:tcW w:w="118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100" w:type="dxa"/>
            <w:vAlign w:val="bottom"/>
            <w:gridSpan w:val="37"/>
          </w:tcPr>
          <w:p>
            <w:pPr>
              <w:spacing w:after="0"/>
              <w:rPr>
                <w:sz w:val="20"/>
                <w:szCs w:val="20"/>
                <w:color w:val="auto"/>
              </w:rPr>
            </w:pPr>
            <w:r>
              <w:rPr>
                <w:rFonts w:ascii="Arial" w:cs="Arial" w:eastAsia="Arial" w:hAnsi="Arial"/>
                <w:sz w:val="16"/>
                <w:szCs w:val="16"/>
                <w:color w:val="0000EE"/>
              </w:rPr>
              <w:t>P</w:t>
            </w:r>
            <w:r>
              <w:rPr>
                <w:rFonts w:ascii="Arial" w:cs="Arial" w:eastAsia="Arial" w:hAnsi="Arial"/>
                <w:sz w:val="13"/>
                <w:szCs w:val="13"/>
                <w:color w:val="0000EE"/>
              </w:rPr>
              <w:t>OLICIES AND</w:t>
            </w:r>
            <w:r>
              <w:rPr>
                <w:rFonts w:ascii="Arial" w:cs="Arial" w:eastAsia="Arial" w:hAnsi="Arial"/>
                <w:sz w:val="16"/>
                <w:szCs w:val="16"/>
                <w:color w:val="0000EE"/>
              </w:rPr>
              <w:t xml:space="preserve"> P</w:t>
            </w:r>
            <w:r>
              <w:rPr>
                <w:rFonts w:ascii="Arial" w:cs="Arial" w:eastAsia="Arial" w:hAnsi="Arial"/>
                <w:sz w:val="13"/>
                <w:szCs w:val="13"/>
                <w:color w:val="0000EE"/>
              </w:rPr>
              <w:t>ROCEDURES FOR</w:t>
            </w:r>
            <w:r>
              <w:rPr>
                <w:rFonts w:ascii="Arial" w:cs="Arial" w:eastAsia="Arial" w:hAnsi="Arial"/>
                <w:sz w:val="16"/>
                <w:szCs w:val="16"/>
                <w:color w:val="0000EE"/>
              </w:rPr>
              <w:t xml:space="preserve"> R</w:t>
            </w:r>
            <w:r>
              <w:rPr>
                <w:rFonts w:ascii="Arial" w:cs="Arial" w:eastAsia="Arial" w:hAnsi="Arial"/>
                <w:sz w:val="13"/>
                <w:szCs w:val="13"/>
                <w:color w:val="0000EE"/>
              </w:rPr>
              <w:t>ELATED</w:t>
            </w:r>
            <w:r>
              <w:rPr>
                <w:rFonts w:ascii="Arial" w:cs="Arial" w:eastAsia="Arial" w:hAnsi="Arial"/>
                <w:sz w:val="16"/>
                <w:szCs w:val="16"/>
                <w:color w:val="0000EE"/>
              </w:rPr>
              <w:t>-P</w:t>
            </w:r>
            <w:r>
              <w:rPr>
                <w:rFonts w:ascii="Arial" w:cs="Arial" w:eastAsia="Arial" w:hAnsi="Arial"/>
                <w:sz w:val="13"/>
                <w:szCs w:val="13"/>
                <w:color w:val="0000EE"/>
              </w:rPr>
              <w:t>ARTY</w:t>
            </w:r>
            <w:r>
              <w:rPr>
                <w:rFonts w:ascii="Arial" w:cs="Arial" w:eastAsia="Arial" w:hAnsi="Arial"/>
                <w:sz w:val="16"/>
                <w:szCs w:val="16"/>
                <w:color w:val="0000EE"/>
              </w:rPr>
              <w:t xml:space="preserve"> T</w:t>
            </w:r>
            <w:r>
              <w:rPr>
                <w:rFonts w:ascii="Arial" w:cs="Arial" w:eastAsia="Arial" w:hAnsi="Arial"/>
                <w:sz w:val="13"/>
                <w:szCs w:val="13"/>
                <w:color w:val="0000EE"/>
              </w:rPr>
              <w:t>RANSACTIONS</w:t>
            </w:r>
          </w:p>
        </w:tc>
        <w:tc>
          <w:tcPr>
            <w:tcW w:w="860" w:type="dxa"/>
            <w:vAlign w:val="bottom"/>
          </w:tcPr>
          <w:p>
            <w:pPr>
              <w:jc w:val="right"/>
              <w:spacing w:after="0"/>
              <w:rPr>
                <w:sz w:val="20"/>
                <w:szCs w:val="20"/>
                <w:color w:val="auto"/>
              </w:rPr>
            </w:pPr>
            <w:r>
              <w:rPr>
                <w:rFonts w:ascii="Arial" w:cs="Arial" w:eastAsia="Arial" w:hAnsi="Arial"/>
                <w:sz w:val="16"/>
                <w:szCs w:val="16"/>
                <w:color w:val="002060"/>
              </w:rPr>
              <w:t>88</w:t>
            </w:r>
          </w:p>
        </w:tc>
      </w:tr>
      <w:tr>
        <w:trPr>
          <w:trHeight w:val="20"/>
        </w:trPr>
        <w:tc>
          <w:tcPr>
            <w:tcW w:w="1520" w:type="dxa"/>
            <w:vAlign w:val="bottom"/>
            <w:gridSpan w:val="6"/>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0100" w:type="dxa"/>
            <w:vAlign w:val="bottom"/>
            <w:gridSpan w:val="37"/>
          </w:tcPr>
          <w:p>
            <w:pPr>
              <w:spacing w:after="0"/>
              <w:rPr>
                <w:sz w:val="20"/>
                <w:szCs w:val="20"/>
                <w:color w:val="auto"/>
              </w:rPr>
            </w:pPr>
            <w:r>
              <w:rPr>
                <w:rFonts w:ascii="Arial" w:cs="Arial" w:eastAsia="Arial" w:hAnsi="Arial"/>
                <w:sz w:val="18"/>
                <w:szCs w:val="18"/>
                <w:color w:val="0000EE"/>
              </w:rPr>
              <w:t>STOCKHOLDER PROPOSALS FOR THE 2024 ANNUAL MEETING</w:t>
            </w:r>
          </w:p>
        </w:tc>
        <w:tc>
          <w:tcPr>
            <w:tcW w:w="860" w:type="dxa"/>
            <w:vAlign w:val="bottom"/>
          </w:tcPr>
          <w:p>
            <w:pPr>
              <w:jc w:val="right"/>
              <w:spacing w:after="0"/>
              <w:rPr>
                <w:sz w:val="20"/>
                <w:szCs w:val="20"/>
                <w:color w:val="auto"/>
              </w:rPr>
            </w:pPr>
            <w:r>
              <w:rPr>
                <w:rFonts w:ascii="Arial" w:cs="Arial" w:eastAsia="Arial" w:hAnsi="Arial"/>
                <w:sz w:val="18"/>
                <w:szCs w:val="18"/>
                <w:color w:val="0070C0"/>
              </w:rPr>
              <w:t>90</w:t>
            </w:r>
          </w:p>
        </w:tc>
      </w:tr>
      <w:tr>
        <w:trPr>
          <w:trHeight w:val="318"/>
        </w:trPr>
        <w:tc>
          <w:tcPr>
            <w:tcW w:w="238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98"/>
              </w:rPr>
              <w:t>ADDITIONAL INFORMATION</w:t>
            </w:r>
          </w:p>
        </w:tc>
        <w:tc>
          <w:tcPr>
            <w:tcW w:w="3080" w:type="dxa"/>
            <w:vAlign w:val="bottom"/>
            <w:tcBorders>
              <w:top w:val="single" w:sz="8" w:color="0000EE"/>
            </w:tcBorders>
            <w:gridSpan w:val="15"/>
          </w:tcPr>
          <w:p>
            <w:pPr>
              <w:spacing w:after="0"/>
              <w:rPr>
                <w:sz w:val="24"/>
                <w:szCs w:val="24"/>
                <w:color w:val="auto"/>
              </w:rPr>
            </w:pPr>
          </w:p>
        </w:tc>
        <w:tc>
          <w:tcPr>
            <w:tcW w:w="464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70C0"/>
              </w:rPr>
              <w:t>91</w:t>
            </w:r>
          </w:p>
        </w:tc>
      </w:tr>
      <w:tr>
        <w:trPr>
          <w:trHeight w:val="263"/>
        </w:trPr>
        <w:tc>
          <w:tcPr>
            <w:tcW w:w="10100" w:type="dxa"/>
            <w:vAlign w:val="bottom"/>
            <w:gridSpan w:val="37"/>
          </w:tcPr>
          <w:p>
            <w:pPr>
              <w:spacing w:after="0"/>
              <w:rPr>
                <w:sz w:val="20"/>
                <w:szCs w:val="20"/>
                <w:color w:val="auto"/>
              </w:rPr>
            </w:pPr>
            <w:r>
              <w:rPr>
                <w:rFonts w:ascii="Arial" w:cs="Arial" w:eastAsia="Arial" w:hAnsi="Arial"/>
                <w:sz w:val="16"/>
                <w:szCs w:val="16"/>
                <w:color w:val="0000EE"/>
              </w:rPr>
              <w:t>H</w:t>
            </w:r>
            <w:r>
              <w:rPr>
                <w:rFonts w:ascii="Arial" w:cs="Arial" w:eastAsia="Arial" w:hAnsi="Arial"/>
                <w:sz w:val="13"/>
                <w:szCs w:val="13"/>
                <w:color w:val="0000EE"/>
              </w:rPr>
              <w:t>OUSEHOLDING OF</w:t>
            </w:r>
            <w:r>
              <w:rPr>
                <w:rFonts w:ascii="Arial" w:cs="Arial" w:eastAsia="Arial" w:hAnsi="Arial"/>
                <w:sz w:val="16"/>
                <w:szCs w:val="16"/>
                <w:color w:val="0000EE"/>
              </w:rPr>
              <w:t xml:space="preserve"> P</w:t>
            </w:r>
            <w:r>
              <w:rPr>
                <w:rFonts w:ascii="Arial" w:cs="Arial" w:eastAsia="Arial" w:hAnsi="Arial"/>
                <w:sz w:val="13"/>
                <w:szCs w:val="13"/>
                <w:color w:val="0000EE"/>
              </w:rPr>
              <w:t>ROXY</w:t>
            </w:r>
            <w:r>
              <w:rPr>
                <w:rFonts w:ascii="Arial" w:cs="Arial" w:eastAsia="Arial" w:hAnsi="Arial"/>
                <w:sz w:val="16"/>
                <w:szCs w:val="16"/>
                <w:color w:val="0000EE"/>
              </w:rPr>
              <w:t xml:space="preserve"> M</w:t>
            </w:r>
            <w:r>
              <w:rPr>
                <w:rFonts w:ascii="Arial" w:cs="Arial" w:eastAsia="Arial" w:hAnsi="Arial"/>
                <w:sz w:val="13"/>
                <w:szCs w:val="13"/>
                <w:color w:val="0000EE"/>
              </w:rPr>
              <w:t>ATERIALS</w:t>
            </w:r>
          </w:p>
        </w:tc>
        <w:tc>
          <w:tcPr>
            <w:tcW w:w="860" w:type="dxa"/>
            <w:vAlign w:val="bottom"/>
          </w:tcPr>
          <w:p>
            <w:pPr>
              <w:jc w:val="right"/>
              <w:spacing w:after="0"/>
              <w:rPr>
                <w:sz w:val="20"/>
                <w:szCs w:val="20"/>
                <w:color w:val="auto"/>
              </w:rPr>
            </w:pPr>
            <w:r>
              <w:rPr>
                <w:rFonts w:ascii="Arial" w:cs="Arial" w:eastAsia="Arial" w:hAnsi="Arial"/>
                <w:sz w:val="16"/>
                <w:szCs w:val="16"/>
                <w:color w:val="002060"/>
              </w:rPr>
              <w:t>91</w:t>
            </w:r>
          </w:p>
        </w:tc>
      </w:tr>
      <w:tr>
        <w:trPr>
          <w:trHeight w:val="196"/>
        </w:trPr>
        <w:tc>
          <w:tcPr>
            <w:tcW w:w="226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6"/>
                <w:szCs w:val="16"/>
                <w:color w:val="0000EE"/>
              </w:rPr>
              <w:t>I</w:t>
            </w:r>
            <w:r>
              <w:rPr>
                <w:rFonts w:ascii="Arial" w:cs="Arial" w:eastAsia="Arial" w:hAnsi="Arial"/>
                <w:sz w:val="13"/>
                <w:szCs w:val="13"/>
                <w:color w:val="0000EE"/>
              </w:rPr>
              <w:t>NCORPORATION BY</w:t>
            </w:r>
            <w:r>
              <w:rPr>
                <w:rFonts w:ascii="Arial" w:cs="Arial" w:eastAsia="Arial" w:hAnsi="Arial"/>
                <w:sz w:val="16"/>
                <w:szCs w:val="16"/>
                <w:color w:val="0000EE"/>
              </w:rPr>
              <w:t xml:space="preserve"> R</w:t>
            </w:r>
            <w:r>
              <w:rPr>
                <w:rFonts w:ascii="Arial" w:cs="Arial" w:eastAsia="Arial" w:hAnsi="Arial"/>
                <w:sz w:val="13"/>
                <w:szCs w:val="13"/>
                <w:color w:val="0000EE"/>
              </w:rPr>
              <w:t>EFERENCE</w:t>
            </w:r>
          </w:p>
        </w:tc>
        <w:tc>
          <w:tcPr>
            <w:tcW w:w="440" w:type="dxa"/>
            <w:vAlign w:val="bottom"/>
            <w:tcBorders>
              <w:top w:val="single" w:sz="8" w:color="0000EE"/>
            </w:tcBorders>
            <w:gridSpan w:val="5"/>
          </w:tcPr>
          <w:p>
            <w:pPr>
              <w:spacing w:after="0"/>
              <w:rPr>
                <w:sz w:val="17"/>
                <w:szCs w:val="17"/>
                <w:color w:val="auto"/>
              </w:rPr>
            </w:pPr>
          </w:p>
        </w:tc>
        <w:tc>
          <w:tcPr>
            <w:tcW w:w="7400" w:type="dxa"/>
            <w:vAlign w:val="bottom"/>
            <w:gridSpan w:val="19"/>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002060"/>
              </w:rPr>
              <w:t>91</w:t>
            </w:r>
          </w:p>
        </w:tc>
      </w:tr>
      <w:tr>
        <w:trPr>
          <w:trHeight w:val="196"/>
        </w:trPr>
        <w:tc>
          <w:tcPr>
            <w:tcW w:w="10100" w:type="dxa"/>
            <w:vAlign w:val="bottom"/>
            <w:gridSpan w:val="37"/>
          </w:tcPr>
          <w:p>
            <w:pPr>
              <w:spacing w:after="0"/>
              <w:rPr>
                <w:sz w:val="20"/>
                <w:szCs w:val="20"/>
                <w:color w:val="auto"/>
              </w:rPr>
            </w:pPr>
            <w:r>
              <w:rPr>
                <w:rFonts w:ascii="Arial" w:cs="Arial" w:eastAsia="Arial" w:hAnsi="Arial"/>
                <w:sz w:val="16"/>
                <w:szCs w:val="16"/>
                <w:color w:val="0000EE"/>
              </w:rPr>
              <w:t>F</w:t>
            </w:r>
            <w:r>
              <w:rPr>
                <w:rFonts w:ascii="Arial" w:cs="Arial" w:eastAsia="Arial" w:hAnsi="Arial"/>
                <w:sz w:val="13"/>
                <w:szCs w:val="13"/>
                <w:color w:val="0000EE"/>
              </w:rPr>
              <w:t>ORWARD</w:t>
            </w:r>
            <w:r>
              <w:rPr>
                <w:rFonts w:ascii="Arial" w:cs="Arial" w:eastAsia="Arial" w:hAnsi="Arial"/>
                <w:sz w:val="16"/>
                <w:szCs w:val="16"/>
                <w:color w:val="0000EE"/>
              </w:rPr>
              <w:t xml:space="preserve"> L</w:t>
            </w:r>
            <w:r>
              <w:rPr>
                <w:rFonts w:ascii="Arial" w:cs="Arial" w:eastAsia="Arial" w:hAnsi="Arial"/>
                <w:sz w:val="13"/>
                <w:szCs w:val="13"/>
                <w:color w:val="0000EE"/>
              </w:rPr>
              <w:t>OOKING</w:t>
            </w:r>
            <w:r>
              <w:rPr>
                <w:rFonts w:ascii="Arial" w:cs="Arial" w:eastAsia="Arial" w:hAnsi="Arial"/>
                <w:sz w:val="16"/>
                <w:szCs w:val="16"/>
                <w:color w:val="0000EE"/>
              </w:rPr>
              <w:t xml:space="preserve"> S</w:t>
            </w:r>
            <w:r>
              <w:rPr>
                <w:rFonts w:ascii="Arial" w:cs="Arial" w:eastAsia="Arial" w:hAnsi="Arial"/>
                <w:sz w:val="13"/>
                <w:szCs w:val="13"/>
                <w:color w:val="0000EE"/>
              </w:rPr>
              <w:t>TATEMENTS</w:t>
            </w:r>
          </w:p>
        </w:tc>
        <w:tc>
          <w:tcPr>
            <w:tcW w:w="860" w:type="dxa"/>
            <w:vAlign w:val="bottom"/>
          </w:tcPr>
          <w:p>
            <w:pPr>
              <w:jc w:val="right"/>
              <w:spacing w:after="0"/>
              <w:rPr>
                <w:sz w:val="20"/>
                <w:szCs w:val="20"/>
                <w:color w:val="auto"/>
              </w:rPr>
            </w:pPr>
            <w:r>
              <w:rPr>
                <w:rFonts w:ascii="Arial" w:cs="Arial" w:eastAsia="Arial" w:hAnsi="Arial"/>
                <w:sz w:val="16"/>
                <w:szCs w:val="16"/>
                <w:color w:val="002060"/>
              </w:rPr>
              <w:t>91</w:t>
            </w:r>
          </w:p>
        </w:tc>
      </w:tr>
      <w:tr>
        <w:trPr>
          <w:trHeight w:val="20"/>
        </w:trPr>
        <w:tc>
          <w:tcPr>
            <w:tcW w:w="1520" w:type="dxa"/>
            <w:vAlign w:val="bottom"/>
            <w:gridSpan w:val="6"/>
            <w:shd w:val="clear" w:color="auto" w:fill="0000EE"/>
          </w:tcPr>
          <w:p>
            <w:pPr>
              <w:spacing w:after="0" w:line="20" w:lineRule="exact"/>
              <w:rPr>
                <w:sz w:val="1"/>
                <w:szCs w:val="1"/>
                <w:color w:val="auto"/>
              </w:rPr>
            </w:pPr>
          </w:p>
        </w:tc>
        <w:tc>
          <w:tcPr>
            <w:tcW w:w="800" w:type="dxa"/>
            <w:vAlign w:val="bottom"/>
            <w:gridSpan w:val="8"/>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100" w:type="dxa"/>
            <w:vAlign w:val="bottom"/>
            <w:gridSpan w:val="37"/>
          </w:tcPr>
          <w:p>
            <w:pPr>
              <w:spacing w:after="0"/>
              <w:rPr>
                <w:sz w:val="20"/>
                <w:szCs w:val="20"/>
                <w:color w:val="auto"/>
              </w:rPr>
            </w:pPr>
            <w:r>
              <w:rPr>
                <w:rFonts w:ascii="Arial" w:cs="Arial" w:eastAsia="Arial" w:hAnsi="Arial"/>
                <w:sz w:val="16"/>
                <w:szCs w:val="16"/>
                <w:color w:val="0000EE"/>
              </w:rPr>
              <w:t>A</w:t>
            </w:r>
            <w:r>
              <w:rPr>
                <w:rFonts w:ascii="Arial" w:cs="Arial" w:eastAsia="Arial" w:hAnsi="Arial"/>
                <w:sz w:val="13"/>
                <w:szCs w:val="13"/>
                <w:color w:val="0000EE"/>
              </w:rPr>
              <w:t>VAILABILITY OF</w:t>
            </w:r>
            <w:r>
              <w:rPr>
                <w:rFonts w:ascii="Arial" w:cs="Arial" w:eastAsia="Arial" w:hAnsi="Arial"/>
                <w:sz w:val="16"/>
                <w:szCs w:val="16"/>
                <w:color w:val="0000EE"/>
              </w:rPr>
              <w:t xml:space="preserve"> SEC F</w:t>
            </w:r>
            <w:r>
              <w:rPr>
                <w:rFonts w:ascii="Arial" w:cs="Arial" w:eastAsia="Arial" w:hAnsi="Arial"/>
                <w:sz w:val="13"/>
                <w:szCs w:val="13"/>
                <w:color w:val="0000EE"/>
              </w:rPr>
              <w:t>ILINGS</w:t>
            </w:r>
            <w:r>
              <w:rPr>
                <w:rFonts w:ascii="Arial" w:cs="Arial" w:eastAsia="Arial" w:hAnsi="Arial"/>
                <w:sz w:val="16"/>
                <w:szCs w:val="16"/>
                <w:color w:val="0000EE"/>
              </w:rPr>
              <w:t>, C</w:t>
            </w:r>
            <w:r>
              <w:rPr>
                <w:rFonts w:ascii="Arial" w:cs="Arial" w:eastAsia="Arial" w:hAnsi="Arial"/>
                <w:sz w:val="13"/>
                <w:szCs w:val="13"/>
                <w:color w:val="0000EE"/>
              </w:rPr>
              <w:t>ODE OF</w:t>
            </w:r>
            <w:r>
              <w:rPr>
                <w:rFonts w:ascii="Arial" w:cs="Arial" w:eastAsia="Arial" w:hAnsi="Arial"/>
                <w:sz w:val="16"/>
                <w:szCs w:val="16"/>
                <w:color w:val="0000EE"/>
              </w:rPr>
              <w:t xml:space="preserve"> E</w:t>
            </w:r>
            <w:r>
              <w:rPr>
                <w:rFonts w:ascii="Arial" w:cs="Arial" w:eastAsia="Arial" w:hAnsi="Arial"/>
                <w:sz w:val="13"/>
                <w:szCs w:val="13"/>
                <w:color w:val="0000EE"/>
              </w:rPr>
              <w:t>THICS AND</w:t>
            </w:r>
            <w:r>
              <w:rPr>
                <w:rFonts w:ascii="Arial" w:cs="Arial" w:eastAsia="Arial" w:hAnsi="Arial"/>
                <w:sz w:val="16"/>
                <w:szCs w:val="16"/>
                <w:color w:val="0000EE"/>
              </w:rPr>
              <w:t xml:space="preserve"> C</w:t>
            </w:r>
            <w:r>
              <w:rPr>
                <w:rFonts w:ascii="Arial" w:cs="Arial" w:eastAsia="Arial" w:hAnsi="Arial"/>
                <w:sz w:val="13"/>
                <w:szCs w:val="13"/>
                <w:color w:val="0000EE"/>
              </w:rPr>
              <w:t>OMMITTEE</w:t>
            </w:r>
            <w:r>
              <w:rPr>
                <w:rFonts w:ascii="Arial" w:cs="Arial" w:eastAsia="Arial" w:hAnsi="Arial"/>
                <w:sz w:val="16"/>
                <w:szCs w:val="16"/>
                <w:color w:val="0000EE"/>
              </w:rPr>
              <w:t xml:space="preserve"> C</w:t>
            </w:r>
            <w:r>
              <w:rPr>
                <w:rFonts w:ascii="Arial" w:cs="Arial" w:eastAsia="Arial" w:hAnsi="Arial"/>
                <w:sz w:val="13"/>
                <w:szCs w:val="13"/>
                <w:color w:val="0000EE"/>
              </w:rPr>
              <w:t>HARTERS</w:t>
            </w:r>
          </w:p>
        </w:tc>
        <w:tc>
          <w:tcPr>
            <w:tcW w:w="860" w:type="dxa"/>
            <w:vAlign w:val="bottom"/>
          </w:tcPr>
          <w:p>
            <w:pPr>
              <w:jc w:val="right"/>
              <w:spacing w:after="0"/>
              <w:rPr>
                <w:sz w:val="20"/>
                <w:szCs w:val="20"/>
                <w:color w:val="auto"/>
              </w:rPr>
            </w:pPr>
            <w:r>
              <w:rPr>
                <w:rFonts w:ascii="Arial" w:cs="Arial" w:eastAsia="Arial" w:hAnsi="Arial"/>
                <w:sz w:val="16"/>
                <w:szCs w:val="16"/>
                <w:color w:val="002060"/>
              </w:rPr>
              <w:t>91</w:t>
            </w:r>
          </w:p>
        </w:tc>
      </w:tr>
      <w:tr>
        <w:trPr>
          <w:trHeight w:val="196"/>
        </w:trPr>
        <w:tc>
          <w:tcPr>
            <w:tcW w:w="5380" w:type="dxa"/>
            <w:vAlign w:val="bottom"/>
            <w:tcBorders>
              <w:top w:val="single" w:sz="8" w:color="0000EE"/>
            </w:tcBorders>
            <w:gridSpan w:val="29"/>
          </w:tcPr>
          <w:p>
            <w:pPr>
              <w:spacing w:after="0"/>
              <w:rPr>
                <w:sz w:val="20"/>
                <w:szCs w:val="20"/>
                <w:color w:val="auto"/>
              </w:rPr>
            </w:pPr>
            <w:r>
              <w:rPr>
                <w:rFonts w:ascii="Arial" w:cs="Arial" w:eastAsia="Arial" w:hAnsi="Arial"/>
                <w:sz w:val="16"/>
                <w:szCs w:val="16"/>
                <w:color w:val="0000EE"/>
              </w:rPr>
              <w:t>U</w:t>
            </w:r>
            <w:r>
              <w:rPr>
                <w:rFonts w:ascii="Arial" w:cs="Arial" w:eastAsia="Arial" w:hAnsi="Arial"/>
                <w:sz w:val="13"/>
                <w:szCs w:val="13"/>
                <w:color w:val="0000EE"/>
              </w:rPr>
              <w:t>SE OF</w:t>
            </w:r>
            <w:r>
              <w:rPr>
                <w:rFonts w:ascii="Arial" w:cs="Arial" w:eastAsia="Arial" w:hAnsi="Arial"/>
                <w:sz w:val="16"/>
                <w:szCs w:val="16"/>
                <w:color w:val="0000EE"/>
              </w:rPr>
              <w:t xml:space="preserve"> N</w:t>
            </w:r>
            <w:r>
              <w:rPr>
                <w:rFonts w:ascii="Arial" w:cs="Arial" w:eastAsia="Arial" w:hAnsi="Arial"/>
                <w:sz w:val="13"/>
                <w:szCs w:val="13"/>
                <w:color w:val="0000EE"/>
              </w:rPr>
              <w:t>ON</w:t>
            </w:r>
            <w:r>
              <w:rPr>
                <w:rFonts w:ascii="Arial" w:cs="Arial" w:eastAsia="Arial" w:hAnsi="Arial"/>
                <w:sz w:val="16"/>
                <w:szCs w:val="16"/>
                <w:color w:val="0000EE"/>
              </w:rPr>
              <w:t>-GAAP F</w:t>
            </w:r>
            <w:r>
              <w:rPr>
                <w:rFonts w:ascii="Arial" w:cs="Arial" w:eastAsia="Arial" w:hAnsi="Arial"/>
                <w:sz w:val="13"/>
                <w:szCs w:val="13"/>
                <w:color w:val="0000EE"/>
              </w:rPr>
              <w:t>INANCIAL</w:t>
            </w:r>
            <w:r>
              <w:rPr>
                <w:rFonts w:ascii="Arial" w:cs="Arial" w:eastAsia="Arial" w:hAnsi="Arial"/>
                <w:sz w:val="16"/>
                <w:szCs w:val="16"/>
                <w:color w:val="0000EE"/>
              </w:rPr>
              <w:t xml:space="preserve"> M</w:t>
            </w:r>
            <w:r>
              <w:rPr>
                <w:rFonts w:ascii="Arial" w:cs="Arial" w:eastAsia="Arial" w:hAnsi="Arial"/>
                <w:sz w:val="13"/>
                <w:szCs w:val="13"/>
                <w:color w:val="0000EE"/>
              </w:rPr>
              <w:t>EASURES</w:t>
            </w:r>
          </w:p>
        </w:tc>
        <w:tc>
          <w:tcPr>
            <w:tcW w:w="4720" w:type="dxa"/>
            <w:vAlign w:val="bottom"/>
            <w:gridSpan w:val="8"/>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002060"/>
              </w:rPr>
              <w:t>92</w:t>
            </w:r>
          </w:p>
        </w:tc>
      </w:tr>
      <w:tr>
        <w:trPr>
          <w:trHeight w:val="250"/>
        </w:trPr>
        <w:tc>
          <w:tcPr>
            <w:tcW w:w="298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0000EE"/>
                <w:w w:val="99"/>
              </w:rPr>
              <w:t>FREQUENTLY ASKED QUESTIONS</w:t>
            </w:r>
          </w:p>
        </w:tc>
        <w:tc>
          <w:tcPr>
            <w:tcW w:w="7120" w:type="dxa"/>
            <w:vAlign w:val="bottom"/>
            <w:gridSpan w:val="17"/>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70C0"/>
              </w:rPr>
              <w:t>93</w:t>
            </w:r>
          </w:p>
        </w:tc>
      </w:tr>
      <w:tr>
        <w:trPr>
          <w:trHeight w:val="318"/>
        </w:trPr>
        <w:tc>
          <w:tcPr>
            <w:tcW w:w="296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rPr>
              <w:t>OTHER MATTERS</w:t>
            </w:r>
          </w:p>
        </w:tc>
        <w:tc>
          <w:tcPr>
            <w:tcW w:w="7140" w:type="dxa"/>
            <w:vAlign w:val="bottom"/>
            <w:gridSpan w:val="18"/>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70C0"/>
              </w:rPr>
              <w:t>97</w:t>
            </w:r>
          </w:p>
        </w:tc>
      </w:tr>
      <w:tr>
        <w:trPr>
          <w:trHeight w:val="20"/>
        </w:trPr>
        <w:tc>
          <w:tcPr>
            <w:tcW w:w="1520" w:type="dxa"/>
            <w:vAlign w:val="bottom"/>
            <w:gridSpan w:val="6"/>
            <w:shd w:val="clear" w:color="auto" w:fill="0000EE"/>
          </w:tcPr>
          <w:p>
            <w:pPr>
              <w:spacing w:after="0" w:line="20" w:lineRule="exact"/>
              <w:rPr>
                <w:sz w:val="1"/>
                <w:szCs w:val="1"/>
                <w:color w:val="auto"/>
              </w:rPr>
            </w:pPr>
          </w:p>
        </w:tc>
        <w:tc>
          <w:tcPr>
            <w:tcW w:w="1900" w:type="dxa"/>
            <w:vAlign w:val="bottom"/>
            <w:gridSpan w:val="17"/>
          </w:tcPr>
          <w:p>
            <w:pPr>
              <w:spacing w:after="0" w:line="20" w:lineRule="exact"/>
              <w:rPr>
                <w:sz w:val="1"/>
                <w:szCs w:val="1"/>
                <w:color w:val="auto"/>
              </w:rPr>
            </w:pPr>
          </w:p>
        </w:tc>
        <w:tc>
          <w:tcPr>
            <w:tcW w:w="6680" w:type="dxa"/>
            <w:vAlign w:val="bottom"/>
            <w:gridSpan w:val="1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10100" w:type="dxa"/>
            <w:vAlign w:val="bottom"/>
            <w:gridSpan w:val="37"/>
          </w:tcPr>
          <w:p>
            <w:pPr>
              <w:spacing w:after="0"/>
              <w:rPr>
                <w:sz w:val="20"/>
                <w:szCs w:val="20"/>
                <w:color w:val="auto"/>
              </w:rPr>
            </w:pPr>
            <w:r>
              <w:rPr>
                <w:rFonts w:ascii="Arial" w:cs="Arial" w:eastAsia="Arial" w:hAnsi="Arial"/>
                <w:sz w:val="18"/>
                <w:szCs w:val="18"/>
                <w:color w:val="0000EE"/>
              </w:rPr>
              <w:t>Appendix A - 2023 Omnibus Incentive Plan</w:t>
            </w:r>
          </w:p>
        </w:tc>
        <w:tc>
          <w:tcPr>
            <w:tcW w:w="860" w:type="dxa"/>
            <w:vAlign w:val="bottom"/>
          </w:tcPr>
          <w:p>
            <w:pPr>
              <w:jc w:val="right"/>
              <w:spacing w:after="0"/>
              <w:rPr>
                <w:sz w:val="20"/>
                <w:szCs w:val="20"/>
                <w:color w:val="auto"/>
              </w:rPr>
            </w:pPr>
            <w:r>
              <w:rPr>
                <w:rFonts w:ascii="Arial" w:cs="Arial" w:eastAsia="Arial" w:hAnsi="Arial"/>
                <w:sz w:val="18"/>
                <w:szCs w:val="18"/>
                <w:color w:val="0070C0"/>
              </w:rPr>
              <w:t>A-1</w:t>
            </w:r>
          </w:p>
        </w:tc>
      </w:tr>
      <w:tr>
        <w:trPr>
          <w:trHeight w:val="20"/>
        </w:trPr>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ectPr>
          <w:pgSz w:w="11900" w:h="16838" w:orient="portrait"/>
          <w:cols w:equalWidth="0" w:num="1">
            <w:col w:w="11080"/>
          </w:cols>
          <w:pgMar w:left="320" w:top="482"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40"/>
          <w:szCs w:val="40"/>
          <w:b w:val="1"/>
          <w:bCs w:val="1"/>
          <w:color w:val="0070C0"/>
        </w:rPr>
        <w:t>PROXY SUMMARY</w:t>
      </w:r>
    </w:p>
    <w:p>
      <w:pPr>
        <w:spacing w:after="0" w:line="230" w:lineRule="exact"/>
        <w:rPr>
          <w:sz w:val="20"/>
          <w:szCs w:val="20"/>
          <w:color w:val="auto"/>
        </w:rPr>
      </w:pPr>
    </w:p>
    <w:p>
      <w:pPr>
        <w:ind w:left="120" w:right="200"/>
        <w:spacing w:after="0" w:line="301" w:lineRule="auto"/>
        <w:rPr>
          <w:sz w:val="20"/>
          <w:szCs w:val="20"/>
          <w:color w:val="auto"/>
        </w:rPr>
      </w:pPr>
      <w:r>
        <w:rPr>
          <w:rFonts w:ascii="Arial" w:cs="Arial" w:eastAsia="Arial" w:hAnsi="Arial"/>
          <w:sz w:val="17"/>
          <w:szCs w:val="17"/>
          <w:color w:val="auto"/>
        </w:rPr>
        <w:t>This Proxy Summary provides an overview of our business and highlights information contained elsewhere in this Proxy Statement. This summary does not contain all of the information you should consider. Please read the entire Proxy Statement carefully before voting.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Proposals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080" w:type="dxa"/>
            <w:vAlign w:val="bottom"/>
          </w:tcPr>
          <w:p>
            <w:pPr>
              <w:jc w:val="center"/>
              <w:ind w:left="190"/>
              <w:spacing w:after="0"/>
              <w:rPr>
                <w:sz w:val="20"/>
                <w:szCs w:val="20"/>
                <w:color w:val="auto"/>
              </w:rPr>
            </w:pPr>
            <w:r>
              <w:rPr>
                <w:rFonts w:ascii="Arial" w:cs="Arial" w:eastAsia="Arial" w:hAnsi="Arial"/>
                <w:sz w:val="18"/>
                <w:szCs w:val="18"/>
                <w:b w:val="1"/>
                <w:bCs w:val="1"/>
                <w:color w:val="002060"/>
                <w:w w:val="99"/>
              </w:rPr>
              <w:t>Board</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002060"/>
              </w:rPr>
              <w:t>Page</w:t>
            </w:r>
          </w:p>
        </w:tc>
      </w:tr>
      <w:tr>
        <w:trPr>
          <w:trHeight w:val="247"/>
        </w:trPr>
        <w:tc>
          <w:tcPr>
            <w:tcW w:w="4020" w:type="dxa"/>
            <w:vAlign w:val="bottom"/>
          </w:tcPr>
          <w:p>
            <w:pPr>
              <w:ind w:left="1660"/>
              <w:spacing w:after="0"/>
              <w:rPr>
                <w:sz w:val="20"/>
                <w:szCs w:val="20"/>
                <w:color w:val="auto"/>
              </w:rPr>
            </w:pPr>
            <w:r>
              <w:rPr>
                <w:rFonts w:ascii="Arial" w:cs="Arial" w:eastAsia="Arial" w:hAnsi="Arial"/>
                <w:sz w:val="18"/>
                <w:szCs w:val="18"/>
                <w:b w:val="1"/>
                <w:bCs w:val="1"/>
                <w:color w:val="002060"/>
              </w:rPr>
              <w:t>Proposals</w:t>
            </w:r>
          </w:p>
        </w:tc>
        <w:tc>
          <w:tcPr>
            <w:tcW w:w="3840" w:type="dxa"/>
            <w:vAlign w:val="bottom"/>
          </w:tcPr>
          <w:p>
            <w:pPr>
              <w:ind w:left="1560"/>
              <w:spacing w:after="0"/>
              <w:rPr>
                <w:sz w:val="20"/>
                <w:szCs w:val="20"/>
                <w:color w:val="auto"/>
              </w:rPr>
            </w:pPr>
            <w:r>
              <w:rPr>
                <w:rFonts w:ascii="Arial" w:cs="Arial" w:eastAsia="Arial" w:hAnsi="Arial"/>
                <w:sz w:val="18"/>
                <w:szCs w:val="18"/>
                <w:b w:val="1"/>
                <w:bCs w:val="1"/>
                <w:color w:val="002060"/>
              </w:rPr>
              <w:t>Required Vote</w:t>
            </w:r>
          </w:p>
        </w:tc>
        <w:tc>
          <w:tcPr>
            <w:tcW w:w="2080" w:type="dxa"/>
            <w:vAlign w:val="bottom"/>
          </w:tcPr>
          <w:p>
            <w:pPr>
              <w:jc w:val="center"/>
              <w:ind w:left="190"/>
              <w:spacing w:after="0"/>
              <w:rPr>
                <w:sz w:val="20"/>
                <w:szCs w:val="20"/>
                <w:color w:val="auto"/>
              </w:rPr>
            </w:pPr>
            <w:r>
              <w:rPr>
                <w:rFonts w:ascii="Arial" w:cs="Arial" w:eastAsia="Arial" w:hAnsi="Arial"/>
                <w:sz w:val="18"/>
                <w:szCs w:val="18"/>
                <w:b w:val="1"/>
                <w:bCs w:val="1"/>
                <w:color w:val="002060"/>
              </w:rPr>
              <w:t>Recommendation</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002060"/>
              </w:rPr>
              <w:t>Reference</w:t>
            </w:r>
          </w:p>
        </w:tc>
      </w:tr>
      <w:tr>
        <w:trPr>
          <w:trHeight w:val="49"/>
        </w:trPr>
        <w:tc>
          <w:tcPr>
            <w:tcW w:w="4020" w:type="dxa"/>
            <w:vAlign w:val="bottom"/>
            <w:tcBorders>
              <w:bottom w:val="single" w:sz="8" w:color="002060"/>
            </w:tcBorders>
          </w:tcPr>
          <w:p>
            <w:pPr>
              <w:spacing w:after="0"/>
              <w:rPr>
                <w:sz w:val="4"/>
                <w:szCs w:val="4"/>
                <w:color w:val="auto"/>
              </w:rPr>
            </w:pPr>
          </w:p>
        </w:tc>
        <w:tc>
          <w:tcPr>
            <w:tcW w:w="3840" w:type="dxa"/>
            <w:vAlign w:val="bottom"/>
            <w:tcBorders>
              <w:bottom w:val="single" w:sz="8" w:color="002060"/>
            </w:tcBorders>
          </w:tcPr>
          <w:p>
            <w:pPr>
              <w:spacing w:after="0"/>
              <w:rPr>
                <w:sz w:val="4"/>
                <w:szCs w:val="4"/>
                <w:color w:val="auto"/>
              </w:rPr>
            </w:pPr>
          </w:p>
        </w:tc>
        <w:tc>
          <w:tcPr>
            <w:tcW w:w="2080" w:type="dxa"/>
            <w:vAlign w:val="bottom"/>
            <w:tcBorders>
              <w:bottom w:val="single" w:sz="8" w:color="002060"/>
            </w:tcBorders>
          </w:tcPr>
          <w:p>
            <w:pPr>
              <w:spacing w:after="0"/>
              <w:rPr>
                <w:sz w:val="4"/>
                <w:szCs w:val="4"/>
                <w:color w:val="auto"/>
              </w:rPr>
            </w:pPr>
          </w:p>
        </w:tc>
        <w:tc>
          <w:tcPr>
            <w:tcW w:w="1080" w:type="dxa"/>
            <w:vAlign w:val="bottom"/>
            <w:tcBorders>
              <w:bottom w:val="single" w:sz="8" w:color="002060"/>
            </w:tcBorders>
          </w:tcPr>
          <w:p>
            <w:pPr>
              <w:spacing w:after="0"/>
              <w:rPr>
                <w:sz w:val="4"/>
                <w:szCs w:val="4"/>
                <w:color w:val="auto"/>
              </w:rPr>
            </w:pPr>
          </w:p>
        </w:tc>
      </w:tr>
      <w:tr>
        <w:trPr>
          <w:trHeight w:val="184"/>
        </w:trPr>
        <w:tc>
          <w:tcPr>
            <w:tcW w:w="402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1.   Election of Michael T. Miller, Marchelle E.</w:t>
            </w:r>
          </w:p>
        </w:tc>
        <w:tc>
          <w:tcPr>
            <w:tcW w:w="3840" w:type="dxa"/>
            <w:vAlign w:val="bottom"/>
            <w:shd w:val="clear" w:color="auto" w:fill="E5E5E5"/>
          </w:tcPr>
          <w:p>
            <w:pPr>
              <w:ind w:left="300"/>
              <w:spacing w:after="0" w:line="183" w:lineRule="exact"/>
              <w:rPr>
                <w:sz w:val="20"/>
                <w:szCs w:val="20"/>
                <w:color w:val="auto"/>
              </w:rPr>
            </w:pPr>
            <w:r>
              <w:rPr>
                <w:rFonts w:ascii="Arial" w:cs="Arial" w:eastAsia="Arial" w:hAnsi="Arial"/>
                <w:sz w:val="18"/>
                <w:szCs w:val="18"/>
                <w:color w:val="auto"/>
              </w:rPr>
              <w:t>Majority of the votes cast at the Annual</w:t>
            </w:r>
          </w:p>
        </w:tc>
        <w:tc>
          <w:tcPr>
            <w:tcW w:w="2080" w:type="dxa"/>
            <w:vAlign w:val="bottom"/>
            <w:shd w:val="clear" w:color="auto" w:fill="E5E5E5"/>
          </w:tcPr>
          <w:p>
            <w:pPr>
              <w:jc w:val="center"/>
              <w:ind w:left="190"/>
              <w:spacing w:after="0" w:line="183" w:lineRule="exact"/>
              <w:rPr>
                <w:sz w:val="20"/>
                <w:szCs w:val="20"/>
                <w:color w:val="auto"/>
              </w:rPr>
            </w:pPr>
            <w:r>
              <w:rPr>
                <w:rFonts w:ascii="MS PGothic" w:cs="MS PGothic" w:eastAsia="MS PGothic" w:hAnsi="MS PGothic"/>
                <w:sz w:val="18"/>
                <w:szCs w:val="18"/>
                <w:color w:val="0070C0"/>
                <w:w w:val="97"/>
              </w:rPr>
              <w:t>✓</w:t>
            </w:r>
            <w:r>
              <w:rPr>
                <w:rFonts w:ascii="Arial" w:cs="Arial" w:eastAsia="Arial" w:hAnsi="Arial"/>
                <w:sz w:val="18"/>
                <w:szCs w:val="18"/>
                <w:b w:val="1"/>
                <w:bCs w:val="1"/>
                <w:color w:val="0070C0"/>
                <w:w w:val="97"/>
              </w:rPr>
              <w:t xml:space="preserve"> FOR each</w:t>
            </w:r>
          </w:p>
        </w:tc>
        <w:tc>
          <w:tcPr>
            <w:tcW w:w="1080" w:type="dxa"/>
            <w:vAlign w:val="bottom"/>
            <w:shd w:val="clear" w:color="auto" w:fill="E5E5E5"/>
          </w:tcPr>
          <w:p>
            <w:pPr>
              <w:jc w:val="center"/>
              <w:spacing w:after="0" w:line="183" w:lineRule="exact"/>
              <w:rPr>
                <w:sz w:val="20"/>
                <w:szCs w:val="20"/>
                <w:color w:val="auto"/>
              </w:rPr>
            </w:pPr>
            <w:r>
              <w:rPr>
                <w:rFonts w:ascii="Arial" w:cs="Arial" w:eastAsia="Arial" w:hAnsi="Arial"/>
                <w:sz w:val="18"/>
                <w:szCs w:val="18"/>
                <w:color w:val="auto"/>
                <w:w w:val="99"/>
              </w:rPr>
              <w:t>12</w:t>
            </w:r>
          </w:p>
        </w:tc>
      </w:tr>
      <w:tr>
        <w:trPr>
          <w:trHeight w:val="203"/>
        </w:trPr>
        <w:tc>
          <w:tcPr>
            <w:tcW w:w="4020" w:type="dxa"/>
            <w:vAlign w:val="bottom"/>
            <w:shd w:val="clear" w:color="auto" w:fill="E5E5E5"/>
          </w:tcPr>
          <w:p>
            <w:pPr>
              <w:ind w:left="460"/>
              <w:spacing w:after="0" w:line="202" w:lineRule="exact"/>
              <w:rPr>
                <w:sz w:val="20"/>
                <w:szCs w:val="20"/>
                <w:color w:val="auto"/>
              </w:rPr>
            </w:pPr>
            <w:r>
              <w:rPr>
                <w:rFonts w:ascii="Arial" w:cs="Arial" w:eastAsia="Arial" w:hAnsi="Arial"/>
                <w:sz w:val="18"/>
                <w:szCs w:val="18"/>
                <w:color w:val="auto"/>
              </w:rPr>
              <w:t>Moore and Robert H. Schottenstein as</w:t>
            </w:r>
          </w:p>
        </w:tc>
        <w:tc>
          <w:tcPr>
            <w:tcW w:w="3840" w:type="dxa"/>
            <w:vAlign w:val="bottom"/>
            <w:shd w:val="clear" w:color="auto" w:fill="E5E5E5"/>
          </w:tcPr>
          <w:p>
            <w:pPr>
              <w:ind w:left="300"/>
              <w:spacing w:after="0" w:line="202" w:lineRule="exact"/>
              <w:rPr>
                <w:sz w:val="20"/>
                <w:szCs w:val="20"/>
                <w:color w:val="auto"/>
              </w:rPr>
            </w:pPr>
            <w:r>
              <w:rPr>
                <w:rFonts w:ascii="Arial" w:cs="Arial" w:eastAsia="Arial" w:hAnsi="Arial"/>
                <w:sz w:val="18"/>
                <w:szCs w:val="18"/>
                <w:color w:val="auto"/>
              </w:rPr>
              <w:t>Meeting</w:t>
            </w:r>
          </w:p>
        </w:tc>
        <w:tc>
          <w:tcPr>
            <w:tcW w:w="2080" w:type="dxa"/>
            <w:vAlign w:val="bottom"/>
            <w:shd w:val="clear" w:color="auto" w:fill="E5E5E5"/>
          </w:tcPr>
          <w:p>
            <w:pPr>
              <w:ind w:left="920"/>
              <w:spacing w:after="0" w:line="202" w:lineRule="exact"/>
              <w:rPr>
                <w:sz w:val="20"/>
                <w:szCs w:val="20"/>
                <w:color w:val="auto"/>
              </w:rPr>
            </w:pPr>
            <w:r>
              <w:rPr>
                <w:rFonts w:ascii="Arial" w:cs="Arial" w:eastAsia="Arial" w:hAnsi="Arial"/>
                <w:sz w:val="18"/>
                <w:szCs w:val="18"/>
                <w:b w:val="1"/>
                <w:bCs w:val="1"/>
                <w:color w:val="0070C0"/>
              </w:rPr>
              <w:t>nominee</w:t>
            </w:r>
          </w:p>
        </w:tc>
        <w:tc>
          <w:tcPr>
            <w:tcW w:w="1080" w:type="dxa"/>
            <w:vAlign w:val="bottom"/>
            <w:shd w:val="clear" w:color="auto" w:fill="E5E5E5"/>
          </w:tcPr>
          <w:p>
            <w:pPr>
              <w:spacing w:after="0"/>
              <w:rPr>
                <w:sz w:val="17"/>
                <w:szCs w:val="17"/>
                <w:color w:val="auto"/>
              </w:rPr>
            </w:pPr>
          </w:p>
        </w:tc>
      </w:tr>
      <w:tr>
        <w:trPr>
          <w:trHeight w:val="239"/>
        </w:trPr>
        <w:tc>
          <w:tcPr>
            <w:tcW w:w="4020" w:type="dxa"/>
            <w:vAlign w:val="bottom"/>
            <w:shd w:val="clear" w:color="auto" w:fill="E5E5E5"/>
          </w:tcPr>
          <w:p>
            <w:pPr>
              <w:ind w:left="460"/>
              <w:spacing w:after="0"/>
              <w:rPr>
                <w:sz w:val="20"/>
                <w:szCs w:val="20"/>
                <w:color w:val="auto"/>
              </w:rPr>
            </w:pPr>
            <w:r>
              <w:rPr>
                <w:rFonts w:ascii="Arial" w:cs="Arial" w:eastAsia="Arial" w:hAnsi="Arial"/>
                <w:sz w:val="18"/>
                <w:szCs w:val="18"/>
                <w:color w:val="auto"/>
              </w:rPr>
              <w:t>directors to serve for three-year terms</w:t>
            </w:r>
          </w:p>
        </w:tc>
        <w:tc>
          <w:tcPr>
            <w:tcW w:w="3840" w:type="dxa"/>
            <w:vAlign w:val="bottom"/>
            <w:shd w:val="clear" w:color="auto" w:fill="E5E5E5"/>
          </w:tcPr>
          <w:p>
            <w:pPr>
              <w:spacing w:after="0"/>
              <w:rPr>
                <w:sz w:val="20"/>
                <w:szCs w:val="20"/>
                <w:color w:val="auto"/>
              </w:rPr>
            </w:pPr>
          </w:p>
        </w:tc>
        <w:tc>
          <w:tcPr>
            <w:tcW w:w="208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r>
      <w:tr>
        <w:trPr>
          <w:trHeight w:val="50"/>
        </w:trPr>
        <w:tc>
          <w:tcPr>
            <w:tcW w:w="4020" w:type="dxa"/>
            <w:vAlign w:val="bottom"/>
            <w:shd w:val="clear" w:color="auto" w:fill="E5E5E5"/>
          </w:tcPr>
          <w:p>
            <w:pPr>
              <w:spacing w:after="0"/>
              <w:rPr>
                <w:sz w:val="4"/>
                <w:szCs w:val="4"/>
                <w:color w:val="auto"/>
              </w:rPr>
            </w:pPr>
          </w:p>
        </w:tc>
        <w:tc>
          <w:tcPr>
            <w:tcW w:w="3840" w:type="dxa"/>
            <w:vAlign w:val="bottom"/>
            <w:shd w:val="clear" w:color="auto" w:fill="E5E5E5"/>
          </w:tcPr>
          <w:p>
            <w:pPr>
              <w:spacing w:after="0"/>
              <w:rPr>
                <w:sz w:val="4"/>
                <w:szCs w:val="4"/>
                <w:color w:val="auto"/>
              </w:rPr>
            </w:pPr>
          </w:p>
        </w:tc>
        <w:tc>
          <w:tcPr>
            <w:tcW w:w="2080" w:type="dxa"/>
            <w:vAlign w:val="bottom"/>
            <w:shd w:val="clear" w:color="auto" w:fill="E5E5E5"/>
          </w:tcPr>
          <w:p>
            <w:pPr>
              <w:spacing w:after="0"/>
              <w:rPr>
                <w:sz w:val="4"/>
                <w:szCs w:val="4"/>
                <w:color w:val="auto"/>
              </w:rPr>
            </w:pPr>
          </w:p>
        </w:tc>
        <w:tc>
          <w:tcPr>
            <w:tcW w:w="1080" w:type="dxa"/>
            <w:vAlign w:val="bottom"/>
            <w:shd w:val="clear" w:color="auto" w:fill="E5E5E5"/>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ind w:left="580" w:hanging="464"/>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our independent registered public accounting firm for 2023</w:t>
      </w:r>
    </w:p>
    <w:p>
      <w:pPr>
        <w:spacing w:after="0" w:line="20" w:lineRule="exact"/>
        <w:rPr>
          <w:sz w:val="20"/>
          <w:szCs w:val="20"/>
          <w:color w:val="auto"/>
        </w:rPr>
      </w:pPr>
      <w:r>
        <w:rPr>
          <w:sz w:val="20"/>
          <w:szCs w:val="20"/>
          <w:color w:val="auto"/>
        </w:rPr>
        <w:br w:type="column"/>
      </w:r>
    </w:p>
    <w:p>
      <w:pPr>
        <w:ind w:right="400"/>
        <w:spacing w:after="0" w:line="199" w:lineRule="exact"/>
        <w:rPr>
          <w:sz w:val="20"/>
          <w:szCs w:val="20"/>
          <w:color w:val="auto"/>
        </w:rPr>
      </w:pPr>
      <w:r>
        <w:rPr>
          <w:rFonts w:ascii="Arial" w:cs="Arial" w:eastAsia="Arial" w:hAnsi="Arial"/>
          <w:sz w:val="18"/>
          <w:szCs w:val="18"/>
          <w:color w:val="auto"/>
        </w:rPr>
        <w:t xml:space="preserve">Majority of the shares present or represented </w:t>
      </w:r>
      <w:r>
        <w:rPr>
          <w:rFonts w:ascii="MS PGothic" w:cs="MS PGothic" w:eastAsia="MS PGothic" w:hAnsi="MS PGothic"/>
          <w:sz w:val="18"/>
          <w:szCs w:val="18"/>
          <w:color w:val="0070C0"/>
        </w:rPr>
        <w:t>✓</w:t>
      </w:r>
      <w:r>
        <w:rPr>
          <w:rFonts w:ascii="Arial" w:cs="Arial" w:eastAsia="Arial" w:hAnsi="Arial"/>
          <w:sz w:val="18"/>
          <w:szCs w:val="18"/>
          <w:color w:val="auto"/>
        </w:rPr>
        <w:t xml:space="preserve"> </w:t>
      </w:r>
      <w:r>
        <w:rPr>
          <w:rFonts w:ascii="Arial" w:cs="Arial" w:eastAsia="Arial" w:hAnsi="Arial"/>
          <w:sz w:val="18"/>
          <w:szCs w:val="18"/>
          <w:b w:val="1"/>
          <w:bCs w:val="1"/>
          <w:color w:val="0070C0"/>
        </w:rPr>
        <w:t>FOR</w:t>
      </w:r>
      <w:r>
        <w:rPr>
          <w:rFonts w:ascii="Arial" w:cs="Arial" w:eastAsia="Arial" w:hAnsi="Arial"/>
          <w:sz w:val="18"/>
          <w:szCs w:val="18"/>
          <w:color w:val="auto"/>
        </w:rPr>
        <w:t xml:space="preserve"> 42 by proxy at the Annual Meeting and entitled to vote</w:t>
      </w:r>
    </w:p>
    <w:p>
      <w:pPr>
        <w:spacing w:after="0" w:line="232" w:lineRule="exact"/>
        <w:rPr>
          <w:sz w:val="20"/>
          <w:szCs w:val="20"/>
          <w:color w:val="auto"/>
        </w:rPr>
      </w:pPr>
    </w:p>
    <w:p>
      <w:pPr>
        <w:sectPr>
          <w:pgSz w:w="11900" w:h="16838" w:orient="portrait"/>
          <w:cols w:equalWidth="0" w:num="2">
            <w:col w:w="4040" w:space="400"/>
            <w:col w:w="670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300" w:type="dxa"/>
            <w:vAlign w:val="bottom"/>
            <w:tcBorders>
              <w:top w:val="single" w:sz="8" w:color="auto"/>
            </w:tcBorders>
            <w:shd w:val="clear" w:color="auto" w:fill="E5E5E5"/>
          </w:tcPr>
          <w:p>
            <w:pPr>
              <w:jc w:val="right"/>
              <w:ind w:right="70"/>
              <w:spacing w:after="0" w:line="197" w:lineRule="exact"/>
              <w:rPr>
                <w:sz w:val="20"/>
                <w:szCs w:val="20"/>
                <w:color w:val="auto"/>
              </w:rPr>
            </w:pPr>
            <w:r>
              <w:rPr>
                <w:rFonts w:ascii="Arial" w:cs="Arial" w:eastAsia="Arial" w:hAnsi="Arial"/>
                <w:sz w:val="18"/>
                <w:szCs w:val="18"/>
                <w:color w:val="auto"/>
                <w:w w:val="79"/>
              </w:rPr>
              <w:t>3.</w:t>
            </w:r>
          </w:p>
        </w:tc>
        <w:tc>
          <w:tcPr>
            <w:tcW w:w="3920" w:type="dxa"/>
            <w:vAlign w:val="bottom"/>
            <w:tcBorders>
              <w:top w:val="single" w:sz="8" w:color="auto"/>
            </w:tcBorders>
            <w:shd w:val="clear" w:color="auto" w:fill="E5E5E5"/>
          </w:tcPr>
          <w:p>
            <w:pPr>
              <w:ind w:left="160"/>
              <w:spacing w:after="0" w:line="197" w:lineRule="exact"/>
              <w:rPr>
                <w:sz w:val="20"/>
                <w:szCs w:val="20"/>
                <w:color w:val="auto"/>
              </w:rPr>
            </w:pPr>
            <w:r>
              <w:rPr>
                <w:rFonts w:ascii="Arial" w:cs="Arial" w:eastAsia="Arial" w:hAnsi="Arial"/>
                <w:sz w:val="18"/>
                <w:szCs w:val="18"/>
                <w:color w:val="auto"/>
              </w:rPr>
              <w:t>Approval, on an advisory basis, of the</w:t>
            </w:r>
          </w:p>
        </w:tc>
        <w:tc>
          <w:tcPr>
            <w:tcW w:w="4140" w:type="dxa"/>
            <w:vAlign w:val="bottom"/>
            <w:tcBorders>
              <w:top w:val="single" w:sz="8" w:color="auto"/>
            </w:tcBorders>
            <w:shd w:val="clear" w:color="auto" w:fill="E5E5E5"/>
          </w:tcPr>
          <w:p>
            <w:pPr>
              <w:ind w:left="100"/>
              <w:spacing w:after="0" w:line="197" w:lineRule="exact"/>
              <w:rPr>
                <w:sz w:val="20"/>
                <w:szCs w:val="20"/>
                <w:color w:val="auto"/>
              </w:rPr>
            </w:pPr>
            <w:r>
              <w:rPr>
                <w:rFonts w:ascii="Arial" w:cs="Arial" w:eastAsia="Arial" w:hAnsi="Arial"/>
                <w:sz w:val="18"/>
                <w:szCs w:val="18"/>
                <w:color w:val="auto"/>
              </w:rPr>
              <w:t>Majority of the shares present or represented</w:t>
            </w:r>
          </w:p>
        </w:tc>
        <w:tc>
          <w:tcPr>
            <w:tcW w:w="1520" w:type="dxa"/>
            <w:vAlign w:val="bottom"/>
            <w:tcBorders>
              <w:top w:val="single" w:sz="8" w:color="auto"/>
            </w:tcBorders>
            <w:shd w:val="clear" w:color="auto" w:fill="E5E5E5"/>
          </w:tcPr>
          <w:p>
            <w:pPr>
              <w:ind w:left="400"/>
              <w:spacing w:after="0" w:line="197"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b w:val="1"/>
                <w:bCs w:val="1"/>
                <w:color w:val="0070C0"/>
              </w:rPr>
              <w:t xml:space="preserve"> FOR</w:t>
            </w:r>
          </w:p>
        </w:tc>
        <w:tc>
          <w:tcPr>
            <w:tcW w:w="1140" w:type="dxa"/>
            <w:vAlign w:val="bottom"/>
            <w:tcBorders>
              <w:top w:val="single" w:sz="8" w:color="auto"/>
            </w:tcBorders>
            <w:shd w:val="clear" w:color="auto" w:fill="E5E5E5"/>
          </w:tcPr>
          <w:p>
            <w:pPr>
              <w:jc w:val="right"/>
              <w:ind w:right="310"/>
              <w:spacing w:after="0" w:line="197" w:lineRule="exact"/>
              <w:rPr>
                <w:sz w:val="20"/>
                <w:szCs w:val="20"/>
                <w:color w:val="auto"/>
              </w:rPr>
            </w:pPr>
            <w:r>
              <w:rPr>
                <w:rFonts w:ascii="Arial" w:cs="Arial" w:eastAsia="Arial" w:hAnsi="Arial"/>
                <w:sz w:val="18"/>
                <w:szCs w:val="18"/>
                <w:color w:val="auto"/>
              </w:rPr>
              <w:t>45</w:t>
            </w:r>
          </w:p>
        </w:tc>
      </w:tr>
      <w:tr>
        <w:trPr>
          <w:trHeight w:val="203"/>
        </w:trPr>
        <w:tc>
          <w:tcPr>
            <w:tcW w:w="300" w:type="dxa"/>
            <w:vAlign w:val="bottom"/>
            <w:shd w:val="clear" w:color="auto" w:fill="E5E5E5"/>
          </w:tcPr>
          <w:p>
            <w:pPr>
              <w:spacing w:after="0"/>
              <w:rPr>
                <w:sz w:val="17"/>
                <w:szCs w:val="17"/>
                <w:color w:val="auto"/>
              </w:rPr>
            </w:pPr>
          </w:p>
        </w:tc>
        <w:tc>
          <w:tcPr>
            <w:tcW w:w="392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compensation of our named executive officers</w:t>
            </w:r>
          </w:p>
        </w:tc>
        <w:tc>
          <w:tcPr>
            <w:tcW w:w="41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by proxy at the Annual Meeting and entitled to</w:t>
            </w:r>
          </w:p>
        </w:tc>
        <w:tc>
          <w:tcPr>
            <w:tcW w:w="152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r>
      <w:tr>
        <w:trPr>
          <w:trHeight w:val="239"/>
        </w:trPr>
        <w:tc>
          <w:tcPr>
            <w:tcW w:w="300" w:type="dxa"/>
            <w:vAlign w:val="bottom"/>
            <w:shd w:val="clear" w:color="auto" w:fill="E5E5E5"/>
          </w:tcPr>
          <w:p>
            <w:pPr>
              <w:spacing w:after="0"/>
              <w:rPr>
                <w:sz w:val="20"/>
                <w:szCs w:val="20"/>
                <w:color w:val="auto"/>
              </w:rPr>
            </w:pPr>
          </w:p>
        </w:tc>
        <w:tc>
          <w:tcPr>
            <w:tcW w:w="3920" w:type="dxa"/>
            <w:vAlign w:val="bottom"/>
            <w:shd w:val="clear" w:color="auto" w:fill="E5E5E5"/>
          </w:tcPr>
          <w:p>
            <w:pPr>
              <w:spacing w:after="0"/>
              <w:rPr>
                <w:sz w:val="20"/>
                <w:szCs w:val="20"/>
                <w:color w:val="auto"/>
              </w:rPr>
            </w:pPr>
          </w:p>
        </w:tc>
        <w:tc>
          <w:tcPr>
            <w:tcW w:w="4140" w:type="dxa"/>
            <w:vAlign w:val="bottom"/>
            <w:shd w:val="clear" w:color="auto" w:fill="E5E5E5"/>
          </w:tcPr>
          <w:p>
            <w:pPr>
              <w:ind w:left="100"/>
              <w:spacing w:after="0"/>
              <w:rPr>
                <w:sz w:val="20"/>
                <w:szCs w:val="20"/>
                <w:color w:val="auto"/>
              </w:rPr>
            </w:pPr>
            <w:r>
              <w:rPr>
                <w:rFonts w:ascii="Arial" w:cs="Arial" w:eastAsia="Arial" w:hAnsi="Arial"/>
                <w:sz w:val="18"/>
                <w:szCs w:val="18"/>
                <w:color w:val="auto"/>
              </w:rPr>
              <w:t>vote</w:t>
            </w:r>
          </w:p>
        </w:tc>
        <w:tc>
          <w:tcPr>
            <w:tcW w:w="152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r>
      <w:tr>
        <w:trPr>
          <w:trHeight w:val="50"/>
        </w:trPr>
        <w:tc>
          <w:tcPr>
            <w:tcW w:w="300" w:type="dxa"/>
            <w:vAlign w:val="bottom"/>
            <w:shd w:val="clear" w:color="auto" w:fill="E5E5E5"/>
          </w:tcPr>
          <w:p>
            <w:pPr>
              <w:spacing w:after="0"/>
              <w:rPr>
                <w:sz w:val="4"/>
                <w:szCs w:val="4"/>
                <w:color w:val="auto"/>
              </w:rPr>
            </w:pPr>
          </w:p>
        </w:tc>
        <w:tc>
          <w:tcPr>
            <w:tcW w:w="3920" w:type="dxa"/>
            <w:vAlign w:val="bottom"/>
            <w:shd w:val="clear" w:color="auto" w:fill="E5E5E5"/>
          </w:tcPr>
          <w:p>
            <w:pPr>
              <w:spacing w:after="0"/>
              <w:rPr>
                <w:sz w:val="4"/>
                <w:szCs w:val="4"/>
                <w:color w:val="auto"/>
              </w:rPr>
            </w:pPr>
          </w:p>
        </w:tc>
        <w:tc>
          <w:tcPr>
            <w:tcW w:w="4140" w:type="dxa"/>
            <w:vAlign w:val="bottom"/>
            <w:shd w:val="clear" w:color="auto" w:fill="E5E5E5"/>
          </w:tcPr>
          <w:p>
            <w:pPr>
              <w:spacing w:after="0"/>
              <w:rPr>
                <w:sz w:val="4"/>
                <w:szCs w:val="4"/>
                <w:color w:val="auto"/>
              </w:rPr>
            </w:pPr>
          </w:p>
        </w:tc>
        <w:tc>
          <w:tcPr>
            <w:tcW w:w="1520" w:type="dxa"/>
            <w:vAlign w:val="bottom"/>
            <w:shd w:val="clear" w:color="auto" w:fill="E5E5E5"/>
          </w:tcPr>
          <w:p>
            <w:pPr>
              <w:spacing w:after="0"/>
              <w:rPr>
                <w:sz w:val="4"/>
                <w:szCs w:val="4"/>
                <w:color w:val="auto"/>
              </w:rPr>
            </w:pPr>
          </w:p>
        </w:tc>
        <w:tc>
          <w:tcPr>
            <w:tcW w:w="1140" w:type="dxa"/>
            <w:vAlign w:val="bottom"/>
            <w:shd w:val="clear" w:color="auto" w:fill="E5E5E5"/>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ind w:left="580" w:hanging="464"/>
        <w:spacing w:after="0" w:line="263"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Vote, on an advisory basis, on the frequency (every year, every two years or every three years) of the advisory vote on the compensation of our named executive officers</w:t>
      </w:r>
    </w:p>
    <w:p>
      <w:pPr>
        <w:spacing w:after="0" w:line="20" w:lineRule="exact"/>
        <w:rPr>
          <w:sz w:val="20"/>
          <w:szCs w:val="20"/>
          <w:color w:val="auto"/>
        </w:rPr>
      </w:pPr>
      <w:r>
        <w:rPr>
          <w:sz w:val="20"/>
          <w:szCs w:val="20"/>
          <w:color w:val="auto"/>
        </w:rPr>
        <w:br w:type="column"/>
      </w:r>
    </w:p>
    <w:p>
      <w:pPr>
        <w:ind w:right="400"/>
        <w:spacing w:after="0" w:line="199" w:lineRule="exact"/>
        <w:rPr>
          <w:sz w:val="20"/>
          <w:szCs w:val="20"/>
          <w:color w:val="auto"/>
        </w:rPr>
      </w:pPr>
      <w:r>
        <w:rPr>
          <w:rFonts w:ascii="Arial" w:cs="Arial" w:eastAsia="Arial" w:hAnsi="Arial"/>
          <w:sz w:val="18"/>
          <w:szCs w:val="18"/>
          <w:color w:val="auto"/>
        </w:rPr>
        <w:t xml:space="preserve">Whichever choice—every one year, two years </w:t>
      </w:r>
      <w:r>
        <w:rPr>
          <w:rFonts w:ascii="MS PGothic" w:cs="MS PGothic" w:eastAsia="MS PGothic" w:hAnsi="MS PGothic"/>
          <w:sz w:val="18"/>
          <w:szCs w:val="18"/>
          <w:color w:val="0070C0"/>
        </w:rPr>
        <w:t>✓</w:t>
      </w:r>
      <w:r>
        <w:rPr>
          <w:rFonts w:ascii="Arial" w:cs="Arial" w:eastAsia="Arial" w:hAnsi="Arial"/>
          <w:sz w:val="18"/>
          <w:szCs w:val="18"/>
          <w:color w:val="auto"/>
        </w:rPr>
        <w:t xml:space="preserve"> </w:t>
      </w:r>
      <w:r>
        <w:rPr>
          <w:rFonts w:ascii="Arial" w:cs="Arial" w:eastAsia="Arial" w:hAnsi="Arial"/>
          <w:sz w:val="18"/>
          <w:szCs w:val="18"/>
          <w:b w:val="1"/>
          <w:bCs w:val="1"/>
          <w:color w:val="0070C0"/>
        </w:rPr>
        <w:t>ONE YEAR</w:t>
      </w:r>
      <w:r>
        <w:rPr>
          <w:rFonts w:ascii="Arial" w:cs="Arial" w:eastAsia="Arial" w:hAnsi="Arial"/>
          <w:sz w:val="18"/>
          <w:szCs w:val="18"/>
          <w:color w:val="auto"/>
        </w:rPr>
        <w:t xml:space="preserve"> 77 or three years—receives the greatest number of votes cast</w:t>
      </w:r>
    </w:p>
    <w:p>
      <w:pPr>
        <w:spacing w:after="0" w:line="421" w:lineRule="exact"/>
        <w:rPr>
          <w:sz w:val="20"/>
          <w:szCs w:val="20"/>
          <w:color w:val="auto"/>
        </w:rPr>
      </w:pPr>
    </w:p>
    <w:p>
      <w:pPr>
        <w:sectPr>
          <w:pgSz w:w="11900" w:h="16838" w:orient="portrait"/>
          <w:cols w:equalWidth="0" w:num="2">
            <w:col w:w="4240" w:space="200"/>
            <w:col w:w="6700"/>
          </w:cols>
          <w:pgMar w:left="320" w:top="482" w:right="439" w:bottom="1440" w:gutter="0" w:footer="0" w:header="0"/>
          <w:type w:val="continuous"/>
        </w:sectPr>
      </w:pPr>
    </w:p>
    <w:p>
      <w:pPr>
        <w:ind w:left="580" w:right="400" w:hanging="4319"/>
        <w:spacing w:after="0" w:line="226" w:lineRule="exact"/>
        <w:tabs>
          <w:tab w:leader="none" w:pos="5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 xml:space="preserve">Approval of our 2023 Omnibus Incentive Plan Majority of the shares present or represented </w:t>
      </w:r>
      <w:r>
        <w:rPr>
          <w:rFonts w:ascii="MS PGothic" w:cs="MS PGothic" w:eastAsia="MS PGothic" w:hAnsi="MS PGothic"/>
          <w:sz w:val="18"/>
          <w:szCs w:val="18"/>
          <w:color w:val="0070C0"/>
        </w:rPr>
        <w:t>✓</w:t>
      </w:r>
      <w:r>
        <w:rPr>
          <w:rFonts w:ascii="Arial" w:cs="Arial" w:eastAsia="Arial" w:hAnsi="Arial"/>
          <w:sz w:val="18"/>
          <w:szCs w:val="18"/>
          <w:color w:val="auto"/>
        </w:rPr>
        <w:t xml:space="preserve"> </w:t>
      </w:r>
      <w:r>
        <w:rPr>
          <w:rFonts w:ascii="Arial" w:cs="Arial" w:eastAsia="Arial" w:hAnsi="Arial"/>
          <w:sz w:val="18"/>
          <w:szCs w:val="18"/>
          <w:b w:val="1"/>
          <w:bCs w:val="1"/>
          <w:color w:val="0070C0"/>
        </w:rPr>
        <w:t>FOR</w:t>
      </w:r>
      <w:r>
        <w:rPr>
          <w:rFonts w:ascii="Arial" w:cs="Arial" w:eastAsia="Arial" w:hAnsi="Arial"/>
          <w:sz w:val="18"/>
          <w:szCs w:val="18"/>
          <w:color w:val="auto"/>
        </w:rPr>
        <w:t xml:space="preserve"> 78 by proxy at the Annual Meeting and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-264160</wp:posOffset>
            </wp:positionV>
            <wp:extent cx="6995160" cy="480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480060"/>
                    </a:xfrm>
                    <a:prstGeom prst="rect">
                      <a:avLst/>
                    </a:prstGeom>
                    <a:noFill/>
                  </pic:spPr>
                </pic:pic>
              </a:graphicData>
            </a:graphic>
          </wp:anchor>
        </w:drawing>
      </w:r>
    </w:p>
    <w:p>
      <w:pPr>
        <w:ind w:left="4440"/>
        <w:spacing w:after="0"/>
        <w:rPr>
          <w:sz w:val="20"/>
          <w:szCs w:val="20"/>
          <w:color w:val="auto"/>
        </w:rPr>
      </w:pPr>
      <w:r>
        <w:rPr>
          <w:rFonts w:ascii="Arial" w:cs="Arial" w:eastAsia="Arial" w:hAnsi="Arial"/>
          <w:sz w:val="18"/>
          <w:szCs w:val="18"/>
          <w:color w:val="auto"/>
        </w:rPr>
        <w:t>vote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Business Overview</w:t>
      </w:r>
    </w:p>
    <w:p>
      <w:pPr>
        <w:spacing w:after="0" w:line="243" w:lineRule="exact"/>
        <w:rPr>
          <w:sz w:val="20"/>
          <w:szCs w:val="20"/>
          <w:color w:val="auto"/>
        </w:rPr>
      </w:pPr>
    </w:p>
    <w:p>
      <w:pPr>
        <w:ind w:left="120" w:right="360"/>
        <w:spacing w:after="0" w:line="245" w:lineRule="auto"/>
        <w:rPr>
          <w:sz w:val="20"/>
          <w:szCs w:val="20"/>
          <w:color w:val="auto"/>
        </w:rPr>
      </w:pPr>
      <w:r>
        <w:rPr>
          <w:rFonts w:ascii="Arial" w:cs="Arial" w:eastAsia="Arial" w:hAnsi="Arial"/>
          <w:sz w:val="18"/>
          <w:szCs w:val="18"/>
          <w:color w:val="auto"/>
        </w:rPr>
        <w:t>Our primary business is the installation of insulation for residential and commercial builders. We also install a diversified range of other building products, including waterproofing, fire-stopping, fireproofing, garage doors, rain gutters, window</w:t>
      </w:r>
    </w:p>
    <w:p>
      <w:pPr>
        <w:ind w:left="120" w:right="5520"/>
        <w:spacing w:after="0" w:line="242" w:lineRule="auto"/>
        <w:rPr>
          <w:sz w:val="20"/>
          <w:szCs w:val="20"/>
          <w:color w:val="auto"/>
        </w:rPr>
      </w:pPr>
      <w:r>
        <w:rPr>
          <w:rFonts w:ascii="Arial" w:cs="Arial" w:eastAsia="Arial" w:hAnsi="Arial"/>
          <w:sz w:val="18"/>
          <w:szCs w:val="18"/>
          <w:color w:val="auto"/>
        </w:rPr>
        <w:t>blinds, shower doors, closet shelving, mirrors and other products. We offer our services from our network of over 230 branch locations serving the 48 continental states and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-344805</wp:posOffset>
            </wp:positionV>
            <wp:extent cx="3103245" cy="2177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03245" cy="217741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20" w:right="5520"/>
        <w:spacing w:after="0" w:line="242" w:lineRule="auto"/>
        <w:rPr>
          <w:sz w:val="20"/>
          <w:szCs w:val="20"/>
          <w:color w:val="auto"/>
        </w:rPr>
      </w:pPr>
      <w:r>
        <w:rPr>
          <w:rFonts w:ascii="Arial" w:cs="Arial" w:eastAsia="Arial" w:hAnsi="Arial"/>
          <w:sz w:val="18"/>
          <w:szCs w:val="18"/>
          <w:color w:val="auto"/>
        </w:rPr>
        <w:t>We recently created a distribution platform by acquiring two regional distribution companies that serve the Midwest, Mountain West, Northeast and Mid-Atlantic regions of the United States. We distribute fiberglass, spray foam, metal building and other types of insulation, gutter supplies and building products accessories from the combined 11 locations of our distribution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1137285</wp:posOffset>
            </wp:positionV>
            <wp:extent cx="282575" cy="266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0"/>
        <w:spacing w:after="0"/>
        <w:tabs>
          <w:tab w:leader="none" w:pos="660" w:val="left"/>
          <w:tab w:leader="none" w:pos="9960" w:val="left"/>
        </w:tabs>
        <w:rPr>
          <w:sz w:val="20"/>
          <w:szCs w:val="20"/>
          <w:color w:val="auto"/>
        </w:rPr>
      </w:pPr>
      <w:r>
        <w:rPr>
          <w:rFonts w:ascii="Arial" w:cs="Arial" w:eastAsia="Arial" w:hAnsi="Arial"/>
          <w:sz w:val="16"/>
          <w:szCs w:val="16"/>
          <w:color w:val="FFFFFF"/>
        </w:rPr>
        <w:t>6</w:t>
      </w:r>
      <w:r>
        <w:rPr>
          <w:sz w:val="20"/>
          <w:szCs w:val="20"/>
          <w:color w:val="auto"/>
        </w:rPr>
        <w:tab/>
      </w:r>
      <w:r>
        <w:rPr>
          <w:rFonts w:ascii="Arial" w:cs="Arial" w:eastAsia="Arial" w:hAnsi="Arial"/>
          <w:sz w:val="16"/>
          <w:szCs w:val="16"/>
          <w:color w:val="002060"/>
        </w:rPr>
        <w:t>2023 Proxy Statement</w:t>
      </w:r>
      <w:r>
        <w:rPr>
          <w:sz w:val="20"/>
          <w:szCs w:val="20"/>
          <w:color w:val="auto"/>
        </w:rPr>
        <w:tab/>
      </w:r>
      <w:r>
        <w:rPr>
          <w:rFonts w:ascii="Arial" w:cs="Arial" w:eastAsia="Arial" w:hAnsi="Arial"/>
          <w:sz w:val="16"/>
          <w:szCs w:val="16"/>
          <w:color w:val="002060"/>
        </w:rPr>
        <w:t>Proxy Summary</w:t>
      </w:r>
    </w:p>
    <w:p>
      <w:pPr>
        <w:sectPr>
          <w:pgSz w:w="11900" w:h="16838" w:orient="portrait"/>
          <w:cols w:equalWidth="0" w:num="1">
            <w:col w:w="11140"/>
          </w:cols>
          <w:pgMar w:left="320" w:top="482"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color w:val="auto"/>
        </w:rPr>
        <w:t>We also operate a small manufacturing operation located in Bucyrus, Ohio, which produces cellulose insulation with an 85% recycled wastepaper content and other specialty industrial fibers.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Our Growth Strategy</w:t>
      </w:r>
    </w:p>
    <w:p>
      <w:pPr>
        <w:spacing w:after="0" w:line="216" w:lineRule="exact"/>
        <w:rPr>
          <w:sz w:val="20"/>
          <w:szCs w:val="20"/>
          <w:color w:val="auto"/>
        </w:rPr>
      </w:pPr>
    </w:p>
    <w:p>
      <w:pPr>
        <w:ind w:left="120" w:right="260"/>
        <w:spacing w:after="0" w:line="247" w:lineRule="auto"/>
        <w:rPr>
          <w:sz w:val="20"/>
          <w:szCs w:val="20"/>
          <w:color w:val="auto"/>
        </w:rPr>
      </w:pPr>
      <w:r>
        <w:rPr>
          <w:rFonts w:ascii="Arial" w:cs="Arial" w:eastAsia="Arial" w:hAnsi="Arial"/>
          <w:sz w:val="18"/>
          <w:szCs w:val="18"/>
          <w:color w:val="auto"/>
        </w:rPr>
        <w:t>We are continually focused on expanding our geographic footprint, diversifying our products and services and expanding our mix of end markets. Our growth strategy includes acquisition of residential and commercial installers in new markets, acquisitions of businesses offering complementary products, introduction of new product offerings in existing markets, pursuit of new product categories in commercial markets, and leveraging our multi-family sales growth in existing branches.</w:t>
      </w:r>
    </w:p>
    <w:p>
      <w:pPr>
        <w:spacing w:after="0" w:line="174"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8"/>
          <w:szCs w:val="18"/>
          <w:color w:val="auto"/>
        </w:rPr>
        <w:t>Revenue from insulation services represented approximately 66% of total revenues in 2018 compared to 61% in 2022, demonstrating our continued success in revenue growth from diversified products. We have decreased our residential new construction end market exposure approximately 3%, from 77% in 2018 compared to 74% in 2022. We have added 55 new branch locations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136525</wp:posOffset>
            </wp:positionV>
            <wp:extent cx="34290" cy="2451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2451735"/>
                    </a:xfrm>
                    <a:prstGeom prst="rect">
                      <a:avLst/>
                    </a:prstGeom>
                    <a:noFill/>
                  </pic:spPr>
                </pic:pic>
              </a:graphicData>
            </a:graphic>
          </wp:anchor>
        </w:drawing>
      </w:r>
    </w:p>
    <w:p>
      <w:pPr>
        <w:spacing w:after="0" w:line="195" w:lineRule="exact"/>
        <w:rPr>
          <w:sz w:val="20"/>
          <w:szCs w:val="20"/>
          <w:color w:val="auto"/>
        </w:rPr>
      </w:pPr>
    </w:p>
    <w:tbl>
      <w:tblPr>
        <w:tblLayout w:type="fixed"/>
        <w:tblInd w:w="1220" w:type="dxa"/>
        <w:tblCellMar>
          <w:top w:w="0" w:type="dxa"/>
          <w:left w:w="0" w:type="dxa"/>
          <w:bottom w:w="0" w:type="dxa"/>
          <w:right w:w="0" w:type="dxa"/>
        </w:tblCellMar>
      </w:tblPr>
      <w:tr>
        <w:trPr>
          <w:trHeight w:val="229"/>
        </w:trPr>
        <w:tc>
          <w:tcPr>
            <w:tcW w:w="5240" w:type="dxa"/>
            <w:vAlign w:val="bottom"/>
          </w:tcPr>
          <w:p>
            <w:pPr>
              <w:spacing w:after="0"/>
              <w:rPr>
                <w:sz w:val="19"/>
                <w:szCs w:val="19"/>
                <w:color w:val="auto"/>
              </w:rPr>
            </w:pPr>
          </w:p>
        </w:tc>
        <w:tc>
          <w:tcPr>
            <w:tcW w:w="1160" w:type="dxa"/>
            <w:vAlign w:val="bottom"/>
            <w:shd w:val="clear" w:color="auto" w:fill="E5E5E5"/>
          </w:tcPr>
          <w:p>
            <w:pPr>
              <w:jc w:val="right"/>
              <w:ind w:right="211"/>
              <w:spacing w:after="0"/>
              <w:rPr>
                <w:sz w:val="20"/>
                <w:szCs w:val="20"/>
                <w:color w:val="auto"/>
              </w:rPr>
            </w:pPr>
            <w:r>
              <w:rPr>
                <w:rFonts w:ascii="Arial" w:cs="Arial" w:eastAsia="Arial" w:hAnsi="Arial"/>
                <w:sz w:val="16"/>
                <w:szCs w:val="16"/>
                <w:b w:val="1"/>
                <w:bCs w:val="1"/>
                <w:color w:val="1F4E79"/>
              </w:rPr>
              <w:t>2022</w:t>
            </w: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1F4E79"/>
              </w:rPr>
              <w:t>2022</w:t>
            </w:r>
          </w:p>
        </w:tc>
        <w:tc>
          <w:tcPr>
            <w:tcW w:w="40" w:type="dxa"/>
            <w:vAlign w:val="bottom"/>
            <w:shd w:val="clear" w:color="auto" w:fill="E5E5E5"/>
          </w:tcPr>
          <w:p>
            <w:pPr>
              <w:spacing w:after="0"/>
              <w:rPr>
                <w:sz w:val="19"/>
                <w:szCs w:val="19"/>
                <w:color w:val="auto"/>
              </w:rPr>
            </w:pPr>
          </w:p>
        </w:tc>
        <w:tc>
          <w:tcPr>
            <w:tcW w:w="1200" w:type="dxa"/>
            <w:vAlign w:val="bottom"/>
            <w:shd w:val="clear" w:color="auto" w:fill="E5E5E5"/>
          </w:tcPr>
          <w:p>
            <w:pPr>
              <w:jc w:val="right"/>
              <w:ind w:right="271"/>
              <w:spacing w:after="0"/>
              <w:rPr>
                <w:sz w:val="20"/>
                <w:szCs w:val="20"/>
                <w:color w:val="auto"/>
              </w:rPr>
            </w:pPr>
            <w:r>
              <w:rPr>
                <w:rFonts w:ascii="Arial" w:cs="Arial" w:eastAsia="Arial" w:hAnsi="Arial"/>
                <w:sz w:val="16"/>
                <w:szCs w:val="16"/>
                <w:b w:val="1"/>
                <w:bCs w:val="1"/>
                <w:color w:val="1F4E79"/>
              </w:rPr>
              <w:t>2018</w:t>
            </w:r>
          </w:p>
        </w:tc>
        <w:tc>
          <w:tcPr>
            <w:tcW w:w="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1F4E79"/>
              </w:rPr>
              <w:t>2018</w:t>
            </w:r>
          </w:p>
        </w:tc>
      </w:tr>
      <w:tr>
        <w:trPr>
          <w:trHeight w:val="224"/>
        </w:trPr>
        <w:tc>
          <w:tcPr>
            <w:tcW w:w="5240" w:type="dxa"/>
            <w:vAlign w:val="bottom"/>
            <w:tcBorders>
              <w:bottom w:val="single" w:sz="8" w:color="002060"/>
            </w:tcBorders>
          </w:tcPr>
          <w:p>
            <w:pPr>
              <w:spacing w:after="0"/>
              <w:rPr>
                <w:sz w:val="19"/>
                <w:szCs w:val="19"/>
                <w:color w:val="auto"/>
              </w:rPr>
            </w:pPr>
          </w:p>
        </w:tc>
        <w:tc>
          <w:tcPr>
            <w:tcW w:w="1160" w:type="dxa"/>
            <w:vAlign w:val="bottom"/>
            <w:tcBorders>
              <w:bottom w:val="single" w:sz="8" w:color="002060"/>
            </w:tcBorders>
            <w:shd w:val="clear" w:color="auto" w:fill="E5E5E5"/>
          </w:tcPr>
          <w:p>
            <w:pPr>
              <w:jc w:val="right"/>
              <w:ind w:right="291"/>
              <w:spacing w:after="0"/>
              <w:rPr>
                <w:sz w:val="20"/>
                <w:szCs w:val="20"/>
                <w:color w:val="auto"/>
              </w:rPr>
            </w:pPr>
            <w:r>
              <w:rPr>
                <w:rFonts w:ascii="Arial" w:cs="Arial" w:eastAsia="Arial" w:hAnsi="Arial"/>
                <w:sz w:val="16"/>
                <w:szCs w:val="16"/>
                <w:b w:val="1"/>
                <w:bCs w:val="1"/>
                <w:color w:val="1F4E79"/>
              </w:rPr>
              <w:t>($)</w:t>
            </w:r>
          </w:p>
        </w:tc>
        <w:tc>
          <w:tcPr>
            <w:tcW w:w="600" w:type="dxa"/>
            <w:vAlign w:val="bottom"/>
            <w:tcBorders>
              <w:bottom w:val="single" w:sz="8" w:color="002060"/>
            </w:tcBorders>
            <w:shd w:val="clear" w:color="auto" w:fill="E5E5E5"/>
          </w:tcPr>
          <w:p>
            <w:pPr>
              <w:jc w:val="right"/>
              <w:ind w:right="31"/>
              <w:spacing w:after="0"/>
              <w:rPr>
                <w:sz w:val="20"/>
                <w:szCs w:val="20"/>
                <w:color w:val="auto"/>
              </w:rPr>
            </w:pPr>
            <w:r>
              <w:rPr>
                <w:rFonts w:ascii="Arial" w:cs="Arial" w:eastAsia="Arial" w:hAnsi="Arial"/>
                <w:sz w:val="16"/>
                <w:szCs w:val="16"/>
                <w:b w:val="1"/>
                <w:bCs w:val="1"/>
                <w:color w:val="1F4E79"/>
              </w:rPr>
              <w:t>(%)</w:t>
            </w:r>
          </w:p>
        </w:tc>
        <w:tc>
          <w:tcPr>
            <w:tcW w:w="40" w:type="dxa"/>
            <w:vAlign w:val="bottom"/>
            <w:tcBorders>
              <w:bottom w:val="single" w:sz="8" w:color="E5E5E5"/>
            </w:tcBorders>
            <w:shd w:val="clear" w:color="auto" w:fill="E5E5E5"/>
          </w:tcPr>
          <w:p>
            <w:pPr>
              <w:spacing w:after="0"/>
              <w:rPr>
                <w:sz w:val="19"/>
                <w:szCs w:val="19"/>
                <w:color w:val="auto"/>
              </w:rPr>
            </w:pPr>
          </w:p>
        </w:tc>
        <w:tc>
          <w:tcPr>
            <w:tcW w:w="1200" w:type="dxa"/>
            <w:vAlign w:val="bottom"/>
            <w:tcBorders>
              <w:bottom w:val="single" w:sz="8" w:color="002060"/>
            </w:tcBorders>
            <w:shd w:val="clear" w:color="auto" w:fill="E5E5E5"/>
          </w:tcPr>
          <w:p>
            <w:pPr>
              <w:jc w:val="right"/>
              <w:ind w:right="351"/>
              <w:spacing w:after="0"/>
              <w:rPr>
                <w:sz w:val="20"/>
                <w:szCs w:val="20"/>
                <w:color w:val="auto"/>
              </w:rPr>
            </w:pPr>
            <w:r>
              <w:rPr>
                <w:rFonts w:ascii="Arial" w:cs="Arial" w:eastAsia="Arial" w:hAnsi="Arial"/>
                <w:sz w:val="16"/>
                <w:szCs w:val="16"/>
                <w:b w:val="1"/>
                <w:bCs w:val="1"/>
                <w:color w:val="1F4E79"/>
              </w:rPr>
              <w:t>($)</w:t>
            </w:r>
          </w:p>
        </w:tc>
        <w:tc>
          <w:tcPr>
            <w:tcW w:w="560" w:type="dxa"/>
            <w:vAlign w:val="bottom"/>
            <w:tcBorders>
              <w:bottom w:val="single" w:sz="8" w:color="002060"/>
            </w:tcBorders>
            <w:shd w:val="clear" w:color="auto" w:fill="E5E5E5"/>
          </w:tcPr>
          <w:p>
            <w:pPr>
              <w:jc w:val="right"/>
              <w:ind w:right="51"/>
              <w:spacing w:after="0"/>
              <w:rPr>
                <w:sz w:val="20"/>
                <w:szCs w:val="20"/>
                <w:color w:val="auto"/>
              </w:rPr>
            </w:pPr>
            <w:r>
              <w:rPr>
                <w:rFonts w:ascii="Arial" w:cs="Arial" w:eastAsia="Arial" w:hAnsi="Arial"/>
                <w:sz w:val="16"/>
                <w:szCs w:val="16"/>
                <w:b w:val="1"/>
                <w:bCs w:val="1"/>
                <w:color w:val="1F4E79"/>
              </w:rPr>
              <w:t>(%)</w:t>
            </w:r>
          </w:p>
        </w:tc>
      </w:tr>
      <w:tr>
        <w:trPr>
          <w:trHeight w:val="250"/>
        </w:trPr>
        <w:tc>
          <w:tcPr>
            <w:tcW w:w="5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Insulation</w:t>
            </w:r>
          </w:p>
        </w:tc>
        <w:tc>
          <w:tcPr>
            <w:tcW w:w="11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1,611,037</w:t>
            </w:r>
          </w:p>
        </w:tc>
        <w:tc>
          <w:tcPr>
            <w:tcW w:w="60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61</w:t>
            </w:r>
          </w:p>
        </w:tc>
        <w:tc>
          <w:tcPr>
            <w:tcW w:w="40" w:type="dxa"/>
            <w:vAlign w:val="bottom"/>
            <w:tcBorders>
              <w:bottom w:val="single" w:sz="8" w:color="E5E5E5"/>
            </w:tcBorders>
            <w:shd w:val="clear" w:color="auto" w:fill="E5E5E5"/>
          </w:tcPr>
          <w:p>
            <w:pPr>
              <w:spacing w:after="0"/>
              <w:rPr>
                <w:sz w:val="21"/>
                <w:szCs w:val="21"/>
                <w:color w:val="auto"/>
              </w:rPr>
            </w:pPr>
          </w:p>
        </w:tc>
        <w:tc>
          <w:tcPr>
            <w:tcW w:w="1200" w:type="dxa"/>
            <w:vAlign w:val="bottom"/>
            <w:tcBorders>
              <w:bottom w:val="single" w:sz="8" w:color="002060"/>
            </w:tcBorders>
            <w:shd w:val="clear" w:color="auto" w:fill="E5E5E5"/>
          </w:tcPr>
          <w:p>
            <w:pPr>
              <w:jc w:val="right"/>
              <w:ind w:right="11"/>
              <w:spacing w:after="0"/>
              <w:rPr>
                <w:sz w:val="20"/>
                <w:szCs w:val="20"/>
                <w:color w:val="auto"/>
              </w:rPr>
            </w:pPr>
            <w:r>
              <w:rPr>
                <w:rFonts w:ascii="Arial" w:cs="Arial" w:eastAsia="Arial" w:hAnsi="Arial"/>
                <w:sz w:val="18"/>
                <w:szCs w:val="18"/>
                <w:color w:val="auto"/>
              </w:rPr>
              <w:t>876,118</w:t>
            </w:r>
          </w:p>
        </w:tc>
        <w:tc>
          <w:tcPr>
            <w:tcW w:w="5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66</w:t>
            </w:r>
          </w:p>
        </w:tc>
      </w:tr>
      <w:tr>
        <w:trPr>
          <w:trHeight w:val="297"/>
        </w:trPr>
        <w:tc>
          <w:tcPr>
            <w:tcW w:w="5240" w:type="dxa"/>
            <w:vAlign w:val="bottom"/>
          </w:tcPr>
          <w:p>
            <w:pPr>
              <w:ind w:left="100"/>
              <w:spacing w:after="0"/>
              <w:rPr>
                <w:sz w:val="20"/>
                <w:szCs w:val="20"/>
                <w:color w:val="auto"/>
              </w:rPr>
            </w:pPr>
            <w:r>
              <w:rPr>
                <w:rFonts w:ascii="Arial" w:cs="Arial" w:eastAsia="Arial" w:hAnsi="Arial"/>
                <w:sz w:val="18"/>
                <w:szCs w:val="18"/>
                <w:color w:val="auto"/>
              </w:rPr>
              <w:t>Shower doors, shelving and mirrors</w:t>
            </w:r>
          </w:p>
        </w:tc>
        <w:tc>
          <w:tcPr>
            <w:tcW w:w="1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172,979</w:t>
            </w:r>
          </w:p>
        </w:tc>
        <w:tc>
          <w:tcPr>
            <w:tcW w:w="6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E5E5E5"/>
            </w:tcBorders>
            <w:shd w:val="clear" w:color="auto" w:fill="E5E5E5"/>
          </w:tcPr>
          <w:p>
            <w:pPr>
              <w:spacing w:after="0"/>
              <w:rPr>
                <w:sz w:val="24"/>
                <w:szCs w:val="24"/>
                <w:color w:val="auto"/>
              </w:rPr>
            </w:pPr>
          </w:p>
        </w:tc>
        <w:tc>
          <w:tcPr>
            <w:tcW w:w="1200" w:type="dxa"/>
            <w:vAlign w:val="bottom"/>
            <w:tcBorders>
              <w:bottom w:val="single" w:sz="8" w:color="E5E5E5"/>
            </w:tcBorders>
            <w:shd w:val="clear" w:color="auto" w:fill="E5E5E5"/>
          </w:tcPr>
          <w:p>
            <w:pPr>
              <w:jc w:val="right"/>
              <w:ind w:right="11"/>
              <w:spacing w:after="0"/>
              <w:rPr>
                <w:sz w:val="20"/>
                <w:szCs w:val="20"/>
                <w:color w:val="auto"/>
              </w:rPr>
            </w:pPr>
            <w:r>
              <w:rPr>
                <w:rFonts w:ascii="Arial" w:cs="Arial" w:eastAsia="Arial" w:hAnsi="Arial"/>
                <w:sz w:val="18"/>
                <w:szCs w:val="18"/>
                <w:color w:val="auto"/>
              </w:rPr>
              <w:t>90,352</w:t>
            </w:r>
          </w:p>
        </w:tc>
        <w:tc>
          <w:tcPr>
            <w:tcW w:w="5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w:t>
            </w:r>
          </w:p>
        </w:tc>
      </w:tr>
      <w:tr>
        <w:trPr>
          <w:trHeight w:val="291"/>
        </w:trPr>
        <w:tc>
          <w:tcPr>
            <w:tcW w:w="5240" w:type="dxa"/>
            <w:vAlign w:val="bottom"/>
            <w:tcBorders>
              <w:top w:val="single" w:sz="8" w:color="002060"/>
            </w:tcBorders>
          </w:tcPr>
          <w:p>
            <w:pPr>
              <w:ind w:left="100"/>
              <w:spacing w:after="0"/>
              <w:rPr>
                <w:sz w:val="20"/>
                <w:szCs w:val="20"/>
                <w:color w:val="auto"/>
              </w:rPr>
            </w:pPr>
            <w:r>
              <w:rPr>
                <w:rFonts w:ascii="Arial" w:cs="Arial" w:eastAsia="Arial" w:hAnsi="Arial"/>
                <w:sz w:val="18"/>
                <w:szCs w:val="18"/>
                <w:color w:val="auto"/>
              </w:rPr>
              <w:t>Garage doors</w:t>
            </w:r>
          </w:p>
        </w:tc>
        <w:tc>
          <w:tcPr>
            <w:tcW w:w="11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168,800</w:t>
            </w:r>
          </w:p>
        </w:tc>
        <w:tc>
          <w:tcPr>
            <w:tcW w:w="60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top w:val="single" w:sz="8" w:color="E5E5E5"/>
              <w:bottom w:val="single" w:sz="8" w:color="E5E5E5"/>
            </w:tcBorders>
            <w:shd w:val="clear" w:color="auto" w:fill="E5E5E5"/>
          </w:tcPr>
          <w:p>
            <w:pPr>
              <w:spacing w:after="0"/>
              <w:rPr>
                <w:sz w:val="24"/>
                <w:szCs w:val="24"/>
                <w:color w:val="auto"/>
              </w:rPr>
            </w:pPr>
          </w:p>
        </w:tc>
        <w:tc>
          <w:tcPr>
            <w:tcW w:w="1200" w:type="dxa"/>
            <w:vAlign w:val="bottom"/>
            <w:tcBorders>
              <w:top w:val="single" w:sz="8" w:color="002060"/>
              <w:bottom w:val="single" w:sz="8" w:color="E5E5E5"/>
            </w:tcBorders>
            <w:shd w:val="clear" w:color="auto" w:fill="E5E5E5"/>
          </w:tcPr>
          <w:p>
            <w:pPr>
              <w:jc w:val="right"/>
              <w:ind w:right="11"/>
              <w:spacing w:after="0"/>
              <w:rPr>
                <w:sz w:val="20"/>
                <w:szCs w:val="20"/>
                <w:color w:val="auto"/>
              </w:rPr>
            </w:pPr>
            <w:r>
              <w:rPr>
                <w:rFonts w:ascii="Arial" w:cs="Arial" w:eastAsia="Arial" w:hAnsi="Arial"/>
                <w:sz w:val="18"/>
                <w:szCs w:val="18"/>
                <w:color w:val="auto"/>
              </w:rPr>
              <w:t>79,539</w:t>
            </w:r>
          </w:p>
        </w:tc>
        <w:tc>
          <w:tcPr>
            <w:tcW w:w="5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6</w:t>
            </w:r>
          </w:p>
        </w:tc>
      </w:tr>
      <w:tr>
        <w:trPr>
          <w:trHeight w:val="290"/>
        </w:trPr>
        <w:tc>
          <w:tcPr>
            <w:tcW w:w="5240" w:type="dxa"/>
            <w:vAlign w:val="bottom"/>
            <w:tcBorders>
              <w:top w:val="single" w:sz="8" w:color="002060"/>
            </w:tcBorders>
          </w:tcPr>
          <w:p>
            <w:pPr>
              <w:ind w:left="100"/>
              <w:spacing w:after="0"/>
              <w:rPr>
                <w:sz w:val="20"/>
                <w:szCs w:val="20"/>
                <w:color w:val="auto"/>
              </w:rPr>
            </w:pPr>
            <w:r>
              <w:rPr>
                <w:rFonts w:ascii="Arial" w:cs="Arial" w:eastAsia="Arial" w:hAnsi="Arial"/>
                <w:sz w:val="18"/>
                <w:szCs w:val="18"/>
                <w:color w:val="auto"/>
              </w:rPr>
              <w:t>Waterproofing</w:t>
            </w:r>
          </w:p>
        </w:tc>
        <w:tc>
          <w:tcPr>
            <w:tcW w:w="11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124,808</w:t>
            </w:r>
          </w:p>
        </w:tc>
        <w:tc>
          <w:tcPr>
            <w:tcW w:w="60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top w:val="single" w:sz="8" w:color="E5E5E5"/>
              <w:bottom w:val="single" w:sz="8" w:color="E5E5E5"/>
            </w:tcBorders>
            <w:shd w:val="clear" w:color="auto" w:fill="E5E5E5"/>
          </w:tcPr>
          <w:p>
            <w:pPr>
              <w:spacing w:after="0"/>
              <w:rPr>
                <w:sz w:val="24"/>
                <w:szCs w:val="24"/>
                <w:color w:val="auto"/>
              </w:rPr>
            </w:pPr>
          </w:p>
        </w:tc>
        <w:tc>
          <w:tcPr>
            <w:tcW w:w="1200" w:type="dxa"/>
            <w:vAlign w:val="bottom"/>
            <w:tcBorders>
              <w:top w:val="single" w:sz="8" w:color="002060"/>
              <w:bottom w:val="single" w:sz="8" w:color="E5E5E5"/>
            </w:tcBorders>
            <w:shd w:val="clear" w:color="auto" w:fill="E5E5E5"/>
          </w:tcPr>
          <w:p>
            <w:pPr>
              <w:jc w:val="right"/>
              <w:ind w:right="11"/>
              <w:spacing w:after="0"/>
              <w:rPr>
                <w:sz w:val="20"/>
                <w:szCs w:val="20"/>
                <w:color w:val="auto"/>
              </w:rPr>
            </w:pPr>
            <w:r>
              <w:rPr>
                <w:rFonts w:ascii="Arial" w:cs="Arial" w:eastAsia="Arial" w:hAnsi="Arial"/>
                <w:sz w:val="18"/>
                <w:szCs w:val="18"/>
                <w:color w:val="auto"/>
              </w:rPr>
              <w:t>97,683</w:t>
            </w:r>
          </w:p>
        </w:tc>
        <w:tc>
          <w:tcPr>
            <w:tcW w:w="5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w:t>
            </w:r>
          </w:p>
        </w:tc>
      </w:tr>
      <w:tr>
        <w:trPr>
          <w:trHeight w:val="291"/>
        </w:trPr>
        <w:tc>
          <w:tcPr>
            <w:tcW w:w="5240" w:type="dxa"/>
            <w:vAlign w:val="bottom"/>
            <w:tcBorders>
              <w:top w:val="single" w:sz="8" w:color="002060"/>
            </w:tcBorders>
          </w:tcPr>
          <w:p>
            <w:pPr>
              <w:ind w:left="100"/>
              <w:spacing w:after="0"/>
              <w:rPr>
                <w:sz w:val="20"/>
                <w:szCs w:val="20"/>
                <w:color w:val="auto"/>
              </w:rPr>
            </w:pPr>
            <w:r>
              <w:rPr>
                <w:rFonts w:ascii="Arial" w:cs="Arial" w:eastAsia="Arial" w:hAnsi="Arial"/>
                <w:sz w:val="18"/>
                <w:szCs w:val="18"/>
                <w:color w:val="auto"/>
              </w:rPr>
              <w:t>Rain gutters</w:t>
            </w:r>
          </w:p>
        </w:tc>
        <w:tc>
          <w:tcPr>
            <w:tcW w:w="11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114,022</w:t>
            </w:r>
          </w:p>
        </w:tc>
        <w:tc>
          <w:tcPr>
            <w:tcW w:w="60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top w:val="single" w:sz="8" w:color="E5E5E5"/>
              <w:bottom w:val="single" w:sz="8" w:color="E5E5E5"/>
            </w:tcBorders>
            <w:shd w:val="clear" w:color="auto" w:fill="E5E5E5"/>
          </w:tcPr>
          <w:p>
            <w:pPr>
              <w:spacing w:after="0"/>
              <w:rPr>
                <w:sz w:val="24"/>
                <w:szCs w:val="24"/>
                <w:color w:val="auto"/>
              </w:rPr>
            </w:pPr>
          </w:p>
        </w:tc>
        <w:tc>
          <w:tcPr>
            <w:tcW w:w="1200" w:type="dxa"/>
            <w:vAlign w:val="bottom"/>
            <w:tcBorders>
              <w:top w:val="single" w:sz="8" w:color="002060"/>
              <w:bottom w:val="single" w:sz="8" w:color="E5E5E5"/>
            </w:tcBorders>
            <w:shd w:val="clear" w:color="auto" w:fill="E5E5E5"/>
          </w:tcPr>
          <w:p>
            <w:pPr>
              <w:jc w:val="right"/>
              <w:ind w:right="11"/>
              <w:spacing w:after="0"/>
              <w:rPr>
                <w:sz w:val="20"/>
                <w:szCs w:val="20"/>
                <w:color w:val="auto"/>
              </w:rPr>
            </w:pPr>
            <w:r>
              <w:rPr>
                <w:rFonts w:ascii="Arial" w:cs="Arial" w:eastAsia="Arial" w:hAnsi="Arial"/>
                <w:sz w:val="18"/>
                <w:szCs w:val="18"/>
                <w:color w:val="auto"/>
              </w:rPr>
              <w:t>44,203</w:t>
            </w:r>
          </w:p>
        </w:tc>
        <w:tc>
          <w:tcPr>
            <w:tcW w:w="5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w:t>
            </w:r>
          </w:p>
        </w:tc>
      </w:tr>
      <w:tr>
        <w:trPr>
          <w:trHeight w:val="290"/>
        </w:trPr>
        <w:tc>
          <w:tcPr>
            <w:tcW w:w="5240" w:type="dxa"/>
            <w:vAlign w:val="bottom"/>
            <w:tcBorders>
              <w:top w:val="single" w:sz="8" w:color="002060"/>
            </w:tcBorders>
          </w:tcPr>
          <w:p>
            <w:pPr>
              <w:ind w:left="100"/>
              <w:spacing w:after="0"/>
              <w:rPr>
                <w:sz w:val="20"/>
                <w:szCs w:val="20"/>
                <w:color w:val="auto"/>
              </w:rPr>
            </w:pPr>
            <w:r>
              <w:rPr>
                <w:rFonts w:ascii="Arial" w:cs="Arial" w:eastAsia="Arial" w:hAnsi="Arial"/>
                <w:sz w:val="18"/>
                <w:szCs w:val="18"/>
                <w:color w:val="auto"/>
              </w:rPr>
              <w:t>Fireproofing / firestopping</w:t>
            </w:r>
          </w:p>
        </w:tc>
        <w:tc>
          <w:tcPr>
            <w:tcW w:w="11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63,498</w:t>
            </w:r>
          </w:p>
        </w:tc>
        <w:tc>
          <w:tcPr>
            <w:tcW w:w="60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top w:val="single" w:sz="8" w:color="E5E5E5"/>
              <w:bottom w:val="single" w:sz="8" w:color="E5E5E5"/>
            </w:tcBorders>
            <w:shd w:val="clear" w:color="auto" w:fill="E5E5E5"/>
          </w:tcPr>
          <w:p>
            <w:pPr>
              <w:spacing w:after="0"/>
              <w:rPr>
                <w:sz w:val="24"/>
                <w:szCs w:val="24"/>
                <w:color w:val="auto"/>
              </w:rPr>
            </w:pPr>
          </w:p>
        </w:tc>
        <w:tc>
          <w:tcPr>
            <w:tcW w:w="1200" w:type="dxa"/>
            <w:vAlign w:val="bottom"/>
            <w:tcBorders>
              <w:top w:val="single" w:sz="8" w:color="002060"/>
              <w:bottom w:val="single" w:sz="8" w:color="E5E5E5"/>
            </w:tcBorders>
            <w:shd w:val="clear" w:color="auto" w:fill="E5E5E5"/>
          </w:tcPr>
          <w:p>
            <w:pPr>
              <w:jc w:val="right"/>
              <w:ind w:right="11"/>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90"/>
        </w:trPr>
        <w:tc>
          <w:tcPr>
            <w:tcW w:w="5240" w:type="dxa"/>
            <w:vAlign w:val="bottom"/>
            <w:tcBorders>
              <w:top w:val="single" w:sz="8" w:color="002060"/>
            </w:tcBorders>
          </w:tcPr>
          <w:p>
            <w:pPr>
              <w:ind w:left="100"/>
              <w:spacing w:after="0"/>
              <w:rPr>
                <w:sz w:val="20"/>
                <w:szCs w:val="20"/>
                <w:color w:val="auto"/>
              </w:rPr>
            </w:pPr>
            <w:r>
              <w:rPr>
                <w:rFonts w:ascii="Arial" w:cs="Arial" w:eastAsia="Arial" w:hAnsi="Arial"/>
                <w:sz w:val="18"/>
                <w:szCs w:val="18"/>
                <w:color w:val="auto"/>
              </w:rPr>
              <w:t>Window blinds</w:t>
            </w:r>
          </w:p>
        </w:tc>
        <w:tc>
          <w:tcPr>
            <w:tcW w:w="11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61,295</w:t>
            </w:r>
          </w:p>
        </w:tc>
        <w:tc>
          <w:tcPr>
            <w:tcW w:w="60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top w:val="single" w:sz="8" w:color="E5E5E5"/>
              <w:bottom w:val="single" w:sz="8" w:color="E5E5E5"/>
            </w:tcBorders>
            <w:shd w:val="clear" w:color="auto" w:fill="E5E5E5"/>
          </w:tcPr>
          <w:p>
            <w:pPr>
              <w:spacing w:after="0"/>
              <w:rPr>
                <w:sz w:val="24"/>
                <w:szCs w:val="24"/>
                <w:color w:val="auto"/>
              </w:rPr>
            </w:pPr>
          </w:p>
        </w:tc>
        <w:tc>
          <w:tcPr>
            <w:tcW w:w="1200" w:type="dxa"/>
            <w:vAlign w:val="bottom"/>
            <w:tcBorders>
              <w:top w:val="single" w:sz="8" w:color="002060"/>
              <w:bottom w:val="single" w:sz="8" w:color="E5E5E5"/>
            </w:tcBorders>
            <w:shd w:val="clear" w:color="auto" w:fill="E5E5E5"/>
          </w:tcPr>
          <w:p>
            <w:pPr>
              <w:jc w:val="right"/>
              <w:ind w:right="11"/>
              <w:spacing w:after="0"/>
              <w:rPr>
                <w:sz w:val="20"/>
                <w:szCs w:val="20"/>
                <w:color w:val="auto"/>
              </w:rPr>
            </w:pPr>
            <w:r>
              <w:rPr>
                <w:rFonts w:ascii="Arial" w:cs="Arial" w:eastAsia="Arial" w:hAnsi="Arial"/>
                <w:sz w:val="18"/>
                <w:szCs w:val="18"/>
                <w:color w:val="auto"/>
              </w:rPr>
              <w:t>28,981</w:t>
            </w:r>
          </w:p>
        </w:tc>
        <w:tc>
          <w:tcPr>
            <w:tcW w:w="5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w:t>
            </w:r>
          </w:p>
        </w:tc>
      </w:tr>
      <w:tr>
        <w:trPr>
          <w:trHeight w:val="290"/>
        </w:trPr>
        <w:tc>
          <w:tcPr>
            <w:tcW w:w="5240" w:type="dxa"/>
            <w:vAlign w:val="bottom"/>
            <w:tcBorders>
              <w:top w:val="single" w:sz="8" w:color="002060"/>
            </w:tcBorders>
          </w:tcPr>
          <w:p>
            <w:pPr>
              <w:ind w:left="100"/>
              <w:spacing w:after="0"/>
              <w:rPr>
                <w:sz w:val="20"/>
                <w:szCs w:val="20"/>
                <w:color w:val="auto"/>
              </w:rPr>
            </w:pPr>
            <w:r>
              <w:rPr>
                <w:rFonts w:ascii="Arial" w:cs="Arial" w:eastAsia="Arial" w:hAnsi="Arial"/>
                <w:sz w:val="18"/>
                <w:szCs w:val="18"/>
                <w:color w:val="auto"/>
              </w:rPr>
              <w:t>Other building products</w:t>
            </w:r>
          </w:p>
        </w:tc>
        <w:tc>
          <w:tcPr>
            <w:tcW w:w="11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197,118</w:t>
            </w:r>
          </w:p>
        </w:tc>
        <w:tc>
          <w:tcPr>
            <w:tcW w:w="60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top w:val="single" w:sz="8" w:color="E5E5E5"/>
              <w:bottom w:val="single" w:sz="8" w:color="E5E5E5"/>
            </w:tcBorders>
            <w:shd w:val="clear" w:color="auto" w:fill="E5E5E5"/>
          </w:tcPr>
          <w:p>
            <w:pPr>
              <w:spacing w:after="0"/>
              <w:rPr>
                <w:sz w:val="24"/>
                <w:szCs w:val="24"/>
                <w:color w:val="auto"/>
              </w:rPr>
            </w:pPr>
          </w:p>
        </w:tc>
        <w:tc>
          <w:tcPr>
            <w:tcW w:w="1200" w:type="dxa"/>
            <w:vAlign w:val="bottom"/>
            <w:tcBorders>
              <w:top w:val="single" w:sz="8" w:color="002060"/>
              <w:bottom w:val="single" w:sz="8" w:color="E5E5E5"/>
            </w:tcBorders>
            <w:shd w:val="clear" w:color="auto" w:fill="E5E5E5"/>
          </w:tcPr>
          <w:p>
            <w:pPr>
              <w:jc w:val="right"/>
              <w:ind w:right="11"/>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9</w:t>
            </w:r>
          </w:p>
        </w:tc>
      </w:tr>
      <w:tr>
        <w:trPr>
          <w:trHeight w:val="291"/>
        </w:trPr>
        <w:tc>
          <w:tcPr>
            <w:tcW w:w="5240" w:type="dxa"/>
            <w:vAlign w:val="bottom"/>
            <w:tcBorders>
              <w:top w:val="single" w:sz="8" w:color="002060"/>
            </w:tcBorders>
          </w:tcPr>
          <w:p>
            <w:pPr>
              <w:ind w:left="360"/>
              <w:spacing w:after="0"/>
              <w:rPr>
                <w:sz w:val="20"/>
                <w:szCs w:val="20"/>
                <w:color w:val="auto"/>
              </w:rPr>
            </w:pPr>
            <w:r>
              <w:rPr>
                <w:rFonts w:ascii="Arial" w:cs="Arial" w:eastAsia="Arial" w:hAnsi="Arial"/>
                <w:sz w:val="18"/>
                <w:szCs w:val="18"/>
                <w:color w:val="auto"/>
              </w:rPr>
              <w:t>Net revenues, installation</w:t>
            </w:r>
          </w:p>
        </w:tc>
        <w:tc>
          <w:tcPr>
            <w:tcW w:w="11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2,513,557</w:t>
            </w:r>
          </w:p>
        </w:tc>
        <w:tc>
          <w:tcPr>
            <w:tcW w:w="60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94</w:t>
            </w:r>
          </w:p>
        </w:tc>
        <w:tc>
          <w:tcPr>
            <w:tcW w:w="40" w:type="dxa"/>
            <w:vAlign w:val="bottom"/>
            <w:tcBorders>
              <w:top w:val="single" w:sz="8" w:color="E5E5E5"/>
              <w:bottom w:val="single" w:sz="8" w:color="E5E5E5"/>
            </w:tcBorders>
            <w:shd w:val="clear" w:color="auto" w:fill="E5E5E5"/>
          </w:tcPr>
          <w:p>
            <w:pPr>
              <w:spacing w:after="0"/>
              <w:rPr>
                <w:sz w:val="24"/>
                <w:szCs w:val="24"/>
                <w:color w:val="auto"/>
              </w:rPr>
            </w:pPr>
          </w:p>
        </w:tc>
        <w:tc>
          <w:tcPr>
            <w:tcW w:w="1200" w:type="dxa"/>
            <w:vAlign w:val="bottom"/>
            <w:tcBorders>
              <w:top w:val="single" w:sz="8" w:color="002060"/>
              <w:bottom w:val="single" w:sz="8" w:color="E5E5E5"/>
            </w:tcBorders>
            <w:shd w:val="clear" w:color="auto" w:fill="E5E5E5"/>
          </w:tcPr>
          <w:p>
            <w:pPr>
              <w:jc w:val="right"/>
              <w:ind w:right="11"/>
              <w:spacing w:after="0"/>
              <w:rPr>
                <w:sz w:val="20"/>
                <w:szCs w:val="20"/>
                <w:color w:val="auto"/>
              </w:rPr>
            </w:pPr>
            <w:r>
              <w:rPr>
                <w:rFonts w:ascii="Arial" w:cs="Arial" w:eastAsia="Arial" w:hAnsi="Arial"/>
                <w:sz w:val="18"/>
                <w:szCs w:val="18"/>
                <w:color w:val="auto"/>
              </w:rPr>
              <w:t>1,336,432</w:t>
            </w:r>
          </w:p>
        </w:tc>
        <w:tc>
          <w:tcPr>
            <w:tcW w:w="5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100</w:t>
            </w:r>
          </w:p>
        </w:tc>
      </w:tr>
      <w:tr>
        <w:trPr>
          <w:trHeight w:val="290"/>
        </w:trPr>
        <w:tc>
          <w:tcPr>
            <w:tcW w:w="5240" w:type="dxa"/>
            <w:vAlign w:val="bottom"/>
            <w:tcBorders>
              <w:top w:val="single" w:sz="8" w:color="002060"/>
            </w:tcBorders>
          </w:tcPr>
          <w:p>
            <w:pPr>
              <w:ind w:left="100"/>
              <w:spacing w:after="0"/>
              <w:rPr>
                <w:sz w:val="20"/>
                <w:szCs w:val="20"/>
                <w:color w:val="auto"/>
              </w:rPr>
            </w:pPr>
            <w:r>
              <w:rPr>
                <w:rFonts w:ascii="Arial" w:cs="Arial" w:eastAsia="Arial" w:hAnsi="Arial"/>
                <w:sz w:val="18"/>
                <w:szCs w:val="18"/>
                <w:color w:val="auto"/>
              </w:rPr>
              <w:t>Other</w:t>
            </w:r>
          </w:p>
        </w:tc>
        <w:tc>
          <w:tcPr>
            <w:tcW w:w="11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156,287</w:t>
            </w:r>
          </w:p>
        </w:tc>
        <w:tc>
          <w:tcPr>
            <w:tcW w:w="60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top w:val="single" w:sz="8" w:color="E5E5E5"/>
              <w:bottom w:val="single" w:sz="8" w:color="E5E5E5"/>
            </w:tcBorders>
            <w:shd w:val="clear" w:color="auto" w:fill="E5E5E5"/>
          </w:tcPr>
          <w:p>
            <w:pPr>
              <w:spacing w:after="0"/>
              <w:rPr>
                <w:sz w:val="24"/>
                <w:szCs w:val="24"/>
                <w:color w:val="auto"/>
              </w:rPr>
            </w:pPr>
          </w:p>
        </w:tc>
        <w:tc>
          <w:tcPr>
            <w:tcW w:w="1200" w:type="dxa"/>
            <w:vAlign w:val="bottom"/>
            <w:tcBorders>
              <w:top w:val="single" w:sz="8" w:color="002060"/>
              <w:bottom w:val="single" w:sz="8" w:color="E5E5E5"/>
            </w:tcBorders>
            <w:shd w:val="clear" w:color="auto" w:fill="E5E5E5"/>
          </w:tcPr>
          <w:p>
            <w:pPr>
              <w:jc w:val="right"/>
              <w:ind w:right="11"/>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40" w:type="dxa"/>
            <w:vAlign w:val="bottom"/>
            <w:tcBorders>
              <w:top w:val="single" w:sz="8" w:color="002060"/>
            </w:tcBorders>
          </w:tcPr>
          <w:p>
            <w:pPr>
              <w:ind w:left="360"/>
              <w:spacing w:after="0"/>
              <w:rPr>
                <w:sz w:val="20"/>
                <w:szCs w:val="20"/>
                <w:color w:val="auto"/>
              </w:rPr>
            </w:pPr>
            <w:r>
              <w:rPr>
                <w:rFonts w:ascii="Arial" w:cs="Arial" w:eastAsia="Arial" w:hAnsi="Arial"/>
                <w:sz w:val="18"/>
                <w:szCs w:val="18"/>
                <w:color w:val="auto"/>
              </w:rPr>
              <w:t>Net revenues</w:t>
            </w:r>
          </w:p>
        </w:tc>
        <w:tc>
          <w:tcPr>
            <w:tcW w:w="11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2,669,844</w:t>
            </w:r>
          </w:p>
        </w:tc>
        <w:tc>
          <w:tcPr>
            <w:tcW w:w="60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top w:val="single" w:sz="8" w:color="E5E5E5"/>
              <w:bottom w:val="single" w:sz="8" w:color="E5E5E5"/>
            </w:tcBorders>
            <w:shd w:val="clear" w:color="auto" w:fill="E5E5E5"/>
          </w:tcPr>
          <w:p>
            <w:pPr>
              <w:spacing w:after="0"/>
              <w:rPr>
                <w:sz w:val="23"/>
                <w:szCs w:val="23"/>
                <w:color w:val="auto"/>
              </w:rPr>
            </w:pPr>
          </w:p>
        </w:tc>
        <w:tc>
          <w:tcPr>
            <w:tcW w:w="1200" w:type="dxa"/>
            <w:vAlign w:val="bottom"/>
            <w:tcBorders>
              <w:top w:val="single" w:sz="8" w:color="002060"/>
              <w:bottom w:val="single" w:sz="8" w:color="E5E5E5"/>
            </w:tcBorders>
            <w:shd w:val="clear" w:color="auto" w:fill="E5E5E5"/>
          </w:tcPr>
          <w:p>
            <w:pPr>
              <w:jc w:val="right"/>
              <w:ind w:right="11"/>
              <w:spacing w:after="0"/>
              <w:rPr>
                <w:sz w:val="20"/>
                <w:szCs w:val="20"/>
                <w:color w:val="auto"/>
              </w:rPr>
            </w:pPr>
            <w:r>
              <w:rPr>
                <w:rFonts w:ascii="Arial" w:cs="Arial" w:eastAsia="Arial" w:hAnsi="Arial"/>
                <w:sz w:val="18"/>
                <w:szCs w:val="18"/>
                <w:color w:val="auto"/>
              </w:rPr>
              <w:t>1,336,432</w:t>
            </w:r>
          </w:p>
        </w:tc>
        <w:tc>
          <w:tcPr>
            <w:tcW w:w="560" w:type="dxa"/>
            <w:vAlign w:val="bottom"/>
            <w:tcBorders>
              <w:top w:val="single" w:sz="8" w:color="002060"/>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240" w:type="dxa"/>
            <w:vAlign w:val="bottom"/>
            <w:shd w:val="clear" w:color="auto" w:fill="002060"/>
          </w:tcPr>
          <w:p>
            <w:pPr>
              <w:spacing w:after="0"/>
              <w:rPr>
                <w:sz w:val="2"/>
                <w:szCs w:val="2"/>
                <w:color w:val="auto"/>
              </w:rPr>
            </w:pPr>
          </w:p>
        </w:tc>
        <w:tc>
          <w:tcPr>
            <w:tcW w:w="1160" w:type="dxa"/>
            <w:vAlign w:val="bottom"/>
            <w:shd w:val="clear" w:color="auto" w:fill="002060"/>
          </w:tcPr>
          <w:p>
            <w:pPr>
              <w:spacing w:after="0"/>
              <w:rPr>
                <w:sz w:val="2"/>
                <w:szCs w:val="2"/>
                <w:color w:val="auto"/>
              </w:rPr>
            </w:pPr>
          </w:p>
        </w:tc>
        <w:tc>
          <w:tcPr>
            <w:tcW w:w="600" w:type="dxa"/>
            <w:vAlign w:val="bottom"/>
            <w:shd w:val="clear" w:color="auto" w:fill="002060"/>
          </w:tcPr>
          <w:p>
            <w:pPr>
              <w:spacing w:after="0"/>
              <w:rPr>
                <w:sz w:val="2"/>
                <w:szCs w:val="2"/>
                <w:color w:val="auto"/>
              </w:rPr>
            </w:pPr>
          </w:p>
        </w:tc>
        <w:tc>
          <w:tcPr>
            <w:tcW w:w="40" w:type="dxa"/>
            <w:vAlign w:val="bottom"/>
            <w:shd w:val="clear" w:color="auto" w:fill="002060"/>
          </w:tcPr>
          <w:p>
            <w:pPr>
              <w:spacing w:after="0"/>
              <w:rPr>
                <w:sz w:val="2"/>
                <w:szCs w:val="2"/>
                <w:color w:val="auto"/>
              </w:rPr>
            </w:pPr>
          </w:p>
        </w:tc>
        <w:tc>
          <w:tcPr>
            <w:tcW w:w="1200" w:type="dxa"/>
            <w:vAlign w:val="bottom"/>
            <w:shd w:val="clear" w:color="auto" w:fill="002060"/>
          </w:tcPr>
          <w:p>
            <w:pPr>
              <w:spacing w:after="0"/>
              <w:rPr>
                <w:sz w:val="2"/>
                <w:szCs w:val="2"/>
                <w:color w:val="auto"/>
              </w:rPr>
            </w:pPr>
          </w:p>
        </w:tc>
        <w:tc>
          <w:tcPr>
            <w:tcW w:w="560" w:type="dxa"/>
            <w:vAlign w:val="bottom"/>
            <w:shd w:val="clear" w:color="auto" w:fill="002060"/>
          </w:tcPr>
          <w:p>
            <w:pPr>
              <w:spacing w:after="0"/>
              <w:rPr>
                <w:sz w:val="2"/>
                <w:szCs w:val="2"/>
                <w:color w:val="auto"/>
              </w:rPr>
            </w:pPr>
          </w:p>
        </w:tc>
      </w:tr>
    </w:tbl>
    <w:p>
      <w:pPr>
        <w:spacing w:after="0" w:line="19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Net revenue for manufacturing operations are included in the “Other”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163195</wp:posOffset>
            </wp:positionV>
            <wp:extent cx="3574415" cy="8483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7441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Our Capital Allocation Strategy</w:t>
      </w:r>
    </w:p>
    <w:p>
      <w:pPr>
        <w:spacing w:after="0" w:line="216"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color w:val="auto"/>
        </w:rPr>
        <w:t>Our primary use of capital is acquisitions, which typically contribute to profitability in the first year and assist in achieving product diversification. Our asset-light model generates substantial operating cash flow, which supports acquisition growth.</w:t>
      </w:r>
    </w:p>
    <w:p>
      <w:pPr>
        <w:spacing w:after="0" w:line="154" w:lineRule="exact"/>
        <w:rPr>
          <w:sz w:val="20"/>
          <w:szCs w:val="20"/>
          <w:color w:val="auto"/>
        </w:rPr>
      </w:pPr>
    </w:p>
    <w:p>
      <w:pPr>
        <w:ind w:left="120" w:right="840"/>
        <w:spacing w:after="0" w:line="271" w:lineRule="auto"/>
        <w:rPr>
          <w:sz w:val="20"/>
          <w:szCs w:val="20"/>
          <w:color w:val="auto"/>
        </w:rPr>
      </w:pPr>
      <w:r>
        <w:rPr>
          <w:rFonts w:ascii="Arial" w:cs="Arial" w:eastAsia="Arial" w:hAnsi="Arial"/>
          <w:sz w:val="18"/>
          <w:szCs w:val="18"/>
          <w:color w:val="auto"/>
        </w:rPr>
        <w:t>In 2022, we returned $200.3 million of cash to stockholders, including quarterly and variable dividends of $62.7 million and stock repurchases totaling $137.6 million.</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371"/>
        </w:trPr>
        <w:tc>
          <w:tcPr>
            <w:tcW w:w="3180" w:type="dxa"/>
            <w:vAlign w:val="bottom"/>
          </w:tcPr>
          <w:p>
            <w:pPr>
              <w:ind w:left="1420"/>
              <w:spacing w:after="0"/>
              <w:rPr>
                <w:sz w:val="20"/>
                <w:szCs w:val="20"/>
                <w:color w:val="auto"/>
              </w:rPr>
            </w:pPr>
            <w:r>
              <w:rPr>
                <w:rFonts w:ascii="Arial" w:cs="Arial" w:eastAsia="Arial" w:hAnsi="Arial"/>
                <w:sz w:val="29"/>
                <w:szCs w:val="29"/>
                <w:b w:val="1"/>
                <w:bCs w:val="1"/>
                <w:color w:val="0070C0"/>
              </w:rPr>
              <w:t>2022 Cash</w:t>
            </w:r>
          </w:p>
        </w:tc>
        <w:tc>
          <w:tcPr>
            <w:tcW w:w="600" w:type="dxa"/>
            <w:vAlign w:val="bottom"/>
            <w:vMerge w:val="restart"/>
          </w:tcPr>
          <w:p>
            <w:pPr>
              <w:jc w:val="right"/>
              <w:spacing w:after="0"/>
              <w:rPr>
                <w:sz w:val="20"/>
                <w:szCs w:val="20"/>
                <w:color w:val="auto"/>
              </w:rPr>
            </w:pPr>
            <w:r>
              <w:rPr>
                <w:rFonts w:ascii="Arial" w:cs="Arial" w:eastAsia="Arial" w:hAnsi="Arial"/>
                <w:sz w:val="29"/>
                <w:szCs w:val="29"/>
                <w:b w:val="1"/>
                <w:bCs w:val="1"/>
                <w:color w:val="0070C0"/>
              </w:rPr>
              <w:t>=</w:t>
            </w:r>
          </w:p>
        </w:tc>
        <w:tc>
          <w:tcPr>
            <w:tcW w:w="1380" w:type="dxa"/>
            <w:vAlign w:val="bottom"/>
            <w:vMerge w:val="restart"/>
            <w:shd w:val="clear" w:color="auto" w:fill="0070C0"/>
          </w:tcPr>
          <w:p>
            <w:pPr>
              <w:ind w:left="220"/>
              <w:spacing w:after="0"/>
              <w:rPr>
                <w:sz w:val="20"/>
                <w:szCs w:val="20"/>
                <w:color w:val="auto"/>
              </w:rPr>
            </w:pPr>
            <w:r>
              <w:rPr>
                <w:rFonts w:ascii="Arial" w:cs="Arial" w:eastAsia="Arial" w:hAnsi="Arial"/>
                <w:sz w:val="29"/>
                <w:szCs w:val="29"/>
                <w:b w:val="1"/>
                <w:bCs w:val="1"/>
                <w:color w:val="FFFFFF"/>
              </w:rPr>
              <w:t>$62.7M</w:t>
            </w:r>
          </w:p>
        </w:tc>
        <w:tc>
          <w:tcPr>
            <w:tcW w:w="2940" w:type="dxa"/>
            <w:vAlign w:val="bottom"/>
          </w:tcPr>
          <w:p>
            <w:pPr>
              <w:jc w:val="center"/>
              <w:ind w:left="256"/>
              <w:spacing w:after="0"/>
              <w:rPr>
                <w:sz w:val="20"/>
                <w:szCs w:val="20"/>
                <w:color w:val="auto"/>
              </w:rPr>
            </w:pPr>
            <w:r>
              <w:rPr>
                <w:rFonts w:ascii="Arial" w:cs="Arial" w:eastAsia="Arial" w:hAnsi="Arial"/>
                <w:sz w:val="29"/>
                <w:szCs w:val="29"/>
                <w:b w:val="1"/>
                <w:bCs w:val="1"/>
                <w:color w:val="0070C0"/>
                <w:w w:val="98"/>
              </w:rPr>
              <w:t>2022 Stock</w:t>
            </w:r>
          </w:p>
        </w:tc>
        <w:tc>
          <w:tcPr>
            <w:tcW w:w="780" w:type="dxa"/>
            <w:vAlign w:val="bottom"/>
            <w:vMerge w:val="restart"/>
          </w:tcPr>
          <w:p>
            <w:pPr>
              <w:jc w:val="right"/>
              <w:ind w:right="76"/>
              <w:spacing w:after="0"/>
              <w:rPr>
                <w:sz w:val="20"/>
                <w:szCs w:val="20"/>
                <w:color w:val="auto"/>
              </w:rPr>
            </w:pPr>
            <w:r>
              <w:rPr>
                <w:rFonts w:ascii="Arial" w:cs="Arial" w:eastAsia="Arial" w:hAnsi="Arial"/>
                <w:sz w:val="29"/>
                <w:szCs w:val="29"/>
                <w:b w:val="1"/>
                <w:bCs w:val="1"/>
                <w:color w:val="0070C0"/>
              </w:rPr>
              <w:t>=</w:t>
            </w:r>
          </w:p>
        </w:tc>
        <w:tc>
          <w:tcPr>
            <w:tcW w:w="1500" w:type="dxa"/>
            <w:vAlign w:val="bottom"/>
            <w:vMerge w:val="restart"/>
            <w:shd w:val="clear" w:color="auto" w:fill="0070C0"/>
          </w:tcPr>
          <w:p>
            <w:pPr>
              <w:ind w:left="220"/>
              <w:spacing w:after="0"/>
              <w:rPr>
                <w:sz w:val="20"/>
                <w:szCs w:val="20"/>
                <w:color w:val="auto"/>
              </w:rPr>
            </w:pPr>
            <w:r>
              <w:rPr>
                <w:rFonts w:ascii="Arial" w:cs="Arial" w:eastAsia="Arial" w:hAnsi="Arial"/>
                <w:sz w:val="29"/>
                <w:szCs w:val="29"/>
                <w:b w:val="1"/>
                <w:bCs w:val="1"/>
                <w:color w:val="FFFFFF"/>
              </w:rPr>
              <w:t>$137.6M</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180" w:type="dxa"/>
            <w:vAlign w:val="bottom"/>
            <w:vMerge w:val="restart"/>
          </w:tcPr>
          <w:p>
            <w:pPr>
              <w:ind w:left="1440"/>
              <w:spacing w:after="0"/>
              <w:rPr>
                <w:sz w:val="20"/>
                <w:szCs w:val="20"/>
                <w:color w:val="auto"/>
              </w:rPr>
            </w:pPr>
            <w:r>
              <w:rPr>
                <w:rFonts w:ascii="Arial" w:cs="Arial" w:eastAsia="Arial" w:hAnsi="Arial"/>
                <w:sz w:val="29"/>
                <w:szCs w:val="29"/>
                <w:b w:val="1"/>
                <w:bCs w:val="1"/>
                <w:color w:val="0070C0"/>
              </w:rPr>
              <w:t>Dividends</w:t>
            </w:r>
          </w:p>
        </w:tc>
        <w:tc>
          <w:tcPr>
            <w:tcW w:w="600" w:type="dxa"/>
            <w:vAlign w:val="bottom"/>
            <w:vMerge w:val="continue"/>
          </w:tcPr>
          <w:p>
            <w:pPr>
              <w:spacing w:after="0"/>
              <w:rPr>
                <w:sz w:val="20"/>
                <w:szCs w:val="20"/>
                <w:color w:val="auto"/>
              </w:rPr>
            </w:pPr>
          </w:p>
        </w:tc>
        <w:tc>
          <w:tcPr>
            <w:tcW w:w="1380" w:type="dxa"/>
            <w:vAlign w:val="bottom"/>
            <w:vMerge w:val="continue"/>
            <w:shd w:val="clear" w:color="auto" w:fill="0070C0"/>
          </w:tcPr>
          <w:p>
            <w:pPr>
              <w:spacing w:after="0"/>
              <w:rPr>
                <w:sz w:val="20"/>
                <w:szCs w:val="20"/>
                <w:color w:val="auto"/>
              </w:rPr>
            </w:pPr>
          </w:p>
        </w:tc>
        <w:tc>
          <w:tcPr>
            <w:tcW w:w="2940" w:type="dxa"/>
            <w:vAlign w:val="bottom"/>
            <w:vMerge w:val="restart"/>
          </w:tcPr>
          <w:p>
            <w:pPr>
              <w:jc w:val="center"/>
              <w:ind w:left="256"/>
              <w:spacing w:after="0"/>
              <w:rPr>
                <w:sz w:val="20"/>
                <w:szCs w:val="20"/>
                <w:color w:val="auto"/>
              </w:rPr>
            </w:pPr>
            <w:r>
              <w:rPr>
                <w:rFonts w:ascii="Arial" w:cs="Arial" w:eastAsia="Arial" w:hAnsi="Arial"/>
                <w:sz w:val="29"/>
                <w:szCs w:val="29"/>
                <w:b w:val="1"/>
                <w:bCs w:val="1"/>
                <w:color w:val="0070C0"/>
                <w:w w:val="99"/>
              </w:rPr>
              <w:t>Repurchases</w:t>
            </w:r>
          </w:p>
        </w:tc>
        <w:tc>
          <w:tcPr>
            <w:tcW w:w="780" w:type="dxa"/>
            <w:vAlign w:val="bottom"/>
            <w:vMerge w:val="continue"/>
          </w:tcPr>
          <w:p>
            <w:pPr>
              <w:spacing w:after="0"/>
              <w:rPr>
                <w:sz w:val="20"/>
                <w:szCs w:val="20"/>
                <w:color w:val="auto"/>
              </w:rPr>
            </w:pPr>
          </w:p>
        </w:tc>
        <w:tc>
          <w:tcPr>
            <w:tcW w:w="1500" w:type="dxa"/>
            <w:vAlign w:val="bottom"/>
            <w:vMerge w:val="continue"/>
            <w:shd w:val="clear" w:color="auto" w:fill="0070C0"/>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380" w:type="dxa"/>
            <w:vAlign w:val="bottom"/>
            <w:tcBorders>
              <w:bottom w:val="single" w:sz="8" w:color="0070C0"/>
            </w:tcBorders>
            <w:shd w:val="clear" w:color="auto" w:fill="0070C0"/>
          </w:tcPr>
          <w:p>
            <w:pPr>
              <w:spacing w:after="0"/>
              <w:rPr>
                <w:sz w:val="17"/>
                <w:szCs w:val="17"/>
                <w:color w:val="auto"/>
              </w:rPr>
            </w:pPr>
          </w:p>
        </w:tc>
        <w:tc>
          <w:tcPr>
            <w:tcW w:w="294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Borders>
              <w:bottom w:val="single" w:sz="8" w:color="0070C0"/>
            </w:tcBorders>
            <w:shd w:val="clear" w:color="auto" w:fill="0070C0"/>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1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3180" w:type="dxa"/>
            <w:vAlign w:val="bottom"/>
          </w:tcPr>
          <w:p>
            <w:pPr>
              <w:spacing w:after="0"/>
              <w:rPr>
                <w:sz w:val="20"/>
                <w:szCs w:val="20"/>
                <w:color w:val="auto"/>
              </w:rPr>
            </w:pPr>
            <w:r>
              <w:rPr>
                <w:rFonts w:ascii="Arial" w:cs="Arial" w:eastAsia="Arial" w:hAnsi="Arial"/>
                <w:sz w:val="16"/>
                <w:szCs w:val="16"/>
                <w:color w:val="002060"/>
              </w:rPr>
              <w:t>Proxy Summary</w:t>
            </w: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color w:val="002060"/>
              </w:rPr>
              <w:t>2023 Proxy Statement</w:t>
            </w:r>
          </w:p>
        </w:tc>
        <w:tc>
          <w:tcPr>
            <w:tcW w:w="360" w:type="dxa"/>
            <w:vAlign w:val="bottom"/>
            <w:shd w:val="clear" w:color="auto" w:fill="002060"/>
          </w:tcPr>
          <w:p>
            <w:pPr>
              <w:jc w:val="right"/>
              <w:ind w:right="39"/>
              <w:spacing w:after="0"/>
              <w:rPr>
                <w:sz w:val="20"/>
                <w:szCs w:val="20"/>
                <w:color w:val="auto"/>
              </w:rPr>
            </w:pPr>
            <w:r>
              <w:rPr>
                <w:rFonts w:ascii="Arial" w:cs="Arial" w:eastAsia="Arial" w:hAnsi="Arial"/>
                <w:sz w:val="16"/>
                <w:szCs w:val="16"/>
                <w:color w:val="FFFFFF"/>
              </w:rPr>
              <w:t>7</w:t>
            </w:r>
          </w:p>
        </w:tc>
        <w:tc>
          <w:tcPr>
            <w:tcW w:w="0" w:type="dxa"/>
            <w:vAlign w:val="bottom"/>
          </w:tcPr>
          <w:p>
            <w:pPr>
              <w:spacing w:after="0"/>
              <w:rPr>
                <w:sz w:val="1"/>
                <w:szCs w:val="1"/>
                <w:color w:val="auto"/>
              </w:rPr>
            </w:pPr>
          </w:p>
        </w:tc>
      </w:tr>
      <w:tr>
        <w:trPr>
          <w:trHeight w:val="110"/>
        </w:trPr>
        <w:tc>
          <w:tcPr>
            <w:tcW w:w="3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shd w:val="clear" w:color="auto" w:fill="002060"/>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Our Acquisition Strategy</w:t>
      </w:r>
    </w:p>
    <w:p>
      <w:pPr>
        <w:spacing w:after="0" w:line="216" w:lineRule="exact"/>
        <w:rPr>
          <w:sz w:val="20"/>
          <w:szCs w:val="20"/>
          <w:color w:val="auto"/>
        </w:rPr>
      </w:pPr>
    </w:p>
    <w:p>
      <w:pPr>
        <w:ind w:left="120" w:right="360"/>
        <w:spacing w:after="0" w:line="247" w:lineRule="auto"/>
        <w:rPr>
          <w:sz w:val="20"/>
          <w:szCs w:val="20"/>
          <w:color w:val="auto"/>
        </w:rPr>
      </w:pPr>
      <w:r>
        <w:rPr>
          <w:rFonts w:ascii="Arial" w:cs="Arial" w:eastAsia="Arial" w:hAnsi="Arial"/>
          <w:sz w:val="18"/>
          <w:szCs w:val="18"/>
          <w:color w:val="auto"/>
        </w:rPr>
        <w:t>In the 1990s, we began an acquisition strategy with the goal of creating a national platform and have since grown, by our estimate, to become one of the nation’s largest installers of insulation in the residential new construction market. Since 1999, we have successfully completed and integrated over 180 acquisitions. In 2022, we successfully acquired and integrated eight businesses representing approximately $109 million in annual revenues.</w:t>
      </w:r>
    </w:p>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002060"/>
        </w:rPr>
        <w:t xml:space="preserve">    </w:t>
      </w:r>
      <w:r>
        <w:rPr>
          <w:rFonts w:ascii="Arial" w:cs="Arial" w:eastAsia="Arial" w:hAnsi="Arial"/>
          <w:sz w:val="18"/>
          <w:szCs w:val="18"/>
          <w:color w:val="000000"/>
        </w:rPr>
        <w:t>Acquisition 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-118745</wp:posOffset>
            </wp:positionV>
            <wp:extent cx="2708910" cy="1525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08910" cy="1525905"/>
                    </a:xfrm>
                    <a:prstGeom prst="rect">
                      <a:avLst/>
                    </a:prstGeom>
                    <a:noFill/>
                  </pic:spPr>
                </pic:pic>
              </a:graphicData>
            </a:graphic>
          </wp:anchor>
        </w:drawing>
      </w:r>
    </w:p>
    <w:p>
      <w:pPr>
        <w:spacing w:after="0" w:line="7" w:lineRule="exact"/>
        <w:rPr>
          <w:sz w:val="20"/>
          <w:szCs w:val="20"/>
          <w:color w:val="auto"/>
        </w:rPr>
      </w:pPr>
    </w:p>
    <w:p>
      <w:pPr>
        <w:ind w:left="1200" w:right="5840" w:hanging="269"/>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Expand geographic footprint, product diversification,</w:t>
      </w:r>
      <w:r>
        <w:rPr>
          <w:rFonts w:ascii="Arial" w:cs="Arial" w:eastAsia="Arial" w:hAnsi="Arial"/>
          <w:sz w:val="13"/>
          <w:szCs w:val="13"/>
          <w:color w:val="auto"/>
        </w:rPr>
        <w:t xml:space="preserve"> </w:t>
      </w:r>
      <w:r>
        <w:rPr>
          <w:rFonts w:ascii="Arial" w:cs="Arial" w:eastAsia="Arial" w:hAnsi="Arial"/>
          <w:sz w:val="17"/>
          <w:szCs w:val="17"/>
          <w:color w:val="auto"/>
        </w:rPr>
        <w:t>and market presence</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8"/>
          <w:szCs w:val="18"/>
          <w:color w:val="002060"/>
        </w:rPr>
        <w:t xml:space="preserve">    </w:t>
      </w:r>
      <w:r>
        <w:rPr>
          <w:rFonts w:ascii="Arial" w:cs="Arial" w:eastAsia="Arial" w:hAnsi="Arial"/>
          <w:sz w:val="18"/>
          <w:szCs w:val="18"/>
          <w:color w:val="000000"/>
        </w:rPr>
        <w:t>Keys to our approach</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Target profitable markets</w:t>
      </w:r>
    </w:p>
    <w:p>
      <w:pPr>
        <w:spacing w:after="0" w:line="7" w:lineRule="exact"/>
        <w:rPr>
          <w:sz w:val="20"/>
          <w:szCs w:val="20"/>
          <w:color w:val="auto"/>
        </w:rPr>
      </w:pPr>
    </w:p>
    <w:p>
      <w:pPr>
        <w:ind w:left="1200" w:right="5580" w:hanging="269"/>
        <w:spacing w:after="0" w:line="248" w:lineRule="auto"/>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Acquire operations with strong reputation and customer</w:t>
      </w:r>
      <w:r>
        <w:rPr>
          <w:rFonts w:ascii="Arial" w:cs="Arial" w:eastAsia="Arial" w:hAnsi="Arial"/>
          <w:sz w:val="13"/>
          <w:szCs w:val="13"/>
          <w:color w:val="auto"/>
        </w:rPr>
        <w:t xml:space="preserve"> </w:t>
      </w:r>
      <w:r>
        <w:rPr>
          <w:rFonts w:ascii="Arial" w:cs="Arial" w:eastAsia="Arial" w:hAnsi="Arial"/>
          <w:sz w:val="17"/>
          <w:szCs w:val="17"/>
          <w:color w:val="auto"/>
        </w:rPr>
        <w:t>base</w:t>
      </w:r>
    </w:p>
    <w:p>
      <w:pPr>
        <w:spacing w:after="0" w:line="1" w:lineRule="exact"/>
        <w:rPr>
          <w:sz w:val="20"/>
          <w:szCs w:val="20"/>
          <w:color w:val="auto"/>
        </w:rPr>
      </w:pPr>
    </w:p>
    <w:p>
      <w:pPr>
        <w:ind w:left="1200" w:right="5580" w:hanging="269"/>
        <w:spacing w:after="0" w:line="248" w:lineRule="auto"/>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Corporate support allows more local focus on customer</w:t>
      </w:r>
      <w:r>
        <w:rPr>
          <w:rFonts w:ascii="Arial" w:cs="Arial" w:eastAsia="Arial" w:hAnsi="Arial"/>
          <w:sz w:val="13"/>
          <w:szCs w:val="13"/>
          <w:color w:val="auto"/>
        </w:rPr>
        <w:t xml:space="preserve"> </w:t>
      </w:r>
      <w:r>
        <w:rPr>
          <w:rFonts w:ascii="Arial" w:cs="Arial" w:eastAsia="Arial" w:hAnsi="Arial"/>
          <w:sz w:val="17"/>
          <w:szCs w:val="17"/>
          <w:color w:val="auto"/>
        </w:rPr>
        <w:t>service</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Leverage national buying power</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Leverage relationships with national homebuilders</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2022 Financial Highlights</w:t>
      </w:r>
    </w:p>
    <w:p>
      <w:pPr>
        <w:spacing w:after="0" w:line="216"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Our record 2022 financial and operating results reflect the continued success of our key business strategies outlined above. Our 2022 results produced record operating cash flow, which supported our acquisition strategy and capital allocation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126365</wp:posOffset>
            </wp:positionV>
            <wp:extent cx="5726430" cy="1234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2643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right="800"/>
        <w:spacing w:after="0" w:line="27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Additional Information – Use of Non-GAAP Financial Measures</w:t>
      </w:r>
      <w:r>
        <w:rPr>
          <w:rFonts w:ascii="Arial" w:cs="Arial" w:eastAsia="Arial" w:hAnsi="Arial"/>
          <w:sz w:val="18"/>
          <w:szCs w:val="18"/>
          <w:color w:val="auto"/>
        </w:rPr>
        <w:t>” for a reconciliation of Adjusted EBITDA to the most directly comparable GAAP measure.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Corporate Responsibility</w:t>
      </w:r>
    </w:p>
    <w:p>
      <w:pPr>
        <w:spacing w:after="0" w:line="216"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Our Board of Directors and management team recognize the importance of our environmental and social responsibilities and their impact on our stockholders, our customers, our employees and our communities. Good corporate citizenship is important to us and we are committed to promoting a culture of doing what is right and investing in the communities where we live and work. We integrate corporate responsibility every day through making buildings energy efficient, providing for the health, safety and welfare of our employees, advocating volunteerism and empowering philanthropy.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282575"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202" w:lineRule="exact"/>
        <w:rPr>
          <w:sz w:val="20"/>
          <w:szCs w:val="20"/>
          <w:color w:val="auto"/>
        </w:rPr>
      </w:pPr>
    </w:p>
    <w:p>
      <w:pPr>
        <w:ind w:left="300"/>
        <w:spacing w:after="0"/>
        <w:tabs>
          <w:tab w:leader="none" w:pos="660" w:val="left"/>
          <w:tab w:leader="none" w:pos="9960" w:val="left"/>
        </w:tabs>
        <w:rPr>
          <w:sz w:val="20"/>
          <w:szCs w:val="20"/>
          <w:color w:val="auto"/>
        </w:rPr>
      </w:pPr>
      <w:r>
        <w:rPr>
          <w:rFonts w:ascii="Arial" w:cs="Arial" w:eastAsia="Arial" w:hAnsi="Arial"/>
          <w:sz w:val="16"/>
          <w:szCs w:val="16"/>
          <w:color w:val="FFFFFF"/>
        </w:rPr>
        <w:t>8</w:t>
      </w:r>
      <w:r>
        <w:rPr>
          <w:sz w:val="20"/>
          <w:szCs w:val="20"/>
          <w:color w:val="auto"/>
        </w:rPr>
        <w:tab/>
      </w:r>
      <w:r>
        <w:rPr>
          <w:rFonts w:ascii="Arial" w:cs="Arial" w:eastAsia="Arial" w:hAnsi="Arial"/>
          <w:sz w:val="16"/>
          <w:szCs w:val="16"/>
          <w:color w:val="002060"/>
        </w:rPr>
        <w:t>2023 Proxy Statement</w:t>
      </w:r>
      <w:r>
        <w:rPr>
          <w:sz w:val="20"/>
          <w:szCs w:val="20"/>
          <w:color w:val="auto"/>
        </w:rPr>
        <w:tab/>
      </w:r>
      <w:r>
        <w:rPr>
          <w:rFonts w:ascii="Arial" w:cs="Arial" w:eastAsia="Arial" w:hAnsi="Arial"/>
          <w:sz w:val="16"/>
          <w:szCs w:val="16"/>
          <w:color w:val="002060"/>
        </w:rPr>
        <w:t>Proxy Summary</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540" w:type="dxa"/>
            <w:vAlign w:val="bottom"/>
          </w:tcPr>
          <w:p>
            <w:pPr>
              <w:jc w:val="center"/>
              <w:ind w:right="130"/>
              <w:spacing w:after="0"/>
              <w:rPr>
                <w:sz w:val="20"/>
                <w:szCs w:val="20"/>
                <w:color w:val="auto"/>
              </w:rPr>
            </w:pPr>
            <w:r>
              <w:rPr>
                <w:rFonts w:ascii="Arial" w:cs="Arial" w:eastAsia="Arial" w:hAnsi="Arial"/>
                <w:sz w:val="18"/>
                <w:szCs w:val="18"/>
                <w:b w:val="1"/>
                <w:bCs w:val="1"/>
                <w:color w:val="002060"/>
                <w:w w:val="99"/>
              </w:rPr>
              <w:t>OUR</w:t>
            </w:r>
          </w:p>
        </w:tc>
        <w:tc>
          <w:tcPr>
            <w:tcW w:w="9260" w:type="dxa"/>
            <w:vAlign w:val="bottom"/>
            <w:shd w:val="clear" w:color="auto" w:fill="E5E5E5"/>
          </w:tcPr>
          <w:p>
            <w:pPr>
              <w:ind w:left="120"/>
              <w:spacing w:after="0"/>
              <w:rPr>
                <w:sz w:val="20"/>
                <w:szCs w:val="20"/>
                <w:color w:val="auto"/>
              </w:rPr>
            </w:pPr>
            <w:r>
              <w:rPr>
                <w:rFonts w:ascii="Arial" w:cs="Arial" w:eastAsia="Arial" w:hAnsi="Arial"/>
                <w:sz w:val="18"/>
                <w:szCs w:val="18"/>
                <w:color w:val="002060"/>
              </w:rPr>
              <w:t xml:space="preserve">   </w:t>
            </w:r>
            <w:r>
              <w:rPr>
                <w:rFonts w:ascii="Arial" w:cs="Arial" w:eastAsia="Arial" w:hAnsi="Arial"/>
                <w:sz w:val="18"/>
                <w:szCs w:val="18"/>
                <w:color w:val="000000"/>
              </w:rPr>
              <w:t>Jason R. Niswonger is our Chief Administrative and Sustainability Officer</w:t>
            </w:r>
          </w:p>
        </w:tc>
      </w:tr>
      <w:tr>
        <w:trPr>
          <w:trHeight w:val="230"/>
        </w:trPr>
        <w:tc>
          <w:tcPr>
            <w:tcW w:w="1540" w:type="dxa"/>
            <w:vAlign w:val="bottom"/>
          </w:tcPr>
          <w:p>
            <w:pPr>
              <w:jc w:val="center"/>
              <w:ind w:right="130"/>
              <w:spacing w:after="0"/>
              <w:rPr>
                <w:sz w:val="20"/>
                <w:szCs w:val="20"/>
                <w:color w:val="auto"/>
              </w:rPr>
            </w:pPr>
            <w:r>
              <w:rPr>
                <w:rFonts w:ascii="Arial" w:cs="Arial" w:eastAsia="Arial" w:hAnsi="Arial"/>
                <w:sz w:val="18"/>
                <w:szCs w:val="18"/>
                <w:b w:val="1"/>
                <w:bCs w:val="1"/>
                <w:color w:val="002060"/>
                <w:w w:val="99"/>
              </w:rPr>
              <w:t>ENVIRONMENT</w:t>
            </w:r>
          </w:p>
        </w:tc>
        <w:tc>
          <w:tcPr>
            <w:tcW w:w="9260" w:type="dxa"/>
            <w:vAlign w:val="bottom"/>
            <w:shd w:val="clear" w:color="auto" w:fill="E5E5E5"/>
          </w:tcPr>
          <w:p>
            <w:pPr>
              <w:ind w:left="120"/>
              <w:spacing w:after="0"/>
              <w:rPr>
                <w:sz w:val="20"/>
                <w:szCs w:val="20"/>
                <w:color w:val="auto"/>
              </w:rPr>
            </w:pPr>
            <w:r>
              <w:rPr>
                <w:rFonts w:ascii="Arial" w:cs="Arial" w:eastAsia="Arial" w:hAnsi="Arial"/>
                <w:sz w:val="18"/>
                <w:szCs w:val="18"/>
                <w:color w:val="002060"/>
              </w:rPr>
              <w:t xml:space="preserve">   </w:t>
            </w:r>
            <w:r>
              <w:rPr>
                <w:rFonts w:ascii="Arial" w:cs="Arial" w:eastAsia="Arial" w:hAnsi="Arial"/>
                <w:sz w:val="18"/>
                <w:szCs w:val="18"/>
                <w:color w:val="000000"/>
              </w:rPr>
              <w:t>Released second annual Environmental, Social and Governance Report (“Sustainability Report”)</w:t>
            </w:r>
          </w:p>
        </w:tc>
      </w:tr>
      <w:tr>
        <w:trPr>
          <w:trHeight w:val="216"/>
        </w:trPr>
        <w:tc>
          <w:tcPr>
            <w:tcW w:w="1540" w:type="dxa"/>
            <w:vAlign w:val="bottom"/>
          </w:tcPr>
          <w:p>
            <w:pPr>
              <w:spacing w:after="0"/>
              <w:rPr>
                <w:sz w:val="18"/>
                <w:szCs w:val="18"/>
                <w:color w:val="auto"/>
              </w:rPr>
            </w:pPr>
          </w:p>
        </w:tc>
        <w:tc>
          <w:tcPr>
            <w:tcW w:w="9260" w:type="dxa"/>
            <w:vAlign w:val="bottom"/>
            <w:shd w:val="clear" w:color="auto" w:fill="E5E5E5"/>
          </w:tcPr>
          <w:p>
            <w:pPr>
              <w:ind w:left="120"/>
              <w:spacing w:after="0"/>
              <w:rPr>
                <w:sz w:val="20"/>
                <w:szCs w:val="20"/>
                <w:color w:val="auto"/>
              </w:rPr>
            </w:pPr>
            <w:r>
              <w:rPr>
                <w:rFonts w:ascii="Arial" w:cs="Arial" w:eastAsia="Arial" w:hAnsi="Arial"/>
                <w:sz w:val="18"/>
                <w:szCs w:val="18"/>
                <w:color w:val="002060"/>
              </w:rPr>
              <w:t xml:space="preserve">   </w:t>
            </w:r>
            <w:r>
              <w:rPr>
                <w:rFonts w:ascii="Arial" w:cs="Arial" w:eastAsia="Arial" w:hAnsi="Arial"/>
                <w:sz w:val="18"/>
                <w:szCs w:val="18"/>
                <w:color w:val="000000"/>
              </w:rPr>
              <w:t>Transitioned a substantial portion of our electricity needs to a carbon free source</w:t>
            </w:r>
          </w:p>
        </w:tc>
      </w:tr>
      <w:tr>
        <w:trPr>
          <w:trHeight w:val="239"/>
        </w:trPr>
        <w:tc>
          <w:tcPr>
            <w:tcW w:w="1540" w:type="dxa"/>
            <w:vAlign w:val="bottom"/>
          </w:tcPr>
          <w:p>
            <w:pPr>
              <w:spacing w:after="0"/>
              <w:rPr>
                <w:sz w:val="20"/>
                <w:szCs w:val="20"/>
                <w:color w:val="auto"/>
              </w:rPr>
            </w:pPr>
          </w:p>
        </w:tc>
        <w:tc>
          <w:tcPr>
            <w:tcW w:w="9260" w:type="dxa"/>
            <w:vAlign w:val="bottom"/>
            <w:shd w:val="clear" w:color="auto" w:fill="E5E5E5"/>
          </w:tcPr>
          <w:p>
            <w:pPr>
              <w:ind w:left="120"/>
              <w:spacing w:after="0"/>
              <w:rPr>
                <w:sz w:val="20"/>
                <w:szCs w:val="20"/>
                <w:color w:val="auto"/>
              </w:rPr>
            </w:pPr>
            <w:r>
              <w:rPr>
                <w:rFonts w:ascii="Arial" w:cs="Arial" w:eastAsia="Arial" w:hAnsi="Arial"/>
                <w:sz w:val="18"/>
                <w:szCs w:val="18"/>
                <w:color w:val="002060"/>
              </w:rPr>
              <w:t xml:space="preserve">   </w:t>
            </w:r>
            <w:r>
              <w:rPr>
                <w:rFonts w:ascii="Arial" w:cs="Arial" w:eastAsia="Arial" w:hAnsi="Arial"/>
                <w:sz w:val="18"/>
                <w:szCs w:val="18"/>
                <w:color w:val="000000"/>
              </w:rPr>
              <w:t>Entered into a national waste management program to increase recycling at our branches</w:t>
            </w:r>
          </w:p>
        </w:tc>
      </w:tr>
      <w:tr>
        <w:trPr>
          <w:trHeight w:val="603"/>
        </w:trPr>
        <w:tc>
          <w:tcPr>
            <w:tcW w:w="1540" w:type="dxa"/>
            <w:vAlign w:val="bottom"/>
          </w:tcPr>
          <w:p>
            <w:pPr>
              <w:spacing w:after="0"/>
              <w:rPr>
                <w:sz w:val="24"/>
                <w:szCs w:val="24"/>
                <w:color w:val="auto"/>
              </w:rPr>
            </w:pPr>
          </w:p>
        </w:tc>
        <w:tc>
          <w:tcPr>
            <w:tcW w:w="926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-599440</wp:posOffset>
            </wp:positionV>
            <wp:extent cx="591185" cy="5918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1185" cy="591820"/>
                    </a:xfrm>
                    <a:prstGeom prst="rect">
                      <a:avLst/>
                    </a:prstGeom>
                    <a:noFill/>
                  </pic:spPr>
                </pic:pic>
              </a:graphicData>
            </a:graphic>
          </wp:anchor>
        </w:drawing>
      </w:r>
    </w:p>
    <w:p>
      <w:pPr>
        <w:spacing w:after="0" w:line="83" w:lineRule="exact"/>
        <w:rPr>
          <w:sz w:val="20"/>
          <w:szCs w:val="20"/>
          <w:color w:val="auto"/>
        </w:rPr>
      </w:pPr>
    </w:p>
    <w:p>
      <w:pPr>
        <w:jc w:val="center"/>
        <w:ind w:right="9260"/>
        <w:spacing w:after="0"/>
        <w:rPr>
          <w:sz w:val="20"/>
          <w:szCs w:val="20"/>
          <w:color w:val="auto"/>
        </w:rPr>
      </w:pPr>
      <w:r>
        <w:rPr>
          <w:rFonts w:ascii="Arial" w:cs="Arial" w:eastAsia="Arial" w:hAnsi="Arial"/>
          <w:sz w:val="18"/>
          <w:szCs w:val="18"/>
          <w:b w:val="1"/>
          <w:bCs w:val="1"/>
          <w:color w:val="002060"/>
        </w:rPr>
        <w:t>OUR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-118745</wp:posOffset>
            </wp:positionV>
            <wp:extent cx="316865" cy="1619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6865" cy="1619885"/>
                    </a:xfrm>
                    <a:prstGeom prst="rect">
                      <a:avLst/>
                    </a:prstGeom>
                    <a:noFill/>
                  </pic:spPr>
                </pic:pic>
              </a:graphicData>
            </a:graphic>
          </wp:anchor>
        </w:drawing>
      </w:r>
    </w:p>
    <w:p>
      <w:pPr>
        <w:spacing w:after="0" w:line="30" w:lineRule="exact"/>
        <w:rPr>
          <w:sz w:val="20"/>
          <w:szCs w:val="20"/>
          <w:color w:val="auto"/>
        </w:rPr>
      </w:pPr>
    </w:p>
    <w:p>
      <w:pPr>
        <w:ind w:left="2940" w:right="600" w:firstLine="49"/>
        <w:spacing w:after="0" w:line="253" w:lineRule="auto"/>
        <w:rPr>
          <w:sz w:val="20"/>
          <w:szCs w:val="20"/>
          <w:color w:val="auto"/>
        </w:rPr>
      </w:pPr>
      <w:r>
        <w:rPr>
          <w:rFonts w:ascii="Arial" w:cs="Arial" w:eastAsia="Arial" w:hAnsi="Arial"/>
          <w:sz w:val="18"/>
          <w:szCs w:val="18"/>
          <w:color w:val="002060"/>
        </w:rPr>
        <w:t xml:space="preserve">   </w:t>
      </w:r>
      <w:r>
        <w:rPr>
          <w:rFonts w:ascii="Arial" w:cs="Arial" w:eastAsia="Arial" w:hAnsi="Arial"/>
          <w:sz w:val="18"/>
          <w:szCs w:val="18"/>
          <w:color w:val="000000"/>
        </w:rPr>
        <w:t>Management training programs to address minority representation in management and sales</w:t>
      </w:r>
      <w:r>
        <w:rPr>
          <w:rFonts w:ascii="Arial" w:cs="Arial" w:eastAsia="Arial" w:hAnsi="Arial"/>
          <w:sz w:val="18"/>
          <w:szCs w:val="18"/>
          <w:color w:val="002060"/>
        </w:rPr>
        <w:t xml:space="preserve"> </w:t>
      </w:r>
      <w:r>
        <w:rPr>
          <w:rFonts w:ascii="Arial" w:cs="Arial" w:eastAsia="Arial" w:hAnsi="Arial"/>
          <w:sz w:val="18"/>
          <w:szCs w:val="18"/>
          <w:color w:val="000000"/>
        </w:rPr>
        <w:t>positions and gender income equality;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-221615</wp:posOffset>
            </wp:positionV>
            <wp:extent cx="582930" cy="5829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2930" cy="582930"/>
                    </a:xfrm>
                    <a:prstGeom prst="rect">
                      <a:avLst/>
                    </a:prstGeom>
                    <a:noFill/>
                  </pic:spPr>
                </pic:pic>
              </a:graphicData>
            </a:graphic>
          </wp:anchor>
        </w:drawing>
      </w:r>
    </w:p>
    <w:p>
      <w:pPr>
        <w:ind w:left="2940" w:right="840" w:firstLine="49"/>
        <w:spacing w:after="0" w:line="242" w:lineRule="auto"/>
        <w:rPr>
          <w:sz w:val="20"/>
          <w:szCs w:val="20"/>
          <w:color w:val="auto"/>
        </w:rPr>
      </w:pPr>
      <w:r>
        <w:rPr>
          <w:rFonts w:ascii="Arial" w:cs="Arial" w:eastAsia="Arial" w:hAnsi="Arial"/>
          <w:sz w:val="18"/>
          <w:szCs w:val="18"/>
          <w:color w:val="002060"/>
        </w:rPr>
        <w:t xml:space="preserve">   </w:t>
      </w:r>
      <w:r>
        <w:rPr>
          <w:rFonts w:ascii="Arial" w:cs="Arial" w:eastAsia="Arial" w:hAnsi="Arial"/>
          <w:sz w:val="18"/>
          <w:szCs w:val="18"/>
          <w:color w:val="000000"/>
        </w:rPr>
        <w:t>Assessment of suppliers to source products and services from minority and women owned</w:t>
      </w:r>
      <w:r>
        <w:rPr>
          <w:rFonts w:ascii="Arial" w:cs="Arial" w:eastAsia="Arial" w:hAnsi="Arial"/>
          <w:sz w:val="18"/>
          <w:szCs w:val="18"/>
          <w:color w:val="002060"/>
        </w:rPr>
        <w:t xml:space="preserve"> </w:t>
      </w:r>
      <w:r>
        <w:rPr>
          <w:rFonts w:ascii="Arial" w:cs="Arial" w:eastAsia="Arial" w:hAnsi="Arial"/>
          <w:sz w:val="18"/>
          <w:szCs w:val="18"/>
          <w:color w:val="000000"/>
        </w:rPr>
        <w:t>businesses, where possible;</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8"/>
          <w:szCs w:val="18"/>
          <w:color w:val="002060"/>
        </w:rPr>
        <w:t xml:space="preserve">   </w:t>
      </w:r>
      <w:r>
        <w:rPr>
          <w:rFonts w:ascii="Arial" w:cs="Arial" w:eastAsia="Arial" w:hAnsi="Arial"/>
          <w:sz w:val="18"/>
          <w:szCs w:val="18"/>
          <w:color w:val="000000"/>
        </w:rPr>
        <w:t>Building a diverse hiring pipeline;</w:t>
      </w:r>
    </w:p>
    <w:p>
      <w:pPr>
        <w:spacing w:after="0" w:line="9" w:lineRule="exact"/>
        <w:rPr>
          <w:sz w:val="20"/>
          <w:szCs w:val="20"/>
          <w:color w:val="auto"/>
        </w:rPr>
      </w:pPr>
    </w:p>
    <w:p>
      <w:pPr>
        <w:ind w:left="3000" w:right="340"/>
        <w:spacing w:after="0" w:line="265" w:lineRule="auto"/>
        <w:rPr>
          <w:sz w:val="20"/>
          <w:szCs w:val="20"/>
          <w:color w:val="auto"/>
        </w:rPr>
      </w:pPr>
      <w:r>
        <w:rPr>
          <w:rFonts w:ascii="Arial" w:cs="Arial" w:eastAsia="Arial" w:hAnsi="Arial"/>
          <w:sz w:val="17"/>
          <w:szCs w:val="17"/>
          <w:color w:val="002060"/>
        </w:rPr>
        <w:t xml:space="preserve">   </w:t>
      </w:r>
      <w:r>
        <w:rPr>
          <w:rFonts w:ascii="Arial" w:cs="Arial" w:eastAsia="Arial" w:hAnsi="Arial"/>
          <w:sz w:val="17"/>
          <w:szCs w:val="17"/>
          <w:color w:val="000000"/>
        </w:rPr>
        <w:t>Employee focus groups to understand diversity needs and perceptions throughout the Company;</w:t>
      </w:r>
      <w:r>
        <w:rPr>
          <w:rFonts w:ascii="Arial" w:cs="Arial" w:eastAsia="Arial" w:hAnsi="Arial"/>
          <w:sz w:val="17"/>
          <w:szCs w:val="17"/>
          <w:color w:val="002060"/>
        </w:rPr>
        <w:t xml:space="preserve">    </w:t>
      </w:r>
      <w:r>
        <w:rPr>
          <w:rFonts w:ascii="Arial" w:cs="Arial" w:eastAsia="Arial" w:hAnsi="Arial"/>
          <w:sz w:val="17"/>
          <w:szCs w:val="17"/>
          <w:color w:val="000000"/>
        </w:rPr>
        <w:t>Broadcast of our Positive Production Program videos to educate and encourage inclusion; and</w:t>
      </w:r>
      <w:r>
        <w:rPr>
          <w:rFonts w:ascii="Arial" w:cs="Arial" w:eastAsia="Arial" w:hAnsi="Arial"/>
          <w:sz w:val="17"/>
          <w:szCs w:val="17"/>
          <w:color w:val="002060"/>
        </w:rPr>
        <w:t xml:space="preserve">    </w:t>
      </w:r>
      <w:r>
        <w:rPr>
          <w:rFonts w:ascii="Arial" w:cs="Arial" w:eastAsia="Arial" w:hAnsi="Arial"/>
          <w:sz w:val="17"/>
          <w:szCs w:val="17"/>
          <w:color w:val="000000"/>
        </w:rPr>
        <w:t>Offering both English and Spanish as a Second Language classes to remove communication</w:t>
      </w:r>
    </w:p>
    <w:p>
      <w:pPr>
        <w:ind w:left="2940"/>
        <w:spacing w:after="0"/>
        <w:rPr>
          <w:sz w:val="20"/>
          <w:szCs w:val="20"/>
          <w:color w:val="auto"/>
        </w:rPr>
      </w:pPr>
      <w:r>
        <w:rPr>
          <w:rFonts w:ascii="Arial" w:cs="Arial" w:eastAsia="Arial" w:hAnsi="Arial"/>
          <w:sz w:val="18"/>
          <w:szCs w:val="18"/>
          <w:color w:val="auto"/>
        </w:rPr>
        <w:t>hurdles.</w:t>
      </w:r>
    </w:p>
    <w:p>
      <w:pPr>
        <w:spacing w:after="0" w:line="200" w:lineRule="exact"/>
        <w:rPr>
          <w:sz w:val="20"/>
          <w:szCs w:val="20"/>
          <w:color w:val="auto"/>
        </w:rPr>
      </w:pPr>
    </w:p>
    <w:p>
      <w:pPr>
        <w:spacing w:after="0" w:line="223" w:lineRule="exact"/>
        <w:rPr>
          <w:sz w:val="20"/>
          <w:szCs w:val="20"/>
          <w:color w:val="auto"/>
        </w:rPr>
      </w:pPr>
    </w:p>
    <w:p>
      <w:pPr>
        <w:ind w:left="220"/>
        <w:spacing w:after="0"/>
        <w:tabs>
          <w:tab w:leader="none" w:pos="2200" w:val="left"/>
        </w:tabs>
        <w:rPr>
          <w:sz w:val="20"/>
          <w:szCs w:val="20"/>
          <w:color w:val="auto"/>
        </w:rPr>
      </w:pPr>
      <w:r>
        <w:rPr>
          <w:rFonts w:ascii="Arial" w:cs="Arial" w:eastAsia="Arial" w:hAnsi="Arial"/>
          <w:sz w:val="18"/>
          <w:szCs w:val="18"/>
          <w:b w:val="1"/>
          <w:bCs w:val="1"/>
          <w:color w:val="002060"/>
        </w:rPr>
        <w:t>OUR COMMUNITY</w:t>
      </w:r>
      <w:r>
        <w:rPr>
          <w:sz w:val="20"/>
          <w:szCs w:val="20"/>
          <w:color w:val="auto"/>
        </w:rPr>
        <w:tab/>
      </w:r>
      <w:r>
        <w:rPr>
          <w:rFonts w:ascii="Arial" w:cs="Arial" w:eastAsia="Arial" w:hAnsi="Arial"/>
          <w:sz w:val="17"/>
          <w:szCs w:val="17"/>
          <w:color w:val="002060"/>
        </w:rPr>
        <w:t xml:space="preserve">   </w:t>
      </w:r>
      <w:r>
        <w:rPr>
          <w:rFonts w:ascii="Arial" w:cs="Arial" w:eastAsia="Arial" w:hAnsi="Arial"/>
          <w:sz w:val="17"/>
          <w:szCs w:val="17"/>
          <w:color w:val="000000"/>
        </w:rPr>
        <w:t>Foundation grants since inception (dollar amounts approximate):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-118745</wp:posOffset>
            </wp:positionV>
            <wp:extent cx="5871845" cy="1139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71845" cy="1139825"/>
                    </a:xfrm>
                    <a:prstGeom prst="rect">
                      <a:avLst/>
                    </a:prstGeom>
                    <a:noFill/>
                  </pic:spPr>
                </pic:pic>
              </a:graphicData>
            </a:graphic>
          </wp:anchor>
        </w:drawing>
      </w:r>
    </w:p>
    <w:p>
      <w:pPr>
        <w:spacing w:after="0" w:line="3" w:lineRule="exact"/>
        <w:rPr>
          <w:sz w:val="20"/>
          <w:szCs w:val="20"/>
          <w:color w:val="auto"/>
        </w:rPr>
      </w:pPr>
    </w:p>
    <w:p>
      <w:pPr>
        <w:ind w:left="2560" w:hanging="208"/>
        <w:spacing w:after="0"/>
        <w:tabs>
          <w:tab w:leader="none" w:pos="2560" w:val="left"/>
        </w:tabs>
        <w:numPr>
          <w:ilvl w:val="1"/>
          <w:numId w:val="9"/>
        </w:numPr>
        <w:rPr>
          <w:rFonts w:ascii="MS PGothic" w:cs="MS PGothic" w:eastAsia="MS PGothic" w:hAnsi="MS PGothic"/>
          <w:sz w:val="18"/>
          <w:szCs w:val="18"/>
          <w:color w:val="0070C0"/>
        </w:rPr>
      </w:pPr>
      <w:r>
        <w:rPr>
          <w:rFonts w:ascii="Arial" w:cs="Arial" w:eastAsia="Arial" w:hAnsi="Arial"/>
          <w:sz w:val="18"/>
          <w:szCs w:val="18"/>
          <w:color w:val="auto"/>
        </w:rPr>
        <w:t>Scholarships - $2.4 million</w:t>
      </w:r>
    </w:p>
    <w:p>
      <w:pPr>
        <w:spacing w:after="0" w:line="13" w:lineRule="exact"/>
        <w:rPr>
          <w:rFonts w:ascii="MS PGothic" w:cs="MS PGothic" w:eastAsia="MS PGothic" w:hAnsi="MS PGothic"/>
          <w:sz w:val="18"/>
          <w:szCs w:val="18"/>
          <w:color w:val="0070C0"/>
        </w:rPr>
      </w:pPr>
    </w:p>
    <w:p>
      <w:pPr>
        <w:ind w:left="2560" w:hanging="208"/>
        <w:spacing w:after="0"/>
        <w:tabs>
          <w:tab w:leader="none" w:pos="2560" w:val="left"/>
        </w:tabs>
        <w:numPr>
          <w:ilvl w:val="1"/>
          <w:numId w:val="9"/>
        </w:numPr>
        <w:rPr>
          <w:rFonts w:ascii="MS PGothic" w:cs="MS PGothic" w:eastAsia="MS PGothic" w:hAnsi="MS PGothic"/>
          <w:sz w:val="18"/>
          <w:szCs w:val="18"/>
          <w:color w:val="0070C0"/>
        </w:rPr>
      </w:pPr>
      <w:r>
        <w:rPr>
          <w:rFonts w:ascii="Arial" w:cs="Arial" w:eastAsia="Arial" w:hAnsi="Arial"/>
          <w:sz w:val="18"/>
          <w:szCs w:val="18"/>
          <w:color w:val="auto"/>
        </w:rPr>
        <w:t>Charitable Giving Match - $33,810</w:t>
      </w:r>
    </w:p>
    <w:p>
      <w:pPr>
        <w:spacing w:after="0" w:line="9" w:lineRule="exact"/>
        <w:rPr>
          <w:rFonts w:ascii="MS PGothic" w:cs="MS PGothic" w:eastAsia="MS PGothic" w:hAnsi="MS PGothic"/>
          <w:sz w:val="18"/>
          <w:szCs w:val="18"/>
          <w:color w:val="0070C0"/>
        </w:rPr>
      </w:pPr>
    </w:p>
    <w:p>
      <w:pPr>
        <w:ind w:left="2560" w:hanging="208"/>
        <w:spacing w:after="0"/>
        <w:tabs>
          <w:tab w:leader="none" w:pos="2560" w:val="left"/>
        </w:tabs>
        <w:numPr>
          <w:ilvl w:val="1"/>
          <w:numId w:val="9"/>
        </w:numPr>
        <w:rPr>
          <w:rFonts w:ascii="MS PGothic" w:cs="MS PGothic" w:eastAsia="MS PGothic" w:hAnsi="MS PGothic"/>
          <w:sz w:val="18"/>
          <w:szCs w:val="18"/>
          <w:color w:val="0070C0"/>
        </w:rPr>
      </w:pPr>
      <w:r>
        <w:rPr>
          <w:rFonts w:ascii="Arial" w:cs="Arial" w:eastAsia="Arial" w:hAnsi="Arial"/>
          <w:sz w:val="18"/>
          <w:szCs w:val="18"/>
          <w:color w:val="auto"/>
        </w:rPr>
        <w:t>Employee Financial Assistance - $289,450</w:t>
      </w:r>
    </w:p>
    <w:p>
      <w:pPr>
        <w:spacing w:after="0" w:line="9" w:lineRule="exact"/>
        <w:rPr>
          <w:rFonts w:ascii="MS PGothic" w:cs="MS PGothic" w:eastAsia="MS PGothic" w:hAnsi="MS PGothic"/>
          <w:sz w:val="18"/>
          <w:szCs w:val="18"/>
          <w:color w:val="0070C0"/>
        </w:rPr>
      </w:pPr>
    </w:p>
    <w:p>
      <w:pPr>
        <w:ind w:left="2560" w:hanging="208"/>
        <w:spacing w:after="0"/>
        <w:tabs>
          <w:tab w:leader="none" w:pos="2560" w:val="left"/>
        </w:tabs>
        <w:numPr>
          <w:ilvl w:val="1"/>
          <w:numId w:val="9"/>
        </w:numPr>
        <w:rPr>
          <w:rFonts w:ascii="MS PGothic" w:cs="MS PGothic" w:eastAsia="MS PGothic" w:hAnsi="MS PGothic"/>
          <w:sz w:val="18"/>
          <w:szCs w:val="18"/>
          <w:color w:val="0070C0"/>
        </w:rPr>
      </w:pPr>
      <w:r>
        <w:rPr>
          <w:rFonts w:ascii="Arial" w:cs="Arial" w:eastAsia="Arial" w:hAnsi="Arial"/>
          <w:sz w:val="18"/>
          <w:szCs w:val="18"/>
          <w:color w:val="auto"/>
        </w:rPr>
        <w:t>Major Grants Program - $3.6 million</w:t>
      </w:r>
    </w:p>
    <w:p>
      <w:pPr>
        <w:spacing w:after="0" w:line="9" w:lineRule="exact"/>
        <w:rPr>
          <w:rFonts w:ascii="MS PGothic" w:cs="MS PGothic" w:eastAsia="MS PGothic" w:hAnsi="MS PGothic"/>
          <w:sz w:val="18"/>
          <w:szCs w:val="18"/>
          <w:color w:val="0070C0"/>
        </w:rPr>
      </w:pPr>
    </w:p>
    <w:p>
      <w:pPr>
        <w:ind w:left="2000"/>
        <w:spacing w:after="0"/>
        <w:rPr>
          <w:rFonts w:ascii="MS PGothic" w:cs="MS PGothic" w:eastAsia="MS PGothic" w:hAnsi="MS PGothic"/>
          <w:sz w:val="18"/>
          <w:szCs w:val="18"/>
          <w:color w:val="0070C0"/>
        </w:rPr>
      </w:pPr>
      <w:r>
        <w:rPr>
          <w:rFonts w:ascii="Arial" w:cs="Arial" w:eastAsia="Arial" w:hAnsi="Arial"/>
          <w:sz w:val="18"/>
          <w:szCs w:val="18"/>
          <w:color w:val="002060"/>
        </w:rPr>
        <w:t xml:space="preserve">   </w:t>
      </w:r>
      <w:r>
        <w:rPr>
          <w:rFonts w:ascii="Arial" w:cs="Arial" w:eastAsia="Arial" w:hAnsi="Arial"/>
          <w:sz w:val="18"/>
          <w:szCs w:val="18"/>
          <w:color w:val="000000"/>
        </w:rPr>
        <w:t>Other Corporate giving, including multi-year commitments to : Gary Sinese Foundation RISE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-610235</wp:posOffset>
            </wp:positionV>
            <wp:extent cx="591185" cy="582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1185" cy="582930"/>
                    </a:xfrm>
                    <a:prstGeom prst="rect">
                      <a:avLst/>
                    </a:prstGeom>
                    <a:noFill/>
                  </pic:spPr>
                </pic:pic>
              </a:graphicData>
            </a:graphic>
          </wp:anchor>
        </w:drawing>
      </w:r>
    </w:p>
    <w:p>
      <w:pPr>
        <w:ind w:left="2180" w:right="160"/>
        <w:spacing w:after="0" w:line="250" w:lineRule="auto"/>
        <w:rPr>
          <w:sz w:val="20"/>
          <w:szCs w:val="20"/>
          <w:color w:val="auto"/>
        </w:rPr>
      </w:pPr>
      <w:r>
        <w:rPr>
          <w:rFonts w:ascii="Arial" w:cs="Arial" w:eastAsia="Arial" w:hAnsi="Arial"/>
          <w:sz w:val="18"/>
          <w:szCs w:val="18"/>
          <w:color w:val="auto"/>
        </w:rPr>
        <w:t>Mid-Ohio Food Collective, YWCA of Central Ohio, Boys and Girls Club of Central Ohio, St. Mary’s Scholarship Endowment, The Columbus Promise and Besa Community, Inc.</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Board of Directors Diversity and Skills</w:t>
      </w:r>
    </w:p>
    <w:p>
      <w:pPr>
        <w:spacing w:after="0" w:line="216"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 xml:space="preserve">Our Board is expected to represent a broad diversity of geographic, age, gender, racial and ethnic backgrounds and experience. Our goal is to ensure that the Board is comprised of individuals whose backgrounds, skills and expertise, when taken together, provide the Board with the range of skills and expertise necessary to oversee the Company’s strategy, operations and management. </w:t>
      </w:r>
      <w:r>
        <w:rPr>
          <w:rFonts w:ascii="Arial" w:cs="Arial" w:eastAsia="Arial" w:hAnsi="Arial"/>
          <w:sz w:val="18"/>
          <w:szCs w:val="18"/>
          <w:i w:val="1"/>
          <w:iCs w:val="1"/>
          <w:color w:val="auto"/>
        </w:rPr>
        <w:t>The graphics below</w:t>
      </w:r>
      <w:r>
        <w:rPr>
          <w:rFonts w:ascii="Arial" w:cs="Arial" w:eastAsia="Arial" w:hAnsi="Arial"/>
          <w:sz w:val="18"/>
          <w:szCs w:val="18"/>
          <w:color w:val="auto"/>
        </w:rPr>
        <w:t xml:space="preserve"> </w:t>
      </w:r>
      <w:r>
        <w:rPr>
          <w:rFonts w:ascii="Arial" w:cs="Arial" w:eastAsia="Arial" w:hAnsi="Arial"/>
          <w:sz w:val="18"/>
          <w:szCs w:val="18"/>
          <w:i w:val="1"/>
          <w:iCs w:val="1"/>
          <w:color w:val="auto"/>
        </w:rPr>
        <w:t>include all 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2111375</wp:posOffset>
            </wp:positionV>
            <wp:extent cx="222885"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2885" cy="26543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139700</wp:posOffset>
            </wp:positionV>
            <wp:extent cx="5717540" cy="17227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1754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tabs>
          <w:tab w:leader="none" w:pos="9060" w:val="left"/>
          <w:tab w:leader="none" w:pos="10900" w:val="left"/>
        </w:tabs>
        <w:rPr>
          <w:sz w:val="20"/>
          <w:szCs w:val="20"/>
          <w:color w:val="auto"/>
        </w:rPr>
      </w:pPr>
      <w:r>
        <w:rPr>
          <w:rFonts w:ascii="Arial" w:cs="Arial" w:eastAsia="Arial" w:hAnsi="Arial"/>
          <w:sz w:val="16"/>
          <w:szCs w:val="16"/>
          <w:color w:val="002060"/>
        </w:rPr>
        <w:t>Proxy Summary</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9</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480060" cy="248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1140"/>
        <w:spacing w:after="0"/>
        <w:rPr>
          <w:sz w:val="20"/>
          <w:szCs w:val="20"/>
          <w:color w:val="auto"/>
        </w:rPr>
      </w:pPr>
      <w:r>
        <w:rPr>
          <w:rFonts w:ascii="Arial" w:cs="Arial" w:eastAsia="Arial" w:hAnsi="Arial"/>
          <w:sz w:val="18"/>
          <w:szCs w:val="18"/>
          <w:b w:val="1"/>
          <w:bCs w:val="1"/>
          <w:color w:val="002060"/>
        </w:rPr>
        <w:t>Age</w:t>
      </w:r>
    </w:p>
    <w:p>
      <w:pPr>
        <w:spacing w:after="0" w:line="14" w:lineRule="exact"/>
        <w:rPr>
          <w:sz w:val="20"/>
          <w:szCs w:val="20"/>
          <w:color w:val="auto"/>
        </w:rPr>
      </w:pPr>
    </w:p>
    <w:p>
      <w:pPr>
        <w:jc w:val="center"/>
        <w:ind w:left="1140"/>
        <w:spacing w:after="0"/>
        <w:rPr>
          <w:sz w:val="20"/>
          <w:szCs w:val="20"/>
          <w:color w:val="auto"/>
        </w:rPr>
      </w:pPr>
      <w:r>
        <w:rPr>
          <w:rFonts w:ascii="Arial" w:cs="Arial" w:eastAsia="Arial" w:hAnsi="Arial"/>
          <w:sz w:val="17"/>
          <w:szCs w:val="17"/>
          <w:b w:val="1"/>
          <w:bCs w:val="1"/>
          <w:color w:val="0070C0"/>
        </w:rPr>
        <w:t>64 Average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5080</wp:posOffset>
            </wp:positionV>
            <wp:extent cx="1645920" cy="1671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45920" cy="1671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002060"/>
        </w:rPr>
        <w:t>Gender</w:t>
      </w:r>
    </w:p>
    <w:p>
      <w:pPr>
        <w:spacing w:after="0" w:line="14"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0070C0"/>
        </w:rPr>
        <w:t>33%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30480</wp:posOffset>
            </wp:positionV>
            <wp:extent cx="6146165" cy="4491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46165" cy="4491990"/>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30480</wp:posOffset>
            </wp:positionV>
            <wp:extent cx="6146165" cy="4491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46165" cy="44919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640"/>
        <w:spacing w:after="0"/>
        <w:rPr>
          <w:sz w:val="20"/>
          <w:szCs w:val="20"/>
          <w:color w:val="auto"/>
        </w:rPr>
      </w:pPr>
      <w:r>
        <w:rPr>
          <w:rFonts w:ascii="Arial" w:cs="Arial" w:eastAsia="Arial" w:hAnsi="Arial"/>
          <w:sz w:val="17"/>
          <w:szCs w:val="17"/>
          <w:b w:val="1"/>
          <w:bCs w:val="1"/>
          <w:color w:val="002060"/>
        </w:rPr>
        <w:t>Race, Ethnicity, Orientation</w:t>
      </w:r>
    </w:p>
    <w:p>
      <w:pPr>
        <w:spacing w:after="0" w:line="25" w:lineRule="exact"/>
        <w:rPr>
          <w:sz w:val="20"/>
          <w:szCs w:val="20"/>
          <w:color w:val="auto"/>
        </w:rPr>
      </w:pPr>
    </w:p>
    <w:p>
      <w:pPr>
        <w:jc w:val="center"/>
        <w:ind w:right="1640"/>
        <w:spacing w:after="0"/>
        <w:rPr>
          <w:sz w:val="20"/>
          <w:szCs w:val="20"/>
          <w:color w:val="auto"/>
        </w:rPr>
      </w:pPr>
      <w:r>
        <w:rPr>
          <w:rFonts w:ascii="Arial" w:cs="Arial" w:eastAsia="Arial" w:hAnsi="Arial"/>
          <w:sz w:val="18"/>
          <w:szCs w:val="18"/>
          <w:b w:val="1"/>
          <w:bCs w:val="1"/>
          <w:color w:val="0070C0"/>
        </w:rPr>
        <w:t>33% Diverse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23495</wp:posOffset>
            </wp:positionV>
            <wp:extent cx="1748790" cy="1645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000000"/>
                        </a:clrFrom>
                        <a:clrTo>
                          <a:srgbClr val="000000">
                            <a:alpha val="0"/>
                          </a:srgbClr>
                        </a:clrTo>
                      </a:clrChange>
                      <a:extLst>
                        <a:ext uri="{28A0092B-C50C-407E-A947-70E740481C1C}"/>
                      </a:extLst>
                    </a:blip>
                    <a:srcRect/>
                    <a:stretch>
                      <a:fillRect/>
                    </a:stretch>
                  </pic:blipFill>
                  <pic:spPr bwMode="auto">
                    <a:xfrm>
                      <a:off x="0" y="0"/>
                      <a:ext cx="1748790" cy="1645920"/>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23495</wp:posOffset>
            </wp:positionV>
            <wp:extent cx="1748790" cy="16459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748790" cy="1645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80" w:space="720"/>
            <w:col w:w="1440" w:space="720"/>
            <w:col w:w="398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2022 Executive Compensation at a Glance</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1580" w:type="dxa"/>
            <w:vAlign w:val="bottom"/>
            <w:shd w:val="clear" w:color="auto" w:fill="E5E5E5"/>
          </w:tcPr>
          <w:p>
            <w:pPr>
              <w:spacing w:after="0"/>
              <w:rPr>
                <w:sz w:val="16"/>
                <w:szCs w:val="16"/>
                <w:color w:val="auto"/>
              </w:rPr>
            </w:pPr>
          </w:p>
        </w:tc>
        <w:tc>
          <w:tcPr>
            <w:tcW w:w="1560" w:type="dxa"/>
            <w:vAlign w:val="bottom"/>
            <w:shd w:val="clear" w:color="auto" w:fill="E5E5E5"/>
          </w:tcPr>
          <w:p>
            <w:pPr>
              <w:jc w:val="center"/>
              <w:ind w:left="75"/>
              <w:spacing w:after="0"/>
              <w:rPr>
                <w:sz w:val="20"/>
                <w:szCs w:val="20"/>
                <w:color w:val="auto"/>
              </w:rPr>
            </w:pPr>
            <w:r>
              <w:rPr>
                <w:rFonts w:ascii="Arial" w:cs="Arial" w:eastAsia="Arial" w:hAnsi="Arial"/>
                <w:sz w:val="16"/>
                <w:szCs w:val="16"/>
                <w:b w:val="1"/>
                <w:bCs w:val="1"/>
                <w:color w:val="1F4E79"/>
              </w:rPr>
              <w:t>Performance-</w:t>
            </w:r>
          </w:p>
        </w:tc>
        <w:tc>
          <w:tcPr>
            <w:tcW w:w="1200" w:type="dxa"/>
            <w:vAlign w:val="bottom"/>
            <w:shd w:val="clear" w:color="auto" w:fill="E5E5E5"/>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1580" w:type="dxa"/>
            <w:vAlign w:val="bottom"/>
            <w:shd w:val="clear" w:color="auto" w:fill="E5E5E5"/>
          </w:tcPr>
          <w:p>
            <w:pPr>
              <w:spacing w:after="0"/>
              <w:rPr>
                <w:sz w:val="16"/>
                <w:szCs w:val="16"/>
                <w:color w:val="auto"/>
              </w:rPr>
            </w:pPr>
          </w:p>
        </w:tc>
        <w:tc>
          <w:tcPr>
            <w:tcW w:w="1560" w:type="dxa"/>
            <w:vAlign w:val="bottom"/>
            <w:shd w:val="clear" w:color="auto" w:fill="E5E5E5"/>
          </w:tcPr>
          <w:p>
            <w:pPr>
              <w:jc w:val="center"/>
              <w:ind w:left="75"/>
              <w:spacing w:after="0"/>
              <w:rPr>
                <w:sz w:val="20"/>
                <w:szCs w:val="20"/>
                <w:color w:val="auto"/>
              </w:rPr>
            </w:pPr>
            <w:r>
              <w:rPr>
                <w:rFonts w:ascii="Arial" w:cs="Arial" w:eastAsia="Arial" w:hAnsi="Arial"/>
                <w:sz w:val="16"/>
                <w:szCs w:val="16"/>
                <w:b w:val="1"/>
                <w:bCs w:val="1"/>
                <w:color w:val="1F4E79"/>
              </w:rPr>
              <w:t>Based Restricted</w:t>
            </w:r>
          </w:p>
        </w:tc>
        <w:tc>
          <w:tcPr>
            <w:tcW w:w="1200" w:type="dxa"/>
            <w:vAlign w:val="bottom"/>
            <w:shd w:val="clear" w:color="auto" w:fill="E5E5E5"/>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1580" w:type="dxa"/>
            <w:vAlign w:val="bottom"/>
            <w:shd w:val="clear" w:color="auto" w:fill="E5E5E5"/>
          </w:tcPr>
          <w:p>
            <w:pPr>
              <w:jc w:val="center"/>
              <w:ind w:left="54"/>
              <w:spacing w:after="0"/>
              <w:rPr>
                <w:sz w:val="20"/>
                <w:szCs w:val="20"/>
                <w:color w:val="auto"/>
              </w:rPr>
            </w:pPr>
            <w:r>
              <w:rPr>
                <w:rFonts w:ascii="Arial" w:cs="Arial" w:eastAsia="Arial" w:hAnsi="Arial"/>
                <w:sz w:val="16"/>
                <w:szCs w:val="16"/>
                <w:b w:val="1"/>
                <w:bCs w:val="1"/>
                <w:color w:val="1F4E79"/>
              </w:rPr>
              <w:t>Performance-</w:t>
            </w:r>
          </w:p>
        </w:tc>
        <w:tc>
          <w:tcPr>
            <w:tcW w:w="1560" w:type="dxa"/>
            <w:vAlign w:val="bottom"/>
            <w:shd w:val="clear" w:color="auto" w:fill="E5E5E5"/>
          </w:tcPr>
          <w:p>
            <w:pPr>
              <w:jc w:val="center"/>
              <w:ind w:left="75"/>
              <w:spacing w:after="0"/>
              <w:rPr>
                <w:sz w:val="20"/>
                <w:szCs w:val="20"/>
                <w:color w:val="auto"/>
              </w:rPr>
            </w:pPr>
            <w:r>
              <w:rPr>
                <w:rFonts w:ascii="Arial" w:cs="Arial" w:eastAsia="Arial" w:hAnsi="Arial"/>
                <w:sz w:val="16"/>
                <w:szCs w:val="16"/>
                <w:b w:val="1"/>
                <w:bCs w:val="1"/>
                <w:color w:val="1F4E79"/>
              </w:rPr>
              <w:t>Stock Award at</w:t>
            </w:r>
          </w:p>
        </w:tc>
        <w:tc>
          <w:tcPr>
            <w:tcW w:w="1200" w:type="dxa"/>
            <w:vAlign w:val="bottom"/>
            <w:shd w:val="clear" w:color="auto" w:fill="E5E5E5"/>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60" w:type="dxa"/>
            <w:vAlign w:val="bottom"/>
            <w:shd w:val="clear" w:color="auto" w:fill="E5E5E5"/>
          </w:tcPr>
          <w:p>
            <w:pPr>
              <w:jc w:val="center"/>
              <w:ind w:left="153"/>
              <w:spacing w:after="0"/>
              <w:rPr>
                <w:sz w:val="20"/>
                <w:szCs w:val="20"/>
                <w:color w:val="auto"/>
              </w:rPr>
            </w:pPr>
            <w:r>
              <w:rPr>
                <w:rFonts w:ascii="Arial" w:cs="Arial" w:eastAsia="Arial" w:hAnsi="Arial"/>
                <w:sz w:val="16"/>
                <w:szCs w:val="16"/>
                <w:b w:val="1"/>
                <w:bCs w:val="1"/>
                <w:color w:val="1F4E79"/>
                <w:w w:val="99"/>
              </w:rPr>
              <w:t>Base</w:t>
            </w:r>
          </w:p>
        </w:tc>
        <w:tc>
          <w:tcPr>
            <w:tcW w:w="1580" w:type="dxa"/>
            <w:vAlign w:val="bottom"/>
            <w:shd w:val="clear" w:color="auto" w:fill="E5E5E5"/>
          </w:tcPr>
          <w:p>
            <w:pPr>
              <w:jc w:val="center"/>
              <w:ind w:left="54"/>
              <w:spacing w:after="0"/>
              <w:rPr>
                <w:sz w:val="20"/>
                <w:szCs w:val="20"/>
                <w:color w:val="auto"/>
              </w:rPr>
            </w:pPr>
            <w:r>
              <w:rPr>
                <w:rFonts w:ascii="Arial" w:cs="Arial" w:eastAsia="Arial" w:hAnsi="Arial"/>
                <w:sz w:val="16"/>
                <w:szCs w:val="16"/>
                <w:b w:val="1"/>
                <w:bCs w:val="1"/>
                <w:color w:val="1F4E79"/>
              </w:rPr>
              <w:t>Based Cash</w:t>
            </w:r>
          </w:p>
        </w:tc>
        <w:tc>
          <w:tcPr>
            <w:tcW w:w="1560" w:type="dxa"/>
            <w:vAlign w:val="bottom"/>
            <w:shd w:val="clear" w:color="auto" w:fill="E5E5E5"/>
          </w:tcPr>
          <w:p>
            <w:pPr>
              <w:jc w:val="center"/>
              <w:ind w:left="75"/>
              <w:spacing w:after="0"/>
              <w:rPr>
                <w:sz w:val="20"/>
                <w:szCs w:val="20"/>
                <w:color w:val="auto"/>
              </w:rPr>
            </w:pPr>
            <w:r>
              <w:rPr>
                <w:rFonts w:ascii="Arial" w:cs="Arial" w:eastAsia="Arial" w:hAnsi="Arial"/>
                <w:sz w:val="16"/>
                <w:szCs w:val="16"/>
                <w:b w:val="1"/>
                <w:bCs w:val="1"/>
                <w:color w:val="1F4E79"/>
              </w:rPr>
              <w:t>Grant Date Fair</w:t>
            </w:r>
          </w:p>
        </w:tc>
        <w:tc>
          <w:tcPr>
            <w:tcW w:w="1200" w:type="dxa"/>
            <w:vAlign w:val="bottom"/>
            <w:shd w:val="clear" w:color="auto" w:fill="E5E5E5"/>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60" w:type="dxa"/>
            <w:vAlign w:val="bottom"/>
            <w:shd w:val="clear" w:color="auto" w:fill="E5E5E5"/>
          </w:tcPr>
          <w:p>
            <w:pPr>
              <w:jc w:val="center"/>
              <w:ind w:left="133"/>
              <w:spacing w:after="0"/>
              <w:rPr>
                <w:sz w:val="20"/>
                <w:szCs w:val="20"/>
                <w:color w:val="auto"/>
              </w:rPr>
            </w:pPr>
            <w:r>
              <w:rPr>
                <w:rFonts w:ascii="Arial" w:cs="Arial" w:eastAsia="Arial" w:hAnsi="Arial"/>
                <w:sz w:val="16"/>
                <w:szCs w:val="16"/>
                <w:b w:val="1"/>
                <w:bCs w:val="1"/>
                <w:color w:val="1F4E79"/>
                <w:w w:val="99"/>
              </w:rPr>
              <w:t>Salary</w:t>
            </w:r>
          </w:p>
        </w:tc>
        <w:tc>
          <w:tcPr>
            <w:tcW w:w="1580" w:type="dxa"/>
            <w:vAlign w:val="bottom"/>
            <w:shd w:val="clear" w:color="auto" w:fill="E5E5E5"/>
          </w:tcPr>
          <w:p>
            <w:pPr>
              <w:jc w:val="center"/>
              <w:ind w:left="54"/>
              <w:spacing w:after="0"/>
              <w:rPr>
                <w:sz w:val="20"/>
                <w:szCs w:val="20"/>
                <w:color w:val="auto"/>
              </w:rPr>
            </w:pPr>
            <w:r>
              <w:rPr>
                <w:rFonts w:ascii="Arial" w:cs="Arial" w:eastAsia="Arial" w:hAnsi="Arial"/>
                <w:sz w:val="16"/>
                <w:szCs w:val="16"/>
                <w:b w:val="1"/>
                <w:bCs w:val="1"/>
                <w:color w:val="1F4E79"/>
              </w:rPr>
              <w:t>Award Earned</w:t>
            </w:r>
          </w:p>
        </w:tc>
        <w:tc>
          <w:tcPr>
            <w:tcW w:w="1560" w:type="dxa"/>
            <w:vAlign w:val="bottom"/>
            <w:shd w:val="clear" w:color="auto" w:fill="E5E5E5"/>
          </w:tcPr>
          <w:p>
            <w:pPr>
              <w:jc w:val="center"/>
              <w:ind w:left="55"/>
              <w:spacing w:after="0"/>
              <w:rPr>
                <w:sz w:val="20"/>
                <w:szCs w:val="20"/>
                <w:color w:val="auto"/>
              </w:rPr>
            </w:pPr>
            <w:r>
              <w:rPr>
                <w:rFonts w:ascii="Arial" w:cs="Arial" w:eastAsia="Arial" w:hAnsi="Arial"/>
                <w:sz w:val="16"/>
                <w:szCs w:val="16"/>
                <w:b w:val="1"/>
                <w:bCs w:val="1"/>
                <w:color w:val="1F4E79"/>
                <w:w w:val="98"/>
              </w:rPr>
              <w:t>Value</w:t>
            </w:r>
          </w:p>
        </w:tc>
        <w:tc>
          <w:tcPr>
            <w:tcW w:w="1200" w:type="dxa"/>
            <w:vAlign w:val="bottom"/>
            <w:shd w:val="clear" w:color="auto" w:fill="E5E5E5"/>
          </w:tcPr>
          <w:p>
            <w:pPr>
              <w:jc w:val="right"/>
              <w:ind w:right="373"/>
              <w:spacing w:after="0"/>
              <w:rPr>
                <w:sz w:val="20"/>
                <w:szCs w:val="20"/>
                <w:color w:val="auto"/>
              </w:rPr>
            </w:pPr>
            <w:r>
              <w:rPr>
                <w:rFonts w:ascii="Arial" w:cs="Arial" w:eastAsia="Arial" w:hAnsi="Arial"/>
                <w:sz w:val="16"/>
                <w:szCs w:val="16"/>
                <w:b w:val="1"/>
                <w:bCs w:val="1"/>
                <w:color w:val="1F4E79"/>
              </w:rPr>
              <w:t>Total</w:t>
            </w:r>
          </w:p>
        </w:tc>
      </w:tr>
      <w:tr>
        <w:trPr>
          <w:trHeight w:val="278"/>
        </w:trPr>
        <w:tc>
          <w:tcPr>
            <w:tcW w:w="5620" w:type="dxa"/>
            <w:vAlign w:val="bottom"/>
            <w:gridSpan w:val="2"/>
          </w:tcPr>
          <w:p>
            <w:pPr>
              <w:jc w:val="center"/>
              <w:ind w:right="5095"/>
              <w:spacing w:after="0"/>
              <w:rPr>
                <w:sz w:val="20"/>
                <w:szCs w:val="20"/>
                <w:color w:val="auto"/>
              </w:rPr>
            </w:pPr>
            <w:r>
              <w:rPr>
                <w:rFonts w:ascii="Arial" w:cs="Arial" w:eastAsia="Arial" w:hAnsi="Arial"/>
                <w:sz w:val="16"/>
                <w:szCs w:val="16"/>
                <w:b w:val="1"/>
                <w:bCs w:val="1"/>
                <w:color w:val="1F4E79"/>
              </w:rPr>
              <w:t>Name</w:t>
            </w:r>
          </w:p>
        </w:tc>
        <w:tc>
          <w:tcPr>
            <w:tcW w:w="1060" w:type="dxa"/>
            <w:vAlign w:val="bottom"/>
            <w:tcBorders>
              <w:bottom w:val="single" w:sz="8" w:color="E5E5E5"/>
            </w:tcBorders>
            <w:shd w:val="clear" w:color="auto" w:fill="E5E5E5"/>
          </w:tcPr>
          <w:p>
            <w:pPr>
              <w:jc w:val="center"/>
              <w:ind w:left="133"/>
              <w:spacing w:after="0"/>
              <w:rPr>
                <w:sz w:val="20"/>
                <w:szCs w:val="20"/>
                <w:color w:val="auto"/>
              </w:rPr>
            </w:pPr>
            <w:r>
              <w:rPr>
                <w:rFonts w:ascii="Arial" w:cs="Arial" w:eastAsia="Arial" w:hAnsi="Arial"/>
                <w:sz w:val="16"/>
                <w:szCs w:val="16"/>
                <w:b w:val="1"/>
                <w:bCs w:val="1"/>
                <w:color w:val="1F4E79"/>
              </w:rPr>
              <w:t>($)(1)</w:t>
            </w:r>
          </w:p>
        </w:tc>
        <w:tc>
          <w:tcPr>
            <w:tcW w:w="1580" w:type="dxa"/>
            <w:vAlign w:val="bottom"/>
            <w:tcBorders>
              <w:bottom w:val="single" w:sz="8" w:color="E5E5E5"/>
            </w:tcBorders>
            <w:shd w:val="clear" w:color="auto" w:fill="E5E5E5"/>
          </w:tcPr>
          <w:p>
            <w:pPr>
              <w:jc w:val="center"/>
              <w:ind w:left="54"/>
              <w:spacing w:after="0"/>
              <w:rPr>
                <w:sz w:val="20"/>
                <w:szCs w:val="20"/>
                <w:color w:val="auto"/>
              </w:rPr>
            </w:pPr>
            <w:r>
              <w:rPr>
                <w:rFonts w:ascii="Arial" w:cs="Arial" w:eastAsia="Arial" w:hAnsi="Arial"/>
                <w:sz w:val="16"/>
                <w:szCs w:val="16"/>
                <w:b w:val="1"/>
                <w:bCs w:val="1"/>
                <w:color w:val="1F4E79"/>
              </w:rPr>
              <w:t>($)</w:t>
            </w:r>
          </w:p>
        </w:tc>
        <w:tc>
          <w:tcPr>
            <w:tcW w:w="1560" w:type="dxa"/>
            <w:vAlign w:val="bottom"/>
            <w:tcBorders>
              <w:bottom w:val="single" w:sz="8" w:color="E5E5E5"/>
            </w:tcBorders>
            <w:shd w:val="clear" w:color="auto" w:fill="E5E5E5"/>
          </w:tcPr>
          <w:p>
            <w:pPr>
              <w:jc w:val="center"/>
              <w:ind w:left="75"/>
              <w:spacing w:after="0"/>
              <w:rPr>
                <w:sz w:val="20"/>
                <w:szCs w:val="20"/>
                <w:color w:val="auto"/>
              </w:rPr>
            </w:pPr>
            <w:r>
              <w:rPr>
                <w:rFonts w:ascii="Arial" w:cs="Arial" w:eastAsia="Arial" w:hAnsi="Arial"/>
                <w:sz w:val="16"/>
                <w:szCs w:val="16"/>
                <w:b w:val="1"/>
                <w:bCs w:val="1"/>
                <w:color w:val="1F4E79"/>
              </w:rPr>
              <w:t>($)</w:t>
            </w:r>
          </w:p>
        </w:tc>
        <w:tc>
          <w:tcPr>
            <w:tcW w:w="1200" w:type="dxa"/>
            <w:vAlign w:val="bottom"/>
            <w:tcBorders>
              <w:bottom w:val="single" w:sz="8" w:color="E5E5E5"/>
            </w:tcBorders>
            <w:shd w:val="clear" w:color="auto" w:fill="E5E5E5"/>
          </w:tcPr>
          <w:p>
            <w:pPr>
              <w:jc w:val="right"/>
              <w:ind w:right="453"/>
              <w:spacing w:after="0"/>
              <w:rPr>
                <w:sz w:val="20"/>
                <w:szCs w:val="20"/>
                <w:color w:val="auto"/>
              </w:rPr>
            </w:pPr>
            <w:r>
              <w:rPr>
                <w:rFonts w:ascii="Arial" w:cs="Arial" w:eastAsia="Arial" w:hAnsi="Arial"/>
                <w:sz w:val="16"/>
                <w:szCs w:val="16"/>
                <w:b w:val="1"/>
                <w:bCs w:val="1"/>
                <w:color w:val="1F4E79"/>
              </w:rPr>
              <w:t>($)</w:t>
            </w:r>
          </w:p>
        </w:tc>
      </w:tr>
      <w:tr>
        <w:trPr>
          <w:trHeight w:val="230"/>
        </w:trPr>
        <w:tc>
          <w:tcPr>
            <w:tcW w:w="5620" w:type="dxa"/>
            <w:vAlign w:val="bottom"/>
            <w:tcBorders>
              <w:top w:val="single" w:sz="8" w:color="002060"/>
              <w:bottom w:val="single" w:sz="8" w:color="002060"/>
            </w:tcBorders>
            <w:gridSpan w:val="2"/>
          </w:tcPr>
          <w:p>
            <w:pPr>
              <w:ind w:left="40"/>
              <w:spacing w:after="0"/>
              <w:rPr>
                <w:sz w:val="20"/>
                <w:szCs w:val="20"/>
                <w:color w:val="auto"/>
              </w:rPr>
            </w:pPr>
            <w:r>
              <w:rPr>
                <w:rFonts w:ascii="Arial" w:cs="Arial" w:eastAsia="Arial" w:hAnsi="Arial"/>
                <w:sz w:val="18"/>
                <w:szCs w:val="18"/>
                <w:color w:val="auto"/>
              </w:rPr>
              <w:t>Jeffrey W. Edwards</w:t>
            </w:r>
          </w:p>
        </w:tc>
        <w:tc>
          <w:tcPr>
            <w:tcW w:w="1060" w:type="dxa"/>
            <w:vAlign w:val="bottom"/>
            <w:tcBorders>
              <w:top w:val="single" w:sz="8" w:color="002060"/>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800,000</w:t>
            </w:r>
          </w:p>
        </w:tc>
        <w:tc>
          <w:tcPr>
            <w:tcW w:w="1580" w:type="dxa"/>
            <w:vAlign w:val="bottom"/>
            <w:tcBorders>
              <w:top w:val="single" w:sz="8" w:color="002060"/>
              <w:bottom w:val="single" w:sz="8" w:color="002060"/>
            </w:tcBorders>
            <w:shd w:val="clear" w:color="auto" w:fill="E5E5E5"/>
          </w:tcPr>
          <w:p>
            <w:pPr>
              <w:jc w:val="right"/>
              <w:ind w:right="94"/>
              <w:spacing w:after="0"/>
              <w:rPr>
                <w:sz w:val="20"/>
                <w:szCs w:val="20"/>
                <w:color w:val="auto"/>
              </w:rPr>
            </w:pPr>
            <w:r>
              <w:rPr>
                <w:rFonts w:ascii="Arial" w:cs="Arial" w:eastAsia="Arial" w:hAnsi="Arial"/>
                <w:sz w:val="18"/>
                <w:szCs w:val="18"/>
                <w:color w:val="auto"/>
              </w:rPr>
              <w:t>1,126,000</w:t>
            </w:r>
          </w:p>
        </w:tc>
        <w:tc>
          <w:tcPr>
            <w:tcW w:w="1560" w:type="dxa"/>
            <w:vAlign w:val="bottom"/>
            <w:tcBorders>
              <w:top w:val="single" w:sz="8" w:color="002060"/>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3,377,950</w:t>
            </w:r>
          </w:p>
        </w:tc>
        <w:tc>
          <w:tcPr>
            <w:tcW w:w="1200" w:type="dxa"/>
            <w:vAlign w:val="bottom"/>
            <w:tcBorders>
              <w:top w:val="single" w:sz="8" w:color="002060"/>
              <w:bottom w:val="single" w:sz="8" w:color="002060"/>
            </w:tcBorders>
            <w:shd w:val="clear" w:color="auto" w:fill="E5E5E5"/>
          </w:tcPr>
          <w:p>
            <w:pPr>
              <w:jc w:val="right"/>
              <w:ind w:right="133"/>
              <w:spacing w:after="0"/>
              <w:rPr>
                <w:sz w:val="20"/>
                <w:szCs w:val="20"/>
                <w:color w:val="auto"/>
              </w:rPr>
            </w:pPr>
            <w:r>
              <w:rPr>
                <w:rFonts w:ascii="Arial" w:cs="Arial" w:eastAsia="Arial" w:hAnsi="Arial"/>
                <w:sz w:val="18"/>
                <w:szCs w:val="18"/>
                <w:color w:val="auto"/>
              </w:rPr>
              <w:t>5,303,950</w:t>
            </w:r>
          </w:p>
        </w:tc>
      </w:tr>
      <w:tr>
        <w:trPr>
          <w:trHeight w:val="223"/>
        </w:trPr>
        <w:tc>
          <w:tcPr>
            <w:tcW w:w="5620" w:type="dxa"/>
            <w:vAlign w:val="bottom"/>
            <w:tcBorders>
              <w:bottom w:val="single" w:sz="8" w:color="002060"/>
            </w:tcBorders>
            <w:gridSpan w:val="2"/>
          </w:tcPr>
          <w:p>
            <w:pPr>
              <w:ind w:left="40"/>
              <w:spacing w:after="0"/>
              <w:rPr>
                <w:sz w:val="20"/>
                <w:szCs w:val="20"/>
                <w:color w:val="auto"/>
              </w:rPr>
            </w:pPr>
            <w:r>
              <w:rPr>
                <w:rFonts w:ascii="Arial" w:cs="Arial" w:eastAsia="Arial" w:hAnsi="Arial"/>
                <w:sz w:val="18"/>
                <w:szCs w:val="18"/>
                <w:color w:val="auto"/>
              </w:rPr>
              <w:t>Michael T. Miller</w:t>
            </w:r>
          </w:p>
        </w:tc>
        <w:tc>
          <w:tcPr>
            <w:tcW w:w="10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425,000</w:t>
            </w:r>
          </w:p>
        </w:tc>
        <w:tc>
          <w:tcPr>
            <w:tcW w:w="1580" w:type="dxa"/>
            <w:vAlign w:val="bottom"/>
            <w:tcBorders>
              <w:bottom w:val="single" w:sz="8" w:color="002060"/>
            </w:tcBorders>
            <w:shd w:val="clear" w:color="auto" w:fill="E5E5E5"/>
          </w:tcPr>
          <w:p>
            <w:pPr>
              <w:jc w:val="right"/>
              <w:ind w:right="94"/>
              <w:spacing w:after="0"/>
              <w:rPr>
                <w:sz w:val="20"/>
                <w:szCs w:val="20"/>
                <w:color w:val="auto"/>
              </w:rPr>
            </w:pPr>
            <w:r>
              <w:rPr>
                <w:rFonts w:ascii="Arial" w:cs="Arial" w:eastAsia="Arial" w:hAnsi="Arial"/>
                <w:sz w:val="18"/>
                <w:szCs w:val="18"/>
                <w:color w:val="auto"/>
              </w:rPr>
              <w:t>427,880</w:t>
            </w:r>
          </w:p>
        </w:tc>
        <w:tc>
          <w:tcPr>
            <w:tcW w:w="15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1,086,542</w:t>
            </w:r>
          </w:p>
        </w:tc>
        <w:tc>
          <w:tcPr>
            <w:tcW w:w="1200" w:type="dxa"/>
            <w:vAlign w:val="bottom"/>
            <w:tcBorders>
              <w:bottom w:val="single" w:sz="8" w:color="002060"/>
            </w:tcBorders>
            <w:shd w:val="clear" w:color="auto" w:fill="E5E5E5"/>
          </w:tcPr>
          <w:p>
            <w:pPr>
              <w:jc w:val="right"/>
              <w:ind w:right="133"/>
              <w:spacing w:after="0"/>
              <w:rPr>
                <w:sz w:val="20"/>
                <w:szCs w:val="20"/>
                <w:color w:val="auto"/>
              </w:rPr>
            </w:pPr>
            <w:r>
              <w:rPr>
                <w:rFonts w:ascii="Arial" w:cs="Arial" w:eastAsia="Arial" w:hAnsi="Arial"/>
                <w:sz w:val="18"/>
                <w:szCs w:val="18"/>
                <w:color w:val="auto"/>
              </w:rPr>
              <w:t>1,939,422</w:t>
            </w:r>
          </w:p>
        </w:tc>
      </w:tr>
      <w:tr>
        <w:trPr>
          <w:trHeight w:val="223"/>
        </w:trPr>
        <w:tc>
          <w:tcPr>
            <w:tcW w:w="5620" w:type="dxa"/>
            <w:vAlign w:val="bottom"/>
            <w:tcBorders>
              <w:bottom w:val="single" w:sz="8" w:color="002060"/>
            </w:tcBorders>
            <w:gridSpan w:val="2"/>
          </w:tcPr>
          <w:p>
            <w:pPr>
              <w:ind w:left="40"/>
              <w:spacing w:after="0"/>
              <w:rPr>
                <w:sz w:val="20"/>
                <w:szCs w:val="20"/>
                <w:color w:val="auto"/>
              </w:rPr>
            </w:pPr>
            <w:r>
              <w:rPr>
                <w:rFonts w:ascii="Arial" w:cs="Arial" w:eastAsia="Arial" w:hAnsi="Arial"/>
                <w:sz w:val="18"/>
                <w:szCs w:val="18"/>
                <w:color w:val="auto"/>
              </w:rPr>
              <w:t>Jay P. Elliott</w:t>
            </w:r>
          </w:p>
        </w:tc>
        <w:tc>
          <w:tcPr>
            <w:tcW w:w="10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462,000</w:t>
            </w:r>
          </w:p>
        </w:tc>
        <w:tc>
          <w:tcPr>
            <w:tcW w:w="1580" w:type="dxa"/>
            <w:vAlign w:val="bottom"/>
            <w:tcBorders>
              <w:bottom w:val="single" w:sz="8" w:color="002060"/>
            </w:tcBorders>
            <w:shd w:val="clear" w:color="auto" w:fill="E5E5E5"/>
          </w:tcPr>
          <w:p>
            <w:pPr>
              <w:jc w:val="right"/>
              <w:ind w:right="94"/>
              <w:spacing w:after="0"/>
              <w:rPr>
                <w:sz w:val="20"/>
                <w:szCs w:val="20"/>
                <w:color w:val="auto"/>
              </w:rPr>
            </w:pPr>
            <w:r>
              <w:rPr>
                <w:rFonts w:ascii="Arial" w:cs="Arial" w:eastAsia="Arial" w:hAnsi="Arial"/>
                <w:sz w:val="18"/>
                <w:szCs w:val="18"/>
                <w:color w:val="auto"/>
              </w:rPr>
              <w:t>315,280</w:t>
            </w:r>
          </w:p>
        </w:tc>
        <w:tc>
          <w:tcPr>
            <w:tcW w:w="15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1,125,880</w:t>
            </w:r>
          </w:p>
        </w:tc>
        <w:tc>
          <w:tcPr>
            <w:tcW w:w="1200" w:type="dxa"/>
            <w:vAlign w:val="bottom"/>
            <w:tcBorders>
              <w:bottom w:val="single" w:sz="8" w:color="002060"/>
            </w:tcBorders>
            <w:shd w:val="clear" w:color="auto" w:fill="E5E5E5"/>
          </w:tcPr>
          <w:p>
            <w:pPr>
              <w:jc w:val="right"/>
              <w:ind w:right="133"/>
              <w:spacing w:after="0"/>
              <w:rPr>
                <w:sz w:val="20"/>
                <w:szCs w:val="20"/>
                <w:color w:val="auto"/>
              </w:rPr>
            </w:pPr>
            <w:r>
              <w:rPr>
                <w:rFonts w:ascii="Arial" w:cs="Arial" w:eastAsia="Arial" w:hAnsi="Arial"/>
                <w:sz w:val="18"/>
                <w:szCs w:val="18"/>
                <w:color w:val="auto"/>
              </w:rPr>
              <w:t>1,903,160</w:t>
            </w:r>
          </w:p>
        </w:tc>
      </w:tr>
      <w:tr>
        <w:trPr>
          <w:trHeight w:val="223"/>
        </w:trPr>
        <w:tc>
          <w:tcPr>
            <w:tcW w:w="5620" w:type="dxa"/>
            <w:vAlign w:val="bottom"/>
            <w:tcBorders>
              <w:bottom w:val="single" w:sz="8" w:color="002060"/>
            </w:tcBorders>
            <w:gridSpan w:val="2"/>
          </w:tcPr>
          <w:p>
            <w:pPr>
              <w:ind w:left="40"/>
              <w:spacing w:after="0"/>
              <w:rPr>
                <w:sz w:val="20"/>
                <w:szCs w:val="20"/>
                <w:color w:val="auto"/>
              </w:rPr>
            </w:pPr>
            <w:r>
              <w:rPr>
                <w:rFonts w:ascii="Arial" w:cs="Arial" w:eastAsia="Arial" w:hAnsi="Arial"/>
                <w:sz w:val="18"/>
                <w:szCs w:val="18"/>
                <w:color w:val="auto"/>
              </w:rPr>
              <w:t>W. Jeffrey Hire</w:t>
            </w:r>
          </w:p>
        </w:tc>
        <w:tc>
          <w:tcPr>
            <w:tcW w:w="10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400,000</w:t>
            </w:r>
          </w:p>
        </w:tc>
        <w:tc>
          <w:tcPr>
            <w:tcW w:w="1580" w:type="dxa"/>
            <w:vAlign w:val="bottom"/>
            <w:tcBorders>
              <w:bottom w:val="single" w:sz="8" w:color="002060"/>
            </w:tcBorders>
            <w:shd w:val="clear" w:color="auto" w:fill="E5E5E5"/>
          </w:tcPr>
          <w:p>
            <w:pPr>
              <w:jc w:val="right"/>
              <w:ind w:right="94"/>
              <w:spacing w:after="0"/>
              <w:rPr>
                <w:sz w:val="20"/>
                <w:szCs w:val="20"/>
                <w:color w:val="auto"/>
              </w:rPr>
            </w:pPr>
            <w:r>
              <w:rPr>
                <w:rFonts w:ascii="Arial" w:cs="Arial" w:eastAsia="Arial" w:hAnsi="Arial"/>
                <w:sz w:val="18"/>
                <w:szCs w:val="18"/>
                <w:color w:val="auto"/>
              </w:rPr>
              <w:t>168,900</w:t>
            </w:r>
          </w:p>
        </w:tc>
        <w:tc>
          <w:tcPr>
            <w:tcW w:w="15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225,217</w:t>
            </w:r>
          </w:p>
        </w:tc>
        <w:tc>
          <w:tcPr>
            <w:tcW w:w="1200" w:type="dxa"/>
            <w:vAlign w:val="bottom"/>
            <w:tcBorders>
              <w:bottom w:val="single" w:sz="8" w:color="002060"/>
            </w:tcBorders>
            <w:shd w:val="clear" w:color="auto" w:fill="E5E5E5"/>
          </w:tcPr>
          <w:p>
            <w:pPr>
              <w:jc w:val="right"/>
              <w:ind w:right="133"/>
              <w:spacing w:after="0"/>
              <w:rPr>
                <w:sz w:val="20"/>
                <w:szCs w:val="20"/>
                <w:color w:val="auto"/>
              </w:rPr>
            </w:pPr>
            <w:r>
              <w:rPr>
                <w:rFonts w:ascii="Arial" w:cs="Arial" w:eastAsia="Arial" w:hAnsi="Arial"/>
                <w:sz w:val="18"/>
                <w:szCs w:val="18"/>
                <w:color w:val="auto"/>
              </w:rPr>
              <w:t>794,117</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Jason R. Niswonger</w:t>
            </w:r>
          </w:p>
        </w:tc>
        <w:tc>
          <w:tcPr>
            <w:tcW w:w="10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395,000</w:t>
            </w:r>
          </w:p>
        </w:tc>
        <w:tc>
          <w:tcPr>
            <w:tcW w:w="1580" w:type="dxa"/>
            <w:vAlign w:val="bottom"/>
            <w:tcBorders>
              <w:bottom w:val="single" w:sz="8" w:color="E5E5E5"/>
            </w:tcBorders>
            <w:shd w:val="clear" w:color="auto" w:fill="E5E5E5"/>
          </w:tcPr>
          <w:p>
            <w:pPr>
              <w:jc w:val="right"/>
              <w:ind w:right="94"/>
              <w:spacing w:after="0"/>
              <w:rPr>
                <w:sz w:val="20"/>
                <w:szCs w:val="20"/>
                <w:color w:val="auto"/>
              </w:rPr>
            </w:pPr>
            <w:r>
              <w:rPr>
                <w:rFonts w:ascii="Arial" w:cs="Arial" w:eastAsia="Arial" w:hAnsi="Arial"/>
                <w:sz w:val="18"/>
                <w:szCs w:val="18"/>
                <w:color w:val="auto"/>
              </w:rPr>
              <w:t>197,050</w:t>
            </w:r>
          </w:p>
        </w:tc>
        <w:tc>
          <w:tcPr>
            <w:tcW w:w="15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315,119</w:t>
            </w:r>
          </w:p>
        </w:tc>
        <w:tc>
          <w:tcPr>
            <w:tcW w:w="1200" w:type="dxa"/>
            <w:vAlign w:val="bottom"/>
            <w:tcBorders>
              <w:bottom w:val="single" w:sz="8" w:color="E5E5E5"/>
            </w:tcBorders>
            <w:shd w:val="clear" w:color="auto" w:fill="E5E5E5"/>
          </w:tcPr>
          <w:p>
            <w:pPr>
              <w:jc w:val="right"/>
              <w:ind w:right="133"/>
              <w:spacing w:after="0"/>
              <w:rPr>
                <w:sz w:val="20"/>
                <w:szCs w:val="20"/>
                <w:color w:val="auto"/>
              </w:rPr>
            </w:pPr>
            <w:r>
              <w:rPr>
                <w:rFonts w:ascii="Arial" w:cs="Arial" w:eastAsia="Arial" w:hAnsi="Arial"/>
                <w:sz w:val="18"/>
                <w:szCs w:val="18"/>
                <w:color w:val="auto"/>
              </w:rPr>
              <w:t>907,169</w:t>
            </w:r>
          </w:p>
        </w:tc>
      </w:tr>
      <w:tr>
        <w:trPr>
          <w:trHeight w:val="341"/>
        </w:trPr>
        <w:tc>
          <w:tcPr>
            <w:tcW w:w="440" w:type="dxa"/>
            <w:vAlign w:val="bottom"/>
            <w:tcBorders>
              <w:top w:val="single" w:sz="8" w:color="002060"/>
            </w:tcBorders>
          </w:tcPr>
          <w:p>
            <w:pPr>
              <w:jc w:val="center"/>
              <w:spacing w:after="0"/>
              <w:rPr>
                <w:sz w:val="20"/>
                <w:szCs w:val="20"/>
                <w:color w:val="auto"/>
              </w:rPr>
            </w:pPr>
            <w:r>
              <w:rPr>
                <w:rFonts w:ascii="Arial" w:cs="Arial" w:eastAsia="Arial" w:hAnsi="Arial"/>
                <w:sz w:val="18"/>
                <w:szCs w:val="18"/>
                <w:color w:val="auto"/>
                <w:w w:val="99"/>
              </w:rPr>
              <w:t>(1)</w:t>
            </w:r>
          </w:p>
        </w:tc>
        <w:tc>
          <w:tcPr>
            <w:tcW w:w="5180" w:type="dxa"/>
            <w:vAlign w:val="bottom"/>
            <w:tcBorders>
              <w:top w:val="single" w:sz="8" w:color="002060"/>
            </w:tcBorders>
          </w:tcPr>
          <w:p>
            <w:pPr>
              <w:spacing w:after="0"/>
              <w:rPr>
                <w:sz w:val="20"/>
                <w:szCs w:val="20"/>
                <w:color w:val="auto"/>
              </w:rPr>
            </w:pPr>
            <w:r>
              <w:rPr>
                <w:rFonts w:ascii="Arial" w:cs="Arial" w:eastAsia="Arial" w:hAnsi="Arial"/>
                <w:sz w:val="18"/>
                <w:szCs w:val="18"/>
                <w:color w:val="auto"/>
              </w:rPr>
              <w:t>Base salary effective April 1, 2022</w:t>
            </w:r>
          </w:p>
        </w:tc>
        <w:tc>
          <w:tcPr>
            <w:tcW w:w="1060" w:type="dxa"/>
            <w:vAlign w:val="bottom"/>
            <w:tcBorders>
              <w:top w:val="single" w:sz="8" w:color="002060"/>
            </w:tcBorders>
          </w:tcPr>
          <w:p>
            <w:pPr>
              <w:spacing w:after="0"/>
              <w:rPr>
                <w:sz w:val="24"/>
                <w:szCs w:val="24"/>
                <w:color w:val="auto"/>
              </w:rPr>
            </w:pPr>
          </w:p>
        </w:tc>
        <w:tc>
          <w:tcPr>
            <w:tcW w:w="1580" w:type="dxa"/>
            <w:vAlign w:val="bottom"/>
            <w:tcBorders>
              <w:top w:val="single" w:sz="8" w:color="002060"/>
            </w:tcBorders>
          </w:tcPr>
          <w:p>
            <w:pPr>
              <w:spacing w:after="0"/>
              <w:rPr>
                <w:sz w:val="24"/>
                <w:szCs w:val="24"/>
                <w:color w:val="auto"/>
              </w:rPr>
            </w:pPr>
          </w:p>
        </w:tc>
        <w:tc>
          <w:tcPr>
            <w:tcW w:w="1560" w:type="dxa"/>
            <w:vAlign w:val="bottom"/>
            <w:tcBorders>
              <w:top w:val="single" w:sz="8" w:color="002060"/>
            </w:tcBorders>
          </w:tcPr>
          <w:p>
            <w:pPr>
              <w:spacing w:after="0"/>
              <w:rPr>
                <w:sz w:val="24"/>
                <w:szCs w:val="24"/>
                <w:color w:val="auto"/>
              </w:rPr>
            </w:pPr>
          </w:p>
        </w:tc>
        <w:tc>
          <w:tcPr>
            <w:tcW w:w="1200" w:type="dxa"/>
            <w:vAlign w:val="bottom"/>
            <w:tcBorders>
              <w:top w:val="single" w:sz="8" w:color="002060"/>
            </w:tcBorders>
          </w:tcPr>
          <w:p>
            <w:pPr>
              <w:spacing w:after="0"/>
              <w:rPr>
                <w:sz w:val="24"/>
                <w:szCs w:val="24"/>
                <w:color w:val="auto"/>
              </w:rPr>
            </w:pPr>
          </w:p>
        </w:tc>
      </w:tr>
      <w:tr>
        <w:trPr>
          <w:trHeight w:val="131"/>
        </w:trPr>
        <w:tc>
          <w:tcPr>
            <w:tcW w:w="44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309"/>
        </w:trPr>
        <w:tc>
          <w:tcPr>
            <w:tcW w:w="440" w:type="dxa"/>
            <w:vAlign w:val="bottom"/>
            <w:tcBorders>
              <w:right w:val="single" w:sz="8" w:color="002060"/>
            </w:tcBorders>
            <w:shd w:val="clear" w:color="auto" w:fill="002060"/>
          </w:tcPr>
          <w:p>
            <w:pPr>
              <w:jc w:val="center"/>
              <w:spacing w:after="0"/>
              <w:rPr>
                <w:sz w:val="20"/>
                <w:szCs w:val="20"/>
                <w:color w:val="auto"/>
              </w:rPr>
            </w:pPr>
            <w:r>
              <w:rPr>
                <w:rFonts w:ascii="Arial" w:cs="Arial" w:eastAsia="Arial" w:hAnsi="Arial"/>
                <w:sz w:val="16"/>
                <w:szCs w:val="16"/>
                <w:color w:val="FFFFFF"/>
              </w:rPr>
              <w:t>10</w:t>
            </w:r>
          </w:p>
        </w:tc>
        <w:tc>
          <w:tcPr>
            <w:tcW w:w="5180" w:type="dxa"/>
            <w:vAlign w:val="bottom"/>
          </w:tcPr>
          <w:p>
            <w:pPr>
              <w:ind w:left="120"/>
              <w:spacing w:after="0"/>
              <w:rPr>
                <w:sz w:val="20"/>
                <w:szCs w:val="20"/>
                <w:color w:val="auto"/>
              </w:rPr>
            </w:pPr>
            <w:r>
              <w:rPr>
                <w:rFonts w:ascii="Arial" w:cs="Arial" w:eastAsia="Arial" w:hAnsi="Arial"/>
                <w:sz w:val="16"/>
                <w:szCs w:val="16"/>
                <w:color w:val="002060"/>
              </w:rPr>
              <w:t>2023 Proxy Statement</w:t>
            </w: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2060"/>
              </w:rPr>
              <w:t>Proxy Summary</w:t>
            </w:r>
          </w:p>
        </w:tc>
      </w:tr>
      <w:tr>
        <w:trPr>
          <w:trHeight w:val="110"/>
        </w:trPr>
        <w:tc>
          <w:tcPr>
            <w:tcW w:w="440" w:type="dxa"/>
            <w:vAlign w:val="bottom"/>
            <w:tcBorders>
              <w:right w:val="single" w:sz="8" w:color="002060"/>
            </w:tcBorders>
            <w:shd w:val="clear" w:color="auto" w:fill="002060"/>
          </w:tcPr>
          <w:p>
            <w:pPr>
              <w:spacing w:after="0"/>
              <w:rPr>
                <w:sz w:val="9"/>
                <w:szCs w:val="9"/>
                <w:color w:val="auto"/>
              </w:rPr>
            </w:pPr>
          </w:p>
        </w:tc>
        <w:tc>
          <w:tcPr>
            <w:tcW w:w="5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0" w:type="dxa"/>
            <w:vAlign w:val="bottom"/>
          </w:tcPr>
          <w:p>
            <w:pPr>
              <w:spacing w:after="0"/>
              <w:rPr>
                <w:sz w:val="9"/>
                <w:szCs w:val="9"/>
                <w:color w:val="auto"/>
              </w:rPr>
            </w:pPr>
          </w:p>
        </w:tc>
      </w:tr>
    </w:tbl>
    <w:p>
      <w:pPr>
        <w:sectPr>
          <w:pgSz w:w="11900" w:h="16838" w:orient="portrait"/>
          <w:cols w:equalWidth="0" w:num="1">
            <w:col w:w="11140"/>
          </w:cols>
          <w:pgMar w:left="320" w:top="482"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Key Compensation Practices for Executives</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1080" w:type="dxa"/>
            <w:vAlign w:val="bottom"/>
            <w:shd w:val="clear" w:color="auto" w:fill="002060"/>
          </w:tcPr>
          <w:p>
            <w:pPr>
              <w:jc w:val="center"/>
              <w:spacing w:after="0"/>
              <w:rPr>
                <w:sz w:val="20"/>
                <w:szCs w:val="20"/>
                <w:color w:val="auto"/>
              </w:rPr>
            </w:pPr>
            <w:r>
              <w:rPr>
                <w:rFonts w:ascii="Arial" w:cs="Arial" w:eastAsia="Arial" w:hAnsi="Arial"/>
                <w:sz w:val="18"/>
                <w:szCs w:val="18"/>
                <w:b w:val="1"/>
                <w:bCs w:val="1"/>
                <w:color w:val="FFFFFF"/>
                <w:w w:val="99"/>
              </w:rPr>
              <w:t>What We</w:t>
            </w:r>
          </w:p>
        </w:tc>
        <w:tc>
          <w:tcPr>
            <w:tcW w:w="160" w:type="dxa"/>
            <w:vAlign w:val="bottom"/>
          </w:tcPr>
          <w:p>
            <w:pPr>
              <w:spacing w:after="0"/>
              <w:rPr>
                <w:sz w:val="19"/>
                <w:szCs w:val="19"/>
                <w:color w:val="auto"/>
              </w:rPr>
            </w:pPr>
          </w:p>
        </w:tc>
        <w:tc>
          <w:tcPr>
            <w:tcW w:w="4260" w:type="dxa"/>
            <w:vAlign w:val="bottom"/>
          </w:tcPr>
          <w:p>
            <w:pPr>
              <w:ind w:left="80"/>
              <w:spacing w:after="0"/>
              <w:rPr>
                <w:sz w:val="20"/>
                <w:szCs w:val="20"/>
                <w:color w:val="auto"/>
              </w:rPr>
            </w:pPr>
            <w:r>
              <w:rPr>
                <w:rFonts w:ascii="Arial" w:cs="Arial" w:eastAsia="Arial" w:hAnsi="Arial"/>
                <w:sz w:val="18"/>
                <w:szCs w:val="18"/>
                <w:b w:val="1"/>
                <w:bCs w:val="1"/>
                <w:color w:val="auto"/>
              </w:rPr>
              <w:t xml:space="preserve">   Pay for Performance </w:t>
            </w:r>
            <w:r>
              <w:rPr>
                <w:rFonts w:ascii="Arial" w:cs="Arial" w:eastAsia="Arial" w:hAnsi="Arial"/>
                <w:sz w:val="18"/>
                <w:szCs w:val="18"/>
                <w:color w:val="auto"/>
              </w:rPr>
              <w:t>of a substantial</w:t>
            </w:r>
          </w:p>
        </w:tc>
        <w:tc>
          <w:tcPr>
            <w:tcW w:w="1100" w:type="dxa"/>
            <w:vAlign w:val="bottom"/>
            <w:shd w:val="clear" w:color="auto" w:fill="002060"/>
          </w:tcPr>
          <w:p>
            <w:pPr>
              <w:ind w:left="180"/>
              <w:spacing w:after="0"/>
              <w:rPr>
                <w:sz w:val="20"/>
                <w:szCs w:val="20"/>
                <w:color w:val="auto"/>
              </w:rPr>
            </w:pPr>
            <w:r>
              <w:rPr>
                <w:rFonts w:ascii="Arial" w:cs="Arial" w:eastAsia="Arial" w:hAnsi="Arial"/>
                <w:sz w:val="18"/>
                <w:szCs w:val="18"/>
                <w:b w:val="1"/>
                <w:bCs w:val="1"/>
                <w:color w:val="FFFFFF"/>
              </w:rPr>
              <w:t>What We</w:t>
            </w:r>
          </w:p>
        </w:tc>
        <w:tc>
          <w:tcPr>
            <w:tcW w:w="4420" w:type="dxa"/>
            <w:vAlign w:val="bottom"/>
            <w:gridSpan w:val="2"/>
          </w:tcPr>
          <w:p>
            <w:pPr>
              <w:ind w:left="220"/>
              <w:spacing w:after="0"/>
              <w:rPr>
                <w:sz w:val="20"/>
                <w:szCs w:val="20"/>
                <w:color w:val="auto"/>
              </w:rPr>
            </w:pPr>
            <w:r>
              <w:rPr>
                <w:rFonts w:ascii="Arial" w:cs="Arial" w:eastAsia="Arial" w:hAnsi="Arial"/>
                <w:sz w:val="18"/>
                <w:szCs w:val="18"/>
                <w:b w:val="1"/>
                <w:bCs w:val="1"/>
                <w:color w:val="auto"/>
              </w:rPr>
              <w:t xml:space="preserve">   NO Tax Gross-Ups </w:t>
            </w:r>
            <w:r>
              <w:rPr>
                <w:rFonts w:ascii="Arial" w:cs="Arial" w:eastAsia="Arial" w:hAnsi="Arial"/>
                <w:sz w:val="18"/>
                <w:szCs w:val="18"/>
                <w:color w:val="auto"/>
              </w:rPr>
              <w:t>for perquisites or excise</w:t>
            </w:r>
          </w:p>
        </w:tc>
      </w:tr>
      <w:tr>
        <w:trPr>
          <w:trHeight w:val="216"/>
        </w:trPr>
        <w:tc>
          <w:tcPr>
            <w:tcW w:w="1080" w:type="dxa"/>
            <w:vAlign w:val="bottom"/>
            <w:shd w:val="clear" w:color="auto" w:fill="002060"/>
          </w:tcPr>
          <w:p>
            <w:pPr>
              <w:jc w:val="center"/>
              <w:spacing w:after="0"/>
              <w:rPr>
                <w:sz w:val="20"/>
                <w:szCs w:val="20"/>
                <w:color w:val="auto"/>
              </w:rPr>
            </w:pPr>
            <w:r>
              <w:rPr>
                <w:rFonts w:ascii="Arial" w:cs="Arial" w:eastAsia="Arial" w:hAnsi="Arial"/>
                <w:sz w:val="18"/>
                <w:szCs w:val="18"/>
                <w:b w:val="1"/>
                <w:bCs w:val="1"/>
                <w:color w:val="FFFFFF"/>
                <w:w w:val="99"/>
              </w:rPr>
              <w:t>Do</w:t>
            </w:r>
          </w:p>
        </w:tc>
        <w:tc>
          <w:tcPr>
            <w:tcW w:w="16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percentage of compensation on achievement of</w:t>
            </w:r>
          </w:p>
        </w:tc>
        <w:tc>
          <w:tcPr>
            <w:tcW w:w="1100" w:type="dxa"/>
            <w:vAlign w:val="bottom"/>
            <w:shd w:val="clear" w:color="auto" w:fill="002060"/>
          </w:tcPr>
          <w:p>
            <w:pPr>
              <w:ind w:left="180"/>
              <w:spacing w:after="0"/>
              <w:rPr>
                <w:sz w:val="20"/>
                <w:szCs w:val="20"/>
                <w:color w:val="auto"/>
              </w:rPr>
            </w:pPr>
            <w:r>
              <w:rPr>
                <w:rFonts w:ascii="Arial" w:cs="Arial" w:eastAsia="Arial" w:hAnsi="Arial"/>
                <w:sz w:val="18"/>
                <w:szCs w:val="18"/>
                <w:b w:val="1"/>
                <w:bCs w:val="1"/>
                <w:color w:val="FFFFFF"/>
              </w:rPr>
              <w:t>Don’t Do</w:t>
            </w:r>
          </w:p>
        </w:tc>
        <w:tc>
          <w:tcPr>
            <w:tcW w:w="4420" w:type="dxa"/>
            <w:vAlign w:val="bottom"/>
            <w:gridSpan w:val="2"/>
          </w:tcPr>
          <w:p>
            <w:pPr>
              <w:ind w:left="460"/>
              <w:spacing w:after="0"/>
              <w:rPr>
                <w:sz w:val="20"/>
                <w:szCs w:val="20"/>
                <w:color w:val="auto"/>
              </w:rPr>
            </w:pPr>
            <w:r>
              <w:rPr>
                <w:rFonts w:ascii="Arial" w:cs="Arial" w:eastAsia="Arial" w:hAnsi="Arial"/>
                <w:sz w:val="18"/>
                <w:szCs w:val="18"/>
                <w:color w:val="auto"/>
              </w:rPr>
              <w:t>taxes</w:t>
            </w:r>
          </w:p>
        </w:tc>
      </w:tr>
      <w:tr>
        <w:trPr>
          <w:trHeight w:val="203"/>
        </w:trPr>
        <w:tc>
          <w:tcPr>
            <w:tcW w:w="1080" w:type="dxa"/>
            <w:vAlign w:val="bottom"/>
            <w:shd w:val="clear" w:color="auto" w:fill="002060"/>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tcPr>
          <w:p>
            <w:pPr>
              <w:ind w:left="300"/>
              <w:spacing w:after="0" w:line="202" w:lineRule="exact"/>
              <w:rPr>
                <w:sz w:val="20"/>
                <w:szCs w:val="20"/>
                <w:color w:val="auto"/>
              </w:rPr>
            </w:pPr>
            <w:r>
              <w:rPr>
                <w:rFonts w:ascii="Arial" w:cs="Arial" w:eastAsia="Arial" w:hAnsi="Arial"/>
                <w:sz w:val="18"/>
                <w:szCs w:val="18"/>
                <w:color w:val="auto"/>
              </w:rPr>
              <w:t>objective pre-established performance metrics</w:t>
            </w:r>
          </w:p>
        </w:tc>
        <w:tc>
          <w:tcPr>
            <w:tcW w:w="1100" w:type="dxa"/>
            <w:vAlign w:val="bottom"/>
            <w:shd w:val="clear" w:color="auto" w:fill="002060"/>
          </w:tcPr>
          <w:p>
            <w:pPr>
              <w:spacing w:after="0"/>
              <w:rPr>
                <w:sz w:val="17"/>
                <w:szCs w:val="17"/>
                <w:color w:val="auto"/>
              </w:rPr>
            </w:pPr>
          </w:p>
        </w:tc>
        <w:tc>
          <w:tcPr>
            <w:tcW w:w="442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auto"/>
              </w:rPr>
              <w:t xml:space="preserve">   NO Pension Plans </w:t>
            </w:r>
            <w:r>
              <w:rPr>
                <w:rFonts w:ascii="Arial" w:cs="Arial" w:eastAsia="Arial" w:hAnsi="Arial"/>
                <w:sz w:val="18"/>
                <w:szCs w:val="18"/>
                <w:color w:val="auto"/>
              </w:rPr>
              <w:t>or retirement benefits that</w:t>
            </w:r>
          </w:p>
        </w:tc>
      </w:tr>
      <w:tr>
        <w:trPr>
          <w:trHeight w:val="216"/>
        </w:trPr>
        <w:tc>
          <w:tcPr>
            <w:tcW w:w="1080" w:type="dxa"/>
            <w:vAlign w:val="bottom"/>
            <w:shd w:val="clear" w:color="auto" w:fill="002060"/>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Arial" w:cs="Arial" w:eastAsia="Arial" w:hAnsi="Arial"/>
                <w:sz w:val="18"/>
                <w:szCs w:val="18"/>
                <w:b w:val="1"/>
                <w:bCs w:val="1"/>
                <w:color w:val="auto"/>
              </w:rPr>
              <w:t xml:space="preserve">   Balanced Compensation Mix </w:t>
            </w:r>
            <w:r>
              <w:rPr>
                <w:rFonts w:ascii="Arial" w:cs="Arial" w:eastAsia="Arial" w:hAnsi="Arial"/>
                <w:sz w:val="18"/>
                <w:szCs w:val="18"/>
                <w:color w:val="auto"/>
              </w:rPr>
              <w:t>of salary and</w:t>
            </w:r>
          </w:p>
        </w:tc>
        <w:tc>
          <w:tcPr>
            <w:tcW w:w="1100" w:type="dxa"/>
            <w:vAlign w:val="bottom"/>
            <w:shd w:val="clear" w:color="auto" w:fill="002060"/>
          </w:tcPr>
          <w:p>
            <w:pPr>
              <w:spacing w:after="0"/>
              <w:rPr>
                <w:sz w:val="18"/>
                <w:szCs w:val="18"/>
                <w:color w:val="auto"/>
              </w:rPr>
            </w:pPr>
          </w:p>
        </w:tc>
        <w:tc>
          <w:tcPr>
            <w:tcW w:w="4420" w:type="dxa"/>
            <w:vAlign w:val="bottom"/>
            <w:gridSpan w:val="2"/>
          </w:tcPr>
          <w:p>
            <w:pPr>
              <w:ind w:left="460"/>
              <w:spacing w:after="0"/>
              <w:rPr>
                <w:sz w:val="20"/>
                <w:szCs w:val="20"/>
                <w:color w:val="auto"/>
              </w:rPr>
            </w:pPr>
            <w:r>
              <w:rPr>
                <w:rFonts w:ascii="Arial" w:cs="Arial" w:eastAsia="Arial" w:hAnsi="Arial"/>
                <w:sz w:val="18"/>
                <w:szCs w:val="18"/>
                <w:color w:val="auto"/>
              </w:rPr>
              <w:t>are not available to other salaried employees</w:t>
            </w:r>
          </w:p>
        </w:tc>
      </w:tr>
      <w:tr>
        <w:trPr>
          <w:trHeight w:val="203"/>
        </w:trPr>
        <w:tc>
          <w:tcPr>
            <w:tcW w:w="1080" w:type="dxa"/>
            <w:vAlign w:val="bottom"/>
            <w:shd w:val="clear" w:color="auto" w:fill="002060"/>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tcPr>
          <w:p>
            <w:pPr>
              <w:ind w:left="300"/>
              <w:spacing w:after="0" w:line="202" w:lineRule="exact"/>
              <w:rPr>
                <w:sz w:val="20"/>
                <w:szCs w:val="20"/>
                <w:color w:val="auto"/>
              </w:rPr>
            </w:pPr>
            <w:r>
              <w:rPr>
                <w:rFonts w:ascii="Arial" w:cs="Arial" w:eastAsia="Arial" w:hAnsi="Arial"/>
                <w:sz w:val="18"/>
                <w:szCs w:val="18"/>
                <w:color w:val="auto"/>
              </w:rPr>
              <w:t>performance-based cash bonuses and restricted</w:t>
            </w:r>
          </w:p>
        </w:tc>
        <w:tc>
          <w:tcPr>
            <w:tcW w:w="1100" w:type="dxa"/>
            <w:vAlign w:val="bottom"/>
            <w:shd w:val="clear" w:color="auto" w:fill="002060"/>
          </w:tcPr>
          <w:p>
            <w:pPr>
              <w:spacing w:after="0"/>
              <w:rPr>
                <w:sz w:val="17"/>
                <w:szCs w:val="17"/>
                <w:color w:val="auto"/>
              </w:rPr>
            </w:pPr>
          </w:p>
        </w:tc>
        <w:tc>
          <w:tcPr>
            <w:tcW w:w="442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auto"/>
              </w:rPr>
              <w:t xml:space="preserve">   NO Hedging </w:t>
            </w:r>
            <w:r>
              <w:rPr>
                <w:rFonts w:ascii="Arial" w:cs="Arial" w:eastAsia="Arial" w:hAnsi="Arial"/>
                <w:sz w:val="18"/>
                <w:szCs w:val="18"/>
                <w:color w:val="auto"/>
              </w:rPr>
              <w:t>or other monetization transactions</w:t>
            </w:r>
          </w:p>
        </w:tc>
      </w:tr>
      <w:tr>
        <w:trPr>
          <w:trHeight w:val="203"/>
        </w:trPr>
        <w:tc>
          <w:tcPr>
            <w:tcW w:w="1080" w:type="dxa"/>
            <w:vAlign w:val="bottom"/>
            <w:shd w:val="clear" w:color="auto" w:fill="002060"/>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tcPr>
          <w:p>
            <w:pPr>
              <w:ind w:left="300"/>
              <w:spacing w:after="0" w:line="202" w:lineRule="exact"/>
              <w:rPr>
                <w:sz w:val="20"/>
                <w:szCs w:val="20"/>
                <w:color w:val="auto"/>
              </w:rPr>
            </w:pPr>
            <w:r>
              <w:rPr>
                <w:rFonts w:ascii="Arial" w:cs="Arial" w:eastAsia="Arial" w:hAnsi="Arial"/>
                <w:sz w:val="18"/>
                <w:szCs w:val="18"/>
                <w:color w:val="auto"/>
              </w:rPr>
              <w:t>stock awards</w:t>
            </w:r>
          </w:p>
        </w:tc>
        <w:tc>
          <w:tcPr>
            <w:tcW w:w="1100" w:type="dxa"/>
            <w:vAlign w:val="bottom"/>
            <w:shd w:val="clear" w:color="auto" w:fill="002060"/>
          </w:tcPr>
          <w:p>
            <w:pPr>
              <w:spacing w:after="0"/>
              <w:rPr>
                <w:sz w:val="17"/>
                <w:szCs w:val="17"/>
                <w:color w:val="auto"/>
              </w:rPr>
            </w:pPr>
          </w:p>
        </w:tc>
        <w:tc>
          <w:tcPr>
            <w:tcW w:w="44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involving Company securities</w:t>
            </w:r>
          </w:p>
        </w:tc>
      </w:tr>
      <w:tr>
        <w:trPr>
          <w:trHeight w:val="216"/>
        </w:trPr>
        <w:tc>
          <w:tcPr>
            <w:tcW w:w="1080" w:type="dxa"/>
            <w:vAlign w:val="bottom"/>
            <w:shd w:val="clear" w:color="auto" w:fill="002060"/>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Arial" w:cs="Arial" w:eastAsia="Arial" w:hAnsi="Arial"/>
                <w:sz w:val="18"/>
                <w:szCs w:val="18"/>
                <w:b w:val="1"/>
                <w:bCs w:val="1"/>
                <w:color w:val="auto"/>
              </w:rPr>
              <w:t xml:space="preserve">   Multi-year Vesting of Equity Awards </w:t>
            </w:r>
            <w:r>
              <w:rPr>
                <w:rFonts w:ascii="Arial" w:cs="Arial" w:eastAsia="Arial" w:hAnsi="Arial"/>
                <w:sz w:val="18"/>
                <w:szCs w:val="18"/>
                <w:color w:val="auto"/>
              </w:rPr>
              <w:t>over a</w:t>
            </w:r>
          </w:p>
        </w:tc>
        <w:tc>
          <w:tcPr>
            <w:tcW w:w="1100" w:type="dxa"/>
            <w:vAlign w:val="bottom"/>
            <w:shd w:val="clear" w:color="auto" w:fill="002060"/>
          </w:tcPr>
          <w:p>
            <w:pPr>
              <w:spacing w:after="0"/>
              <w:rPr>
                <w:sz w:val="18"/>
                <w:szCs w:val="18"/>
                <w:color w:val="auto"/>
              </w:rPr>
            </w:pPr>
          </w:p>
        </w:tc>
        <w:tc>
          <w:tcPr>
            <w:tcW w:w="4420" w:type="dxa"/>
            <w:vAlign w:val="bottom"/>
            <w:gridSpan w:val="2"/>
          </w:tcPr>
          <w:p>
            <w:pPr>
              <w:ind w:left="220"/>
              <w:spacing w:after="0"/>
              <w:rPr>
                <w:sz w:val="20"/>
                <w:szCs w:val="20"/>
                <w:color w:val="auto"/>
              </w:rPr>
            </w:pPr>
            <w:r>
              <w:rPr>
                <w:rFonts w:ascii="Arial" w:cs="Arial" w:eastAsia="Arial" w:hAnsi="Arial"/>
                <w:sz w:val="18"/>
                <w:szCs w:val="18"/>
                <w:b w:val="1"/>
                <w:bCs w:val="1"/>
                <w:color w:val="auto"/>
              </w:rPr>
              <w:t xml:space="preserve">   NO Short Sales </w:t>
            </w:r>
            <w:r>
              <w:rPr>
                <w:rFonts w:ascii="Arial" w:cs="Arial" w:eastAsia="Arial" w:hAnsi="Arial"/>
                <w:sz w:val="18"/>
                <w:szCs w:val="18"/>
                <w:color w:val="auto"/>
              </w:rPr>
              <w:t>or other speculative</w:t>
            </w:r>
          </w:p>
        </w:tc>
      </w:tr>
      <w:tr>
        <w:trPr>
          <w:trHeight w:val="203"/>
        </w:trPr>
        <w:tc>
          <w:tcPr>
            <w:tcW w:w="1080" w:type="dxa"/>
            <w:vAlign w:val="bottom"/>
            <w:shd w:val="clear" w:color="auto" w:fill="002060"/>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tcPr>
          <w:p>
            <w:pPr>
              <w:ind w:left="300"/>
              <w:spacing w:after="0" w:line="202" w:lineRule="exact"/>
              <w:rPr>
                <w:sz w:val="20"/>
                <w:szCs w:val="20"/>
                <w:color w:val="auto"/>
              </w:rPr>
            </w:pPr>
            <w:r>
              <w:rPr>
                <w:rFonts w:ascii="Arial" w:cs="Arial" w:eastAsia="Arial" w:hAnsi="Arial"/>
                <w:sz w:val="18"/>
                <w:szCs w:val="18"/>
                <w:color w:val="auto"/>
              </w:rPr>
              <w:t>two-year period after the performance target is</w:t>
            </w:r>
          </w:p>
        </w:tc>
        <w:tc>
          <w:tcPr>
            <w:tcW w:w="1100" w:type="dxa"/>
            <w:vAlign w:val="bottom"/>
            <w:shd w:val="clear" w:color="auto" w:fill="002060"/>
          </w:tcPr>
          <w:p>
            <w:pPr>
              <w:spacing w:after="0"/>
              <w:rPr>
                <w:sz w:val="17"/>
                <w:szCs w:val="17"/>
                <w:color w:val="auto"/>
              </w:rPr>
            </w:pPr>
          </w:p>
        </w:tc>
        <w:tc>
          <w:tcPr>
            <w:tcW w:w="44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transactions involving Company securities</w:t>
            </w:r>
          </w:p>
        </w:tc>
      </w:tr>
      <w:tr>
        <w:trPr>
          <w:trHeight w:val="203"/>
        </w:trPr>
        <w:tc>
          <w:tcPr>
            <w:tcW w:w="1080" w:type="dxa"/>
            <w:vAlign w:val="bottom"/>
            <w:shd w:val="clear" w:color="auto" w:fill="002060"/>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tcPr>
          <w:p>
            <w:pPr>
              <w:ind w:left="300"/>
              <w:spacing w:after="0" w:line="202" w:lineRule="exact"/>
              <w:rPr>
                <w:sz w:val="20"/>
                <w:szCs w:val="20"/>
                <w:color w:val="auto"/>
              </w:rPr>
            </w:pPr>
            <w:r>
              <w:rPr>
                <w:rFonts w:ascii="Arial" w:cs="Arial" w:eastAsia="Arial" w:hAnsi="Arial"/>
                <w:sz w:val="18"/>
                <w:szCs w:val="18"/>
                <w:color w:val="auto"/>
              </w:rPr>
              <w:t>met</w:t>
            </w:r>
          </w:p>
        </w:tc>
        <w:tc>
          <w:tcPr>
            <w:tcW w:w="1100" w:type="dxa"/>
            <w:vAlign w:val="bottom"/>
            <w:shd w:val="clear" w:color="auto" w:fill="002060"/>
          </w:tcPr>
          <w:p>
            <w:pPr>
              <w:spacing w:after="0"/>
              <w:rPr>
                <w:sz w:val="17"/>
                <w:szCs w:val="17"/>
                <w:color w:val="auto"/>
              </w:rPr>
            </w:pPr>
          </w:p>
        </w:tc>
        <w:tc>
          <w:tcPr>
            <w:tcW w:w="442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auto"/>
              </w:rPr>
              <w:t xml:space="preserve">   NO Option Repricing </w:t>
            </w:r>
            <w:r>
              <w:rPr>
                <w:rFonts w:ascii="Arial" w:cs="Arial" w:eastAsia="Arial" w:hAnsi="Arial"/>
                <w:sz w:val="18"/>
                <w:szCs w:val="18"/>
                <w:color w:val="auto"/>
              </w:rPr>
              <w:t>of underwater stock</w:t>
            </w:r>
          </w:p>
        </w:tc>
      </w:tr>
      <w:tr>
        <w:trPr>
          <w:trHeight w:val="216"/>
        </w:trPr>
        <w:tc>
          <w:tcPr>
            <w:tcW w:w="1080" w:type="dxa"/>
            <w:vAlign w:val="bottom"/>
            <w:shd w:val="clear" w:color="auto" w:fill="002060"/>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Arial" w:cs="Arial" w:eastAsia="Arial" w:hAnsi="Arial"/>
                <w:sz w:val="18"/>
                <w:szCs w:val="18"/>
                <w:b w:val="1"/>
                <w:bCs w:val="1"/>
                <w:color w:val="auto"/>
              </w:rPr>
              <w:t xml:space="preserve">   Limited Perquisites </w:t>
            </w:r>
            <w:r>
              <w:rPr>
                <w:rFonts w:ascii="Arial" w:cs="Arial" w:eastAsia="Arial" w:hAnsi="Arial"/>
                <w:sz w:val="18"/>
                <w:szCs w:val="18"/>
                <w:color w:val="auto"/>
              </w:rPr>
              <w:t>that are not available to</w:t>
            </w:r>
          </w:p>
        </w:tc>
        <w:tc>
          <w:tcPr>
            <w:tcW w:w="1100" w:type="dxa"/>
            <w:vAlign w:val="bottom"/>
            <w:shd w:val="clear" w:color="auto" w:fill="002060"/>
          </w:tcPr>
          <w:p>
            <w:pPr>
              <w:spacing w:after="0"/>
              <w:rPr>
                <w:sz w:val="18"/>
                <w:szCs w:val="18"/>
                <w:color w:val="auto"/>
              </w:rPr>
            </w:pPr>
          </w:p>
        </w:tc>
        <w:tc>
          <w:tcPr>
            <w:tcW w:w="4420" w:type="dxa"/>
            <w:vAlign w:val="bottom"/>
            <w:gridSpan w:val="2"/>
          </w:tcPr>
          <w:p>
            <w:pPr>
              <w:ind w:left="460"/>
              <w:spacing w:after="0"/>
              <w:rPr>
                <w:sz w:val="20"/>
                <w:szCs w:val="20"/>
                <w:color w:val="auto"/>
              </w:rPr>
            </w:pPr>
            <w:r>
              <w:rPr>
                <w:rFonts w:ascii="Arial" w:cs="Arial" w:eastAsia="Arial" w:hAnsi="Arial"/>
                <w:sz w:val="18"/>
                <w:szCs w:val="18"/>
                <w:color w:val="auto"/>
              </w:rPr>
              <w:t>options without stockholder approval</w:t>
            </w:r>
          </w:p>
        </w:tc>
      </w:tr>
      <w:tr>
        <w:trPr>
          <w:trHeight w:val="203"/>
        </w:trPr>
        <w:tc>
          <w:tcPr>
            <w:tcW w:w="1080" w:type="dxa"/>
            <w:vAlign w:val="bottom"/>
            <w:shd w:val="clear" w:color="auto" w:fill="002060"/>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tcPr>
          <w:p>
            <w:pPr>
              <w:ind w:left="300"/>
              <w:spacing w:after="0" w:line="202" w:lineRule="exact"/>
              <w:rPr>
                <w:sz w:val="20"/>
                <w:szCs w:val="20"/>
                <w:color w:val="auto"/>
              </w:rPr>
            </w:pPr>
            <w:r>
              <w:rPr>
                <w:rFonts w:ascii="Arial" w:cs="Arial" w:eastAsia="Arial" w:hAnsi="Arial"/>
                <w:sz w:val="18"/>
                <w:szCs w:val="18"/>
                <w:color w:val="auto"/>
              </w:rPr>
              <w:t>other salaried employees</w:t>
            </w:r>
          </w:p>
        </w:tc>
        <w:tc>
          <w:tcPr>
            <w:tcW w:w="1100" w:type="dxa"/>
            <w:vAlign w:val="bottom"/>
            <w:shd w:val="clear" w:color="auto" w:fill="002060"/>
          </w:tcPr>
          <w:p>
            <w:pPr>
              <w:spacing w:after="0"/>
              <w:rPr>
                <w:sz w:val="17"/>
                <w:szCs w:val="17"/>
                <w:color w:val="auto"/>
              </w:rPr>
            </w:pPr>
          </w:p>
        </w:tc>
        <w:tc>
          <w:tcPr>
            <w:tcW w:w="442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auto"/>
              </w:rPr>
              <w:t xml:space="preserve">   NO Single Trigger </w:t>
            </w:r>
            <w:r>
              <w:rPr>
                <w:rFonts w:ascii="Arial" w:cs="Arial" w:eastAsia="Arial" w:hAnsi="Arial"/>
                <w:sz w:val="18"/>
                <w:szCs w:val="18"/>
                <w:color w:val="auto"/>
              </w:rPr>
              <w:t>accelerated vesting of</w:t>
            </w:r>
          </w:p>
        </w:tc>
      </w:tr>
      <w:tr>
        <w:trPr>
          <w:trHeight w:val="216"/>
        </w:trPr>
        <w:tc>
          <w:tcPr>
            <w:tcW w:w="1080" w:type="dxa"/>
            <w:vAlign w:val="bottom"/>
            <w:shd w:val="clear" w:color="auto" w:fill="002060"/>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Arial" w:cs="Arial" w:eastAsia="Arial" w:hAnsi="Arial"/>
                <w:sz w:val="18"/>
                <w:szCs w:val="18"/>
                <w:b w:val="1"/>
                <w:bCs w:val="1"/>
                <w:color w:val="auto"/>
              </w:rPr>
              <w:t xml:space="preserve">   Competitive Pay </w:t>
            </w:r>
            <w:r>
              <w:rPr>
                <w:rFonts w:ascii="Arial" w:cs="Arial" w:eastAsia="Arial" w:hAnsi="Arial"/>
                <w:sz w:val="18"/>
                <w:szCs w:val="18"/>
                <w:color w:val="auto"/>
              </w:rPr>
              <w:t>targeted near the median of</w:t>
            </w:r>
          </w:p>
        </w:tc>
        <w:tc>
          <w:tcPr>
            <w:tcW w:w="1100" w:type="dxa"/>
            <w:vAlign w:val="bottom"/>
            <w:shd w:val="clear" w:color="auto" w:fill="002060"/>
          </w:tcPr>
          <w:p>
            <w:pPr>
              <w:spacing w:after="0"/>
              <w:rPr>
                <w:sz w:val="18"/>
                <w:szCs w:val="18"/>
                <w:color w:val="auto"/>
              </w:rPr>
            </w:pPr>
          </w:p>
        </w:tc>
        <w:tc>
          <w:tcPr>
            <w:tcW w:w="4420" w:type="dxa"/>
            <w:vAlign w:val="bottom"/>
            <w:gridSpan w:val="2"/>
          </w:tcPr>
          <w:p>
            <w:pPr>
              <w:ind w:left="460"/>
              <w:spacing w:after="0"/>
              <w:rPr>
                <w:sz w:val="20"/>
                <w:szCs w:val="20"/>
                <w:color w:val="auto"/>
              </w:rPr>
            </w:pPr>
            <w:r>
              <w:rPr>
                <w:rFonts w:ascii="Arial" w:cs="Arial" w:eastAsia="Arial" w:hAnsi="Arial"/>
                <w:sz w:val="18"/>
                <w:szCs w:val="18"/>
                <w:color w:val="auto"/>
              </w:rPr>
              <w:t>incentive awards upon a change in control</w:t>
            </w:r>
          </w:p>
        </w:tc>
      </w:tr>
      <w:tr>
        <w:trPr>
          <w:trHeight w:val="203"/>
        </w:trPr>
        <w:tc>
          <w:tcPr>
            <w:tcW w:w="1080" w:type="dxa"/>
            <w:vAlign w:val="bottom"/>
            <w:shd w:val="clear" w:color="auto" w:fill="002060"/>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tcPr>
          <w:p>
            <w:pPr>
              <w:ind w:left="300"/>
              <w:spacing w:after="0" w:line="202" w:lineRule="exact"/>
              <w:rPr>
                <w:sz w:val="20"/>
                <w:szCs w:val="20"/>
                <w:color w:val="auto"/>
              </w:rPr>
            </w:pPr>
            <w:r>
              <w:rPr>
                <w:rFonts w:ascii="Arial" w:cs="Arial" w:eastAsia="Arial" w:hAnsi="Arial"/>
                <w:sz w:val="18"/>
                <w:szCs w:val="18"/>
                <w:color w:val="auto"/>
              </w:rPr>
              <w:t>our peer group</w:t>
            </w:r>
          </w:p>
        </w:tc>
        <w:tc>
          <w:tcPr>
            <w:tcW w:w="1100" w:type="dxa"/>
            <w:vAlign w:val="bottom"/>
            <w:shd w:val="clear" w:color="auto" w:fill="002060"/>
          </w:tcPr>
          <w:p>
            <w:pPr>
              <w:spacing w:after="0"/>
              <w:rPr>
                <w:sz w:val="17"/>
                <w:szCs w:val="17"/>
                <w:color w:val="auto"/>
              </w:rPr>
            </w:pPr>
          </w:p>
        </w:tc>
        <w:tc>
          <w:tcPr>
            <w:tcW w:w="44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without a qualifying loss of employment</w:t>
            </w:r>
          </w:p>
        </w:tc>
      </w:tr>
      <w:tr>
        <w:trPr>
          <w:trHeight w:val="216"/>
        </w:trPr>
        <w:tc>
          <w:tcPr>
            <w:tcW w:w="1080" w:type="dxa"/>
            <w:vAlign w:val="bottom"/>
            <w:shd w:val="clear" w:color="auto" w:fill="002060"/>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Arial" w:cs="Arial" w:eastAsia="Arial" w:hAnsi="Arial"/>
                <w:sz w:val="18"/>
                <w:szCs w:val="18"/>
                <w:b w:val="1"/>
                <w:bCs w:val="1"/>
                <w:color w:val="auto"/>
              </w:rPr>
              <w:t xml:space="preserve">   Clawback Policy </w:t>
            </w:r>
            <w:r>
              <w:rPr>
                <w:rFonts w:ascii="Arial" w:cs="Arial" w:eastAsia="Arial" w:hAnsi="Arial"/>
                <w:sz w:val="18"/>
                <w:szCs w:val="18"/>
                <w:color w:val="auto"/>
              </w:rPr>
              <w:t>allowing recovery of incentive</w:t>
            </w:r>
          </w:p>
        </w:tc>
        <w:tc>
          <w:tcPr>
            <w:tcW w:w="1100" w:type="dxa"/>
            <w:vAlign w:val="bottom"/>
            <w:shd w:val="clear" w:color="auto" w:fill="002060"/>
          </w:tcPr>
          <w:p>
            <w:pPr>
              <w:spacing w:after="0"/>
              <w:rPr>
                <w:sz w:val="18"/>
                <w:szCs w:val="18"/>
                <w:color w:val="auto"/>
              </w:rPr>
            </w:pPr>
          </w:p>
        </w:tc>
        <w:tc>
          <w:tcPr>
            <w:tcW w:w="4420" w:type="dxa"/>
            <w:vAlign w:val="bottom"/>
            <w:gridSpan w:val="2"/>
          </w:tcPr>
          <w:p>
            <w:pPr>
              <w:ind w:left="220"/>
              <w:spacing w:after="0"/>
              <w:rPr>
                <w:sz w:val="20"/>
                <w:szCs w:val="20"/>
                <w:color w:val="auto"/>
              </w:rPr>
            </w:pPr>
            <w:r>
              <w:rPr>
                <w:rFonts w:ascii="Arial" w:cs="Arial" w:eastAsia="Arial" w:hAnsi="Arial"/>
                <w:sz w:val="18"/>
                <w:szCs w:val="18"/>
                <w:b w:val="1"/>
                <w:bCs w:val="1"/>
                <w:color w:val="auto"/>
              </w:rPr>
              <w:t xml:space="preserve">   NO Pledging </w:t>
            </w:r>
            <w:r>
              <w:rPr>
                <w:rFonts w:ascii="Arial" w:cs="Arial" w:eastAsia="Arial" w:hAnsi="Arial"/>
                <w:sz w:val="18"/>
                <w:szCs w:val="18"/>
                <w:color w:val="auto"/>
              </w:rPr>
              <w:t>of Company securities as</w:t>
            </w:r>
          </w:p>
        </w:tc>
      </w:tr>
      <w:tr>
        <w:trPr>
          <w:trHeight w:val="203"/>
        </w:trPr>
        <w:tc>
          <w:tcPr>
            <w:tcW w:w="1080" w:type="dxa"/>
            <w:vAlign w:val="bottom"/>
            <w:shd w:val="clear" w:color="auto" w:fill="002060"/>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tcPr>
          <w:p>
            <w:pPr>
              <w:ind w:left="300"/>
              <w:spacing w:after="0" w:line="202" w:lineRule="exact"/>
              <w:rPr>
                <w:sz w:val="20"/>
                <w:szCs w:val="20"/>
                <w:color w:val="auto"/>
              </w:rPr>
            </w:pPr>
            <w:r>
              <w:rPr>
                <w:rFonts w:ascii="Arial" w:cs="Arial" w:eastAsia="Arial" w:hAnsi="Arial"/>
                <w:sz w:val="18"/>
                <w:szCs w:val="18"/>
                <w:color w:val="auto"/>
              </w:rPr>
              <w:t>and other compensation under specified</w:t>
            </w:r>
          </w:p>
        </w:tc>
        <w:tc>
          <w:tcPr>
            <w:tcW w:w="1100" w:type="dxa"/>
            <w:vAlign w:val="bottom"/>
            <w:shd w:val="clear" w:color="auto" w:fill="002060"/>
          </w:tcPr>
          <w:p>
            <w:pPr>
              <w:spacing w:after="0"/>
              <w:rPr>
                <w:sz w:val="17"/>
                <w:szCs w:val="17"/>
                <w:color w:val="auto"/>
              </w:rPr>
            </w:pPr>
          </w:p>
        </w:tc>
        <w:tc>
          <w:tcPr>
            <w:tcW w:w="44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collateral or holding Company securities as</w:t>
            </w:r>
          </w:p>
        </w:tc>
      </w:tr>
      <w:tr>
        <w:trPr>
          <w:trHeight w:val="203"/>
        </w:trPr>
        <w:tc>
          <w:tcPr>
            <w:tcW w:w="1080" w:type="dxa"/>
            <w:vAlign w:val="bottom"/>
            <w:shd w:val="clear" w:color="auto" w:fill="002060"/>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tcPr>
          <w:p>
            <w:pPr>
              <w:ind w:left="300"/>
              <w:spacing w:after="0" w:line="202" w:lineRule="exact"/>
              <w:rPr>
                <w:sz w:val="20"/>
                <w:szCs w:val="20"/>
                <w:color w:val="auto"/>
              </w:rPr>
            </w:pPr>
            <w:r>
              <w:rPr>
                <w:rFonts w:ascii="Arial" w:cs="Arial" w:eastAsia="Arial" w:hAnsi="Arial"/>
                <w:sz w:val="18"/>
                <w:szCs w:val="18"/>
                <w:color w:val="auto"/>
              </w:rPr>
              <w:t>circumstances</w:t>
            </w:r>
          </w:p>
        </w:tc>
        <w:tc>
          <w:tcPr>
            <w:tcW w:w="1100" w:type="dxa"/>
            <w:vAlign w:val="bottom"/>
            <w:shd w:val="clear" w:color="auto" w:fill="002060"/>
          </w:tcPr>
          <w:p>
            <w:pPr>
              <w:spacing w:after="0"/>
              <w:rPr>
                <w:sz w:val="17"/>
                <w:szCs w:val="17"/>
                <w:color w:val="auto"/>
              </w:rPr>
            </w:pPr>
          </w:p>
        </w:tc>
        <w:tc>
          <w:tcPr>
            <w:tcW w:w="44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collateral in a margin account</w:t>
            </w:r>
          </w:p>
        </w:tc>
      </w:tr>
      <w:tr>
        <w:trPr>
          <w:trHeight w:val="216"/>
        </w:trPr>
        <w:tc>
          <w:tcPr>
            <w:tcW w:w="1080" w:type="dxa"/>
            <w:vAlign w:val="bottom"/>
            <w:shd w:val="clear" w:color="auto" w:fill="002060"/>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Arial" w:cs="Arial" w:eastAsia="Arial" w:hAnsi="Arial"/>
                <w:sz w:val="18"/>
                <w:szCs w:val="18"/>
                <w:b w:val="1"/>
                <w:bCs w:val="1"/>
                <w:color w:val="auto"/>
              </w:rPr>
              <w:t>   Meaningful Equity Ownership Requirements</w:t>
            </w:r>
          </w:p>
        </w:tc>
        <w:tc>
          <w:tcPr>
            <w:tcW w:w="1100" w:type="dxa"/>
            <w:vAlign w:val="bottom"/>
            <w:shd w:val="clear" w:color="auto" w:fill="002060"/>
          </w:tcPr>
          <w:p>
            <w:pPr>
              <w:spacing w:after="0"/>
              <w:rPr>
                <w:sz w:val="18"/>
                <w:szCs w:val="18"/>
                <w:color w:val="auto"/>
              </w:rPr>
            </w:pPr>
          </w:p>
        </w:tc>
        <w:tc>
          <w:tcPr>
            <w:tcW w:w="4420" w:type="dxa"/>
            <w:vAlign w:val="bottom"/>
            <w:gridSpan w:val="2"/>
          </w:tcPr>
          <w:p>
            <w:pPr>
              <w:ind w:left="280"/>
              <w:spacing w:after="0"/>
              <w:rPr>
                <w:sz w:val="20"/>
                <w:szCs w:val="20"/>
                <w:color w:val="auto"/>
              </w:rPr>
            </w:pPr>
            <w:r>
              <w:rPr>
                <w:rFonts w:ascii="Arial" w:cs="Arial" w:eastAsia="Arial" w:hAnsi="Arial"/>
                <w:sz w:val="18"/>
                <w:szCs w:val="18"/>
                <w:b w:val="1"/>
                <w:bCs w:val="1"/>
                <w:color w:val="auto"/>
              </w:rPr>
              <w:t xml:space="preserve">    NO Employment Agreements </w:t>
            </w:r>
            <w:r>
              <w:rPr>
                <w:rFonts w:ascii="Arial" w:cs="Arial" w:eastAsia="Arial" w:hAnsi="Arial"/>
                <w:sz w:val="18"/>
                <w:szCs w:val="18"/>
                <w:color w:val="auto"/>
              </w:rPr>
              <w:t>for our</w:t>
            </w:r>
          </w:p>
        </w:tc>
      </w:tr>
      <w:tr>
        <w:trPr>
          <w:trHeight w:val="203"/>
        </w:trPr>
        <w:tc>
          <w:tcPr>
            <w:tcW w:w="1080" w:type="dxa"/>
            <w:vAlign w:val="bottom"/>
            <w:shd w:val="clear" w:color="auto" w:fill="002060"/>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tcPr>
          <w:p>
            <w:pPr>
              <w:ind w:left="300"/>
              <w:spacing w:after="0" w:line="202" w:lineRule="exact"/>
              <w:rPr>
                <w:sz w:val="20"/>
                <w:szCs w:val="20"/>
                <w:color w:val="auto"/>
              </w:rPr>
            </w:pPr>
            <w:r>
              <w:rPr>
                <w:rFonts w:ascii="Arial" w:cs="Arial" w:eastAsia="Arial" w:hAnsi="Arial"/>
                <w:sz w:val="18"/>
                <w:szCs w:val="18"/>
                <w:color w:val="auto"/>
              </w:rPr>
              <w:t>in a multiple of base salary</w:t>
            </w:r>
          </w:p>
        </w:tc>
        <w:tc>
          <w:tcPr>
            <w:tcW w:w="1100" w:type="dxa"/>
            <w:vAlign w:val="bottom"/>
            <w:shd w:val="clear" w:color="auto" w:fill="002060"/>
          </w:tcPr>
          <w:p>
            <w:pPr>
              <w:spacing w:after="0"/>
              <w:rPr>
                <w:sz w:val="17"/>
                <w:szCs w:val="17"/>
                <w:color w:val="auto"/>
              </w:rPr>
            </w:pPr>
          </w:p>
        </w:tc>
        <w:tc>
          <w:tcPr>
            <w:tcW w:w="44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executives other than our Chief Executive Officer</w:t>
            </w:r>
          </w:p>
        </w:tc>
      </w:tr>
      <w:tr>
        <w:trPr>
          <w:trHeight w:val="216"/>
        </w:trPr>
        <w:tc>
          <w:tcPr>
            <w:tcW w:w="1080" w:type="dxa"/>
            <w:vAlign w:val="bottom"/>
            <w:shd w:val="clear" w:color="auto" w:fill="002060"/>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Arial" w:cs="Arial" w:eastAsia="Arial" w:hAnsi="Arial"/>
                <w:sz w:val="18"/>
                <w:szCs w:val="18"/>
                <w:b w:val="1"/>
                <w:bCs w:val="1"/>
                <w:color w:val="auto"/>
              </w:rPr>
              <w:t xml:space="preserve">   Annual Say-on-Pay Vote </w:t>
            </w:r>
            <w:r>
              <w:rPr>
                <w:rFonts w:ascii="Arial" w:cs="Arial" w:eastAsia="Arial" w:hAnsi="Arial"/>
                <w:sz w:val="18"/>
                <w:szCs w:val="18"/>
                <w:color w:val="auto"/>
              </w:rPr>
              <w:t>on executive</w:t>
            </w:r>
          </w:p>
        </w:tc>
        <w:tc>
          <w:tcPr>
            <w:tcW w:w="1100" w:type="dxa"/>
            <w:vAlign w:val="bottom"/>
            <w:shd w:val="clear" w:color="auto" w:fill="002060"/>
          </w:tcPr>
          <w:p>
            <w:pPr>
              <w:spacing w:after="0"/>
              <w:rPr>
                <w:sz w:val="18"/>
                <w:szCs w:val="18"/>
                <w:color w:val="auto"/>
              </w:rPr>
            </w:pPr>
          </w:p>
        </w:tc>
        <w:tc>
          <w:tcPr>
            <w:tcW w:w="39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5"/>
        </w:trPr>
        <w:tc>
          <w:tcPr>
            <w:tcW w:w="1080" w:type="dxa"/>
            <w:vAlign w:val="bottom"/>
            <w:shd w:val="clear" w:color="auto" w:fill="002060"/>
          </w:tcPr>
          <w:p>
            <w:pPr>
              <w:spacing w:after="0"/>
              <w:rPr>
                <w:sz w:val="20"/>
                <w:szCs w:val="20"/>
                <w:color w:val="auto"/>
              </w:rPr>
            </w:pPr>
          </w:p>
        </w:tc>
        <w:tc>
          <w:tcPr>
            <w:tcW w:w="160" w:type="dxa"/>
            <w:vAlign w:val="bottom"/>
          </w:tcPr>
          <w:p>
            <w:pPr>
              <w:spacing w:after="0"/>
              <w:rPr>
                <w:sz w:val="20"/>
                <w:szCs w:val="20"/>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compensation</w:t>
            </w:r>
          </w:p>
        </w:tc>
        <w:tc>
          <w:tcPr>
            <w:tcW w:w="1100" w:type="dxa"/>
            <w:vAlign w:val="bottom"/>
            <w:shd w:val="clear" w:color="auto" w:fill="002060"/>
          </w:tcPr>
          <w:p>
            <w:pPr>
              <w:spacing w:after="0"/>
              <w:rPr>
                <w:sz w:val="20"/>
                <w:szCs w:val="20"/>
                <w:color w:val="auto"/>
              </w:rPr>
            </w:pPr>
          </w:p>
        </w:tc>
        <w:tc>
          <w:tcPr>
            <w:tcW w:w="39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149"/>
        </w:trPr>
        <w:tc>
          <w:tcPr>
            <w:tcW w:w="1240" w:type="dxa"/>
            <w:vAlign w:val="bottom"/>
            <w:gridSpan w:val="2"/>
          </w:tcPr>
          <w:p>
            <w:pPr>
              <w:spacing w:after="0"/>
              <w:rPr>
                <w:sz w:val="12"/>
                <w:szCs w:val="12"/>
                <w:color w:val="auto"/>
              </w:rPr>
            </w:pPr>
          </w:p>
        </w:tc>
        <w:tc>
          <w:tcPr>
            <w:tcW w:w="4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20" w:type="dxa"/>
            <w:vAlign w:val="bottom"/>
            <w:gridSpan w:val="2"/>
          </w:tcPr>
          <w:p>
            <w:pPr>
              <w:spacing w:after="0"/>
              <w:rPr>
                <w:sz w:val="12"/>
                <w:szCs w:val="12"/>
                <w:color w:val="auto"/>
              </w:rPr>
            </w:pPr>
          </w:p>
        </w:tc>
      </w:tr>
      <w:tr>
        <w:trPr>
          <w:trHeight w:val="308"/>
        </w:trPr>
        <w:tc>
          <w:tcPr>
            <w:tcW w:w="1240" w:type="dxa"/>
            <w:vAlign w:val="bottom"/>
            <w:gridSpan w:val="2"/>
          </w:tcPr>
          <w:p>
            <w:pPr>
              <w:spacing w:after="0"/>
              <w:rPr>
                <w:sz w:val="20"/>
                <w:szCs w:val="20"/>
                <w:color w:val="auto"/>
              </w:rPr>
            </w:pPr>
            <w:r>
              <w:rPr>
                <w:rFonts w:ascii="Arial" w:cs="Arial" w:eastAsia="Arial" w:hAnsi="Arial"/>
                <w:sz w:val="16"/>
                <w:szCs w:val="16"/>
                <w:color w:val="002060"/>
              </w:rPr>
              <w:t>Proxy Summary</w:t>
            </w:r>
          </w:p>
        </w:tc>
        <w:tc>
          <w:tcPr>
            <w:tcW w:w="4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60" w:type="dxa"/>
            <w:vAlign w:val="bottom"/>
          </w:tcPr>
          <w:p>
            <w:pPr>
              <w:ind w:left="2240"/>
              <w:spacing w:after="0"/>
              <w:rPr>
                <w:sz w:val="20"/>
                <w:szCs w:val="20"/>
                <w:color w:val="auto"/>
              </w:rPr>
            </w:pPr>
            <w:r>
              <w:rPr>
                <w:rFonts w:ascii="Arial" w:cs="Arial" w:eastAsia="Arial" w:hAnsi="Arial"/>
                <w:sz w:val="16"/>
                <w:szCs w:val="16"/>
                <w:color w:val="002060"/>
              </w:rPr>
              <w:t>2023 Proxy Statement</w:t>
            </w:r>
          </w:p>
        </w:tc>
        <w:tc>
          <w:tcPr>
            <w:tcW w:w="460" w:type="dxa"/>
            <w:vAlign w:val="bottom"/>
            <w:shd w:val="clear" w:color="auto" w:fill="002060"/>
          </w:tcPr>
          <w:p>
            <w:pPr>
              <w:jc w:val="right"/>
              <w:ind w:right="59"/>
              <w:spacing w:after="0"/>
              <w:rPr>
                <w:sz w:val="20"/>
                <w:szCs w:val="20"/>
                <w:color w:val="auto"/>
              </w:rPr>
            </w:pPr>
            <w:r>
              <w:rPr>
                <w:rFonts w:ascii="Arial" w:cs="Arial" w:eastAsia="Arial" w:hAnsi="Arial"/>
                <w:sz w:val="16"/>
                <w:szCs w:val="16"/>
                <w:color w:val="FFFFFF"/>
              </w:rPr>
              <w:t>11</w:t>
            </w:r>
          </w:p>
        </w:tc>
      </w:tr>
      <w:tr>
        <w:trPr>
          <w:trHeight w:val="110"/>
        </w:trPr>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960" w:type="dxa"/>
            <w:vAlign w:val="bottom"/>
          </w:tcPr>
          <w:p>
            <w:pPr>
              <w:spacing w:after="0"/>
              <w:rPr>
                <w:sz w:val="9"/>
                <w:szCs w:val="9"/>
                <w:color w:val="auto"/>
              </w:rPr>
            </w:pPr>
          </w:p>
        </w:tc>
        <w:tc>
          <w:tcPr>
            <w:tcW w:w="460" w:type="dxa"/>
            <w:vAlign w:val="bottom"/>
            <w:shd w:val="clear" w:color="auto" w:fill="002060"/>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-2673985</wp:posOffset>
            </wp:positionV>
            <wp:extent cx="14541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5415" cy="15430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-2673985</wp:posOffset>
            </wp:positionV>
            <wp:extent cx="128905"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7970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40"/>
          <w:szCs w:val="40"/>
          <w:b w:val="1"/>
          <w:bCs w:val="1"/>
          <w:color w:val="0070C0"/>
        </w:rPr>
        <w:t>PROPOSAL 1 – ELECTION OF DIRECTORS</w:t>
      </w:r>
    </w:p>
    <w:p>
      <w:pPr>
        <w:spacing w:after="0" w:line="230"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Upon the recommendation of the Nominating and Corporate Governance Committee, the Board has nominated and is submitting to a vote of our stockholders a proposal to elect Michael T. Miller, Marchelle E. Moore and Robert H. Schottenstein as Class I directors to serve for three-year terms. Each nominee’s term runs until the 2026 Annual Meeting of Stockholders.</w:t>
      </w:r>
    </w:p>
    <w:p>
      <w:pPr>
        <w:spacing w:after="0" w:line="169" w:lineRule="exact"/>
        <w:rPr>
          <w:sz w:val="20"/>
          <w:szCs w:val="20"/>
          <w:color w:val="auto"/>
        </w:rPr>
      </w:pPr>
    </w:p>
    <w:p>
      <w:pPr>
        <w:ind w:left="120" w:right="240"/>
        <w:spacing w:after="0" w:line="242" w:lineRule="auto"/>
        <w:rPr>
          <w:sz w:val="20"/>
          <w:szCs w:val="20"/>
          <w:color w:val="auto"/>
        </w:rPr>
      </w:pPr>
      <w:r>
        <w:rPr>
          <w:rFonts w:ascii="Arial" w:cs="Arial" w:eastAsia="Arial" w:hAnsi="Arial"/>
          <w:sz w:val="18"/>
          <w:szCs w:val="18"/>
          <w:color w:val="auto"/>
        </w:rPr>
        <w:t>In considering each nominee, the Nominating and Corporate Governance Committee and the Board evaluated the background, experience, qualifications, attributes and skills of each nominee, as well as the years of experience current directors have had working together on the Board and the knowledge of the Company they have developed as a result of such service. The Nominating and Corporate Governance Committee and the Board also considered Board refreshment and each current director’s contributions to the Board and role in the operation of the Board as a whole. See “</w:t>
      </w:r>
      <w:r>
        <w:rPr>
          <w:rFonts w:ascii="Arial" w:cs="Arial" w:eastAsia="Arial" w:hAnsi="Arial"/>
          <w:sz w:val="18"/>
          <w:szCs w:val="18"/>
          <w:i w:val="1"/>
          <w:iCs w:val="1"/>
          <w:color w:val="auto"/>
        </w:rPr>
        <w:t>Information Regarding the Director Nominees and Directors Continuing in</w:t>
      </w:r>
      <w:r>
        <w:rPr>
          <w:rFonts w:ascii="Arial" w:cs="Arial" w:eastAsia="Arial" w:hAnsi="Arial"/>
          <w:sz w:val="18"/>
          <w:szCs w:val="18"/>
          <w:color w:val="auto"/>
        </w:rPr>
        <w:t xml:space="preserve"> </w:t>
      </w:r>
      <w:r>
        <w:rPr>
          <w:rFonts w:ascii="Arial" w:cs="Arial" w:eastAsia="Arial" w:hAnsi="Arial"/>
          <w:sz w:val="18"/>
          <w:szCs w:val="18"/>
          <w:i w:val="1"/>
          <w:iCs w:val="1"/>
          <w:color w:val="auto"/>
        </w:rPr>
        <w:t>Office</w:t>
      </w:r>
      <w:r>
        <w:rPr>
          <w:rFonts w:ascii="Arial" w:cs="Arial" w:eastAsia="Arial" w:hAnsi="Arial"/>
          <w:sz w:val="18"/>
          <w:szCs w:val="18"/>
          <w:color w:val="auto"/>
        </w:rPr>
        <w:t>,” and “</w:t>
      </w:r>
      <w:r>
        <w:rPr>
          <w:rFonts w:ascii="Arial" w:cs="Arial" w:eastAsia="Arial" w:hAnsi="Arial"/>
          <w:sz w:val="18"/>
          <w:szCs w:val="18"/>
          <w:i w:val="1"/>
          <w:iCs w:val="1"/>
          <w:color w:val="auto"/>
        </w:rPr>
        <w:t>Director Qualification and Board Diversity</w:t>
      </w:r>
      <w:r>
        <w:rPr>
          <w:rFonts w:ascii="Arial" w:cs="Arial" w:eastAsia="Arial" w:hAnsi="Arial"/>
          <w:sz w:val="18"/>
          <w:szCs w:val="18"/>
          <w:color w:val="auto"/>
        </w:rPr>
        <w:t>.”</w:t>
      </w:r>
    </w:p>
    <w:p>
      <w:pPr>
        <w:spacing w:after="0" w:line="179" w:lineRule="exact"/>
        <w:rPr>
          <w:sz w:val="20"/>
          <w:szCs w:val="20"/>
          <w:color w:val="auto"/>
        </w:rPr>
      </w:pPr>
    </w:p>
    <w:p>
      <w:pPr>
        <w:jc w:val="both"/>
        <w:ind w:left="120" w:right="260"/>
        <w:spacing w:after="0" w:line="247" w:lineRule="auto"/>
        <w:rPr>
          <w:sz w:val="20"/>
          <w:szCs w:val="20"/>
          <w:color w:val="auto"/>
        </w:rPr>
      </w:pPr>
      <w:r>
        <w:rPr>
          <w:rFonts w:ascii="Arial" w:cs="Arial" w:eastAsia="Arial" w:hAnsi="Arial"/>
          <w:sz w:val="18"/>
          <w:szCs w:val="18"/>
          <w:color w:val="auto"/>
        </w:rPr>
        <w:t>Director nominees are expected to demonstrate leadership and to possess outstanding integrity, values and judgment. The Nominating and Corporate Governance Committee and the Board have determined that each of our nominees possesses the skills, experience and perspectives, collectively with other directors, to comprise a well-rounded, highly effective Board of Directors, and have determined that the nominees add to the overall diversity of the Board by bringing a wide range of experiences.</w:t>
      </w:r>
    </w:p>
    <w:p>
      <w:pPr>
        <w:spacing w:after="0" w:line="174"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Messrs. Miller and Schottenstein currently serve on the Board. Ms. Moore is a new director nominee. Vikas Verma, a current director serving in this class, is retiring from the Board at the end of his current term and is not standing for re-election. The Board would like to acknowledge Mr. Verma’s service on the Board.</w:t>
      </w:r>
    </w:p>
    <w:p>
      <w:pPr>
        <w:spacing w:after="0" w:line="169"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Each nominee has accepted the nomination and has agreed to serve if elected. If a nominee is unable or unwilling to serve as a director at the time of the Annual Meeting, the persons named as proxies will use their discretion to vote for the election of the remaining nominees and for the election of any substitute nominee nominated and recommended by the Board. Alternatively, the Board may reduce the number of directors constituting the full Board.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Overview of the Board of Directors</w:t>
      </w:r>
    </w:p>
    <w:p>
      <w:pPr>
        <w:spacing w:after="0" w:line="212"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Our directors are divided into three classes, as nearly equal in number as possible and designated Class I, Class II and Class III, with one class of directors elected annually for a three-year term. Each director holds office until his or her successor is duly elected and qualified or until his or her earlier death, resignation, retirement, disqualification or removal. Only one class of directors is elected at each annual meeting of stockholders, with the other classes of directors continuing to serve for the remainder of their respective terms.</w:t>
      </w:r>
    </w:p>
    <w:p>
      <w:pPr>
        <w:spacing w:after="0" w:line="174"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Our Bylaws provide that the number of directors constituting the Board is fixed from time to time by a majority vote of the directors then in office. No decrease in the authorized number of directors will result in the removal of an incumbent director until that director’s term of office expires. Vacancies may be filled by the Board. Our Board of Directors has fixed the number of directors at nine.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directors are classified into the following three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163195</wp:posOffset>
            </wp:positionV>
            <wp:extent cx="6540500" cy="9683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4050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Director Qualifications and Board Diversity</w:t>
      </w:r>
    </w:p>
    <w:p>
      <w:pPr>
        <w:spacing w:after="0" w:line="212"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Our Nominating and Corporate Governance Committee is responsible for annually reviewing the composition of the Board and assessing the appropriate skills and characteristics of our directors with a view toward ensuring that the Board is comprised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282575" cy="265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179" w:lineRule="exact"/>
        <w:rPr>
          <w:sz w:val="20"/>
          <w:szCs w:val="20"/>
          <w:color w:val="auto"/>
        </w:rPr>
      </w:pPr>
    </w:p>
    <w:p>
      <w:pPr>
        <w:ind w:left="240"/>
        <w:spacing w:after="0"/>
        <w:tabs>
          <w:tab w:leader="none" w:pos="660" w:val="left"/>
          <w:tab w:leader="none" w:pos="8700" w:val="left"/>
        </w:tabs>
        <w:rPr>
          <w:sz w:val="20"/>
          <w:szCs w:val="20"/>
          <w:color w:val="auto"/>
        </w:rPr>
      </w:pPr>
      <w:r>
        <w:rPr>
          <w:rFonts w:ascii="Arial" w:cs="Arial" w:eastAsia="Arial" w:hAnsi="Arial"/>
          <w:sz w:val="16"/>
          <w:szCs w:val="16"/>
          <w:color w:val="FFFFFF"/>
        </w:rPr>
        <w:t>12</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Proposal 1 – Election of Directors</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individuals whose particular backgrounds, skills, expertise and tenure, when taken together, provide the Board with the right mix of skills and expertise to oversee the Company’s strategy, culture and risks.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evaluating the suitability of candidates for director positions, the Nominating and Corporate Governance Committee considers whether there are evolving needs on the Board that may require expertise in a particular field. The entirety of each candidate’s credentials is evaluated, with no specific eligibility requirements or minimum qualifications. The Nominating and Corporate Governance Committee considers numerous factors, including those set forth in the skills matrix below. The skills matrix helps the Nominating and Corporate Governance Committee determine whether a candidate or a Board member possesses one or more of the skill sets and attributes set forth in the matrix that may qualify him or her for service on the Board or a particular committee. Each of our nominees and continuing directors possess valuable skills and qualifications that are not reflected in the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146050</wp:posOffset>
            </wp:positionV>
            <wp:extent cx="6309360" cy="5743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9360" cy="5743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The Nominating and Corporate Governance Committee also considers whether a director meets applicable criteria for independence and whether the individual will enhance the diversity of views and experiences available to the Board in its deliberations. If the nominee is a current director, the Nominating and Corporate Governance Committee takes into account the director’s individual contributions to the Board, the director’s ability to work collaboratively and the effectiveness of the Board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79375</wp:posOffset>
            </wp:positionV>
            <wp:extent cx="291465" cy="265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199"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Proposal 1 – Election of Directors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13</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a whole. No specific weight is assigned to any particular factor and, depending on the current needs of the Board, some factors may weigh more or less heavily.</w:t>
      </w:r>
    </w:p>
    <w:p>
      <w:pPr>
        <w:spacing w:after="0" w:line="154" w:lineRule="exact"/>
        <w:rPr>
          <w:sz w:val="20"/>
          <w:szCs w:val="20"/>
          <w:color w:val="auto"/>
        </w:rPr>
      </w:pPr>
    </w:p>
    <w:p>
      <w:pPr>
        <w:ind w:left="120" w:right="40"/>
        <w:spacing w:after="0" w:line="256" w:lineRule="auto"/>
        <w:rPr>
          <w:sz w:val="20"/>
          <w:szCs w:val="20"/>
          <w:color w:val="auto"/>
        </w:rPr>
      </w:pPr>
      <w:r>
        <w:rPr>
          <w:rFonts w:ascii="Arial" w:cs="Arial" w:eastAsia="Arial" w:hAnsi="Arial"/>
          <w:sz w:val="17"/>
          <w:szCs w:val="17"/>
          <w:color w:val="auto"/>
        </w:rPr>
        <w:t xml:space="preserve">In addition to skills and expertise, the Nominating and Corporate Governance Committee also seeks age, gender and racial and ethnic diversity among members of the Board. While the Nominating and Corporate Governance Committee and the Board do not have a written diversity policy, the Board, as a group, is expected to represent a broad diversity of backgrounds and experience. The Nominating and Corporate Governance Committee and the Board believe that considering diversity is consistent with creating a Board that best serves the Company, its stockholders and its employees and their communities, and is one of the many factors taken into account when considering Board membership. The Nominating and Corporate Governance Committee believes that our director nominees exhibit commitment to long-term value creation for our stockholders, personal and professional ethics, sound business judgment, strategic vision, leadership experience and an appreciation of different perspectives. </w:t>
      </w:r>
      <w:r>
        <w:rPr>
          <w:rFonts w:ascii="Arial" w:cs="Arial" w:eastAsia="Arial" w:hAnsi="Arial"/>
          <w:sz w:val="17"/>
          <w:szCs w:val="17"/>
          <w:i w:val="1"/>
          <w:iCs w:val="1"/>
          <w:color w:val="auto"/>
        </w:rPr>
        <w:t>The graphics below include all 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135890</wp:posOffset>
            </wp:positionV>
            <wp:extent cx="6163310" cy="5229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63310" cy="522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Director Skills, Experience and Background</w:t>
      </w:r>
    </w:p>
    <w:p>
      <w:pPr>
        <w:spacing w:after="0" w:line="212"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The following biographical information regarding each director nominee and director continuing in office is as of April 13, 2023. In addition to age and tenure as a director, it includes information about each individual’s principal occupation, professional experience, educational background and certain other experience, attributes, qualifications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282575" cy="265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194" w:lineRule="exact"/>
        <w:rPr>
          <w:sz w:val="20"/>
          <w:szCs w:val="20"/>
          <w:color w:val="auto"/>
        </w:rPr>
      </w:pPr>
    </w:p>
    <w:p>
      <w:pPr>
        <w:ind w:left="240"/>
        <w:spacing w:after="0"/>
        <w:tabs>
          <w:tab w:leader="none" w:pos="660" w:val="left"/>
          <w:tab w:leader="none" w:pos="8700" w:val="left"/>
        </w:tabs>
        <w:rPr>
          <w:sz w:val="20"/>
          <w:szCs w:val="20"/>
          <w:color w:val="auto"/>
        </w:rPr>
      </w:pPr>
      <w:r>
        <w:rPr>
          <w:rFonts w:ascii="Arial" w:cs="Arial" w:eastAsia="Arial" w:hAnsi="Arial"/>
          <w:sz w:val="16"/>
          <w:szCs w:val="16"/>
          <w:color w:val="FFFFFF"/>
        </w:rPr>
        <w:t>14</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Proposal 1 – Election of Directors</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20"/>
        <w:spacing w:after="0"/>
        <w:rPr>
          <w:sz w:val="20"/>
          <w:szCs w:val="20"/>
          <w:color w:val="auto"/>
        </w:rPr>
      </w:pPr>
      <w:r>
        <w:rPr>
          <w:rFonts w:ascii="Arial" w:cs="Arial" w:eastAsia="Arial" w:hAnsi="Arial"/>
          <w:sz w:val="22"/>
          <w:szCs w:val="22"/>
          <w:b w:val="1"/>
          <w:bCs w:val="1"/>
          <w:color w:val="FFFFFF"/>
        </w:rPr>
        <w:t>Michael T. Miller (</w:t>
      </w:r>
      <w:r>
        <w:rPr>
          <w:rFonts w:ascii="Arial" w:cs="Arial" w:eastAsia="Arial" w:hAnsi="Arial"/>
          <w:sz w:val="22"/>
          <w:szCs w:val="22"/>
          <w:b w:val="1"/>
          <w:bCs w:val="1"/>
          <w:i w:val="1"/>
          <w:iCs w:val="1"/>
          <w:color w:val="FFFFFF"/>
        </w:rPr>
        <w:t>Director Nominee</w:t>
      </w:r>
      <w:r>
        <w:rPr>
          <w:rFonts w:ascii="Arial" w:cs="Arial" w:eastAsia="Arial" w:hAnsi="Arial"/>
          <w:sz w:val="22"/>
          <w:szCs w:val="2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440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440180"/>
                    </a:xfrm>
                    <a:prstGeom prst="rect">
                      <a:avLst/>
                    </a:prstGeom>
                    <a:noFill/>
                  </pic:spPr>
                </pic:pic>
              </a:graphicData>
            </a:graphic>
          </wp:anchor>
        </w:drawing>
      </w:r>
    </w:p>
    <w:p>
      <w:pPr>
        <w:spacing w:after="0" w:line="195" w:lineRule="exact"/>
        <w:rPr>
          <w:sz w:val="20"/>
          <w:szCs w:val="20"/>
          <w:color w:val="auto"/>
        </w:rPr>
      </w:pPr>
    </w:p>
    <w:p>
      <w:pPr>
        <w:ind w:left="256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Age 58</w:t>
      </w:r>
    </w:p>
    <w:p>
      <w:pPr>
        <w:spacing w:after="0" w:line="131" w:lineRule="exact"/>
        <w:rPr>
          <w:sz w:val="20"/>
          <w:szCs w:val="20"/>
          <w:color w:val="auto"/>
        </w:rPr>
      </w:pPr>
    </w:p>
    <w:p>
      <w:pPr>
        <w:ind w:left="256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Director since 2014</w:t>
      </w:r>
    </w:p>
    <w:p>
      <w:pPr>
        <w:spacing w:after="0" w:line="131" w:lineRule="exact"/>
        <w:rPr>
          <w:sz w:val="20"/>
          <w:szCs w:val="20"/>
          <w:color w:val="auto"/>
        </w:rPr>
      </w:pPr>
    </w:p>
    <w:p>
      <w:pPr>
        <w:ind w:left="256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Class I Director – Term Expires in 2023</w:t>
      </w:r>
    </w:p>
    <w:p>
      <w:pPr>
        <w:spacing w:after="0" w:line="55" w:lineRule="exact"/>
        <w:rPr>
          <w:sz w:val="20"/>
          <w:szCs w:val="20"/>
          <w:color w:val="auto"/>
        </w:rPr>
      </w:pPr>
    </w:p>
    <w:p>
      <w:pPr>
        <w:ind w:left="2560"/>
        <w:spacing w:after="0"/>
        <w:rPr>
          <w:sz w:val="20"/>
          <w:szCs w:val="20"/>
          <w:color w:val="auto"/>
        </w:rPr>
      </w:pPr>
      <w:r>
        <w:rPr>
          <w:rFonts w:ascii="Arial" w:cs="Arial" w:eastAsia="Arial" w:hAnsi="Arial"/>
          <w:sz w:val="18"/>
          <w:szCs w:val="18"/>
          <w:color w:val="FFFFF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589280</wp:posOffset>
            </wp:positionV>
            <wp:extent cx="6995160" cy="50234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5023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Occupation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Executive Vice President – Finance (since 2000) and Chief Financial Officer (since 2013)</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Education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 in Economics and German, Wake Forest University</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Experience</w:t>
      </w:r>
    </w:p>
    <w:p>
      <w:pPr>
        <w:spacing w:after="0" w:line="239" w:lineRule="exact"/>
        <w:rPr>
          <w:sz w:val="20"/>
          <w:szCs w:val="20"/>
          <w:color w:val="auto"/>
        </w:rPr>
      </w:pPr>
    </w:p>
    <w:p>
      <w:pPr>
        <w:ind w:left="660" w:right="320" w:hanging="436"/>
        <w:spacing w:after="0" w:line="271" w:lineRule="auto"/>
        <w:tabs>
          <w:tab w:leader="none" w:pos="660" w:val="left"/>
        </w:tabs>
        <w:numPr>
          <w:ilvl w:val="0"/>
          <w:numId w:val="10"/>
        </w:numPr>
        <w:rPr>
          <w:rFonts w:ascii="MS PGothic" w:cs="MS PGothic" w:eastAsia="MS PGothic" w:hAnsi="MS PGothic"/>
          <w:sz w:val="18"/>
          <w:szCs w:val="18"/>
          <w:color w:val="002060"/>
        </w:rPr>
      </w:pPr>
      <w:r>
        <w:rPr>
          <w:rFonts w:ascii="Arial" w:cs="Arial" w:eastAsia="Arial" w:hAnsi="Arial"/>
          <w:sz w:val="18"/>
          <w:szCs w:val="18"/>
          <w:color w:val="auto"/>
        </w:rPr>
        <w:t>Senior Vice President/Managing Director, Corporate Investment Banking, Huntington Capital Corp., a subsidiary of Huntington Bancshares, Inc., a regional bank holding company</w:t>
      </w:r>
    </w:p>
    <w:p>
      <w:pPr>
        <w:spacing w:after="0" w:line="180" w:lineRule="exact"/>
        <w:rPr>
          <w:rFonts w:ascii="MS PGothic" w:cs="MS PGothic" w:eastAsia="MS PGothic" w:hAnsi="MS PGothic"/>
          <w:sz w:val="18"/>
          <w:szCs w:val="18"/>
          <w:color w:val="002060"/>
        </w:rPr>
      </w:pPr>
    </w:p>
    <w:p>
      <w:pPr>
        <w:ind w:left="660" w:right="380" w:hanging="436"/>
        <w:spacing w:after="0" w:line="271" w:lineRule="auto"/>
        <w:tabs>
          <w:tab w:leader="none" w:pos="660" w:val="left"/>
        </w:tabs>
        <w:numPr>
          <w:ilvl w:val="0"/>
          <w:numId w:val="10"/>
        </w:numPr>
        <w:rPr>
          <w:rFonts w:ascii="MS PGothic" w:cs="MS PGothic" w:eastAsia="MS PGothic" w:hAnsi="MS PGothic"/>
          <w:sz w:val="18"/>
          <w:szCs w:val="18"/>
          <w:color w:val="002060"/>
        </w:rPr>
      </w:pPr>
      <w:r>
        <w:rPr>
          <w:rFonts w:ascii="Arial" w:cs="Arial" w:eastAsia="Arial" w:hAnsi="Arial"/>
          <w:sz w:val="18"/>
          <w:szCs w:val="18"/>
          <w:color w:val="auto"/>
        </w:rPr>
        <w:t>Various positions with Deutsche Bank, Canadian Imperial Bank of Commerce and First Union National Bank, Charlotte, North Carolina</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Other Board Service</w:t>
      </w:r>
    </w:p>
    <w:p>
      <w:pPr>
        <w:spacing w:after="0" w:line="239" w:lineRule="exact"/>
        <w:rPr>
          <w:sz w:val="20"/>
          <w:szCs w:val="20"/>
          <w:color w:val="auto"/>
        </w:rPr>
      </w:pPr>
    </w:p>
    <w:p>
      <w:pPr>
        <w:ind w:left="660" w:hanging="436"/>
        <w:spacing w:after="0"/>
        <w:tabs>
          <w:tab w:leader="none" w:pos="660" w:val="left"/>
        </w:tabs>
        <w:numPr>
          <w:ilvl w:val="0"/>
          <w:numId w:val="11"/>
        </w:numPr>
        <w:rPr>
          <w:rFonts w:ascii="MS PGothic" w:cs="MS PGothic" w:eastAsia="MS PGothic" w:hAnsi="MS PGothic"/>
          <w:sz w:val="18"/>
          <w:szCs w:val="18"/>
          <w:color w:val="002060"/>
        </w:rPr>
      </w:pPr>
      <w:r>
        <w:rPr>
          <w:rFonts w:ascii="Arial" w:cs="Arial" w:eastAsia="Arial" w:hAnsi="Arial"/>
          <w:sz w:val="18"/>
          <w:szCs w:val="18"/>
          <w:color w:val="auto"/>
        </w:rPr>
        <w:t>Dana Kepner Company, LLC (February 2021-present), a private distributor of waterworks infrastructure</w:t>
      </w:r>
    </w:p>
    <w:p>
      <w:pPr>
        <w:spacing w:after="0" w:line="252" w:lineRule="exact"/>
        <w:rPr>
          <w:rFonts w:ascii="MS PGothic" w:cs="MS PGothic" w:eastAsia="MS PGothic" w:hAnsi="MS PGothic"/>
          <w:sz w:val="18"/>
          <w:szCs w:val="18"/>
          <w:color w:val="002060"/>
        </w:rPr>
      </w:pPr>
    </w:p>
    <w:p>
      <w:pPr>
        <w:ind w:left="660" w:right="660" w:hanging="436"/>
        <w:spacing w:after="0" w:line="271" w:lineRule="auto"/>
        <w:tabs>
          <w:tab w:leader="none" w:pos="660" w:val="left"/>
        </w:tabs>
        <w:numPr>
          <w:ilvl w:val="0"/>
          <w:numId w:val="11"/>
        </w:numPr>
        <w:rPr>
          <w:rFonts w:ascii="MS PGothic" w:cs="MS PGothic" w:eastAsia="MS PGothic" w:hAnsi="MS PGothic"/>
          <w:sz w:val="18"/>
          <w:szCs w:val="18"/>
          <w:color w:val="002060"/>
        </w:rPr>
      </w:pPr>
      <w:r>
        <w:rPr>
          <w:rFonts w:ascii="Arial" w:cs="Arial" w:eastAsia="Arial" w:hAnsi="Arial"/>
          <w:sz w:val="18"/>
          <w:szCs w:val="18"/>
          <w:color w:val="auto"/>
        </w:rPr>
        <w:t>BMC Stock Holdings, Inc. (2014 - January 2021), a publicly traded leader in diversified building products, member of audit committee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Qualifications</w:t>
      </w:r>
    </w:p>
    <w:p>
      <w:pPr>
        <w:spacing w:after="0" w:line="212" w:lineRule="exact"/>
        <w:rPr>
          <w:sz w:val="20"/>
          <w:szCs w:val="20"/>
          <w:color w:val="auto"/>
        </w:rPr>
      </w:pPr>
    </w:p>
    <w:p>
      <w:pPr>
        <w:ind w:left="220" w:right="220"/>
        <w:spacing w:after="0" w:line="244" w:lineRule="auto"/>
        <w:rPr>
          <w:sz w:val="20"/>
          <w:szCs w:val="20"/>
          <w:color w:val="auto"/>
        </w:rPr>
      </w:pPr>
      <w:r>
        <w:rPr>
          <w:rFonts w:ascii="Arial" w:cs="Arial" w:eastAsia="Arial" w:hAnsi="Arial"/>
          <w:sz w:val="18"/>
          <w:szCs w:val="18"/>
          <w:color w:val="auto"/>
        </w:rPr>
        <w:t>As our Chief Financial Officer and our Executive Vice President of Finance for more than 20 years, Mr. Miller brings to the Board executive leadership and extensive housing and construction, strategic and operational, capital structure, risk management and M&amp;A experience. His knowledge of financial markets and financing, in addition to his past service on the board and audit committee of a public diversified building products company, contribute to the Board skills in public company financial reporting, internal controls and public board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1049655</wp:posOffset>
            </wp:positionV>
            <wp:extent cx="291465" cy="2660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146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Proposal 1 – Election of Directors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15</w:t>
      </w:r>
    </w:p>
    <w:p>
      <w:pPr>
        <w:sectPr>
          <w:pgSz w:w="11900" w:h="16838" w:orient="portrait"/>
          <w:cols w:equalWidth="0" w:num="1">
            <w:col w:w="11000"/>
          </w:cols>
          <w:pgMar w:left="320" w:top="482" w:right="5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FFFFFF"/>
        </w:rPr>
        <w:t>Robert H. Schottenstein (</w:t>
      </w:r>
      <w:r>
        <w:rPr>
          <w:rFonts w:ascii="Arial" w:cs="Arial" w:eastAsia="Arial" w:hAnsi="Arial"/>
          <w:sz w:val="22"/>
          <w:szCs w:val="22"/>
          <w:b w:val="1"/>
          <w:bCs w:val="1"/>
          <w:i w:val="1"/>
          <w:iCs w:val="1"/>
          <w:color w:val="FFFFFF"/>
        </w:rPr>
        <w:t>Director Nominee</w:t>
      </w:r>
      <w:r>
        <w:rPr>
          <w:rFonts w:ascii="Arial" w:cs="Arial" w:eastAsia="Arial" w:hAnsi="Arial"/>
          <w:sz w:val="22"/>
          <w:szCs w:val="2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28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285875"/>
                    </a:xfrm>
                    <a:prstGeom prst="rect">
                      <a:avLst/>
                    </a:prstGeom>
                    <a:noFill/>
                  </pic:spPr>
                </pic:pic>
              </a:graphicData>
            </a:graphic>
          </wp:anchor>
        </w:drawing>
      </w:r>
    </w:p>
    <w:p>
      <w:pPr>
        <w:spacing w:after="0" w:line="195" w:lineRule="exact"/>
        <w:rPr>
          <w:sz w:val="20"/>
          <w:szCs w:val="20"/>
          <w:color w:val="auto"/>
        </w:rPr>
      </w:pPr>
    </w:p>
    <w:p>
      <w:pPr>
        <w:ind w:left="242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Age 70</w:t>
      </w:r>
    </w:p>
    <w:p>
      <w:pPr>
        <w:spacing w:after="0" w:line="131" w:lineRule="exact"/>
        <w:rPr>
          <w:sz w:val="20"/>
          <w:szCs w:val="20"/>
          <w:color w:val="auto"/>
        </w:rPr>
      </w:pPr>
    </w:p>
    <w:p>
      <w:pPr>
        <w:ind w:left="242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Independent Director since 2022</w:t>
      </w:r>
    </w:p>
    <w:p>
      <w:pPr>
        <w:spacing w:after="0" w:line="131" w:lineRule="exact"/>
        <w:rPr>
          <w:sz w:val="20"/>
          <w:szCs w:val="20"/>
          <w:color w:val="auto"/>
        </w:rPr>
      </w:pPr>
    </w:p>
    <w:p>
      <w:pPr>
        <w:ind w:left="242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Class I Director – Term Expires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601345</wp:posOffset>
            </wp:positionV>
            <wp:extent cx="6995160" cy="53917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539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Occupation</w:t>
      </w:r>
    </w:p>
    <w:p>
      <w:pPr>
        <w:spacing w:after="0" w:line="212" w:lineRule="exact"/>
        <w:rPr>
          <w:sz w:val="20"/>
          <w:szCs w:val="20"/>
          <w:color w:val="auto"/>
        </w:rPr>
      </w:pPr>
    </w:p>
    <w:p>
      <w:pPr>
        <w:ind w:left="220" w:right="280"/>
        <w:spacing w:after="0" w:line="271" w:lineRule="auto"/>
        <w:rPr>
          <w:sz w:val="20"/>
          <w:szCs w:val="20"/>
          <w:color w:val="auto"/>
        </w:rPr>
      </w:pPr>
      <w:r>
        <w:rPr>
          <w:rFonts w:ascii="Arial" w:cs="Arial" w:eastAsia="Arial" w:hAnsi="Arial"/>
          <w:sz w:val="18"/>
          <w:szCs w:val="18"/>
          <w:color w:val="auto"/>
        </w:rPr>
        <w:t>Chairman (since 2004), Chief Executive Officer (since 2004) and President (since 1996) of M/I Homes, Inc., one of the largest publicly traded home builders in the U.S.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Education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 Indiana University and J.D., Capital University Law School</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Experience</w:t>
      </w:r>
    </w:p>
    <w:p>
      <w:pPr>
        <w:sectPr>
          <w:pgSz w:w="11900" w:h="16838" w:orient="portrait"/>
          <w:cols w:equalWidth="0" w:num="1">
            <w:col w:w="11140"/>
          </w:cols>
          <w:pgMar w:left="320" w:top="482" w:right="439" w:bottom="1440" w:gutter="0" w:footer="0" w:header="0"/>
        </w:sectPr>
      </w:pPr>
    </w:p>
    <w:p>
      <w:pPr>
        <w:spacing w:after="0" w:line="23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6"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Private practice of law specializing in commercial real estate, corporate and banking transactions (1977-1989)</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Central Ohio Building Industry Association “Builder of the Year” Award 2002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“Executive of the Year” for the homebuilding industry by Builder Magazine 2008</w:t>
      </w:r>
    </w:p>
    <w:p>
      <w:pPr>
        <w:spacing w:after="0" w:line="200" w:lineRule="exact"/>
        <w:rPr>
          <w:sz w:val="20"/>
          <w:szCs w:val="20"/>
          <w:color w:val="auto"/>
        </w:rPr>
      </w:pPr>
    </w:p>
    <w:p>
      <w:pPr>
        <w:sectPr>
          <w:pgSz w:w="11900" w:h="16838" w:orient="portrait"/>
          <w:cols w:equalWidth="0" w:num="2">
            <w:col w:w="280" w:space="380"/>
            <w:col w:w="10480"/>
          </w:cols>
          <w:pgMar w:left="320" w:top="482" w:right="439" w:bottom="1440" w:gutter="0" w:footer="0" w:header="0"/>
          <w:type w:val="continuous"/>
        </w:sectPr>
      </w:pPr>
    </w:p>
    <w:p>
      <w:pPr>
        <w:spacing w:after="0" w:line="1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002060"/>
        </w:rPr>
        <w:t>Other Board Service</w:t>
      </w:r>
    </w:p>
    <w:p>
      <w:pPr>
        <w:sectPr>
          <w:pgSz w:w="11900" w:h="16838" w:orient="portrait"/>
          <w:cols w:equalWidth="0" w:num="1">
            <w:col w:w="11140"/>
          </w:cols>
          <w:pgMar w:left="320" w:top="482" w:right="439" w:bottom="1440" w:gutter="0" w:footer="0" w:header="0"/>
          <w:type w:val="continuous"/>
        </w:sectPr>
      </w:pPr>
    </w:p>
    <w:p>
      <w:pPr>
        <w:spacing w:after="0" w:line="246"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Previously served on our Board (April 2014 – March 2020)</w:t>
      </w:r>
    </w:p>
    <w:p>
      <w:pPr>
        <w:spacing w:after="0" w:line="23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L Brands, a publicly traded leading specialty retailer focused on women’s intimate and other apparel, personal care, beauty and home fragrance categories, member of Audit Committee (August 2017 – May 2022)</w:t>
      </w:r>
    </w:p>
    <w:p>
      <w:pPr>
        <w:spacing w:after="0" w:line="177" w:lineRule="exact"/>
        <w:rPr>
          <w:sz w:val="20"/>
          <w:szCs w:val="20"/>
          <w:color w:val="auto"/>
        </w:rPr>
      </w:pPr>
    </w:p>
    <w:p>
      <w:pPr>
        <w:sectPr>
          <w:pgSz w:w="11900" w:h="16838" w:orient="portrait"/>
          <w:cols w:equalWidth="0" w:num="2">
            <w:col w:w="280" w:space="380"/>
            <w:col w:w="10480"/>
          </w:cols>
          <w:pgMar w:left="320" w:top="482" w:right="439" w:bottom="1440" w:gutter="0" w:footer="0" w:header="0"/>
          <w:type w:val="continuous"/>
        </w:sect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6"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Ohio State University Wexner Medical Center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Ohio State University Foundation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Chair of The Policy Advisory Board of Harvard University’s Joint Center for Housing Studies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Pelotonia, Chair</w:t>
      </w:r>
    </w:p>
    <w:p>
      <w:pPr>
        <w:spacing w:after="0" w:line="200" w:lineRule="exact"/>
        <w:rPr>
          <w:sz w:val="20"/>
          <w:szCs w:val="20"/>
          <w:color w:val="auto"/>
        </w:rPr>
      </w:pPr>
    </w:p>
    <w:p>
      <w:pPr>
        <w:sectPr>
          <w:pgSz w:w="11900" w:h="16838" w:orient="portrait"/>
          <w:cols w:equalWidth="0" w:num="2">
            <w:col w:w="280" w:space="380"/>
            <w:col w:w="10480"/>
          </w:cols>
          <w:pgMar w:left="320" w:top="482" w:right="439" w:bottom="1440" w:gutter="0" w:footer="0" w:header="0"/>
          <w:type w:val="continuous"/>
        </w:sectPr>
      </w:pPr>
    </w:p>
    <w:p>
      <w:pPr>
        <w:spacing w:after="0" w:line="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Qualifications</w:t>
      </w:r>
    </w:p>
    <w:p>
      <w:pPr>
        <w:spacing w:after="0" w:line="212" w:lineRule="exact"/>
        <w:rPr>
          <w:sz w:val="20"/>
          <w:szCs w:val="20"/>
          <w:color w:val="auto"/>
        </w:rPr>
      </w:pPr>
    </w:p>
    <w:p>
      <w:pPr>
        <w:ind w:left="220" w:right="140"/>
        <w:spacing w:after="0" w:line="247" w:lineRule="auto"/>
        <w:rPr>
          <w:sz w:val="20"/>
          <w:szCs w:val="20"/>
          <w:color w:val="auto"/>
        </w:rPr>
      </w:pPr>
      <w:r>
        <w:rPr>
          <w:rFonts w:ascii="Arial" w:cs="Arial" w:eastAsia="Arial" w:hAnsi="Arial"/>
          <w:sz w:val="18"/>
          <w:szCs w:val="18"/>
          <w:color w:val="auto"/>
        </w:rPr>
        <w:t>Mr. Schottenstein’s more than 25 years of experience in the homebuilding industry bring to the Board expertise and valuable insight into the housing, construction and building materials industries. Mr. Schottenstein’s executive leadership, capital structure experience and service on public company boards are advantageous to the Board in exercising its strategic, operational, risk and human capital management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267970</wp:posOffset>
            </wp:positionV>
            <wp:extent cx="282575" cy="266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40"/>
        <w:spacing w:after="0"/>
        <w:tabs>
          <w:tab w:leader="none" w:pos="660" w:val="left"/>
          <w:tab w:leader="none" w:pos="8700" w:val="left"/>
        </w:tabs>
        <w:rPr>
          <w:sz w:val="20"/>
          <w:szCs w:val="20"/>
          <w:color w:val="auto"/>
        </w:rPr>
      </w:pPr>
      <w:r>
        <w:rPr>
          <w:rFonts w:ascii="Arial" w:cs="Arial" w:eastAsia="Arial" w:hAnsi="Arial"/>
          <w:sz w:val="16"/>
          <w:szCs w:val="16"/>
          <w:color w:val="FFFFFF"/>
        </w:rPr>
        <w:t>16</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Proposal 1 – Election of Directors</w:t>
      </w:r>
    </w:p>
    <w:p>
      <w:pPr>
        <w:sectPr>
          <w:pgSz w:w="11900" w:h="16838" w:orient="portrait"/>
          <w:cols w:equalWidth="0" w:num="1">
            <w:col w:w="11140"/>
          </w:cols>
          <w:pgMar w:left="320" w:top="482" w:right="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FFFFFF"/>
        </w:rPr>
        <w:t>Marchelle E. Moore (</w:t>
      </w:r>
      <w:r>
        <w:rPr>
          <w:rFonts w:ascii="Arial" w:cs="Arial" w:eastAsia="Arial" w:hAnsi="Arial"/>
          <w:sz w:val="22"/>
          <w:szCs w:val="22"/>
          <w:b w:val="1"/>
          <w:bCs w:val="1"/>
          <w:i w:val="1"/>
          <w:iCs w:val="1"/>
          <w:color w:val="FFFFFF"/>
        </w:rPr>
        <w:t>Director Nominee</w:t>
      </w:r>
      <w:r>
        <w:rPr>
          <w:rFonts w:ascii="Arial" w:cs="Arial" w:eastAsia="Arial" w:hAnsi="Arial"/>
          <w:sz w:val="22"/>
          <w:szCs w:val="2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29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294765"/>
                    </a:xfrm>
                    <a:prstGeom prst="rect">
                      <a:avLst/>
                    </a:prstGeom>
                    <a:noFill/>
                  </pic:spPr>
                </pic:pic>
              </a:graphicData>
            </a:graphic>
          </wp:anchor>
        </w:drawing>
      </w:r>
    </w:p>
    <w:p>
      <w:pPr>
        <w:spacing w:after="0" w:line="195" w:lineRule="exact"/>
        <w:rPr>
          <w:sz w:val="20"/>
          <w:szCs w:val="20"/>
          <w:color w:val="auto"/>
        </w:rPr>
      </w:pPr>
    </w:p>
    <w:p>
      <w:pPr>
        <w:ind w:left="252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Age 50</w:t>
      </w:r>
    </w:p>
    <w:p>
      <w:pPr>
        <w:spacing w:after="0" w:line="131" w:lineRule="exact"/>
        <w:rPr>
          <w:sz w:val="20"/>
          <w:szCs w:val="20"/>
          <w:color w:val="auto"/>
        </w:rPr>
      </w:pPr>
    </w:p>
    <w:p>
      <w:pPr>
        <w:ind w:left="252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Class I Independent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824230</wp:posOffset>
            </wp:positionV>
            <wp:extent cx="6995160" cy="52120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5212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Occupation</w:t>
      </w:r>
    </w:p>
    <w:p>
      <w:pPr>
        <w:spacing w:after="0" w:line="212" w:lineRule="exact"/>
        <w:rPr>
          <w:sz w:val="20"/>
          <w:szCs w:val="20"/>
          <w:color w:val="auto"/>
        </w:rPr>
      </w:pPr>
    </w:p>
    <w:p>
      <w:pPr>
        <w:jc w:val="both"/>
        <w:ind w:left="220" w:right="100"/>
        <w:spacing w:after="0" w:line="253" w:lineRule="auto"/>
        <w:rPr>
          <w:sz w:val="20"/>
          <w:szCs w:val="20"/>
          <w:color w:val="auto"/>
        </w:rPr>
      </w:pPr>
      <w:r>
        <w:rPr>
          <w:rFonts w:ascii="Arial" w:cs="Arial" w:eastAsia="Arial" w:hAnsi="Arial"/>
          <w:sz w:val="18"/>
          <w:szCs w:val="18"/>
          <w:color w:val="auto"/>
        </w:rPr>
        <w:t>Senior Vice President, External Affairs and Chief Diversity Officer of Encova Mutual Insurance Group, Inc., a mutual insurance holding company providing a comprehensive range of insurance products (December 2022- present), and President of the Encova Foundation of Ohio, its affiliated philanthropic foundation (December 2022-present)</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Education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 in English, The Ohio State University and J.D., The Ohio State University Moritz College of Law</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Experience</w:t>
      </w:r>
    </w:p>
    <w:p>
      <w:pPr>
        <w:spacing w:after="0" w:line="239" w:lineRule="exact"/>
        <w:rPr>
          <w:sz w:val="20"/>
          <w:szCs w:val="20"/>
          <w:color w:val="auto"/>
        </w:rPr>
      </w:pPr>
    </w:p>
    <w:p>
      <w:pPr>
        <w:ind w:left="660" w:right="880" w:hanging="436"/>
        <w:spacing w:after="0" w:line="271" w:lineRule="auto"/>
        <w:tabs>
          <w:tab w:leader="none" w:pos="660" w:val="left"/>
        </w:tabs>
        <w:numPr>
          <w:ilvl w:val="0"/>
          <w:numId w:val="12"/>
        </w:numPr>
        <w:rPr>
          <w:rFonts w:ascii="MS PGothic" w:cs="MS PGothic" w:eastAsia="MS PGothic" w:hAnsi="MS PGothic"/>
          <w:sz w:val="18"/>
          <w:szCs w:val="18"/>
          <w:color w:val="002060"/>
          <w:vertAlign w:val="superscript"/>
        </w:rPr>
      </w:pPr>
      <w:r>
        <w:rPr>
          <w:rFonts w:ascii="Arial" w:cs="Arial" w:eastAsia="Arial" w:hAnsi="Arial"/>
          <w:sz w:val="18"/>
          <w:szCs w:val="18"/>
          <w:color w:val="auto"/>
        </w:rPr>
        <w:t>Senior Vice President, Chief Legal Officer &amp; Corporate Secretary, Encova Mutual Insurance Group, Inc. (October 2017-December 2022)</w:t>
      </w:r>
    </w:p>
    <w:p>
      <w:pPr>
        <w:spacing w:after="0" w:line="180" w:lineRule="exact"/>
        <w:rPr>
          <w:rFonts w:ascii="MS PGothic" w:cs="MS PGothic" w:eastAsia="MS PGothic" w:hAnsi="MS PGothic"/>
          <w:sz w:val="18"/>
          <w:szCs w:val="18"/>
          <w:color w:val="002060"/>
          <w:vertAlign w:val="superscript"/>
        </w:rPr>
      </w:pPr>
    </w:p>
    <w:p>
      <w:pPr>
        <w:ind w:left="660" w:right="740" w:hanging="436"/>
        <w:spacing w:after="0" w:line="271" w:lineRule="auto"/>
        <w:tabs>
          <w:tab w:leader="none" w:pos="660" w:val="left"/>
        </w:tabs>
        <w:numPr>
          <w:ilvl w:val="0"/>
          <w:numId w:val="12"/>
        </w:numPr>
        <w:rPr>
          <w:rFonts w:ascii="MS PGothic" w:cs="MS PGothic" w:eastAsia="MS PGothic" w:hAnsi="MS PGothic"/>
          <w:sz w:val="18"/>
          <w:szCs w:val="18"/>
          <w:color w:val="002060"/>
          <w:vertAlign w:val="superscript"/>
        </w:rPr>
      </w:pPr>
      <w:r>
        <w:rPr>
          <w:rFonts w:ascii="Arial" w:cs="Arial" w:eastAsia="Arial" w:hAnsi="Arial"/>
          <w:sz w:val="18"/>
          <w:szCs w:val="18"/>
          <w:color w:val="auto"/>
        </w:rPr>
        <w:t>Senior Vice President, Chief Legal Officer &amp; General Counsel, Motorists Insurance Group (now known as Encova Mutual Insurance Group, Inc.) (November 2015-October 2017)</w:t>
      </w:r>
    </w:p>
    <w:p>
      <w:pPr>
        <w:sectPr>
          <w:pgSz w:w="11900" w:h="16838" w:orient="portrait"/>
          <w:cols w:equalWidth="0" w:num="1">
            <w:col w:w="11000"/>
          </w:cols>
          <w:pgMar w:left="320" w:top="482" w:right="579" w:bottom="1440" w:gutter="0" w:footer="0" w:header="0"/>
        </w:sectPr>
      </w:pPr>
    </w:p>
    <w:p>
      <w:pPr>
        <w:spacing w:after="0" w:line="177"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of Legal and Government Affairs and General Counsel, Central Ohio Transit Authority (May 2011-October 2015)</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Interim Vice President of Human Resources and Labor Relations, Central Ohio Transit Authority (May 2009-May 2011)</w:t>
      </w:r>
    </w:p>
    <w:p>
      <w:pPr>
        <w:spacing w:after="0" w:line="200" w:lineRule="exact"/>
        <w:rPr>
          <w:sz w:val="20"/>
          <w:szCs w:val="20"/>
          <w:color w:val="auto"/>
        </w:rPr>
      </w:pPr>
    </w:p>
    <w:p>
      <w:pPr>
        <w:sectPr>
          <w:pgSz w:w="11900" w:h="16838" w:orient="portrait"/>
          <w:cols w:equalWidth="0" w:num="2">
            <w:col w:w="280" w:space="380"/>
            <w:col w:w="10340"/>
          </w:cols>
          <w:pgMar w:left="320" w:top="482" w:right="579" w:bottom="1440" w:gutter="0" w:footer="0" w:header="0"/>
          <w:type w:val="continuous"/>
        </w:sectPr>
      </w:pPr>
    </w:p>
    <w:p>
      <w:pPr>
        <w:spacing w:after="0" w:line="1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002060"/>
        </w:rPr>
        <w:t>Other Board Service</w:t>
      </w:r>
    </w:p>
    <w:p>
      <w:pPr>
        <w:sectPr>
          <w:pgSz w:w="11900" w:h="16838" w:orient="portrait"/>
          <w:cols w:equalWidth="0" w:num="1">
            <w:col w:w="11000"/>
          </w:cols>
          <w:pgMar w:left="320" w:top="482" w:right="579" w:bottom="1440" w:gutter="0" w:footer="0" w:header="0"/>
          <w:type w:val="continuous"/>
        </w:sectPr>
      </w:pPr>
    </w:p>
    <w:p>
      <w:pPr>
        <w:spacing w:after="0" w:line="246"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6"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Columbus Foundation/Community Foundations, Inc. (January 2021-present), non-profit community foundation</w:t>
      </w:r>
    </w:p>
    <w:p>
      <w:pPr>
        <w:spacing w:after="0" w:line="239"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Encova Foundation of Ohio (formerly The Motorists Insurance Companies Foundation) (April 2018-present); president (December 2022-present), non-profit corporate foundation</w:t>
      </w:r>
    </w:p>
    <w:p>
      <w:pPr>
        <w:spacing w:after="0" w:line="181" w:lineRule="exact"/>
        <w:rPr>
          <w:sz w:val="20"/>
          <w:szCs w:val="20"/>
          <w:color w:val="auto"/>
        </w:rPr>
      </w:pPr>
    </w:p>
    <w:p>
      <w:pPr>
        <w:sectPr>
          <w:pgSz w:w="11900" w:h="16838" w:orient="portrait"/>
          <w:cols w:equalWidth="0" w:num="2">
            <w:col w:w="280" w:space="380"/>
            <w:col w:w="10340"/>
          </w:cols>
          <w:pgMar w:left="320" w:top="482" w:right="579" w:bottom="1440" w:gutter="0" w:footer="0" w:header="0"/>
          <w:type w:val="continuous"/>
        </w:sectPr>
      </w:pPr>
    </w:p>
    <w:p>
      <w:pPr>
        <w:ind w:left="660" w:hanging="436"/>
        <w:spacing w:after="0"/>
        <w:tabs>
          <w:tab w:leader="none" w:pos="660" w:val="left"/>
        </w:tabs>
        <w:numPr>
          <w:ilvl w:val="0"/>
          <w:numId w:val="13"/>
        </w:numPr>
        <w:rPr>
          <w:rFonts w:ascii="MS PGothic" w:cs="MS PGothic" w:eastAsia="MS PGothic" w:hAnsi="MS PGothic"/>
          <w:sz w:val="18"/>
          <w:szCs w:val="18"/>
          <w:color w:val="002060"/>
          <w:vertAlign w:val="superscript"/>
        </w:rPr>
      </w:pPr>
      <w:r>
        <w:rPr>
          <w:rFonts w:ascii="Arial" w:cs="Arial" w:eastAsia="Arial" w:hAnsi="Arial"/>
          <w:sz w:val="18"/>
          <w:szCs w:val="18"/>
          <w:color w:val="auto"/>
        </w:rPr>
        <w:t>CampusParc Management, Inc./OSU Management GP, Inc. (2017-July 2021), corporation created to manage parking system</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Qualifications</w:t>
      </w:r>
    </w:p>
    <w:p>
      <w:pPr>
        <w:spacing w:after="0" w:line="212" w:lineRule="exact"/>
        <w:rPr>
          <w:sz w:val="20"/>
          <w:szCs w:val="20"/>
          <w:color w:val="auto"/>
        </w:rPr>
      </w:pPr>
    </w:p>
    <w:p>
      <w:pPr>
        <w:jc w:val="both"/>
        <w:ind w:left="220" w:right="240"/>
        <w:spacing w:after="0" w:line="247" w:lineRule="auto"/>
        <w:rPr>
          <w:sz w:val="20"/>
          <w:szCs w:val="20"/>
          <w:color w:val="auto"/>
        </w:rPr>
      </w:pPr>
      <w:r>
        <w:rPr>
          <w:rFonts w:ascii="Arial" w:cs="Arial" w:eastAsia="Arial" w:hAnsi="Arial"/>
          <w:sz w:val="18"/>
          <w:szCs w:val="18"/>
          <w:color w:val="auto"/>
        </w:rPr>
        <w:t>Ms. Moore’s executive leadership and general counsel experience in the insurance and public transportation industries bring to the Board mergers and acquisitions, corporate governance, risk management and strategic and operational skills. Ms. Moore’s roles as Chief Diversity Officer and Interim Vice President of Human Resources and her service on charitable boards provide valuable insight on community engagement, charitable giving, human capital management and 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267970</wp:posOffset>
            </wp:positionV>
            <wp:extent cx="291465" cy="266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91465" cy="26606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Proposal 1 – Election of Directors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17</w:t>
      </w:r>
    </w:p>
    <w:p>
      <w:pPr>
        <w:sectPr>
          <w:pgSz w:w="11900" w:h="16838" w:orient="portrait"/>
          <w:cols w:equalWidth="0" w:num="1">
            <w:col w:w="11000"/>
          </w:cols>
          <w:pgMar w:left="320" w:top="482" w:right="5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40"/>
        <w:spacing w:after="0"/>
        <w:rPr>
          <w:sz w:val="20"/>
          <w:szCs w:val="20"/>
          <w:color w:val="auto"/>
        </w:rPr>
      </w:pPr>
      <w:r>
        <w:rPr>
          <w:rFonts w:ascii="Arial" w:cs="Arial" w:eastAsia="Arial" w:hAnsi="Arial"/>
          <w:sz w:val="22"/>
          <w:szCs w:val="22"/>
          <w:b w:val="1"/>
          <w:bCs w:val="1"/>
          <w:color w:val="FFFFFF"/>
        </w:rPr>
        <w:t>Margot L. Carter (</w:t>
      </w:r>
      <w:r>
        <w:rPr>
          <w:rFonts w:ascii="Arial" w:cs="Arial" w:eastAsia="Arial" w:hAnsi="Arial"/>
          <w:sz w:val="22"/>
          <w:szCs w:val="22"/>
          <w:b w:val="1"/>
          <w:bCs w:val="1"/>
          <w:i w:val="1"/>
          <w:iCs w:val="1"/>
          <w:color w:val="FFFFFF"/>
        </w:rPr>
        <w:t>Continuing Director</w:t>
      </w:r>
      <w:r>
        <w:rPr>
          <w:rFonts w:ascii="Arial" w:cs="Arial" w:eastAsia="Arial" w:hAnsi="Arial"/>
          <w:sz w:val="22"/>
          <w:szCs w:val="2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-142240</wp:posOffset>
            </wp:positionV>
            <wp:extent cx="6995160" cy="128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285875"/>
                    </a:xfrm>
                    <a:prstGeom prst="rect">
                      <a:avLst/>
                    </a:prstGeom>
                    <a:noFill/>
                  </pic:spPr>
                </pic:pic>
              </a:graphicData>
            </a:graphic>
          </wp:anchor>
        </w:drawing>
      </w:r>
    </w:p>
    <w:p>
      <w:pPr>
        <w:spacing w:after="0" w:line="195" w:lineRule="exact"/>
        <w:rPr>
          <w:sz w:val="20"/>
          <w:szCs w:val="20"/>
          <w:color w:val="auto"/>
        </w:rPr>
      </w:pPr>
    </w:p>
    <w:p>
      <w:pPr>
        <w:ind w:left="238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Age 55</w:t>
      </w:r>
    </w:p>
    <w:p>
      <w:pPr>
        <w:spacing w:after="0" w:line="131" w:lineRule="exact"/>
        <w:rPr>
          <w:sz w:val="20"/>
          <w:szCs w:val="20"/>
          <w:color w:val="auto"/>
        </w:rPr>
      </w:pPr>
    </w:p>
    <w:p>
      <w:pPr>
        <w:ind w:left="238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Presiding Independent Director since 2014</w:t>
      </w:r>
    </w:p>
    <w:p>
      <w:pPr>
        <w:spacing w:after="0" w:line="131" w:lineRule="exact"/>
        <w:rPr>
          <w:sz w:val="20"/>
          <w:szCs w:val="20"/>
          <w:color w:val="auto"/>
        </w:rPr>
      </w:pPr>
    </w:p>
    <w:p>
      <w:pPr>
        <w:ind w:left="238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Class II Director – Term Expires in 2024</w:t>
      </w:r>
    </w:p>
    <w:p>
      <w:pPr>
        <w:spacing w:after="0" w:line="131" w:lineRule="exact"/>
        <w:rPr>
          <w:sz w:val="20"/>
          <w:szCs w:val="20"/>
          <w:color w:val="auto"/>
        </w:rPr>
      </w:pPr>
    </w:p>
    <w:p>
      <w:pPr>
        <w:ind w:left="238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Audit Committee Member, Nominating and Corporate Governance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387350</wp:posOffset>
            </wp:positionV>
            <wp:extent cx="6995160" cy="45434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454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Occupation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President and Founder, Living Mountain Capital L.L.C., a business advisory consulting firm (1998–present)</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Education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 in Economics and History, Binghamton University and J.D., Fordham University School of Law</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Experience</w:t>
      </w:r>
    </w:p>
    <w:p>
      <w:pPr>
        <w:spacing w:after="0" w:line="239" w:lineRule="exact"/>
        <w:rPr>
          <w:sz w:val="20"/>
          <w:szCs w:val="20"/>
          <w:color w:val="auto"/>
        </w:rPr>
      </w:pPr>
    </w:p>
    <w:p>
      <w:pPr>
        <w:ind w:left="660" w:right="880" w:hanging="436"/>
        <w:spacing w:after="0" w:line="271" w:lineRule="auto"/>
        <w:tabs>
          <w:tab w:leader="none" w:pos="660" w:val="left"/>
        </w:tabs>
        <w:numPr>
          <w:ilvl w:val="0"/>
          <w:numId w:val="14"/>
        </w:numPr>
        <w:rPr>
          <w:rFonts w:ascii="MS PGothic" w:cs="MS PGothic" w:eastAsia="MS PGothic" w:hAnsi="MS PGothic"/>
          <w:sz w:val="18"/>
          <w:szCs w:val="18"/>
          <w:color w:val="002060"/>
          <w:vertAlign w:val="superscript"/>
        </w:rPr>
      </w:pPr>
      <w:r>
        <w:rPr>
          <w:rFonts w:ascii="Arial" w:cs="Arial" w:eastAsia="Arial" w:hAnsi="Arial"/>
          <w:sz w:val="18"/>
          <w:szCs w:val="18"/>
          <w:color w:val="auto"/>
        </w:rPr>
        <w:t>Executive Vice President, Chief Legal Officer and Secretary, RealPage, Inc., a leading global software and data analytics company for the real estate industry</w:t>
      </w:r>
    </w:p>
    <w:p>
      <w:pPr>
        <w:sectPr>
          <w:pgSz w:w="11900" w:h="16838" w:orient="portrait"/>
          <w:cols w:equalWidth="0" w:num="1">
            <w:col w:w="11140"/>
          </w:cols>
          <w:pgMar w:left="320" w:top="482" w:right="439" w:bottom="1440" w:gutter="0" w:footer="0" w:header="0"/>
        </w:sectPr>
      </w:pPr>
    </w:p>
    <w:p>
      <w:pPr>
        <w:spacing w:after="0" w:line="177"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General Counsel, The Princeton Review, Inc.</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General Counsel and Managing Director, Soundview Technology Group, Inc.</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Assistant General Counsel, Cantor Fitzgerald and eSpeed, Inc.</w:t>
      </w:r>
    </w:p>
    <w:p>
      <w:pPr>
        <w:spacing w:after="0" w:line="200" w:lineRule="exact"/>
        <w:rPr>
          <w:sz w:val="20"/>
          <w:szCs w:val="20"/>
          <w:color w:val="auto"/>
        </w:rPr>
      </w:pPr>
    </w:p>
    <w:p>
      <w:pPr>
        <w:sectPr>
          <w:pgSz w:w="11900" w:h="16838" w:orient="portrait"/>
          <w:cols w:equalWidth="0" w:num="2">
            <w:col w:w="280" w:space="380"/>
            <w:col w:w="10480"/>
          </w:cols>
          <w:pgMar w:left="320" w:top="482" w:right="439" w:bottom="1440" w:gutter="0" w:footer="0" w:header="0"/>
          <w:type w:val="continuous"/>
        </w:sectPr>
      </w:pPr>
    </w:p>
    <w:p>
      <w:pPr>
        <w:spacing w:after="0" w:line="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Other Board Service</w:t>
      </w:r>
    </w:p>
    <w:p>
      <w:pPr>
        <w:spacing w:after="0" w:line="239" w:lineRule="exact"/>
        <w:rPr>
          <w:sz w:val="20"/>
          <w:szCs w:val="20"/>
          <w:color w:val="auto"/>
        </w:rPr>
      </w:pPr>
    </w:p>
    <w:p>
      <w:pPr>
        <w:ind w:left="660" w:right="720" w:hanging="436"/>
        <w:spacing w:after="0" w:line="271" w:lineRule="auto"/>
        <w:tabs>
          <w:tab w:leader="none" w:pos="660" w:val="left"/>
        </w:tabs>
        <w:numPr>
          <w:ilvl w:val="0"/>
          <w:numId w:val="15"/>
        </w:numPr>
        <w:rPr>
          <w:rFonts w:ascii="MS PGothic" w:cs="MS PGothic" w:eastAsia="MS PGothic" w:hAnsi="MS PGothic"/>
          <w:sz w:val="18"/>
          <w:szCs w:val="18"/>
          <w:color w:val="002060"/>
          <w:vertAlign w:val="superscript"/>
        </w:rPr>
      </w:pPr>
      <w:r>
        <w:rPr>
          <w:rFonts w:ascii="Arial" w:cs="Arial" w:eastAsia="Arial" w:hAnsi="Arial"/>
          <w:sz w:val="18"/>
          <w:szCs w:val="18"/>
          <w:color w:val="auto"/>
        </w:rPr>
        <w:t>Eagle Materials, Inc. (2017–present), a publicly traded leading provider of building materials, member of compensation and corporate governance and nominating committees. Served on audit committee 2017-2019.</w:t>
      </w:r>
    </w:p>
    <w:p>
      <w:pPr>
        <w:spacing w:after="0" w:line="180" w:lineRule="exact"/>
        <w:rPr>
          <w:rFonts w:ascii="MS PGothic" w:cs="MS PGothic" w:eastAsia="MS PGothic" w:hAnsi="MS PGothic"/>
          <w:sz w:val="18"/>
          <w:szCs w:val="18"/>
          <w:color w:val="002060"/>
          <w:vertAlign w:val="superscript"/>
        </w:rPr>
      </w:pPr>
    </w:p>
    <w:p>
      <w:pPr>
        <w:ind w:left="660" w:hanging="436"/>
        <w:spacing w:after="0"/>
        <w:tabs>
          <w:tab w:leader="none" w:pos="660" w:val="left"/>
        </w:tabs>
        <w:numPr>
          <w:ilvl w:val="0"/>
          <w:numId w:val="15"/>
        </w:numPr>
        <w:rPr>
          <w:rFonts w:ascii="MS PGothic" w:cs="MS PGothic" w:eastAsia="MS PGothic" w:hAnsi="MS PGothic"/>
          <w:sz w:val="18"/>
          <w:szCs w:val="18"/>
          <w:color w:val="002060"/>
          <w:vertAlign w:val="superscript"/>
        </w:rPr>
      </w:pPr>
      <w:r>
        <w:rPr>
          <w:rFonts w:ascii="Arial" w:cs="Arial" w:eastAsia="Arial" w:hAnsi="Arial"/>
          <w:sz w:val="18"/>
          <w:szCs w:val="18"/>
          <w:color w:val="auto"/>
        </w:rPr>
        <w:t>North Texas Chapter of National Association of Corporate Directors (2016–present), Chair (July 2022-present)</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Qualifications</w:t>
      </w:r>
    </w:p>
    <w:p>
      <w:pPr>
        <w:spacing w:after="0" w:line="212" w:lineRule="exact"/>
        <w:rPr>
          <w:sz w:val="20"/>
          <w:szCs w:val="20"/>
          <w:color w:val="auto"/>
        </w:rPr>
      </w:pPr>
    </w:p>
    <w:p>
      <w:pPr>
        <w:ind w:left="220" w:right="300"/>
        <w:spacing w:after="0" w:line="247" w:lineRule="auto"/>
        <w:rPr>
          <w:sz w:val="20"/>
          <w:szCs w:val="20"/>
          <w:color w:val="auto"/>
        </w:rPr>
      </w:pPr>
      <w:r>
        <w:rPr>
          <w:rFonts w:ascii="Arial" w:cs="Arial" w:eastAsia="Arial" w:hAnsi="Arial"/>
          <w:sz w:val="18"/>
          <w:szCs w:val="18"/>
          <w:color w:val="auto"/>
        </w:rPr>
        <w:t>Ms. Carter’s experience in the technology, real estate and construction industries and her service as a director of a public company in the building materials industry bring to the Board knowledge of the housing and construction industries, corporate governance and technology and cybersecurity. Her experience as general counsel and service on board committees give her insight into the dynamics of a corporate board, risk oversight and human capital and environmental, social and governance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267970</wp:posOffset>
            </wp:positionV>
            <wp:extent cx="282575" cy="265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40"/>
        <w:spacing w:after="0"/>
        <w:tabs>
          <w:tab w:leader="none" w:pos="660" w:val="left"/>
          <w:tab w:leader="none" w:pos="8700" w:val="left"/>
        </w:tabs>
        <w:rPr>
          <w:sz w:val="20"/>
          <w:szCs w:val="20"/>
          <w:color w:val="auto"/>
        </w:rPr>
      </w:pPr>
      <w:r>
        <w:rPr>
          <w:rFonts w:ascii="Arial" w:cs="Arial" w:eastAsia="Arial" w:hAnsi="Arial"/>
          <w:sz w:val="16"/>
          <w:szCs w:val="16"/>
          <w:color w:val="FFFFFF"/>
        </w:rPr>
        <w:t>18</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Proposal 1 – Election of Directors</w:t>
      </w:r>
    </w:p>
    <w:p>
      <w:pPr>
        <w:sectPr>
          <w:pgSz w:w="11900" w:h="16838" w:orient="portrait"/>
          <w:cols w:equalWidth="0" w:num="1">
            <w:col w:w="11140"/>
          </w:cols>
          <w:pgMar w:left="320" w:top="482" w:right="4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FFFFFF"/>
        </w:rPr>
        <w:t>David R. Meuse (</w:t>
      </w:r>
      <w:r>
        <w:rPr>
          <w:rFonts w:ascii="Arial" w:cs="Arial" w:eastAsia="Arial" w:hAnsi="Arial"/>
          <w:sz w:val="22"/>
          <w:szCs w:val="22"/>
          <w:b w:val="1"/>
          <w:bCs w:val="1"/>
          <w:i w:val="1"/>
          <w:iCs w:val="1"/>
          <w:color w:val="FFFFFF"/>
        </w:rPr>
        <w:t>Continuing Director</w:t>
      </w:r>
      <w:r>
        <w:rPr>
          <w:rFonts w:ascii="Arial" w:cs="Arial" w:eastAsia="Arial" w:hAnsi="Arial"/>
          <w:sz w:val="22"/>
          <w:szCs w:val="2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28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285875"/>
                    </a:xfrm>
                    <a:prstGeom prst="rect">
                      <a:avLst/>
                    </a:prstGeom>
                    <a:noFill/>
                  </pic:spPr>
                </pic:pic>
              </a:graphicData>
            </a:graphic>
          </wp:anchor>
        </w:drawing>
      </w:r>
    </w:p>
    <w:p>
      <w:pPr>
        <w:spacing w:after="0" w:line="195" w:lineRule="exact"/>
        <w:rPr>
          <w:sz w:val="20"/>
          <w:szCs w:val="20"/>
          <w:color w:val="auto"/>
        </w:rPr>
      </w:pPr>
    </w:p>
    <w:p>
      <w:pPr>
        <w:ind w:left="242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Age 77</w:t>
      </w:r>
    </w:p>
    <w:p>
      <w:pPr>
        <w:spacing w:after="0" w:line="131" w:lineRule="exact"/>
        <w:rPr>
          <w:sz w:val="20"/>
          <w:szCs w:val="20"/>
          <w:color w:val="auto"/>
        </w:rPr>
      </w:pPr>
    </w:p>
    <w:p>
      <w:pPr>
        <w:ind w:left="242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Independent Director since 2020</w:t>
      </w:r>
    </w:p>
    <w:p>
      <w:pPr>
        <w:spacing w:after="0" w:line="131" w:lineRule="exact"/>
        <w:rPr>
          <w:sz w:val="20"/>
          <w:szCs w:val="20"/>
          <w:color w:val="auto"/>
        </w:rPr>
      </w:pPr>
    </w:p>
    <w:p>
      <w:pPr>
        <w:ind w:left="242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Class II Director – Term Expires in 2024</w:t>
      </w:r>
    </w:p>
    <w:p>
      <w:pPr>
        <w:spacing w:after="0" w:line="131" w:lineRule="exact"/>
        <w:rPr>
          <w:sz w:val="20"/>
          <w:szCs w:val="20"/>
          <w:color w:val="auto"/>
        </w:rPr>
      </w:pPr>
    </w:p>
    <w:p>
      <w:pPr>
        <w:ind w:left="242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Compensation and Human Capital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387350</wp:posOffset>
            </wp:positionV>
            <wp:extent cx="6995160" cy="4928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4928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Occupation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Senior Advisor of Stonehenge Partners, Inc., a privately held provider of financial and advisory resources (2018–present)</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Education</w:t>
      </w:r>
    </w:p>
    <w:p>
      <w:pPr>
        <w:spacing w:after="0" w:line="212" w:lineRule="exact"/>
        <w:rPr>
          <w:sz w:val="20"/>
          <w:szCs w:val="20"/>
          <w:color w:val="auto"/>
        </w:rPr>
      </w:pPr>
    </w:p>
    <w:p>
      <w:pPr>
        <w:ind w:left="220" w:right="200"/>
        <w:spacing w:after="0" w:line="271" w:lineRule="auto"/>
        <w:rPr>
          <w:sz w:val="20"/>
          <w:szCs w:val="20"/>
          <w:color w:val="auto"/>
        </w:rPr>
      </w:pPr>
      <w:r>
        <w:rPr>
          <w:rFonts w:ascii="Arial" w:cs="Arial" w:eastAsia="Arial" w:hAnsi="Arial"/>
          <w:sz w:val="18"/>
          <w:szCs w:val="18"/>
          <w:color w:val="auto"/>
        </w:rPr>
        <w:t>B.A. in Political Science and Philosophy, John Carroll University; attended Cleveland Marshall College of Law and Securities Industry Institute, Wharton School of Business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Experience</w:t>
      </w:r>
    </w:p>
    <w:p>
      <w:pPr>
        <w:sectPr>
          <w:pgSz w:w="11900" w:h="16838" w:orient="portrait"/>
          <w:cols w:equalWidth="0" w:num="1">
            <w:col w:w="11000"/>
          </w:cols>
          <w:pgMar w:left="320" w:top="482" w:right="579" w:bottom="1440" w:gutter="0" w:footer="0" w:header="0"/>
        </w:sectPr>
      </w:pPr>
    </w:p>
    <w:p>
      <w:pPr>
        <w:spacing w:after="0" w:line="23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Principal of Stonehenge Partners, Inc. (1999-July 2018)</w:t>
      </w:r>
    </w:p>
    <w:p>
      <w:pPr>
        <w:spacing w:after="0" w:line="23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Chairman and Chief Executive Officer, Banc One Capital Holdings Corporation, a holding company for the investment banking, merchant banking, securities brokerage, investment advisory and insurance activities of Bank One Corporation</w:t>
      </w:r>
    </w:p>
    <w:p>
      <w:pPr>
        <w:spacing w:after="0" w:line="177" w:lineRule="exact"/>
        <w:rPr>
          <w:sz w:val="20"/>
          <w:szCs w:val="20"/>
          <w:color w:val="auto"/>
        </w:rPr>
      </w:pPr>
    </w:p>
    <w:p>
      <w:pPr>
        <w:sectPr>
          <w:pgSz w:w="11900" w:h="16838" w:orient="portrait"/>
          <w:cols w:equalWidth="0" w:num="2">
            <w:col w:w="280" w:space="380"/>
            <w:col w:w="10340"/>
          </w:cols>
          <w:pgMar w:left="320" w:top="482" w:right="579" w:bottom="1440" w:gutter="0" w:footer="0" w:header="0"/>
          <w:type w:val="continuous"/>
        </w:sect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Chairman and Chief Executive Officer, Meuse, Rinker, Chapman, Endres &amp; Brooks, a regional investment banking firm</w:t>
      </w:r>
    </w:p>
    <w:p>
      <w:pPr>
        <w:spacing w:after="0" w:line="250" w:lineRule="exact"/>
        <w:rPr>
          <w:sz w:val="20"/>
          <w:szCs w:val="20"/>
          <w:color w:val="auto"/>
        </w:rPr>
      </w:pPr>
    </w:p>
    <w:p>
      <w:pPr>
        <w:ind w:right="1060"/>
        <w:spacing w:after="0" w:line="271" w:lineRule="auto"/>
        <w:rPr>
          <w:sz w:val="20"/>
          <w:szCs w:val="20"/>
          <w:color w:val="auto"/>
        </w:rPr>
      </w:pPr>
      <w:r>
        <w:rPr>
          <w:rFonts w:ascii="Arial" w:cs="Arial" w:eastAsia="Arial" w:hAnsi="Arial"/>
          <w:sz w:val="18"/>
          <w:szCs w:val="18"/>
          <w:color w:val="auto"/>
        </w:rPr>
        <w:t>Chairman of Diamond Hill Investment Group, Inc., a publicly traded company providing investment advisory and fund administration services</w:t>
      </w:r>
    </w:p>
    <w:p>
      <w:pPr>
        <w:spacing w:after="0" w:line="154" w:lineRule="exact"/>
        <w:rPr>
          <w:sz w:val="20"/>
          <w:szCs w:val="20"/>
          <w:color w:val="auto"/>
        </w:rPr>
      </w:pPr>
    </w:p>
    <w:p>
      <w:pPr>
        <w:sectPr>
          <w:pgSz w:w="11900" w:h="16838" w:orient="portrait"/>
          <w:cols w:equalWidth="0" w:num="2">
            <w:col w:w="280" w:space="380"/>
            <w:col w:w="10340"/>
          </w:cols>
          <w:pgMar w:left="320" w:top="482" w:right="579" w:bottom="1440" w:gutter="0" w:footer="0" w:header="0"/>
          <w:type w:val="continuous"/>
        </w:sectPr>
      </w:pPr>
    </w:p>
    <w:p>
      <w:pPr>
        <w:ind w:left="220"/>
        <w:spacing w:after="0"/>
        <w:rPr>
          <w:sz w:val="20"/>
          <w:szCs w:val="20"/>
          <w:color w:val="auto"/>
        </w:rPr>
      </w:pPr>
      <w:r>
        <w:rPr>
          <w:rFonts w:ascii="Arial" w:cs="Arial" w:eastAsia="Arial" w:hAnsi="Arial"/>
          <w:sz w:val="18"/>
          <w:szCs w:val="18"/>
          <w:b w:val="1"/>
          <w:bCs w:val="1"/>
          <w:color w:val="002060"/>
        </w:rPr>
        <w:t>Other Board Service</w:t>
      </w:r>
    </w:p>
    <w:p>
      <w:pPr>
        <w:spacing w:after="0" w:line="239" w:lineRule="exact"/>
        <w:rPr>
          <w:sz w:val="20"/>
          <w:szCs w:val="20"/>
          <w:color w:val="auto"/>
        </w:rPr>
      </w:pPr>
    </w:p>
    <w:p>
      <w:pPr>
        <w:jc w:val="both"/>
        <w:ind w:left="660" w:right="600" w:hanging="436"/>
        <w:spacing w:after="0" w:line="253" w:lineRule="auto"/>
        <w:tabs>
          <w:tab w:leader="none" w:pos="660" w:val="left"/>
        </w:tabs>
        <w:numPr>
          <w:ilvl w:val="0"/>
          <w:numId w:val="16"/>
        </w:numPr>
        <w:rPr>
          <w:rFonts w:ascii="MS PGothic" w:cs="MS PGothic" w:eastAsia="MS PGothic" w:hAnsi="MS PGothic"/>
          <w:sz w:val="18"/>
          <w:szCs w:val="18"/>
          <w:color w:val="002060"/>
          <w:vertAlign w:val="superscript"/>
        </w:rPr>
      </w:pPr>
      <w:r>
        <w:rPr>
          <w:rFonts w:ascii="Arial" w:cs="Arial" w:eastAsia="Arial" w:hAnsi="Arial"/>
          <w:sz w:val="18"/>
          <w:szCs w:val="18"/>
          <w:color w:val="auto"/>
        </w:rPr>
        <w:t>State Auto Financial Corporation (2006-present), a publicly traded casualty insurance holding company engaged in writing personal and business insurance, lead director (May 2015-present) and member of audit, independent and investment and finance committees</w:t>
      </w:r>
    </w:p>
    <w:p>
      <w:pPr>
        <w:spacing w:after="0" w:line="195" w:lineRule="exact"/>
        <w:rPr>
          <w:rFonts w:ascii="MS PGothic" w:cs="MS PGothic" w:eastAsia="MS PGothic" w:hAnsi="MS PGothic"/>
          <w:sz w:val="18"/>
          <w:szCs w:val="18"/>
          <w:color w:val="002060"/>
          <w:vertAlign w:val="superscript"/>
        </w:rPr>
      </w:pPr>
    </w:p>
    <w:p>
      <w:pPr>
        <w:ind w:left="660" w:hanging="436"/>
        <w:spacing w:after="0"/>
        <w:tabs>
          <w:tab w:leader="none" w:pos="660" w:val="left"/>
        </w:tabs>
        <w:numPr>
          <w:ilvl w:val="0"/>
          <w:numId w:val="16"/>
        </w:numPr>
        <w:rPr>
          <w:rFonts w:ascii="MS PGothic" w:cs="MS PGothic" w:eastAsia="MS PGothic" w:hAnsi="MS PGothic"/>
          <w:sz w:val="18"/>
          <w:szCs w:val="18"/>
          <w:color w:val="002060"/>
          <w:vertAlign w:val="superscript"/>
        </w:rPr>
      </w:pPr>
      <w:r>
        <w:rPr>
          <w:rFonts w:ascii="Arial" w:cs="Arial" w:eastAsia="Arial" w:hAnsi="Arial"/>
          <w:sz w:val="18"/>
          <w:szCs w:val="18"/>
          <w:color w:val="auto"/>
        </w:rPr>
        <w:t>Service on non-profit boards, including REV Ventures and The Columbus Foundation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Qualifications</w:t>
      </w:r>
    </w:p>
    <w:p>
      <w:pPr>
        <w:spacing w:after="0" w:line="212" w:lineRule="exact"/>
        <w:rPr>
          <w:sz w:val="20"/>
          <w:szCs w:val="20"/>
          <w:color w:val="auto"/>
        </w:rPr>
      </w:pPr>
    </w:p>
    <w:p>
      <w:pPr>
        <w:ind w:left="220" w:right="260"/>
        <w:spacing w:after="0" w:line="247" w:lineRule="auto"/>
        <w:rPr>
          <w:sz w:val="20"/>
          <w:szCs w:val="20"/>
          <w:color w:val="auto"/>
        </w:rPr>
      </w:pPr>
      <w:r>
        <w:rPr>
          <w:rFonts w:ascii="Arial" w:cs="Arial" w:eastAsia="Arial" w:hAnsi="Arial"/>
          <w:sz w:val="18"/>
          <w:szCs w:val="18"/>
          <w:color w:val="auto"/>
        </w:rPr>
        <w:t>Mr. Meuse’s more than 40 years of experience in the investment banking, merchant banking, securities brokerage and private equity industries bring to the board expertise in financial markets, capital structure and M&amp;A. Mr. Meuse’s executive leadership roles throughout his career and his public company board experience also provide the board with risk management, strategic and operational, and environmental, social and governance skillsets.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267970</wp:posOffset>
            </wp:positionV>
            <wp:extent cx="291465" cy="265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Proposal 1 – Election of Directors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19</w:t>
      </w:r>
    </w:p>
    <w:p>
      <w:pPr>
        <w:sectPr>
          <w:pgSz w:w="11900" w:h="16838" w:orient="portrait"/>
          <w:cols w:equalWidth="0" w:num="1">
            <w:col w:w="11000"/>
          </w:cols>
          <w:pgMar w:left="320" w:top="482" w:right="5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20"/>
        <w:spacing w:after="0"/>
        <w:rPr>
          <w:sz w:val="20"/>
          <w:szCs w:val="20"/>
          <w:color w:val="auto"/>
        </w:rPr>
      </w:pPr>
      <w:r>
        <w:rPr>
          <w:rFonts w:ascii="Arial" w:cs="Arial" w:eastAsia="Arial" w:hAnsi="Arial"/>
          <w:sz w:val="22"/>
          <w:szCs w:val="22"/>
          <w:b w:val="1"/>
          <w:bCs w:val="1"/>
          <w:color w:val="FFFFFF"/>
        </w:rPr>
        <w:t>Michael H. Thomas (</w:t>
      </w:r>
      <w:r>
        <w:rPr>
          <w:rFonts w:ascii="Arial" w:cs="Arial" w:eastAsia="Arial" w:hAnsi="Arial"/>
          <w:sz w:val="22"/>
          <w:szCs w:val="22"/>
          <w:b w:val="1"/>
          <w:bCs w:val="1"/>
          <w:i w:val="1"/>
          <w:iCs w:val="1"/>
          <w:color w:val="FFFFFF"/>
        </w:rPr>
        <w:t>Continuing Director</w:t>
      </w:r>
      <w:r>
        <w:rPr>
          <w:rFonts w:ascii="Arial" w:cs="Arial" w:eastAsia="Arial" w:hAnsi="Arial"/>
          <w:sz w:val="22"/>
          <w:szCs w:val="2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28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285875"/>
                    </a:xfrm>
                    <a:prstGeom prst="rect">
                      <a:avLst/>
                    </a:prstGeom>
                    <a:noFill/>
                  </pic:spPr>
                </pic:pic>
              </a:graphicData>
            </a:graphic>
          </wp:anchor>
        </w:drawing>
      </w:r>
    </w:p>
    <w:p>
      <w:pPr>
        <w:spacing w:after="0" w:line="195" w:lineRule="exact"/>
        <w:rPr>
          <w:sz w:val="20"/>
          <w:szCs w:val="20"/>
          <w:color w:val="auto"/>
        </w:rPr>
      </w:pPr>
    </w:p>
    <w:p>
      <w:pPr>
        <w:ind w:left="234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Age 73</w:t>
      </w:r>
    </w:p>
    <w:p>
      <w:pPr>
        <w:spacing w:after="0" w:line="131" w:lineRule="exact"/>
        <w:rPr>
          <w:sz w:val="20"/>
          <w:szCs w:val="20"/>
          <w:color w:val="auto"/>
        </w:rPr>
      </w:pPr>
    </w:p>
    <w:p>
      <w:pPr>
        <w:ind w:left="234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Independent Director since 2014</w:t>
      </w:r>
    </w:p>
    <w:p>
      <w:pPr>
        <w:spacing w:after="0" w:line="131" w:lineRule="exact"/>
        <w:rPr>
          <w:sz w:val="20"/>
          <w:szCs w:val="20"/>
          <w:color w:val="auto"/>
        </w:rPr>
      </w:pPr>
    </w:p>
    <w:p>
      <w:pPr>
        <w:ind w:left="234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Class II Director – Term Expires in 2024</w:t>
      </w:r>
    </w:p>
    <w:p>
      <w:pPr>
        <w:spacing w:after="0" w:line="131" w:lineRule="exact"/>
        <w:rPr>
          <w:sz w:val="20"/>
          <w:szCs w:val="20"/>
          <w:color w:val="auto"/>
        </w:rPr>
      </w:pPr>
    </w:p>
    <w:p>
      <w:pPr>
        <w:ind w:left="234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Audit Committee Member, Compensation and Human Capital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387350</wp:posOffset>
            </wp:positionV>
            <wp:extent cx="6995160" cy="36772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367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Occupation</w:t>
      </w:r>
    </w:p>
    <w:p>
      <w:pPr>
        <w:spacing w:after="0" w:line="212" w:lineRule="exact"/>
        <w:rPr>
          <w:sz w:val="20"/>
          <w:szCs w:val="20"/>
          <w:color w:val="auto"/>
        </w:rPr>
      </w:pPr>
    </w:p>
    <w:p>
      <w:pPr>
        <w:ind w:left="220" w:right="320"/>
        <w:spacing w:after="0" w:line="271" w:lineRule="auto"/>
        <w:rPr>
          <w:sz w:val="20"/>
          <w:szCs w:val="20"/>
          <w:color w:val="auto"/>
        </w:rPr>
      </w:pPr>
      <w:r>
        <w:rPr>
          <w:rFonts w:ascii="Arial" w:cs="Arial" w:eastAsia="Arial" w:hAnsi="Arial"/>
          <w:sz w:val="18"/>
          <w:szCs w:val="18"/>
          <w:color w:val="auto"/>
        </w:rPr>
        <w:t>Former partner, Stonehenge Partners, Inc., a private mezzanine and equity investment firm, where he provided counsel in investment origination, portfolio asset management and disposition of investments (1999–2014)</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Education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 in Business Administration, University of Notre Dame</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Experience</w:t>
      </w:r>
    </w:p>
    <w:p>
      <w:pPr>
        <w:spacing w:after="0" w:line="239" w:lineRule="exact"/>
        <w:rPr>
          <w:sz w:val="20"/>
          <w:szCs w:val="20"/>
          <w:color w:val="auto"/>
        </w:rPr>
      </w:pPr>
    </w:p>
    <w:p>
      <w:pPr>
        <w:ind w:left="660" w:right="140" w:hanging="436"/>
        <w:spacing w:after="0" w:line="253" w:lineRule="auto"/>
        <w:tabs>
          <w:tab w:leader="none" w:pos="660" w:val="left"/>
        </w:tabs>
        <w:numPr>
          <w:ilvl w:val="0"/>
          <w:numId w:val="17"/>
        </w:numPr>
        <w:rPr>
          <w:rFonts w:ascii="MS PGothic" w:cs="MS PGothic" w:eastAsia="MS PGothic" w:hAnsi="MS PGothic"/>
          <w:sz w:val="18"/>
          <w:szCs w:val="18"/>
          <w:color w:val="002060"/>
          <w:vertAlign w:val="superscript"/>
        </w:rPr>
      </w:pPr>
      <w:r>
        <w:rPr>
          <w:rFonts w:ascii="Arial" w:cs="Arial" w:eastAsia="Arial" w:hAnsi="Arial"/>
          <w:sz w:val="18"/>
          <w:szCs w:val="18"/>
          <w:color w:val="auto"/>
        </w:rPr>
        <w:t>Executive Vice President and Treasurer, JMAC, Inc., the holding and investment company of the McConnell family of Worthington, Ohio, where he directed investments in the financial services, publishing, health care, real estate and manufacturing sectors and was responsible for the McConnell family’s financial, estate and income tax planning</w:t>
      </w:r>
    </w:p>
    <w:p>
      <w:pPr>
        <w:spacing w:after="0" w:line="195" w:lineRule="exact"/>
        <w:rPr>
          <w:rFonts w:ascii="MS PGothic" w:cs="MS PGothic" w:eastAsia="MS PGothic" w:hAnsi="MS PGothic"/>
          <w:sz w:val="18"/>
          <w:szCs w:val="18"/>
          <w:color w:val="002060"/>
          <w:vertAlign w:val="superscript"/>
        </w:rPr>
      </w:pPr>
    </w:p>
    <w:p>
      <w:pPr>
        <w:ind w:left="660" w:hanging="436"/>
        <w:spacing w:after="0"/>
        <w:tabs>
          <w:tab w:leader="none" w:pos="660" w:val="left"/>
        </w:tabs>
        <w:numPr>
          <w:ilvl w:val="0"/>
          <w:numId w:val="17"/>
        </w:numPr>
        <w:rPr>
          <w:rFonts w:ascii="MS PGothic" w:cs="MS PGothic" w:eastAsia="MS PGothic" w:hAnsi="MS PGothic"/>
          <w:sz w:val="18"/>
          <w:szCs w:val="18"/>
          <w:color w:val="002060"/>
          <w:vertAlign w:val="superscript"/>
        </w:rPr>
      </w:pPr>
      <w:r>
        <w:rPr>
          <w:rFonts w:ascii="Arial" w:cs="Arial" w:eastAsia="Arial" w:hAnsi="Arial"/>
          <w:sz w:val="18"/>
          <w:szCs w:val="18"/>
          <w:color w:val="auto"/>
        </w:rPr>
        <w:t>Manager of Ernst &amp; Young LLP Columbus, Ohio tax practice</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Other Board Service</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Served as a director of the Company’s predecessor from 2004 to 2011</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Qualifications</w:t>
      </w:r>
    </w:p>
    <w:p>
      <w:pPr>
        <w:spacing w:after="0" w:line="212" w:lineRule="exact"/>
        <w:rPr>
          <w:sz w:val="20"/>
          <w:szCs w:val="20"/>
          <w:color w:val="auto"/>
        </w:rPr>
      </w:pPr>
    </w:p>
    <w:p>
      <w:pPr>
        <w:ind w:left="220" w:right="280"/>
        <w:spacing w:after="0" w:line="253" w:lineRule="auto"/>
        <w:rPr>
          <w:sz w:val="20"/>
          <w:szCs w:val="20"/>
          <w:color w:val="auto"/>
        </w:rPr>
      </w:pPr>
      <w:r>
        <w:rPr>
          <w:rFonts w:ascii="Arial" w:cs="Arial" w:eastAsia="Arial" w:hAnsi="Arial"/>
          <w:sz w:val="18"/>
          <w:szCs w:val="18"/>
          <w:color w:val="auto"/>
        </w:rPr>
        <w:t>Mr. Thomas’ significant business and investment experience brings to the Board executive leadership, capital structure, M&amp;A, risk management and human capital skills. His longstanding service as a board member of the Company’s predecessor gives him a broad perspective of the housing industry and the Company’s culture and business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264795</wp:posOffset>
            </wp:positionV>
            <wp:extent cx="282575" cy="265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40"/>
        <w:spacing w:after="0"/>
        <w:tabs>
          <w:tab w:leader="none" w:pos="660" w:val="left"/>
          <w:tab w:leader="none" w:pos="8700" w:val="left"/>
        </w:tabs>
        <w:rPr>
          <w:sz w:val="20"/>
          <w:szCs w:val="20"/>
          <w:color w:val="auto"/>
        </w:rPr>
      </w:pPr>
      <w:r>
        <w:rPr>
          <w:rFonts w:ascii="Arial" w:cs="Arial" w:eastAsia="Arial" w:hAnsi="Arial"/>
          <w:sz w:val="16"/>
          <w:szCs w:val="16"/>
          <w:color w:val="FFFFFF"/>
        </w:rPr>
        <w:t>20</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Proposal 1 – Election of Directors</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40"/>
        <w:spacing w:after="0"/>
        <w:rPr>
          <w:sz w:val="20"/>
          <w:szCs w:val="20"/>
          <w:color w:val="auto"/>
        </w:rPr>
      </w:pPr>
      <w:r>
        <w:rPr>
          <w:rFonts w:ascii="Arial" w:cs="Arial" w:eastAsia="Arial" w:hAnsi="Arial"/>
          <w:sz w:val="22"/>
          <w:szCs w:val="22"/>
          <w:b w:val="1"/>
          <w:bCs w:val="1"/>
          <w:color w:val="FFFFFF"/>
        </w:rPr>
        <w:t>Jeffrey W. Edwards (</w:t>
      </w:r>
      <w:r>
        <w:rPr>
          <w:rFonts w:ascii="Arial" w:cs="Arial" w:eastAsia="Arial" w:hAnsi="Arial"/>
          <w:sz w:val="22"/>
          <w:szCs w:val="22"/>
          <w:b w:val="1"/>
          <w:bCs w:val="1"/>
          <w:i w:val="1"/>
          <w:iCs w:val="1"/>
          <w:color w:val="FFFFFF"/>
        </w:rPr>
        <w:t>Continuing Director</w:t>
      </w:r>
      <w:r>
        <w:rPr>
          <w:rFonts w:ascii="Arial" w:cs="Arial" w:eastAsia="Arial" w:hAnsi="Arial"/>
          <w:sz w:val="22"/>
          <w:szCs w:val="2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28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285875"/>
                    </a:xfrm>
                    <a:prstGeom prst="rect">
                      <a:avLst/>
                    </a:prstGeom>
                    <a:noFill/>
                  </pic:spPr>
                </pic:pic>
              </a:graphicData>
            </a:graphic>
          </wp:anchor>
        </w:drawing>
      </w:r>
    </w:p>
    <w:p>
      <w:pPr>
        <w:spacing w:after="0" w:line="195" w:lineRule="exact"/>
        <w:rPr>
          <w:sz w:val="20"/>
          <w:szCs w:val="20"/>
          <w:color w:val="auto"/>
        </w:rPr>
      </w:pPr>
    </w:p>
    <w:p>
      <w:pPr>
        <w:ind w:left="238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Age 59</w:t>
      </w:r>
    </w:p>
    <w:p>
      <w:pPr>
        <w:spacing w:after="0" w:line="131" w:lineRule="exact"/>
        <w:rPr>
          <w:sz w:val="20"/>
          <w:szCs w:val="20"/>
          <w:color w:val="auto"/>
        </w:rPr>
      </w:pPr>
    </w:p>
    <w:p>
      <w:pPr>
        <w:ind w:left="238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Chairman since 1999</w:t>
      </w:r>
    </w:p>
    <w:p>
      <w:pPr>
        <w:spacing w:after="0" w:line="131" w:lineRule="exact"/>
        <w:rPr>
          <w:sz w:val="20"/>
          <w:szCs w:val="20"/>
          <w:color w:val="auto"/>
        </w:rPr>
      </w:pPr>
    </w:p>
    <w:p>
      <w:pPr>
        <w:ind w:left="238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Class III Director – Term Expires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601345</wp:posOffset>
            </wp:positionV>
            <wp:extent cx="6995160" cy="5109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510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Occupation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President (since 2011), Chief Executive Officer (since 2004) and Chairman (since 1999)</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Education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B.S. in Marketing, Miami University</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Experience</w:t>
      </w:r>
    </w:p>
    <w:p>
      <w:pPr>
        <w:spacing w:after="0" w:line="239" w:lineRule="exact"/>
        <w:rPr>
          <w:sz w:val="20"/>
          <w:szCs w:val="20"/>
          <w:color w:val="auto"/>
        </w:rPr>
      </w:pPr>
    </w:p>
    <w:p>
      <w:pPr>
        <w:ind w:left="660" w:right="140" w:hanging="436"/>
        <w:spacing w:after="0" w:line="253" w:lineRule="auto"/>
        <w:tabs>
          <w:tab w:leader="none" w:pos="660" w:val="left"/>
        </w:tabs>
        <w:numPr>
          <w:ilvl w:val="0"/>
          <w:numId w:val="18"/>
        </w:numPr>
        <w:rPr>
          <w:rFonts w:ascii="MS PGothic" w:cs="MS PGothic" w:eastAsia="MS PGothic" w:hAnsi="MS PGothic"/>
          <w:sz w:val="18"/>
          <w:szCs w:val="18"/>
          <w:color w:val="002060"/>
          <w:vertAlign w:val="superscript"/>
        </w:rPr>
      </w:pPr>
      <w:r>
        <w:rPr>
          <w:rFonts w:ascii="Arial" w:cs="Arial" w:eastAsia="Arial" w:hAnsi="Arial"/>
          <w:sz w:val="18"/>
          <w:szCs w:val="18"/>
          <w:color w:val="auto"/>
        </w:rPr>
        <w:t>Officer and strategist for several family-owned companies across a variety of industries, including multi-family and student housing development and management, industrial tool distribution, wholesale building supply, homebuilding, real estate development and real estate brokerage</w:t>
      </w:r>
    </w:p>
    <w:p>
      <w:pPr>
        <w:spacing w:after="0" w:line="195" w:lineRule="exact"/>
        <w:rPr>
          <w:rFonts w:ascii="MS PGothic" w:cs="MS PGothic" w:eastAsia="MS PGothic" w:hAnsi="MS PGothic"/>
          <w:sz w:val="18"/>
          <w:szCs w:val="18"/>
          <w:color w:val="002060"/>
          <w:vertAlign w:val="superscript"/>
        </w:rPr>
      </w:pPr>
    </w:p>
    <w:p>
      <w:pPr>
        <w:ind w:left="660" w:hanging="436"/>
        <w:spacing w:after="0"/>
        <w:tabs>
          <w:tab w:leader="none" w:pos="660" w:val="left"/>
        </w:tabs>
        <w:numPr>
          <w:ilvl w:val="0"/>
          <w:numId w:val="18"/>
        </w:numPr>
        <w:rPr>
          <w:rFonts w:ascii="MS PGothic" w:cs="MS PGothic" w:eastAsia="MS PGothic" w:hAnsi="MS PGothic"/>
          <w:sz w:val="18"/>
          <w:szCs w:val="18"/>
          <w:color w:val="002060"/>
          <w:vertAlign w:val="superscript"/>
        </w:rPr>
      </w:pPr>
      <w:r>
        <w:rPr>
          <w:rFonts w:ascii="Arial" w:cs="Arial" w:eastAsia="Arial" w:hAnsi="Arial"/>
          <w:sz w:val="18"/>
          <w:szCs w:val="18"/>
          <w:color w:val="auto"/>
        </w:rPr>
        <w:t>Commercial real estate development throughout the U.S.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Other Board Service</w:t>
      </w:r>
    </w:p>
    <w:p>
      <w:pPr>
        <w:sectPr>
          <w:pgSz w:w="11900" w:h="16838" w:orient="portrait"/>
          <w:cols w:equalWidth="0" w:num="1">
            <w:col w:w="11140"/>
          </w:cols>
          <w:pgMar w:left="320" w:top="482" w:right="439" w:bottom="1440" w:gutter="0" w:footer="0" w:header="0"/>
        </w:sectPr>
      </w:pPr>
    </w:p>
    <w:p>
      <w:pPr>
        <w:spacing w:after="0" w:line="23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6"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Columbus Museum of Art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Salvation Army, Emeritus Board Member</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 Policy Advisory Board of Harvard University’s Joint Center for Housing Studies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Columbus Foundation, governing committee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Columbus Partnership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Columbus Downtown Development Corporation</w:t>
      </w:r>
    </w:p>
    <w:p>
      <w:pPr>
        <w:spacing w:after="0" w:line="200" w:lineRule="exact"/>
        <w:rPr>
          <w:sz w:val="20"/>
          <w:szCs w:val="20"/>
          <w:color w:val="auto"/>
        </w:rPr>
      </w:pPr>
    </w:p>
    <w:p>
      <w:pPr>
        <w:sectPr>
          <w:pgSz w:w="11900" w:h="16838" w:orient="portrait"/>
          <w:cols w:equalWidth="0" w:num="2">
            <w:col w:w="280" w:space="380"/>
            <w:col w:w="10480"/>
          </w:cols>
          <w:pgMar w:left="320" w:top="482" w:right="439" w:bottom="1440" w:gutter="0" w:footer="0" w:header="0"/>
          <w:type w:val="continuous"/>
        </w:sectPr>
      </w:pPr>
    </w:p>
    <w:p>
      <w:pPr>
        <w:spacing w:after="0" w:line="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Qualifications</w:t>
      </w:r>
    </w:p>
    <w:p>
      <w:pPr>
        <w:spacing w:after="0" w:line="212" w:lineRule="exact"/>
        <w:rPr>
          <w:sz w:val="20"/>
          <w:szCs w:val="20"/>
          <w:color w:val="auto"/>
        </w:rPr>
      </w:pPr>
    </w:p>
    <w:p>
      <w:pPr>
        <w:ind w:left="220"/>
        <w:spacing w:after="0" w:line="247" w:lineRule="auto"/>
        <w:rPr>
          <w:sz w:val="20"/>
          <w:szCs w:val="20"/>
          <w:color w:val="auto"/>
        </w:rPr>
      </w:pPr>
      <w:r>
        <w:rPr>
          <w:rFonts w:ascii="Arial" w:cs="Arial" w:eastAsia="Arial" w:hAnsi="Arial"/>
          <w:sz w:val="18"/>
          <w:szCs w:val="18"/>
          <w:color w:val="auto"/>
        </w:rPr>
        <w:t>As an industry leader with over 30 years of experience in the building products industry and in his roles as our CEO and Chairman, Mr. Edwards brings to the Board significant senior leadership, housing and construction industry knowledge, and strategic, operational and M&amp;A experience. As founder of the Company, Mr. Edwards has direct knowledge and experience in the Company’s culture, business development, strategy and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267970</wp:posOffset>
            </wp:positionV>
            <wp:extent cx="291465" cy="265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Proposal 1 – Election of Directors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21</w:t>
      </w:r>
    </w:p>
    <w:p>
      <w:pPr>
        <w:sectPr>
          <w:pgSz w:w="11900" w:h="16838" w:orient="portrait"/>
          <w:cols w:equalWidth="0" w:num="1">
            <w:col w:w="11140"/>
          </w:cols>
          <w:pgMar w:left="320" w:top="482" w:right="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60"/>
        <w:spacing w:after="0"/>
        <w:rPr>
          <w:sz w:val="20"/>
          <w:szCs w:val="20"/>
          <w:color w:val="auto"/>
        </w:rPr>
      </w:pPr>
      <w:r>
        <w:rPr>
          <w:rFonts w:ascii="Arial" w:cs="Arial" w:eastAsia="Arial" w:hAnsi="Arial"/>
          <w:sz w:val="22"/>
          <w:szCs w:val="22"/>
          <w:b w:val="1"/>
          <w:bCs w:val="1"/>
          <w:color w:val="FFFFFF"/>
        </w:rPr>
        <w:t>Lawrence W. Hilsheimer (</w:t>
      </w:r>
      <w:r>
        <w:rPr>
          <w:rFonts w:ascii="Arial" w:cs="Arial" w:eastAsia="Arial" w:hAnsi="Arial"/>
          <w:sz w:val="22"/>
          <w:szCs w:val="22"/>
          <w:b w:val="1"/>
          <w:bCs w:val="1"/>
          <w:i w:val="1"/>
          <w:iCs w:val="1"/>
          <w:color w:val="FFFFFF"/>
        </w:rPr>
        <w:t>Continuing Director</w:t>
      </w:r>
      <w:r>
        <w:rPr>
          <w:rFonts w:ascii="Arial" w:cs="Arial" w:eastAsia="Arial" w:hAnsi="Arial"/>
          <w:sz w:val="22"/>
          <w:szCs w:val="2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28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285875"/>
                    </a:xfrm>
                    <a:prstGeom prst="rect">
                      <a:avLst/>
                    </a:prstGeom>
                    <a:noFill/>
                  </pic:spPr>
                </pic:pic>
              </a:graphicData>
            </a:graphic>
          </wp:anchor>
        </w:drawing>
      </w:r>
    </w:p>
    <w:p>
      <w:pPr>
        <w:spacing w:after="0" w:line="195" w:lineRule="exact"/>
        <w:rPr>
          <w:sz w:val="20"/>
          <w:szCs w:val="20"/>
          <w:color w:val="auto"/>
        </w:rPr>
      </w:pPr>
    </w:p>
    <w:p>
      <w:pPr>
        <w:ind w:left="240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Age 65</w:t>
      </w:r>
    </w:p>
    <w:p>
      <w:pPr>
        <w:spacing w:after="0" w:line="131" w:lineRule="exact"/>
        <w:rPr>
          <w:sz w:val="20"/>
          <w:szCs w:val="20"/>
          <w:color w:val="auto"/>
        </w:rPr>
      </w:pPr>
    </w:p>
    <w:p>
      <w:pPr>
        <w:ind w:left="240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Independent Director since 2014</w:t>
      </w:r>
    </w:p>
    <w:p>
      <w:pPr>
        <w:spacing w:after="0" w:line="131" w:lineRule="exact"/>
        <w:rPr>
          <w:sz w:val="20"/>
          <w:szCs w:val="20"/>
          <w:color w:val="auto"/>
        </w:rPr>
      </w:pPr>
    </w:p>
    <w:p>
      <w:pPr>
        <w:ind w:left="240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Class III Director – Term Expires in 2025</w:t>
      </w:r>
    </w:p>
    <w:p>
      <w:pPr>
        <w:spacing w:after="0" w:line="131" w:lineRule="exact"/>
        <w:rPr>
          <w:sz w:val="20"/>
          <w:szCs w:val="20"/>
          <w:color w:val="auto"/>
        </w:rPr>
      </w:pPr>
    </w:p>
    <w:p>
      <w:pPr>
        <w:ind w:left="240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Audit Committee Chair, Nominating and Corporate Governance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387350</wp:posOffset>
            </wp:positionV>
            <wp:extent cx="6995160" cy="55803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558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Occupation</w:t>
      </w:r>
    </w:p>
    <w:p>
      <w:pPr>
        <w:spacing w:after="0" w:line="212" w:lineRule="exact"/>
        <w:rPr>
          <w:sz w:val="20"/>
          <w:szCs w:val="20"/>
          <w:color w:val="auto"/>
        </w:rPr>
      </w:pPr>
    </w:p>
    <w:p>
      <w:pPr>
        <w:ind w:left="220" w:right="680"/>
        <w:spacing w:after="0" w:line="271" w:lineRule="auto"/>
        <w:rPr>
          <w:sz w:val="20"/>
          <w:szCs w:val="20"/>
          <w:color w:val="auto"/>
        </w:rPr>
      </w:pPr>
      <w:r>
        <w:rPr>
          <w:rFonts w:ascii="Arial" w:cs="Arial" w:eastAsia="Arial" w:hAnsi="Arial"/>
          <w:sz w:val="18"/>
          <w:szCs w:val="18"/>
          <w:color w:val="auto"/>
        </w:rPr>
        <w:t>Executive Vice President and Chief Financial Officer, Greif, Inc., a publicly traded global leader in industrial packing products and services (2014–present)</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Education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 in Business Administration, Fisher College of Business, The Ohio State University and J.D., Capital University Law School</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Experience</w:t>
      </w:r>
    </w:p>
    <w:p>
      <w:pPr>
        <w:spacing w:after="0" w:line="239" w:lineRule="exact"/>
        <w:rPr>
          <w:sz w:val="20"/>
          <w:szCs w:val="20"/>
          <w:color w:val="auto"/>
        </w:rPr>
      </w:pPr>
    </w:p>
    <w:p>
      <w:pPr>
        <w:ind w:left="660" w:right="160" w:hanging="436"/>
        <w:spacing w:after="0" w:line="271" w:lineRule="auto"/>
        <w:tabs>
          <w:tab w:leader="none" w:pos="660" w:val="left"/>
        </w:tabs>
        <w:numPr>
          <w:ilvl w:val="0"/>
          <w:numId w:val="19"/>
        </w:numPr>
        <w:rPr>
          <w:rFonts w:ascii="MS PGothic" w:cs="MS PGothic" w:eastAsia="MS PGothic" w:hAnsi="MS PGothic"/>
          <w:sz w:val="18"/>
          <w:szCs w:val="18"/>
          <w:color w:val="002060"/>
          <w:vertAlign w:val="superscript"/>
        </w:rPr>
      </w:pPr>
      <w:r>
        <w:rPr>
          <w:rFonts w:ascii="Arial" w:cs="Arial" w:eastAsia="Arial" w:hAnsi="Arial"/>
          <w:sz w:val="18"/>
          <w:szCs w:val="18"/>
          <w:color w:val="auto"/>
        </w:rPr>
        <w:t>Executive Vice President and Chief Financial Officer, The Scotts Miracle-Gro Company, a publicly traded manufacturer of branded consumer lawn and garden products</w:t>
      </w:r>
    </w:p>
    <w:p>
      <w:pPr>
        <w:spacing w:after="0" w:line="180" w:lineRule="exact"/>
        <w:rPr>
          <w:rFonts w:ascii="MS PGothic" w:cs="MS PGothic" w:eastAsia="MS PGothic" w:hAnsi="MS PGothic"/>
          <w:sz w:val="18"/>
          <w:szCs w:val="18"/>
          <w:color w:val="002060"/>
          <w:vertAlign w:val="superscript"/>
        </w:rPr>
      </w:pPr>
    </w:p>
    <w:p>
      <w:pPr>
        <w:ind w:left="660" w:right="160" w:hanging="436"/>
        <w:spacing w:after="0" w:line="253" w:lineRule="auto"/>
        <w:tabs>
          <w:tab w:leader="none" w:pos="660" w:val="left"/>
        </w:tabs>
        <w:numPr>
          <w:ilvl w:val="0"/>
          <w:numId w:val="19"/>
        </w:numPr>
        <w:rPr>
          <w:rFonts w:ascii="MS PGothic" w:cs="MS PGothic" w:eastAsia="MS PGothic" w:hAnsi="MS PGothic"/>
          <w:sz w:val="18"/>
          <w:szCs w:val="18"/>
          <w:color w:val="002060"/>
          <w:vertAlign w:val="superscript"/>
        </w:rPr>
      </w:pPr>
      <w:r>
        <w:rPr>
          <w:rFonts w:ascii="Arial" w:cs="Arial" w:eastAsia="Arial" w:hAnsi="Arial"/>
          <w:sz w:val="18"/>
          <w:szCs w:val="18"/>
          <w:color w:val="auto"/>
        </w:rPr>
        <w:t>Executive Vice President and Chief Financial Officer, Nationwide Mutual Insurance Company, a provider of property and casualty insurance and financial services, President and Chief Operating Officer of multiple business units, including Nationwide Direct and Customer Solutions and Nationwide Retirement Plans</w:t>
      </w:r>
    </w:p>
    <w:p>
      <w:pPr>
        <w:spacing w:after="0" w:line="195" w:lineRule="exact"/>
        <w:rPr>
          <w:rFonts w:ascii="MS PGothic" w:cs="MS PGothic" w:eastAsia="MS PGothic" w:hAnsi="MS PGothic"/>
          <w:sz w:val="18"/>
          <w:szCs w:val="18"/>
          <w:color w:val="002060"/>
          <w:vertAlign w:val="superscript"/>
        </w:rPr>
      </w:pPr>
    </w:p>
    <w:p>
      <w:pPr>
        <w:ind w:left="660" w:hanging="436"/>
        <w:spacing w:after="0"/>
        <w:tabs>
          <w:tab w:leader="none" w:pos="660" w:val="left"/>
        </w:tabs>
        <w:numPr>
          <w:ilvl w:val="0"/>
          <w:numId w:val="19"/>
        </w:numPr>
        <w:rPr>
          <w:rFonts w:ascii="MS PGothic" w:cs="MS PGothic" w:eastAsia="MS PGothic" w:hAnsi="MS PGothic"/>
          <w:sz w:val="18"/>
          <w:szCs w:val="18"/>
          <w:color w:val="002060"/>
          <w:vertAlign w:val="superscript"/>
        </w:rPr>
      </w:pPr>
      <w:r>
        <w:rPr>
          <w:rFonts w:ascii="Arial" w:cs="Arial" w:eastAsia="Arial" w:hAnsi="Arial"/>
          <w:sz w:val="18"/>
          <w:szCs w:val="18"/>
          <w:color w:val="auto"/>
        </w:rPr>
        <w:t>Vice Chairman and Regional Managing Partner, Deloitte &amp; Touche USA, LLP</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Other Board Service</w:t>
      </w:r>
    </w:p>
    <w:p>
      <w:pPr>
        <w:spacing w:after="0" w:line="239" w:lineRule="exact"/>
        <w:rPr>
          <w:sz w:val="20"/>
          <w:szCs w:val="20"/>
          <w:color w:val="auto"/>
        </w:rPr>
      </w:pPr>
    </w:p>
    <w:p>
      <w:pPr>
        <w:ind w:left="660" w:right="940" w:hanging="436"/>
        <w:spacing w:after="0" w:line="271" w:lineRule="auto"/>
        <w:tabs>
          <w:tab w:leader="none" w:pos="660" w:val="left"/>
        </w:tabs>
        <w:numPr>
          <w:ilvl w:val="0"/>
          <w:numId w:val="20"/>
        </w:numPr>
        <w:rPr>
          <w:rFonts w:ascii="MS PGothic" w:cs="MS PGothic" w:eastAsia="MS PGothic" w:hAnsi="MS PGothic"/>
          <w:sz w:val="18"/>
          <w:szCs w:val="18"/>
          <w:color w:val="002060"/>
          <w:vertAlign w:val="superscript"/>
        </w:rPr>
      </w:pPr>
      <w:r>
        <w:rPr>
          <w:rFonts w:ascii="Arial" w:cs="Arial" w:eastAsia="Arial" w:hAnsi="Arial"/>
          <w:sz w:val="18"/>
          <w:szCs w:val="18"/>
          <w:color w:val="auto"/>
        </w:rPr>
        <w:t>Root, Inc., the publicly traded parent of Root Insurance Company (October 2021-present), chair of audit committee, lead independent director</w:t>
      </w:r>
    </w:p>
    <w:p>
      <w:pPr>
        <w:sectPr>
          <w:pgSz w:w="11900" w:h="16838" w:orient="portrait"/>
          <w:cols w:equalWidth="0" w:num="1">
            <w:col w:w="11140"/>
          </w:cols>
          <w:pgMar w:left="320" w:top="482" w:right="439" w:bottom="1440" w:gutter="0" w:footer="0" w:header="0"/>
        </w:sectPr>
      </w:pPr>
    </w:p>
    <w:p>
      <w:pPr>
        <w:spacing w:after="0" w:line="177"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6"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Root Insurance Company (2017-present), chair of audit committee (2017-January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Battelle for Kids (2012–2018), member of finance committee</w:t>
      </w:r>
    </w:p>
    <w:p>
      <w:pPr>
        <w:spacing w:after="0" w:line="239"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Ohio State University Board of Trustees, member of audit and compliance committee (2012–2018) and finance committee (2018–2019)</w:t>
      </w:r>
    </w:p>
    <w:p>
      <w:pPr>
        <w:spacing w:after="0" w:line="154" w:lineRule="exact"/>
        <w:rPr>
          <w:sz w:val="20"/>
          <w:szCs w:val="20"/>
          <w:color w:val="auto"/>
        </w:rPr>
      </w:pPr>
    </w:p>
    <w:p>
      <w:pPr>
        <w:sectPr>
          <w:pgSz w:w="11900" w:h="16838" w:orient="portrait"/>
          <w:cols w:equalWidth="0" w:num="2">
            <w:col w:w="280" w:space="380"/>
            <w:col w:w="10480"/>
          </w:cols>
          <w:pgMar w:left="320" w:top="482" w:right="439" w:bottom="1440" w:gutter="0" w:footer="0" w:header="0"/>
          <w:type w:val="continuous"/>
        </w:sectPr>
      </w:pPr>
    </w:p>
    <w:p>
      <w:pPr>
        <w:ind w:left="220"/>
        <w:spacing w:after="0"/>
        <w:rPr>
          <w:sz w:val="20"/>
          <w:szCs w:val="20"/>
          <w:color w:val="auto"/>
        </w:rPr>
      </w:pPr>
      <w:r>
        <w:rPr>
          <w:rFonts w:ascii="Arial" w:cs="Arial" w:eastAsia="Arial" w:hAnsi="Arial"/>
          <w:sz w:val="18"/>
          <w:szCs w:val="18"/>
          <w:b w:val="1"/>
          <w:bCs w:val="1"/>
          <w:color w:val="002060"/>
        </w:rPr>
        <w:t>Qualifications</w:t>
      </w:r>
    </w:p>
    <w:p>
      <w:pPr>
        <w:spacing w:after="0" w:line="212" w:lineRule="exact"/>
        <w:rPr>
          <w:sz w:val="20"/>
          <w:szCs w:val="20"/>
          <w:color w:val="auto"/>
        </w:rPr>
      </w:pPr>
    </w:p>
    <w:p>
      <w:pPr>
        <w:ind w:left="220" w:right="200"/>
        <w:spacing w:after="0" w:line="242" w:lineRule="auto"/>
        <w:rPr>
          <w:sz w:val="20"/>
          <w:szCs w:val="20"/>
          <w:color w:val="auto"/>
        </w:rPr>
      </w:pPr>
      <w:r>
        <w:rPr>
          <w:rFonts w:ascii="Arial" w:cs="Arial" w:eastAsia="Arial" w:hAnsi="Arial"/>
          <w:sz w:val="18"/>
          <w:szCs w:val="18"/>
          <w:color w:val="auto"/>
        </w:rPr>
        <w:t>Mr. Hilsheimer’s broad business background and corporate finance and public accounting roles bring to the Board public company financial reporting, capital structure, public board service, executive leadership and technology experience. Mr. Hilsheimer’s CERT Certificate in Cybersecurity Oversight from the National Association of Corporate Directors aids the Board’s understanding of the cybersecurity threat landscape and assists the Board in overseeing an effective risk management program. Mr. Hilsheimer’s extensive experience as a chief financial officer with responsibility and accountability for corporate finance functions gives him valuable insight as the chair of the Board’s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254000</wp:posOffset>
            </wp:positionV>
            <wp:extent cx="282575" cy="265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40"/>
        <w:spacing w:after="0"/>
        <w:tabs>
          <w:tab w:leader="none" w:pos="660" w:val="left"/>
          <w:tab w:leader="none" w:pos="8700" w:val="left"/>
        </w:tabs>
        <w:rPr>
          <w:sz w:val="20"/>
          <w:szCs w:val="20"/>
          <w:color w:val="auto"/>
        </w:rPr>
      </w:pPr>
      <w:r>
        <w:rPr>
          <w:rFonts w:ascii="Arial" w:cs="Arial" w:eastAsia="Arial" w:hAnsi="Arial"/>
          <w:sz w:val="16"/>
          <w:szCs w:val="16"/>
          <w:color w:val="FFFFFF"/>
        </w:rPr>
        <w:t>22</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Proposal 1 – Election of Directors</w:t>
      </w:r>
    </w:p>
    <w:p>
      <w:pPr>
        <w:sectPr>
          <w:pgSz w:w="11900" w:h="16838" w:orient="portrait"/>
          <w:cols w:equalWidth="0" w:num="1">
            <w:col w:w="11140"/>
          </w:cols>
          <w:pgMar w:left="320" w:top="482" w:right="4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FFFFFF"/>
        </w:rPr>
        <w:t>Janet E. Jackson (</w:t>
      </w:r>
      <w:r>
        <w:rPr>
          <w:rFonts w:ascii="Arial" w:cs="Arial" w:eastAsia="Arial" w:hAnsi="Arial"/>
          <w:sz w:val="22"/>
          <w:szCs w:val="22"/>
          <w:b w:val="1"/>
          <w:bCs w:val="1"/>
          <w:i w:val="1"/>
          <w:iCs w:val="1"/>
          <w:color w:val="FFFFFF"/>
        </w:rPr>
        <w:t>Continuing Director</w:t>
      </w:r>
      <w:r>
        <w:rPr>
          <w:rFonts w:ascii="Arial" w:cs="Arial" w:eastAsia="Arial" w:hAnsi="Arial"/>
          <w:sz w:val="22"/>
          <w:szCs w:val="2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12604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260475"/>
                    </a:xfrm>
                    <a:prstGeom prst="rect">
                      <a:avLst/>
                    </a:prstGeom>
                    <a:noFill/>
                  </pic:spPr>
                </pic:pic>
              </a:graphicData>
            </a:graphic>
          </wp:anchor>
        </w:drawing>
      </w:r>
    </w:p>
    <w:p>
      <w:pPr>
        <w:spacing w:after="0" w:line="195" w:lineRule="exact"/>
        <w:rPr>
          <w:sz w:val="20"/>
          <w:szCs w:val="20"/>
          <w:color w:val="auto"/>
        </w:rPr>
      </w:pPr>
    </w:p>
    <w:p>
      <w:pPr>
        <w:ind w:left="242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Age 70</w:t>
      </w:r>
    </w:p>
    <w:p>
      <w:pPr>
        <w:spacing w:after="0" w:line="131" w:lineRule="exact"/>
        <w:rPr>
          <w:sz w:val="20"/>
          <w:szCs w:val="20"/>
          <w:color w:val="auto"/>
        </w:rPr>
      </w:pPr>
    </w:p>
    <w:p>
      <w:pPr>
        <w:ind w:left="242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Independent Director since 2014</w:t>
      </w:r>
    </w:p>
    <w:p>
      <w:pPr>
        <w:spacing w:after="0" w:line="131" w:lineRule="exact"/>
        <w:rPr>
          <w:sz w:val="20"/>
          <w:szCs w:val="20"/>
          <w:color w:val="auto"/>
        </w:rPr>
      </w:pPr>
    </w:p>
    <w:p>
      <w:pPr>
        <w:ind w:left="2420"/>
        <w:spacing w:after="0" w:line="207"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Class III Director – Term Expires in 2025</w:t>
      </w:r>
    </w:p>
    <w:p>
      <w:pPr>
        <w:spacing w:after="0" w:line="131" w:lineRule="exact"/>
        <w:rPr>
          <w:sz w:val="20"/>
          <w:szCs w:val="20"/>
          <w:color w:val="auto"/>
        </w:rPr>
      </w:pPr>
    </w:p>
    <w:p>
      <w:pPr>
        <w:ind w:left="2780" w:right="40" w:hanging="359"/>
        <w:spacing w:after="0" w:line="242" w:lineRule="exact"/>
        <w:rPr>
          <w:sz w:val="20"/>
          <w:szCs w:val="20"/>
          <w:color w:val="auto"/>
        </w:rPr>
      </w:pPr>
      <w:r>
        <w:rPr>
          <w:rFonts w:ascii="MS PGothic" w:cs="MS PGothic" w:eastAsia="MS PGothic" w:hAnsi="MS PGothic"/>
          <w:sz w:val="18"/>
          <w:szCs w:val="18"/>
          <w:color w:val="FFFFFF"/>
        </w:rPr>
        <w:t>∎</w:t>
      </w:r>
      <w:r>
        <w:rPr>
          <w:rFonts w:ascii="Arial" w:cs="Arial" w:eastAsia="Arial" w:hAnsi="Arial"/>
          <w:sz w:val="18"/>
          <w:szCs w:val="18"/>
          <w:color w:val="FFFFFF"/>
        </w:rPr>
        <w:t xml:space="preserve">    Compensation and Human Capital Committee Chair, Nominating and Corporate Governance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186055</wp:posOffset>
            </wp:positionV>
            <wp:extent cx="6995160" cy="4260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4260850"/>
                    </a:xfrm>
                    <a:prstGeom prst="rect">
                      <a:avLst/>
                    </a:prstGeom>
                    <a:noFill/>
                  </pic:spPr>
                </pic:pic>
              </a:graphicData>
            </a:graphic>
          </wp:anchor>
        </w:drawing>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Occupation</w:t>
      </w:r>
    </w:p>
    <w:p>
      <w:pPr>
        <w:spacing w:after="0" w:line="212" w:lineRule="exact"/>
        <w:rPr>
          <w:sz w:val="20"/>
          <w:szCs w:val="20"/>
          <w:color w:val="auto"/>
        </w:rPr>
      </w:pPr>
    </w:p>
    <w:p>
      <w:pPr>
        <w:ind w:left="220" w:right="260"/>
        <w:spacing w:after="0" w:line="271" w:lineRule="auto"/>
        <w:rPr>
          <w:sz w:val="20"/>
          <w:szCs w:val="20"/>
          <w:color w:val="auto"/>
        </w:rPr>
      </w:pPr>
      <w:r>
        <w:rPr>
          <w:rFonts w:ascii="Arial" w:cs="Arial" w:eastAsia="Arial" w:hAnsi="Arial"/>
          <w:sz w:val="18"/>
          <w:szCs w:val="18"/>
          <w:color w:val="auto"/>
        </w:rPr>
        <w:t>Former President and Chief Executive Officer, United Way of Central Ohio, a nonprofit organization and one of the largest United Way affiliates in the U.S. (2003–November 2017)</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Education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 in History, Wittenberg University and J.D., National Law Center at The George Washington University</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Experience</w:t>
      </w:r>
    </w:p>
    <w:p>
      <w:pPr>
        <w:sectPr>
          <w:pgSz w:w="11900" w:h="16838" w:orient="portrait"/>
          <w:cols w:equalWidth="0" w:num="1">
            <w:col w:w="11120"/>
          </w:cols>
          <w:pgMar w:left="320" w:top="482" w:right="459" w:bottom="1440" w:gutter="0" w:footer="0" w:header="0"/>
        </w:sectPr>
      </w:pPr>
    </w:p>
    <w:p>
      <w:pPr>
        <w:spacing w:after="0" w:line="23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6"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355" w:lineRule="exact"/>
        <w:rPr>
          <w:sz w:val="20"/>
          <w:szCs w:val="20"/>
          <w:color w:val="auto"/>
        </w:rPr>
      </w:pPr>
    </w:p>
    <w:p>
      <w:pPr>
        <w:ind w:left="220"/>
        <w:spacing w:after="0" w:line="91" w:lineRule="exact"/>
        <w:rPr>
          <w:sz w:val="20"/>
          <w:szCs w:val="20"/>
          <w:color w:val="auto"/>
        </w:rPr>
      </w:pPr>
      <w:r>
        <w:rPr>
          <w:rFonts w:ascii="MS PGothic" w:cs="MS PGothic" w:eastAsia="MS PGothic" w:hAnsi="MS PGothic"/>
          <w:sz w:val="9"/>
          <w:szCs w:val="9"/>
          <w:color w:val="002060"/>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Columbus City Attorney, Columbus, Ohio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Franklin County Municipal Court Judge</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First woman and first African American to hold her position at United Way and to be elected as Columbus City Attorney, and the first African American female judge in Franklin County, Ohio</w:t>
      </w:r>
    </w:p>
    <w:p>
      <w:pPr>
        <w:spacing w:after="0" w:line="154" w:lineRule="exact"/>
        <w:rPr>
          <w:sz w:val="20"/>
          <w:szCs w:val="20"/>
          <w:color w:val="auto"/>
        </w:rPr>
      </w:pPr>
    </w:p>
    <w:p>
      <w:pPr>
        <w:sectPr>
          <w:pgSz w:w="11900" w:h="16838" w:orient="portrait"/>
          <w:cols w:equalWidth="0" w:num="2">
            <w:col w:w="280" w:space="380"/>
            <w:col w:w="10460"/>
          </w:cols>
          <w:pgMar w:left="320" w:top="482" w:right="459" w:bottom="1440" w:gutter="0" w:footer="0" w:header="0"/>
          <w:type w:val="continuous"/>
        </w:sectPr>
      </w:pPr>
    </w:p>
    <w:p>
      <w:pPr>
        <w:ind w:left="220"/>
        <w:spacing w:after="0"/>
        <w:rPr>
          <w:sz w:val="20"/>
          <w:szCs w:val="20"/>
          <w:color w:val="auto"/>
        </w:rPr>
      </w:pPr>
      <w:r>
        <w:rPr>
          <w:rFonts w:ascii="Arial" w:cs="Arial" w:eastAsia="Arial" w:hAnsi="Arial"/>
          <w:sz w:val="18"/>
          <w:szCs w:val="18"/>
          <w:b w:val="1"/>
          <w:bCs w:val="1"/>
          <w:color w:val="002060"/>
        </w:rPr>
        <w:t>Other Board Service</w:t>
      </w:r>
    </w:p>
    <w:p>
      <w:pPr>
        <w:spacing w:after="0" w:line="239" w:lineRule="exact"/>
        <w:rPr>
          <w:sz w:val="20"/>
          <w:szCs w:val="20"/>
          <w:color w:val="auto"/>
        </w:rPr>
      </w:pPr>
    </w:p>
    <w:p>
      <w:pPr>
        <w:ind w:left="660" w:right="460" w:hanging="436"/>
        <w:spacing w:after="0" w:line="271" w:lineRule="auto"/>
        <w:tabs>
          <w:tab w:leader="none" w:pos="660" w:val="left"/>
        </w:tabs>
        <w:numPr>
          <w:ilvl w:val="0"/>
          <w:numId w:val="21"/>
        </w:numPr>
        <w:rPr>
          <w:rFonts w:ascii="MS PGothic" w:cs="MS PGothic" w:eastAsia="MS PGothic" w:hAnsi="MS PGothic"/>
          <w:sz w:val="18"/>
          <w:szCs w:val="18"/>
          <w:color w:val="002060"/>
          <w:vertAlign w:val="superscript"/>
        </w:rPr>
      </w:pPr>
      <w:r>
        <w:rPr>
          <w:rFonts w:ascii="Arial" w:cs="Arial" w:eastAsia="Arial" w:hAnsi="Arial"/>
          <w:sz w:val="18"/>
          <w:szCs w:val="18"/>
          <w:color w:val="auto"/>
        </w:rPr>
        <w:t>Wittenberg University, member of governance and board affairs committee, advancement and alumni relations committee and finance and investments committee</w:t>
      </w:r>
    </w:p>
    <w:p>
      <w:pPr>
        <w:spacing w:after="0" w:line="180" w:lineRule="exact"/>
        <w:rPr>
          <w:rFonts w:ascii="MS PGothic" w:cs="MS PGothic" w:eastAsia="MS PGothic" w:hAnsi="MS PGothic"/>
          <w:sz w:val="18"/>
          <w:szCs w:val="18"/>
          <w:color w:val="002060"/>
          <w:vertAlign w:val="superscript"/>
        </w:rPr>
      </w:pPr>
    </w:p>
    <w:p>
      <w:pPr>
        <w:ind w:left="660" w:hanging="436"/>
        <w:spacing w:after="0"/>
        <w:tabs>
          <w:tab w:leader="none" w:pos="660" w:val="left"/>
        </w:tabs>
        <w:numPr>
          <w:ilvl w:val="0"/>
          <w:numId w:val="21"/>
        </w:numPr>
        <w:rPr>
          <w:rFonts w:ascii="MS PGothic" w:cs="MS PGothic" w:eastAsia="MS PGothic" w:hAnsi="MS PGothic"/>
          <w:sz w:val="18"/>
          <w:szCs w:val="18"/>
          <w:color w:val="002060"/>
          <w:vertAlign w:val="superscript"/>
        </w:rPr>
      </w:pPr>
      <w:r>
        <w:rPr>
          <w:rFonts w:ascii="Arial" w:cs="Arial" w:eastAsia="Arial" w:hAnsi="Arial"/>
          <w:sz w:val="18"/>
          <w:szCs w:val="18"/>
          <w:color w:val="auto"/>
        </w:rPr>
        <w:t>City of Columbus Civilian Police Review Board, chair</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2060"/>
        </w:rPr>
        <w:t>Qualifications</w:t>
      </w:r>
    </w:p>
    <w:p>
      <w:pPr>
        <w:spacing w:after="0" w:line="212" w:lineRule="exact"/>
        <w:rPr>
          <w:sz w:val="20"/>
          <w:szCs w:val="20"/>
          <w:color w:val="auto"/>
        </w:rPr>
      </w:pPr>
    </w:p>
    <w:p>
      <w:pPr>
        <w:ind w:left="220" w:right="120"/>
        <w:spacing w:after="0" w:line="253" w:lineRule="auto"/>
        <w:rPr>
          <w:sz w:val="20"/>
          <w:szCs w:val="20"/>
          <w:color w:val="auto"/>
        </w:rPr>
      </w:pPr>
      <w:r>
        <w:rPr>
          <w:rFonts w:ascii="Arial" w:cs="Arial" w:eastAsia="Arial" w:hAnsi="Arial"/>
          <w:sz w:val="18"/>
          <w:szCs w:val="18"/>
          <w:color w:val="auto"/>
        </w:rPr>
        <w:t>Ms. Jackson’s significant leadership experience and extensive background in public service bring to the Board executive leadership, strategic and operational and human capital skills. The Board also benefits from Mr. Jackson’s legal background, judgment and input on community investment and engagement and 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264795</wp:posOffset>
            </wp:positionV>
            <wp:extent cx="291465" cy="265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Proposal 1 – Election of Directors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23</w:t>
      </w:r>
    </w:p>
    <w:p>
      <w:pPr>
        <w:sectPr>
          <w:pgSz w:w="11900" w:h="16838" w:orient="portrait"/>
          <w:cols w:equalWidth="0" w:num="1">
            <w:col w:w="11120"/>
          </w:cols>
          <w:pgMar w:left="320" w:top="482" w:right="4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Required Vote and Recommendation of the Board</w:t>
      </w:r>
    </w:p>
    <w:p>
      <w:pPr>
        <w:spacing w:after="0" w:line="216"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The affirmative vote of a majority of the total votes cast at the Annual Meeting is required to approve the election of each nominee as a director, which means that the number of shares voted “FOR” a nominee must exceed the number of votes cast “AGAINST” the nominee. “ABSTAIN” votes and broker non-votes will not be counted as votes cast either “FOR” or “AGAINST.”</w:t>
      </w:r>
    </w:p>
    <w:p>
      <w:pPr>
        <w:spacing w:after="0" w:line="169" w:lineRule="exact"/>
        <w:rPr>
          <w:sz w:val="20"/>
          <w:szCs w:val="20"/>
          <w:color w:val="auto"/>
        </w:rPr>
      </w:pPr>
    </w:p>
    <w:p>
      <w:pPr>
        <w:ind w:left="120" w:right="240"/>
        <w:spacing w:after="0" w:line="244" w:lineRule="auto"/>
        <w:rPr>
          <w:sz w:val="20"/>
          <w:szCs w:val="20"/>
          <w:color w:val="auto"/>
        </w:rPr>
      </w:pPr>
      <w:r>
        <w:rPr>
          <w:rFonts w:ascii="Arial" w:cs="Arial" w:eastAsia="Arial" w:hAnsi="Arial"/>
          <w:sz w:val="18"/>
          <w:szCs w:val="18"/>
          <w:color w:val="auto"/>
        </w:rPr>
        <w:t>Our Amended and Restated Bylaws provide that any incumbent director who fails to receive a majority of votes cast in an uncontested election is required to promptly tender his or her resignation to the Board, which will become effective only upon its acceptance by the Board. The Nominating and Corporate Governance Committee will recommend to the Board whether to accept or reject the resignation, and the Board will act upon such resignation and publicly disclose its decision within 90 days from the date of the certification of the election results.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otherwise instructed, the persons named as proxies will vote “FOR” 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6995160" cy="780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78041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460" w:right="400"/>
        <w:spacing w:after="0" w:line="251" w:lineRule="auto"/>
        <w:rPr>
          <w:sz w:val="20"/>
          <w:szCs w:val="20"/>
          <w:color w:val="auto"/>
        </w:rPr>
      </w:pPr>
      <w:r>
        <w:rPr>
          <w:rFonts w:ascii="Arial" w:cs="Arial" w:eastAsia="Arial" w:hAnsi="Arial"/>
          <w:sz w:val="22"/>
          <w:szCs w:val="22"/>
          <w:b w:val="1"/>
          <w:bCs w:val="1"/>
          <w:color w:val="FFFFFF"/>
        </w:rPr>
        <w:t>THE BOARD OF DIRECTORS UNANIMOUSLY RECOMMENDS THAT YOU VOTE “FOR” THE ELECTION OF MICHAEL T. MILLER, MARCHELLE E. MOORE AND ROBERT H. SCHOTTENSTEIN AS DIRECTORS, EACH TO SERVE A THREE-YEAR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4031615</wp:posOffset>
            </wp:positionV>
            <wp:extent cx="282575" cy="2660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2575" cy="26606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774065</wp:posOffset>
            </wp:positionV>
            <wp:extent cx="2922905" cy="31629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22905"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40"/>
        <w:spacing w:after="0"/>
        <w:tabs>
          <w:tab w:leader="none" w:pos="660" w:val="left"/>
          <w:tab w:leader="none" w:pos="8700" w:val="left"/>
        </w:tabs>
        <w:rPr>
          <w:sz w:val="20"/>
          <w:szCs w:val="20"/>
          <w:color w:val="auto"/>
        </w:rPr>
      </w:pPr>
      <w:r>
        <w:rPr>
          <w:rFonts w:ascii="Arial" w:cs="Arial" w:eastAsia="Arial" w:hAnsi="Arial"/>
          <w:sz w:val="16"/>
          <w:szCs w:val="16"/>
          <w:color w:val="FFFFFF"/>
        </w:rPr>
        <w:t>24</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Proposal 1 – Election of Directors</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40"/>
          <w:szCs w:val="40"/>
          <w:b w:val="1"/>
          <w:bCs w:val="1"/>
          <w:color w:val="0070C0"/>
        </w:rPr>
        <w:t>CORPORATE GOVERNANCE</w:t>
      </w: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Board Structure and Responsibilities</w:t>
      </w:r>
    </w:p>
    <w:p>
      <w:pPr>
        <w:spacing w:after="0" w:line="216"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color w:val="auto"/>
        </w:rPr>
        <w:t>Our business strategy, operations and management are overseen by our Board of Directors. Management is responsible for the day-to-day management of the Company’s operations and risk exposure, with the Board providing oversight and independent business judgment on the issues most important to the Company. The Board’s responsibilities include oversight of:</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Company performance and business strategies;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Compliance with legal and regulatory requirements;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Integrity of the Company’s financial statements;</w:t>
      </w:r>
    </w:p>
    <w:p>
      <w:pPr>
        <w:spacing w:after="0" w:line="9" w:lineRule="exact"/>
        <w:rPr>
          <w:sz w:val="20"/>
          <w:szCs w:val="20"/>
          <w:color w:val="auto"/>
        </w:rPr>
      </w:pPr>
    </w:p>
    <w:p>
      <w:pPr>
        <w:ind w:left="560" w:right="2760"/>
        <w:spacing w:after="0" w:line="260" w:lineRule="auto"/>
        <w:rPr>
          <w:sz w:val="20"/>
          <w:szCs w:val="20"/>
          <w:color w:val="auto"/>
        </w:rPr>
      </w:pPr>
      <w:r>
        <w:rPr>
          <w:rFonts w:ascii="Arial" w:cs="Arial" w:eastAsia="Arial" w:hAnsi="Arial"/>
          <w:sz w:val="18"/>
          <w:szCs w:val="18"/>
          <w:color w:val="auto"/>
        </w:rPr>
        <w:t>Practices for identifying, managing and mitigating key enterprise risks, including cybersecurity risk; Management’s performance and succession planning; Executive and director compensation;</w:t>
      </w:r>
    </w:p>
    <w:p>
      <w:pPr>
        <w:spacing w:after="0" w:line="200" w:lineRule="exact"/>
        <w:rPr>
          <w:sz w:val="20"/>
          <w:szCs w:val="20"/>
          <w:color w:val="auto"/>
        </w:rPr>
      </w:pPr>
    </w:p>
    <w:p>
      <w:pPr>
        <w:ind w:left="560" w:right="580"/>
        <w:spacing w:after="0" w:line="316" w:lineRule="auto"/>
        <w:rPr>
          <w:sz w:val="20"/>
          <w:szCs w:val="20"/>
          <w:color w:val="auto"/>
        </w:rPr>
      </w:pPr>
      <w:r>
        <w:rPr>
          <w:rFonts w:ascii="Arial" w:cs="Arial" w:eastAsia="Arial" w:hAnsi="Arial"/>
          <w:sz w:val="16"/>
          <w:szCs w:val="16"/>
          <w:color w:val="auto"/>
        </w:rPr>
        <w:t>Human capital management, including employee retention, safety and welfare and diversity, equity and inclusion (“DEI”); and Corporate</w:t>
      </w:r>
      <w:r>
        <w:rPr>
          <w:rFonts w:ascii="Arial" w:cs="Arial" w:eastAsia="Arial" w:hAnsi="Arial"/>
          <w:sz w:val="30"/>
          <w:szCs w:val="30"/>
          <w:color w:val="auto"/>
          <w:vertAlign w:val="subscript"/>
        </w:rPr>
        <w:t>initiatives.</w:t>
      </w:r>
      <w:r>
        <w:rPr>
          <w:rFonts w:ascii="Arial" w:cs="Arial" w:eastAsia="Arial" w:hAnsi="Arial"/>
          <w:sz w:val="16"/>
          <w:szCs w:val="16"/>
          <w:color w:val="auto"/>
        </w:rPr>
        <w:t xml:space="preserve"> governance and sustainability matters, including our Environmental, Social and Governance (“ESG”) programs and</w:t>
      </w:r>
    </w:p>
    <w:p>
      <w:pPr>
        <w:spacing w:after="0" w:line="123"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The Board and management regularly confer on emerging industry and macroeconomic trends, the Company’s long-term strategic plans, the status of key strategic initiatives and the primary risks relating to our business. The Board also annually discusses and approves our budget and capital allocation plans, which are linked to our strategic plans and priorities.</w:t>
      </w:r>
    </w:p>
    <w:p>
      <w:pPr>
        <w:spacing w:after="0" w:line="169"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Our corporate governance practices continue to evolve in response to changing regulatory requirements and best practices. The experience of our Directors on other public company boards helps to provide insight into developing governance practices. A summary of our governance practices and policies include the following:</w:t>
      </w:r>
    </w:p>
    <w:p>
      <w:pPr>
        <w:spacing w:after="0" w:line="276" w:lineRule="exact"/>
        <w:rPr>
          <w:sz w:val="20"/>
          <w:szCs w:val="20"/>
          <w:color w:val="auto"/>
        </w:rPr>
      </w:pPr>
    </w:p>
    <w:tbl>
      <w:tblPr>
        <w:tblLayout w:type="fixed"/>
        <w:tblInd w:w="120" w:type="dxa"/>
        <w:tblCellMar>
          <w:top w:w="0" w:type="dxa"/>
          <w:left w:w="0" w:type="dxa"/>
          <w:bottom w:w="0" w:type="dxa"/>
          <w:right w:w="0" w:type="dxa"/>
        </w:tblCellMar>
      </w:tblPr>
      <w:tr>
        <w:trPr>
          <w:trHeight w:val="304"/>
        </w:trPr>
        <w:tc>
          <w:tcPr>
            <w:tcW w:w="540" w:type="dxa"/>
            <w:vAlign w:val="bottom"/>
            <w:tcBorders>
              <w:top w:val="single" w:sz="8" w:color="auto"/>
              <w:bottom w:val="single" w:sz="8" w:color="0070C0"/>
            </w:tcBorders>
            <w:shd w:val="clear" w:color="auto" w:fill="0070C0"/>
          </w:tcPr>
          <w:p>
            <w:pPr>
              <w:ind w:left="200"/>
              <w:spacing w:after="0" w:line="161" w:lineRule="exact"/>
              <w:rPr>
                <w:sz w:val="20"/>
                <w:szCs w:val="20"/>
                <w:color w:val="auto"/>
              </w:rPr>
            </w:pPr>
            <w:r>
              <w:rPr>
                <w:rFonts w:ascii="MS PGothic" w:cs="MS PGothic" w:eastAsia="MS PGothic" w:hAnsi="MS PGothic"/>
                <w:sz w:val="16"/>
                <w:szCs w:val="16"/>
                <w:color w:val="FFFFFF"/>
              </w:rPr>
              <w:t>✓</w:t>
            </w:r>
          </w:p>
        </w:tc>
        <w:tc>
          <w:tcPr>
            <w:tcW w:w="2660" w:type="dxa"/>
            <w:vAlign w:val="bottom"/>
            <w:tcBorders>
              <w:top w:val="single" w:sz="8" w:color="auto"/>
              <w:bottom w:val="single" w:sz="8" w:color="002060"/>
            </w:tcBorders>
          </w:tcPr>
          <w:p>
            <w:pPr>
              <w:ind w:left="140"/>
              <w:spacing w:after="0"/>
              <w:rPr>
                <w:sz w:val="20"/>
                <w:szCs w:val="20"/>
                <w:color w:val="auto"/>
              </w:rPr>
            </w:pPr>
            <w:r>
              <w:rPr>
                <w:rFonts w:ascii="Arial" w:cs="Arial" w:eastAsia="Arial" w:hAnsi="Arial"/>
                <w:sz w:val="16"/>
                <w:szCs w:val="16"/>
                <w:color w:val="auto"/>
              </w:rPr>
              <w:t>Independent Board</w:t>
            </w:r>
          </w:p>
        </w:tc>
        <w:tc>
          <w:tcPr>
            <w:tcW w:w="7820" w:type="dxa"/>
            <w:vAlign w:val="bottom"/>
            <w:tcBorders>
              <w:top w:val="single" w:sz="8" w:color="auto"/>
              <w:bottom w:val="single" w:sz="8" w:color="0070C0"/>
            </w:tcBorders>
            <w:gridSpan w:val="2"/>
            <w:shd w:val="clear" w:color="auto" w:fill="0070C0"/>
          </w:tcPr>
          <w:p>
            <w:pPr>
              <w:ind w:left="100"/>
              <w:spacing w:after="0"/>
              <w:rPr>
                <w:sz w:val="20"/>
                <w:szCs w:val="20"/>
                <w:color w:val="auto"/>
              </w:rPr>
            </w:pPr>
            <w:r>
              <w:rPr>
                <w:rFonts w:ascii="Arial" w:cs="Arial" w:eastAsia="Arial" w:hAnsi="Arial"/>
                <w:sz w:val="16"/>
                <w:szCs w:val="16"/>
                <w:color w:val="FFFFFF"/>
              </w:rPr>
              <w:t>78% of our directors are independent (including our director nominees).</w:t>
            </w:r>
          </w:p>
        </w:tc>
      </w:tr>
      <w:tr>
        <w:trPr>
          <w:trHeight w:val="188"/>
        </w:trPr>
        <w:tc>
          <w:tcPr>
            <w:tcW w:w="540" w:type="dxa"/>
            <w:vAlign w:val="bottom"/>
            <w:shd w:val="clear" w:color="auto" w:fill="0070C0"/>
          </w:tcPr>
          <w:p>
            <w:pPr>
              <w:ind w:left="200"/>
              <w:spacing w:after="0" w:line="161" w:lineRule="exact"/>
              <w:rPr>
                <w:sz w:val="20"/>
                <w:szCs w:val="20"/>
                <w:color w:val="auto"/>
              </w:rPr>
            </w:pPr>
            <w:r>
              <w:rPr>
                <w:rFonts w:ascii="MS PGothic" w:cs="MS PGothic" w:eastAsia="MS PGothic" w:hAnsi="MS PGothic"/>
                <w:sz w:val="16"/>
                <w:szCs w:val="16"/>
                <w:color w:val="FFFFFF"/>
              </w:rPr>
              <w:t>✓</w:t>
            </w:r>
          </w:p>
        </w:tc>
        <w:tc>
          <w:tcPr>
            <w:tcW w:w="2660" w:type="dxa"/>
            <w:vAlign w:val="bottom"/>
          </w:tcPr>
          <w:p>
            <w:pPr>
              <w:ind w:left="140"/>
              <w:spacing w:after="0"/>
              <w:rPr>
                <w:sz w:val="20"/>
                <w:szCs w:val="20"/>
                <w:color w:val="auto"/>
              </w:rPr>
            </w:pPr>
            <w:r>
              <w:rPr>
                <w:rFonts w:ascii="Arial" w:cs="Arial" w:eastAsia="Arial" w:hAnsi="Arial"/>
                <w:sz w:val="16"/>
                <w:szCs w:val="16"/>
                <w:color w:val="auto"/>
              </w:rPr>
              <w:t>Independent Board committees</w:t>
            </w:r>
          </w:p>
        </w:tc>
        <w:tc>
          <w:tcPr>
            <w:tcW w:w="7820" w:type="dxa"/>
            <w:vAlign w:val="bottom"/>
            <w:gridSpan w:val="2"/>
            <w:shd w:val="clear" w:color="auto" w:fill="0070C0"/>
          </w:tcPr>
          <w:p>
            <w:pPr>
              <w:ind w:left="100"/>
              <w:spacing w:after="0"/>
              <w:rPr>
                <w:sz w:val="20"/>
                <w:szCs w:val="20"/>
                <w:color w:val="auto"/>
              </w:rPr>
            </w:pPr>
            <w:r>
              <w:rPr>
                <w:rFonts w:ascii="Arial" w:cs="Arial" w:eastAsia="Arial" w:hAnsi="Arial"/>
                <w:sz w:val="16"/>
                <w:szCs w:val="16"/>
                <w:color w:val="FFFFFF"/>
              </w:rPr>
              <w:t>Board committees consist solely of independent directors, which operate under written charters approved</w:t>
            </w:r>
          </w:p>
        </w:tc>
      </w:tr>
      <w:tr>
        <w:trPr>
          <w:trHeight w:val="237"/>
        </w:trPr>
        <w:tc>
          <w:tcPr>
            <w:tcW w:w="540" w:type="dxa"/>
            <w:vAlign w:val="bottom"/>
            <w:tcBorders>
              <w:bottom w:val="single" w:sz="8" w:color="0070C0"/>
            </w:tcBorders>
            <w:shd w:val="clear" w:color="auto" w:fill="0070C0"/>
          </w:tcPr>
          <w:p>
            <w:pPr>
              <w:spacing w:after="0"/>
              <w:rPr>
                <w:sz w:val="20"/>
                <w:szCs w:val="20"/>
                <w:color w:val="auto"/>
              </w:rPr>
            </w:pPr>
          </w:p>
        </w:tc>
        <w:tc>
          <w:tcPr>
            <w:tcW w:w="2660" w:type="dxa"/>
            <w:vAlign w:val="bottom"/>
            <w:tcBorders>
              <w:bottom w:val="single" w:sz="8" w:color="002060"/>
            </w:tcBorders>
          </w:tcPr>
          <w:p>
            <w:pPr>
              <w:spacing w:after="0"/>
              <w:rPr>
                <w:sz w:val="20"/>
                <w:szCs w:val="20"/>
                <w:color w:val="auto"/>
              </w:rPr>
            </w:pPr>
          </w:p>
        </w:tc>
        <w:tc>
          <w:tcPr>
            <w:tcW w:w="7820" w:type="dxa"/>
            <w:vAlign w:val="bottom"/>
            <w:tcBorders>
              <w:bottom w:val="single" w:sz="8" w:color="0070C0"/>
            </w:tcBorders>
            <w:gridSpan w:val="2"/>
            <w:shd w:val="clear" w:color="auto" w:fill="0070C0"/>
          </w:tcPr>
          <w:p>
            <w:pPr>
              <w:ind w:left="100"/>
              <w:spacing w:after="0"/>
              <w:rPr>
                <w:sz w:val="20"/>
                <w:szCs w:val="20"/>
                <w:color w:val="auto"/>
              </w:rPr>
            </w:pPr>
            <w:r>
              <w:rPr>
                <w:rFonts w:ascii="Arial" w:cs="Arial" w:eastAsia="Arial" w:hAnsi="Arial"/>
                <w:sz w:val="16"/>
                <w:szCs w:val="16"/>
                <w:color w:val="FFFFFF"/>
              </w:rPr>
              <w:t>by the Board.</w:t>
            </w:r>
          </w:p>
        </w:tc>
      </w:tr>
      <w:tr>
        <w:trPr>
          <w:trHeight w:val="188"/>
        </w:trPr>
        <w:tc>
          <w:tcPr>
            <w:tcW w:w="540" w:type="dxa"/>
            <w:vAlign w:val="bottom"/>
            <w:shd w:val="clear" w:color="auto" w:fill="0070C0"/>
          </w:tcPr>
          <w:p>
            <w:pPr>
              <w:ind w:left="200"/>
              <w:spacing w:after="0" w:line="161" w:lineRule="exact"/>
              <w:rPr>
                <w:sz w:val="20"/>
                <w:szCs w:val="20"/>
                <w:color w:val="auto"/>
              </w:rPr>
            </w:pPr>
            <w:r>
              <w:rPr>
                <w:rFonts w:ascii="MS PGothic" w:cs="MS PGothic" w:eastAsia="MS PGothic" w:hAnsi="MS PGothic"/>
                <w:sz w:val="16"/>
                <w:szCs w:val="16"/>
                <w:color w:val="FFFFFF"/>
              </w:rPr>
              <w:t>✓</w:t>
            </w:r>
          </w:p>
        </w:tc>
        <w:tc>
          <w:tcPr>
            <w:tcW w:w="2660" w:type="dxa"/>
            <w:vAlign w:val="bottom"/>
          </w:tcPr>
          <w:p>
            <w:pPr>
              <w:ind w:left="140"/>
              <w:spacing w:after="0"/>
              <w:rPr>
                <w:sz w:val="20"/>
                <w:szCs w:val="20"/>
                <w:color w:val="auto"/>
              </w:rPr>
            </w:pPr>
            <w:r>
              <w:rPr>
                <w:rFonts w:ascii="Arial" w:cs="Arial" w:eastAsia="Arial" w:hAnsi="Arial"/>
                <w:sz w:val="16"/>
                <w:szCs w:val="16"/>
                <w:color w:val="auto"/>
              </w:rPr>
              <w:t>Active Board oversight</w:t>
            </w:r>
          </w:p>
        </w:tc>
        <w:tc>
          <w:tcPr>
            <w:tcW w:w="7820" w:type="dxa"/>
            <w:vAlign w:val="bottom"/>
            <w:gridSpan w:val="2"/>
            <w:shd w:val="clear" w:color="auto" w:fill="0070C0"/>
          </w:tcPr>
          <w:p>
            <w:pPr>
              <w:ind w:left="100"/>
              <w:spacing w:after="0"/>
              <w:rPr>
                <w:sz w:val="20"/>
                <w:szCs w:val="20"/>
                <w:color w:val="auto"/>
              </w:rPr>
            </w:pPr>
            <w:r>
              <w:rPr>
                <w:rFonts w:ascii="Arial" w:cs="Arial" w:eastAsia="Arial" w:hAnsi="Arial"/>
                <w:sz w:val="16"/>
                <w:szCs w:val="16"/>
                <w:color w:val="FFFFFF"/>
              </w:rPr>
              <w:t>Board and committee oversight of our business strategy, enterprise and cybersecurity risk management,</w:t>
            </w:r>
          </w:p>
        </w:tc>
      </w:tr>
      <w:tr>
        <w:trPr>
          <w:trHeight w:val="237"/>
        </w:trPr>
        <w:tc>
          <w:tcPr>
            <w:tcW w:w="540" w:type="dxa"/>
            <w:vAlign w:val="bottom"/>
            <w:tcBorders>
              <w:bottom w:val="single" w:sz="8" w:color="0070C0"/>
            </w:tcBorders>
            <w:shd w:val="clear" w:color="auto" w:fill="0070C0"/>
          </w:tcPr>
          <w:p>
            <w:pPr>
              <w:spacing w:after="0"/>
              <w:rPr>
                <w:sz w:val="20"/>
                <w:szCs w:val="20"/>
                <w:color w:val="auto"/>
              </w:rPr>
            </w:pPr>
          </w:p>
        </w:tc>
        <w:tc>
          <w:tcPr>
            <w:tcW w:w="2660" w:type="dxa"/>
            <w:vAlign w:val="bottom"/>
            <w:tcBorders>
              <w:bottom w:val="single" w:sz="8" w:color="002060"/>
            </w:tcBorders>
          </w:tcPr>
          <w:p>
            <w:pPr>
              <w:spacing w:after="0"/>
              <w:rPr>
                <w:sz w:val="20"/>
                <w:szCs w:val="20"/>
                <w:color w:val="auto"/>
              </w:rPr>
            </w:pPr>
          </w:p>
        </w:tc>
        <w:tc>
          <w:tcPr>
            <w:tcW w:w="7820" w:type="dxa"/>
            <w:vAlign w:val="bottom"/>
            <w:tcBorders>
              <w:bottom w:val="single" w:sz="8" w:color="0070C0"/>
            </w:tcBorders>
            <w:gridSpan w:val="2"/>
            <w:shd w:val="clear" w:color="auto" w:fill="0070C0"/>
          </w:tcPr>
          <w:p>
            <w:pPr>
              <w:ind w:left="100"/>
              <w:spacing w:after="0"/>
              <w:rPr>
                <w:sz w:val="20"/>
                <w:szCs w:val="20"/>
                <w:color w:val="auto"/>
              </w:rPr>
            </w:pPr>
            <w:r>
              <w:rPr>
                <w:rFonts w:ascii="Arial" w:cs="Arial" w:eastAsia="Arial" w:hAnsi="Arial"/>
                <w:sz w:val="16"/>
                <w:szCs w:val="16"/>
                <w:color w:val="FFFFFF"/>
              </w:rPr>
              <w:t>and DEI and ESG initiatives.</w:t>
            </w:r>
          </w:p>
        </w:tc>
      </w:tr>
      <w:tr>
        <w:trPr>
          <w:trHeight w:val="188"/>
        </w:trPr>
        <w:tc>
          <w:tcPr>
            <w:tcW w:w="540" w:type="dxa"/>
            <w:vAlign w:val="bottom"/>
            <w:shd w:val="clear" w:color="auto" w:fill="0070C0"/>
          </w:tcPr>
          <w:p>
            <w:pPr>
              <w:ind w:left="200"/>
              <w:spacing w:after="0" w:line="161" w:lineRule="exact"/>
              <w:rPr>
                <w:sz w:val="20"/>
                <w:szCs w:val="20"/>
                <w:color w:val="auto"/>
              </w:rPr>
            </w:pPr>
            <w:r>
              <w:rPr>
                <w:rFonts w:ascii="MS PGothic" w:cs="MS PGothic" w:eastAsia="MS PGothic" w:hAnsi="MS PGothic"/>
                <w:sz w:val="16"/>
                <w:szCs w:val="16"/>
                <w:color w:val="FFFFFF"/>
              </w:rPr>
              <w:t>✓</w:t>
            </w:r>
          </w:p>
        </w:tc>
        <w:tc>
          <w:tcPr>
            <w:tcW w:w="2660" w:type="dxa"/>
            <w:vAlign w:val="bottom"/>
          </w:tcPr>
          <w:p>
            <w:pPr>
              <w:ind w:left="140"/>
              <w:spacing w:after="0"/>
              <w:rPr>
                <w:sz w:val="20"/>
                <w:szCs w:val="20"/>
                <w:color w:val="auto"/>
              </w:rPr>
            </w:pPr>
            <w:r>
              <w:rPr>
                <w:rFonts w:ascii="Arial" w:cs="Arial" w:eastAsia="Arial" w:hAnsi="Arial"/>
                <w:sz w:val="16"/>
                <w:szCs w:val="16"/>
                <w:color w:val="auto"/>
              </w:rPr>
              <w:t>Presiding Independent Director</w:t>
            </w:r>
          </w:p>
        </w:tc>
        <w:tc>
          <w:tcPr>
            <w:tcW w:w="7820" w:type="dxa"/>
            <w:vAlign w:val="bottom"/>
            <w:gridSpan w:val="2"/>
            <w:shd w:val="clear" w:color="auto" w:fill="0070C0"/>
          </w:tcPr>
          <w:p>
            <w:pPr>
              <w:ind w:left="100"/>
              <w:spacing w:after="0"/>
              <w:rPr>
                <w:sz w:val="20"/>
                <w:szCs w:val="20"/>
                <w:color w:val="auto"/>
              </w:rPr>
            </w:pPr>
            <w:r>
              <w:rPr>
                <w:rFonts w:ascii="Arial" w:cs="Arial" w:eastAsia="Arial" w:hAnsi="Arial"/>
                <w:sz w:val="16"/>
                <w:szCs w:val="16"/>
                <w:color w:val="FFFFFF"/>
              </w:rPr>
              <w:t>We have a Presiding Independent Director with duties set forth in our Corporate Governance Guidelines,</w:t>
            </w:r>
          </w:p>
        </w:tc>
      </w:tr>
      <w:tr>
        <w:trPr>
          <w:trHeight w:val="189"/>
        </w:trPr>
        <w:tc>
          <w:tcPr>
            <w:tcW w:w="540" w:type="dxa"/>
            <w:vAlign w:val="bottom"/>
            <w:shd w:val="clear" w:color="auto" w:fill="0070C0"/>
          </w:tcPr>
          <w:p>
            <w:pPr>
              <w:spacing w:after="0"/>
              <w:rPr>
                <w:sz w:val="16"/>
                <w:szCs w:val="16"/>
                <w:color w:val="auto"/>
              </w:rPr>
            </w:pPr>
          </w:p>
        </w:tc>
        <w:tc>
          <w:tcPr>
            <w:tcW w:w="2660" w:type="dxa"/>
            <w:vAlign w:val="bottom"/>
          </w:tcPr>
          <w:p>
            <w:pPr>
              <w:spacing w:after="0"/>
              <w:rPr>
                <w:sz w:val="16"/>
                <w:szCs w:val="16"/>
                <w:color w:val="auto"/>
              </w:rPr>
            </w:pPr>
          </w:p>
        </w:tc>
        <w:tc>
          <w:tcPr>
            <w:tcW w:w="7820" w:type="dxa"/>
            <w:vAlign w:val="bottom"/>
            <w:gridSpan w:val="2"/>
            <w:shd w:val="clear" w:color="auto" w:fill="0070C0"/>
          </w:tcPr>
          <w:p>
            <w:pPr>
              <w:ind w:left="100"/>
              <w:spacing w:after="0"/>
              <w:rPr>
                <w:sz w:val="20"/>
                <w:szCs w:val="20"/>
                <w:color w:val="auto"/>
              </w:rPr>
            </w:pPr>
            <w:r>
              <w:rPr>
                <w:rFonts w:ascii="Arial" w:cs="Arial" w:eastAsia="Arial" w:hAnsi="Arial"/>
                <w:sz w:val="16"/>
                <w:szCs w:val="16"/>
                <w:color w:val="FFFFFF"/>
              </w:rPr>
              <w:t>including leading regular executive sessions of the Board, where independent directors meet without</w:t>
            </w:r>
          </w:p>
        </w:tc>
      </w:tr>
      <w:tr>
        <w:trPr>
          <w:trHeight w:val="237"/>
        </w:trPr>
        <w:tc>
          <w:tcPr>
            <w:tcW w:w="540" w:type="dxa"/>
            <w:vAlign w:val="bottom"/>
            <w:tcBorders>
              <w:bottom w:val="single" w:sz="8" w:color="0070C0"/>
            </w:tcBorders>
            <w:shd w:val="clear" w:color="auto" w:fill="0070C0"/>
          </w:tcPr>
          <w:p>
            <w:pPr>
              <w:spacing w:after="0"/>
              <w:rPr>
                <w:sz w:val="20"/>
                <w:szCs w:val="20"/>
                <w:color w:val="auto"/>
              </w:rPr>
            </w:pPr>
          </w:p>
        </w:tc>
        <w:tc>
          <w:tcPr>
            <w:tcW w:w="2660" w:type="dxa"/>
            <w:vAlign w:val="bottom"/>
            <w:tcBorders>
              <w:bottom w:val="single" w:sz="8" w:color="002060"/>
            </w:tcBorders>
          </w:tcPr>
          <w:p>
            <w:pPr>
              <w:spacing w:after="0"/>
              <w:rPr>
                <w:sz w:val="20"/>
                <w:szCs w:val="20"/>
                <w:color w:val="auto"/>
              </w:rPr>
            </w:pPr>
          </w:p>
        </w:tc>
        <w:tc>
          <w:tcPr>
            <w:tcW w:w="7820" w:type="dxa"/>
            <w:vAlign w:val="bottom"/>
            <w:tcBorders>
              <w:bottom w:val="single" w:sz="8" w:color="0070C0"/>
            </w:tcBorders>
            <w:gridSpan w:val="2"/>
            <w:shd w:val="clear" w:color="auto" w:fill="0070C0"/>
          </w:tcPr>
          <w:p>
            <w:pPr>
              <w:ind w:left="100"/>
              <w:spacing w:after="0"/>
              <w:rPr>
                <w:sz w:val="20"/>
                <w:szCs w:val="20"/>
                <w:color w:val="auto"/>
              </w:rPr>
            </w:pPr>
            <w:r>
              <w:rPr>
                <w:rFonts w:ascii="Arial" w:cs="Arial" w:eastAsia="Arial" w:hAnsi="Arial"/>
                <w:sz w:val="16"/>
                <w:szCs w:val="16"/>
                <w:color w:val="FFFFFF"/>
              </w:rPr>
              <w:t>management present after every regular Board meeting.</w:t>
            </w:r>
          </w:p>
        </w:tc>
      </w:tr>
      <w:tr>
        <w:trPr>
          <w:trHeight w:val="188"/>
        </w:trPr>
        <w:tc>
          <w:tcPr>
            <w:tcW w:w="540" w:type="dxa"/>
            <w:vAlign w:val="bottom"/>
            <w:shd w:val="clear" w:color="auto" w:fill="0070C0"/>
          </w:tcPr>
          <w:p>
            <w:pPr>
              <w:ind w:left="200"/>
              <w:spacing w:after="0" w:line="161" w:lineRule="exact"/>
              <w:rPr>
                <w:sz w:val="20"/>
                <w:szCs w:val="20"/>
                <w:color w:val="auto"/>
              </w:rPr>
            </w:pPr>
            <w:r>
              <w:rPr>
                <w:rFonts w:ascii="MS PGothic" w:cs="MS PGothic" w:eastAsia="MS PGothic" w:hAnsi="MS PGothic"/>
                <w:sz w:val="16"/>
                <w:szCs w:val="16"/>
                <w:color w:val="FFFFFF"/>
              </w:rPr>
              <w:t>✓</w:t>
            </w:r>
          </w:p>
        </w:tc>
        <w:tc>
          <w:tcPr>
            <w:tcW w:w="2660" w:type="dxa"/>
            <w:vAlign w:val="bottom"/>
          </w:tcPr>
          <w:p>
            <w:pPr>
              <w:ind w:left="140"/>
              <w:spacing w:after="0"/>
              <w:rPr>
                <w:sz w:val="20"/>
                <w:szCs w:val="20"/>
                <w:color w:val="auto"/>
              </w:rPr>
            </w:pPr>
            <w:r>
              <w:rPr>
                <w:rFonts w:ascii="Arial" w:cs="Arial" w:eastAsia="Arial" w:hAnsi="Arial"/>
                <w:sz w:val="16"/>
                <w:szCs w:val="16"/>
                <w:color w:val="auto"/>
              </w:rPr>
              <w:t>Annual Board and committee self-</w:t>
            </w:r>
          </w:p>
        </w:tc>
        <w:tc>
          <w:tcPr>
            <w:tcW w:w="7820" w:type="dxa"/>
            <w:vAlign w:val="bottom"/>
            <w:gridSpan w:val="2"/>
            <w:shd w:val="clear" w:color="auto" w:fill="0070C0"/>
          </w:tcPr>
          <w:p>
            <w:pPr>
              <w:ind w:left="100"/>
              <w:spacing w:after="0"/>
              <w:rPr>
                <w:sz w:val="20"/>
                <w:szCs w:val="20"/>
                <w:color w:val="auto"/>
              </w:rPr>
            </w:pPr>
            <w:r>
              <w:rPr>
                <w:rFonts w:ascii="Arial" w:cs="Arial" w:eastAsia="Arial" w:hAnsi="Arial"/>
                <w:sz w:val="16"/>
                <w:szCs w:val="16"/>
                <w:color w:val="FFFFFF"/>
              </w:rPr>
              <w:t>The Board conducts an annual self-assessment of both the Board and its committees to assess the</w:t>
            </w:r>
          </w:p>
        </w:tc>
      </w:tr>
      <w:tr>
        <w:trPr>
          <w:trHeight w:val="237"/>
        </w:trPr>
        <w:tc>
          <w:tcPr>
            <w:tcW w:w="540" w:type="dxa"/>
            <w:vAlign w:val="bottom"/>
            <w:tcBorders>
              <w:bottom w:val="single" w:sz="8" w:color="0070C0"/>
            </w:tcBorders>
            <w:shd w:val="clear" w:color="auto" w:fill="0070C0"/>
          </w:tcPr>
          <w:p>
            <w:pPr>
              <w:spacing w:after="0"/>
              <w:rPr>
                <w:sz w:val="20"/>
                <w:szCs w:val="20"/>
                <w:color w:val="auto"/>
              </w:rPr>
            </w:pPr>
          </w:p>
        </w:tc>
        <w:tc>
          <w:tcPr>
            <w:tcW w:w="2660" w:type="dxa"/>
            <w:vAlign w:val="bottom"/>
            <w:tcBorders>
              <w:bottom w:val="single" w:sz="8" w:color="002060"/>
            </w:tcBorders>
          </w:tcPr>
          <w:p>
            <w:pPr>
              <w:ind w:left="140"/>
              <w:spacing w:after="0"/>
              <w:rPr>
                <w:sz w:val="20"/>
                <w:szCs w:val="20"/>
                <w:color w:val="auto"/>
              </w:rPr>
            </w:pPr>
            <w:r>
              <w:rPr>
                <w:rFonts w:ascii="Arial" w:cs="Arial" w:eastAsia="Arial" w:hAnsi="Arial"/>
                <w:sz w:val="16"/>
                <w:szCs w:val="16"/>
                <w:color w:val="auto"/>
              </w:rPr>
              <w:t>assessment</w:t>
            </w:r>
          </w:p>
        </w:tc>
        <w:tc>
          <w:tcPr>
            <w:tcW w:w="7820" w:type="dxa"/>
            <w:vAlign w:val="bottom"/>
            <w:tcBorders>
              <w:bottom w:val="single" w:sz="8" w:color="0070C0"/>
            </w:tcBorders>
            <w:gridSpan w:val="2"/>
            <w:shd w:val="clear" w:color="auto" w:fill="0070C0"/>
          </w:tcPr>
          <w:p>
            <w:pPr>
              <w:ind w:left="100"/>
              <w:spacing w:after="0"/>
              <w:rPr>
                <w:sz w:val="20"/>
                <w:szCs w:val="20"/>
                <w:color w:val="auto"/>
              </w:rPr>
            </w:pPr>
            <w:r>
              <w:rPr>
                <w:rFonts w:ascii="Arial" w:cs="Arial" w:eastAsia="Arial" w:hAnsi="Arial"/>
                <w:sz w:val="16"/>
                <w:szCs w:val="16"/>
                <w:color w:val="FFFFFF"/>
              </w:rPr>
              <w:t>functioning and effectiveness of the Board, the committees and the directors.</w:t>
            </w:r>
          </w:p>
        </w:tc>
      </w:tr>
      <w:tr>
        <w:trPr>
          <w:trHeight w:val="250"/>
        </w:trPr>
        <w:tc>
          <w:tcPr>
            <w:tcW w:w="540" w:type="dxa"/>
            <w:vAlign w:val="bottom"/>
            <w:tcBorders>
              <w:bottom w:val="single" w:sz="8" w:color="0070C0"/>
            </w:tcBorders>
            <w:shd w:val="clear" w:color="auto" w:fill="0070C0"/>
          </w:tcPr>
          <w:p>
            <w:pPr>
              <w:ind w:left="200"/>
              <w:spacing w:after="0" w:line="161" w:lineRule="exact"/>
              <w:rPr>
                <w:sz w:val="20"/>
                <w:szCs w:val="20"/>
                <w:color w:val="auto"/>
              </w:rPr>
            </w:pPr>
            <w:r>
              <w:rPr>
                <w:rFonts w:ascii="MS PGothic" w:cs="MS PGothic" w:eastAsia="MS PGothic" w:hAnsi="MS PGothic"/>
                <w:sz w:val="16"/>
                <w:szCs w:val="16"/>
                <w:color w:val="FFFFFF"/>
              </w:rPr>
              <w:t>✓</w:t>
            </w:r>
          </w:p>
        </w:tc>
        <w:tc>
          <w:tcPr>
            <w:tcW w:w="2660" w:type="dxa"/>
            <w:vAlign w:val="bottom"/>
            <w:tcBorders>
              <w:bottom w:val="single" w:sz="8" w:color="002060"/>
            </w:tcBorders>
          </w:tcPr>
          <w:p>
            <w:pPr>
              <w:ind w:left="140"/>
              <w:spacing w:after="0"/>
              <w:rPr>
                <w:sz w:val="20"/>
                <w:szCs w:val="20"/>
                <w:color w:val="auto"/>
              </w:rPr>
            </w:pPr>
            <w:r>
              <w:rPr>
                <w:rFonts w:ascii="Arial" w:cs="Arial" w:eastAsia="Arial" w:hAnsi="Arial"/>
                <w:sz w:val="16"/>
                <w:szCs w:val="16"/>
                <w:color w:val="auto"/>
              </w:rPr>
              <w:t>Stockholder engagement</w:t>
            </w:r>
          </w:p>
        </w:tc>
        <w:tc>
          <w:tcPr>
            <w:tcW w:w="7820" w:type="dxa"/>
            <w:vAlign w:val="bottom"/>
            <w:tcBorders>
              <w:bottom w:val="single" w:sz="8" w:color="0070C0"/>
            </w:tcBorders>
            <w:gridSpan w:val="2"/>
            <w:shd w:val="clear" w:color="auto" w:fill="0070C0"/>
          </w:tcPr>
          <w:p>
            <w:pPr>
              <w:ind w:left="100"/>
              <w:spacing w:after="0"/>
              <w:rPr>
                <w:sz w:val="20"/>
                <w:szCs w:val="20"/>
                <w:color w:val="auto"/>
              </w:rPr>
            </w:pPr>
            <w:r>
              <w:rPr>
                <w:rFonts w:ascii="Arial" w:cs="Arial" w:eastAsia="Arial" w:hAnsi="Arial"/>
                <w:sz w:val="16"/>
                <w:szCs w:val="16"/>
                <w:color w:val="FFFFFF"/>
              </w:rPr>
              <w:t>We regularly engage with our stockholders for feedback and to better understand their perspectives.</w:t>
            </w:r>
          </w:p>
        </w:tc>
      </w:tr>
      <w:tr>
        <w:trPr>
          <w:trHeight w:val="188"/>
        </w:trPr>
        <w:tc>
          <w:tcPr>
            <w:tcW w:w="540" w:type="dxa"/>
            <w:vAlign w:val="bottom"/>
            <w:shd w:val="clear" w:color="auto" w:fill="0070C0"/>
          </w:tcPr>
          <w:p>
            <w:pPr>
              <w:ind w:left="200"/>
              <w:spacing w:after="0" w:line="161" w:lineRule="exact"/>
              <w:rPr>
                <w:sz w:val="20"/>
                <w:szCs w:val="20"/>
                <w:color w:val="auto"/>
              </w:rPr>
            </w:pPr>
            <w:r>
              <w:rPr>
                <w:rFonts w:ascii="MS PGothic" w:cs="MS PGothic" w:eastAsia="MS PGothic" w:hAnsi="MS PGothic"/>
                <w:sz w:val="16"/>
                <w:szCs w:val="16"/>
                <w:color w:val="FFFFFF"/>
              </w:rPr>
              <w:t>✓</w:t>
            </w:r>
          </w:p>
        </w:tc>
        <w:tc>
          <w:tcPr>
            <w:tcW w:w="2660" w:type="dxa"/>
            <w:vAlign w:val="bottom"/>
          </w:tcPr>
          <w:p>
            <w:pPr>
              <w:ind w:left="140"/>
              <w:spacing w:after="0"/>
              <w:rPr>
                <w:sz w:val="20"/>
                <w:szCs w:val="20"/>
                <w:color w:val="auto"/>
              </w:rPr>
            </w:pPr>
            <w:r>
              <w:rPr>
                <w:rFonts w:ascii="Arial" w:cs="Arial" w:eastAsia="Arial" w:hAnsi="Arial"/>
                <w:sz w:val="16"/>
                <w:szCs w:val="16"/>
                <w:color w:val="auto"/>
              </w:rPr>
              <w:t>Code of Business Conduct and</w:t>
            </w:r>
          </w:p>
        </w:tc>
        <w:tc>
          <w:tcPr>
            <w:tcW w:w="7820" w:type="dxa"/>
            <w:vAlign w:val="bottom"/>
            <w:gridSpan w:val="2"/>
            <w:shd w:val="clear" w:color="auto" w:fill="0070C0"/>
          </w:tcPr>
          <w:p>
            <w:pPr>
              <w:ind w:left="100"/>
              <w:spacing w:after="0"/>
              <w:rPr>
                <w:sz w:val="20"/>
                <w:szCs w:val="20"/>
                <w:color w:val="auto"/>
              </w:rPr>
            </w:pPr>
            <w:r>
              <w:rPr>
                <w:rFonts w:ascii="Arial" w:cs="Arial" w:eastAsia="Arial" w:hAnsi="Arial"/>
                <w:sz w:val="16"/>
                <w:szCs w:val="16"/>
                <w:color w:val="FFFFFF"/>
              </w:rPr>
              <w:t>Our Code of Business Conduct and Ethics applies to all directors, officers and employees, and reinforces</w:t>
            </w:r>
          </w:p>
        </w:tc>
      </w:tr>
      <w:tr>
        <w:trPr>
          <w:trHeight w:val="237"/>
        </w:trPr>
        <w:tc>
          <w:tcPr>
            <w:tcW w:w="540" w:type="dxa"/>
            <w:vAlign w:val="bottom"/>
            <w:tcBorders>
              <w:bottom w:val="single" w:sz="8" w:color="0070C0"/>
            </w:tcBorders>
            <w:shd w:val="clear" w:color="auto" w:fill="0070C0"/>
          </w:tcPr>
          <w:p>
            <w:pPr>
              <w:spacing w:after="0"/>
              <w:rPr>
                <w:sz w:val="20"/>
                <w:szCs w:val="20"/>
                <w:color w:val="auto"/>
              </w:rPr>
            </w:pPr>
          </w:p>
        </w:tc>
        <w:tc>
          <w:tcPr>
            <w:tcW w:w="2660" w:type="dxa"/>
            <w:vAlign w:val="bottom"/>
            <w:tcBorders>
              <w:bottom w:val="single" w:sz="8" w:color="002060"/>
            </w:tcBorders>
          </w:tcPr>
          <w:p>
            <w:pPr>
              <w:ind w:left="140"/>
              <w:spacing w:after="0"/>
              <w:rPr>
                <w:sz w:val="20"/>
                <w:szCs w:val="20"/>
                <w:color w:val="auto"/>
              </w:rPr>
            </w:pPr>
            <w:r>
              <w:rPr>
                <w:rFonts w:ascii="Arial" w:cs="Arial" w:eastAsia="Arial" w:hAnsi="Arial"/>
                <w:sz w:val="16"/>
                <w:szCs w:val="16"/>
                <w:color w:val="auto"/>
              </w:rPr>
              <w:t>Ethics</w:t>
            </w:r>
          </w:p>
        </w:tc>
        <w:tc>
          <w:tcPr>
            <w:tcW w:w="7820" w:type="dxa"/>
            <w:vAlign w:val="bottom"/>
            <w:tcBorders>
              <w:bottom w:val="single" w:sz="8" w:color="0070C0"/>
            </w:tcBorders>
            <w:gridSpan w:val="2"/>
            <w:shd w:val="clear" w:color="auto" w:fill="0070C0"/>
          </w:tcPr>
          <w:p>
            <w:pPr>
              <w:ind w:left="100"/>
              <w:spacing w:after="0"/>
              <w:rPr>
                <w:sz w:val="20"/>
                <w:szCs w:val="20"/>
                <w:color w:val="auto"/>
              </w:rPr>
            </w:pPr>
            <w:r>
              <w:rPr>
                <w:rFonts w:ascii="Arial" w:cs="Arial" w:eastAsia="Arial" w:hAnsi="Arial"/>
                <w:sz w:val="16"/>
                <w:szCs w:val="16"/>
                <w:color w:val="FFFFFF"/>
              </w:rPr>
              <w:t>our culture of ethical conduct and accountability.</w:t>
            </w:r>
          </w:p>
        </w:tc>
      </w:tr>
      <w:tr>
        <w:trPr>
          <w:trHeight w:val="188"/>
        </w:trPr>
        <w:tc>
          <w:tcPr>
            <w:tcW w:w="540" w:type="dxa"/>
            <w:vAlign w:val="bottom"/>
            <w:shd w:val="clear" w:color="auto" w:fill="0070C0"/>
          </w:tcPr>
          <w:p>
            <w:pPr>
              <w:ind w:left="200"/>
              <w:spacing w:after="0" w:line="161" w:lineRule="exact"/>
              <w:rPr>
                <w:sz w:val="20"/>
                <w:szCs w:val="20"/>
                <w:color w:val="auto"/>
              </w:rPr>
            </w:pPr>
            <w:r>
              <w:rPr>
                <w:rFonts w:ascii="MS PGothic" w:cs="MS PGothic" w:eastAsia="MS PGothic" w:hAnsi="MS PGothic"/>
                <w:sz w:val="16"/>
                <w:szCs w:val="16"/>
                <w:color w:val="FFFFFF"/>
              </w:rPr>
              <w:t>✓</w:t>
            </w:r>
          </w:p>
        </w:tc>
        <w:tc>
          <w:tcPr>
            <w:tcW w:w="2660" w:type="dxa"/>
            <w:vAlign w:val="bottom"/>
          </w:tcPr>
          <w:p>
            <w:pPr>
              <w:ind w:left="140"/>
              <w:spacing w:after="0"/>
              <w:rPr>
                <w:sz w:val="20"/>
                <w:szCs w:val="20"/>
                <w:color w:val="auto"/>
              </w:rPr>
            </w:pPr>
            <w:r>
              <w:rPr>
                <w:rFonts w:ascii="Arial" w:cs="Arial" w:eastAsia="Arial" w:hAnsi="Arial"/>
                <w:sz w:val="16"/>
                <w:szCs w:val="16"/>
                <w:color w:val="auto"/>
              </w:rPr>
              <w:t>Clawback policy</w:t>
            </w:r>
          </w:p>
        </w:tc>
        <w:tc>
          <w:tcPr>
            <w:tcW w:w="7820" w:type="dxa"/>
            <w:vAlign w:val="bottom"/>
            <w:gridSpan w:val="2"/>
            <w:shd w:val="clear" w:color="auto" w:fill="0070C0"/>
          </w:tcPr>
          <w:p>
            <w:pPr>
              <w:ind w:left="100"/>
              <w:spacing w:after="0"/>
              <w:rPr>
                <w:sz w:val="20"/>
                <w:szCs w:val="20"/>
                <w:color w:val="auto"/>
              </w:rPr>
            </w:pPr>
            <w:r>
              <w:rPr>
                <w:rFonts w:ascii="Arial" w:cs="Arial" w:eastAsia="Arial" w:hAnsi="Arial"/>
                <w:sz w:val="16"/>
                <w:szCs w:val="16"/>
                <w:color w:val="FFFFFF"/>
              </w:rPr>
              <w:t>We maintain a clawback policy applicable to our executive officers, which provides for the recoupment of</w:t>
            </w:r>
          </w:p>
        </w:tc>
      </w:tr>
      <w:tr>
        <w:trPr>
          <w:trHeight w:val="237"/>
        </w:trPr>
        <w:tc>
          <w:tcPr>
            <w:tcW w:w="540" w:type="dxa"/>
            <w:vAlign w:val="bottom"/>
            <w:tcBorders>
              <w:bottom w:val="single" w:sz="8" w:color="0070C0"/>
            </w:tcBorders>
            <w:shd w:val="clear" w:color="auto" w:fill="0070C0"/>
          </w:tcPr>
          <w:p>
            <w:pPr>
              <w:spacing w:after="0"/>
              <w:rPr>
                <w:sz w:val="20"/>
                <w:szCs w:val="20"/>
                <w:color w:val="auto"/>
              </w:rPr>
            </w:pPr>
          </w:p>
        </w:tc>
        <w:tc>
          <w:tcPr>
            <w:tcW w:w="2660" w:type="dxa"/>
            <w:vAlign w:val="bottom"/>
            <w:tcBorders>
              <w:bottom w:val="single" w:sz="8" w:color="002060"/>
            </w:tcBorders>
          </w:tcPr>
          <w:p>
            <w:pPr>
              <w:spacing w:after="0"/>
              <w:rPr>
                <w:sz w:val="20"/>
                <w:szCs w:val="20"/>
                <w:color w:val="auto"/>
              </w:rPr>
            </w:pPr>
          </w:p>
        </w:tc>
        <w:tc>
          <w:tcPr>
            <w:tcW w:w="7820" w:type="dxa"/>
            <w:vAlign w:val="bottom"/>
            <w:tcBorders>
              <w:bottom w:val="single" w:sz="8" w:color="0070C0"/>
            </w:tcBorders>
            <w:gridSpan w:val="2"/>
            <w:shd w:val="clear" w:color="auto" w:fill="0070C0"/>
          </w:tcPr>
          <w:p>
            <w:pPr>
              <w:ind w:left="100"/>
              <w:spacing w:after="0"/>
              <w:rPr>
                <w:sz w:val="20"/>
                <w:szCs w:val="20"/>
                <w:color w:val="auto"/>
              </w:rPr>
            </w:pPr>
            <w:r>
              <w:rPr>
                <w:rFonts w:ascii="Arial" w:cs="Arial" w:eastAsia="Arial" w:hAnsi="Arial"/>
                <w:sz w:val="16"/>
                <w:szCs w:val="16"/>
                <w:color w:val="FFFFFF"/>
              </w:rPr>
              <w:t>incentive and other compensation in the event of a financial restatement under specified circumstances.</w:t>
            </w:r>
          </w:p>
        </w:tc>
      </w:tr>
      <w:tr>
        <w:trPr>
          <w:trHeight w:val="188"/>
        </w:trPr>
        <w:tc>
          <w:tcPr>
            <w:tcW w:w="540" w:type="dxa"/>
            <w:vAlign w:val="bottom"/>
            <w:shd w:val="clear" w:color="auto" w:fill="0070C0"/>
          </w:tcPr>
          <w:p>
            <w:pPr>
              <w:ind w:left="200"/>
              <w:spacing w:after="0" w:line="161" w:lineRule="exact"/>
              <w:rPr>
                <w:sz w:val="20"/>
                <w:szCs w:val="20"/>
                <w:color w:val="auto"/>
              </w:rPr>
            </w:pPr>
            <w:r>
              <w:rPr>
                <w:rFonts w:ascii="MS PGothic" w:cs="MS PGothic" w:eastAsia="MS PGothic" w:hAnsi="MS PGothic"/>
                <w:sz w:val="16"/>
                <w:szCs w:val="16"/>
                <w:color w:val="FFFFFF"/>
              </w:rPr>
              <w:t>✓</w:t>
            </w:r>
          </w:p>
        </w:tc>
        <w:tc>
          <w:tcPr>
            <w:tcW w:w="2660" w:type="dxa"/>
            <w:vAlign w:val="bottom"/>
          </w:tcPr>
          <w:p>
            <w:pPr>
              <w:ind w:left="140"/>
              <w:spacing w:after="0"/>
              <w:rPr>
                <w:sz w:val="20"/>
                <w:szCs w:val="20"/>
                <w:color w:val="auto"/>
              </w:rPr>
            </w:pPr>
            <w:r>
              <w:rPr>
                <w:rFonts w:ascii="Arial" w:cs="Arial" w:eastAsia="Arial" w:hAnsi="Arial"/>
                <w:sz w:val="16"/>
                <w:szCs w:val="16"/>
                <w:color w:val="auto"/>
              </w:rPr>
              <w:t>Equity ownership requirements</w:t>
            </w:r>
          </w:p>
        </w:tc>
        <w:tc>
          <w:tcPr>
            <w:tcW w:w="7820" w:type="dxa"/>
            <w:vAlign w:val="bottom"/>
            <w:gridSpan w:val="2"/>
            <w:shd w:val="clear" w:color="auto" w:fill="0070C0"/>
          </w:tcPr>
          <w:p>
            <w:pPr>
              <w:ind w:left="100"/>
              <w:spacing w:after="0"/>
              <w:rPr>
                <w:sz w:val="20"/>
                <w:szCs w:val="20"/>
                <w:color w:val="auto"/>
              </w:rPr>
            </w:pPr>
            <w:r>
              <w:rPr>
                <w:rFonts w:ascii="Arial" w:cs="Arial" w:eastAsia="Arial" w:hAnsi="Arial"/>
                <w:sz w:val="16"/>
                <w:szCs w:val="16"/>
                <w:color w:val="FFFFFF"/>
              </w:rPr>
              <w:t>Each executive officer is required to hold Company stock with a value equal to a multiple of his salary, and</w:t>
            </w:r>
          </w:p>
        </w:tc>
      </w:tr>
      <w:tr>
        <w:trPr>
          <w:trHeight w:val="189"/>
        </w:trPr>
        <w:tc>
          <w:tcPr>
            <w:tcW w:w="540" w:type="dxa"/>
            <w:vAlign w:val="bottom"/>
            <w:shd w:val="clear" w:color="auto" w:fill="0070C0"/>
          </w:tcPr>
          <w:p>
            <w:pPr>
              <w:spacing w:after="0"/>
              <w:rPr>
                <w:sz w:val="16"/>
                <w:szCs w:val="16"/>
                <w:color w:val="auto"/>
              </w:rPr>
            </w:pPr>
          </w:p>
        </w:tc>
        <w:tc>
          <w:tcPr>
            <w:tcW w:w="2660" w:type="dxa"/>
            <w:vAlign w:val="bottom"/>
          </w:tcPr>
          <w:p>
            <w:pPr>
              <w:spacing w:after="0"/>
              <w:rPr>
                <w:sz w:val="16"/>
                <w:szCs w:val="16"/>
                <w:color w:val="auto"/>
              </w:rPr>
            </w:pPr>
          </w:p>
        </w:tc>
        <w:tc>
          <w:tcPr>
            <w:tcW w:w="7820" w:type="dxa"/>
            <w:vAlign w:val="bottom"/>
            <w:gridSpan w:val="2"/>
            <w:shd w:val="clear" w:color="auto" w:fill="0070C0"/>
          </w:tcPr>
          <w:p>
            <w:pPr>
              <w:ind w:left="100"/>
              <w:spacing w:after="0"/>
              <w:rPr>
                <w:sz w:val="20"/>
                <w:szCs w:val="20"/>
                <w:color w:val="auto"/>
              </w:rPr>
            </w:pPr>
            <w:r>
              <w:rPr>
                <w:rFonts w:ascii="Arial" w:cs="Arial" w:eastAsia="Arial" w:hAnsi="Arial"/>
                <w:sz w:val="16"/>
                <w:szCs w:val="16"/>
                <w:color w:val="FFFFFF"/>
              </w:rPr>
              <w:t>each non-employee director is required to hold Company stock having a fair market value equal to the</w:t>
            </w:r>
          </w:p>
        </w:tc>
      </w:tr>
      <w:tr>
        <w:trPr>
          <w:trHeight w:val="189"/>
        </w:trPr>
        <w:tc>
          <w:tcPr>
            <w:tcW w:w="540" w:type="dxa"/>
            <w:vAlign w:val="bottom"/>
            <w:shd w:val="clear" w:color="auto" w:fill="0070C0"/>
          </w:tcPr>
          <w:p>
            <w:pPr>
              <w:spacing w:after="0"/>
              <w:rPr>
                <w:sz w:val="16"/>
                <w:szCs w:val="16"/>
                <w:color w:val="auto"/>
              </w:rPr>
            </w:pPr>
          </w:p>
        </w:tc>
        <w:tc>
          <w:tcPr>
            <w:tcW w:w="2660" w:type="dxa"/>
            <w:vAlign w:val="bottom"/>
          </w:tcPr>
          <w:p>
            <w:pPr>
              <w:spacing w:after="0"/>
              <w:rPr>
                <w:sz w:val="16"/>
                <w:szCs w:val="16"/>
                <w:color w:val="auto"/>
              </w:rPr>
            </w:pPr>
          </w:p>
        </w:tc>
        <w:tc>
          <w:tcPr>
            <w:tcW w:w="7820" w:type="dxa"/>
            <w:vAlign w:val="bottom"/>
            <w:gridSpan w:val="2"/>
            <w:shd w:val="clear" w:color="auto" w:fill="0070C0"/>
          </w:tcPr>
          <w:p>
            <w:pPr>
              <w:ind w:left="100"/>
              <w:spacing w:after="0"/>
              <w:rPr>
                <w:sz w:val="20"/>
                <w:szCs w:val="20"/>
                <w:color w:val="auto"/>
              </w:rPr>
            </w:pPr>
            <w:r>
              <w:rPr>
                <w:rFonts w:ascii="Arial" w:cs="Arial" w:eastAsia="Arial" w:hAnsi="Arial"/>
                <w:sz w:val="16"/>
                <w:szCs w:val="16"/>
                <w:color w:val="FFFFFF"/>
              </w:rPr>
              <w:t>greater of $210,000 or three times annual cash retainer (excluding committee and Presiding Independent</w:t>
            </w:r>
          </w:p>
        </w:tc>
      </w:tr>
      <w:tr>
        <w:trPr>
          <w:trHeight w:val="237"/>
        </w:trPr>
        <w:tc>
          <w:tcPr>
            <w:tcW w:w="540" w:type="dxa"/>
            <w:vAlign w:val="bottom"/>
            <w:tcBorders>
              <w:bottom w:val="single" w:sz="8" w:color="0070C0"/>
            </w:tcBorders>
            <w:shd w:val="clear" w:color="auto" w:fill="0070C0"/>
          </w:tcPr>
          <w:p>
            <w:pPr>
              <w:spacing w:after="0"/>
              <w:rPr>
                <w:sz w:val="20"/>
                <w:szCs w:val="20"/>
                <w:color w:val="auto"/>
              </w:rPr>
            </w:pPr>
          </w:p>
        </w:tc>
        <w:tc>
          <w:tcPr>
            <w:tcW w:w="2660" w:type="dxa"/>
            <w:vAlign w:val="bottom"/>
            <w:tcBorders>
              <w:bottom w:val="single" w:sz="8" w:color="002060"/>
            </w:tcBorders>
          </w:tcPr>
          <w:p>
            <w:pPr>
              <w:spacing w:after="0"/>
              <w:rPr>
                <w:sz w:val="20"/>
                <w:szCs w:val="20"/>
                <w:color w:val="auto"/>
              </w:rPr>
            </w:pPr>
          </w:p>
        </w:tc>
        <w:tc>
          <w:tcPr>
            <w:tcW w:w="7820" w:type="dxa"/>
            <w:vAlign w:val="bottom"/>
            <w:tcBorders>
              <w:bottom w:val="single" w:sz="8" w:color="0070C0"/>
            </w:tcBorders>
            <w:gridSpan w:val="2"/>
            <w:shd w:val="clear" w:color="auto" w:fill="0070C0"/>
          </w:tcPr>
          <w:p>
            <w:pPr>
              <w:ind w:left="100"/>
              <w:spacing w:after="0"/>
              <w:rPr>
                <w:sz w:val="20"/>
                <w:szCs w:val="20"/>
                <w:color w:val="auto"/>
              </w:rPr>
            </w:pPr>
            <w:r>
              <w:rPr>
                <w:rFonts w:ascii="Arial" w:cs="Arial" w:eastAsia="Arial" w:hAnsi="Arial"/>
                <w:sz w:val="16"/>
                <w:szCs w:val="16"/>
                <w:color w:val="FFFFFF"/>
              </w:rPr>
              <w:t>Director retainers).</w:t>
            </w:r>
          </w:p>
        </w:tc>
      </w:tr>
      <w:tr>
        <w:trPr>
          <w:trHeight w:val="188"/>
        </w:trPr>
        <w:tc>
          <w:tcPr>
            <w:tcW w:w="540" w:type="dxa"/>
            <w:vAlign w:val="bottom"/>
            <w:shd w:val="clear" w:color="auto" w:fill="0070C0"/>
          </w:tcPr>
          <w:p>
            <w:pPr>
              <w:ind w:left="200"/>
              <w:spacing w:after="0" w:line="161" w:lineRule="exact"/>
              <w:rPr>
                <w:sz w:val="20"/>
                <w:szCs w:val="20"/>
                <w:color w:val="auto"/>
              </w:rPr>
            </w:pPr>
            <w:r>
              <w:rPr>
                <w:rFonts w:ascii="MS PGothic" w:cs="MS PGothic" w:eastAsia="MS PGothic" w:hAnsi="MS PGothic"/>
                <w:sz w:val="16"/>
                <w:szCs w:val="16"/>
                <w:color w:val="FFFFFF"/>
              </w:rPr>
              <w:t>✓</w:t>
            </w:r>
          </w:p>
        </w:tc>
        <w:tc>
          <w:tcPr>
            <w:tcW w:w="2660" w:type="dxa"/>
            <w:vAlign w:val="bottom"/>
          </w:tcPr>
          <w:p>
            <w:pPr>
              <w:ind w:left="140"/>
              <w:spacing w:after="0"/>
              <w:rPr>
                <w:sz w:val="20"/>
                <w:szCs w:val="20"/>
                <w:color w:val="auto"/>
              </w:rPr>
            </w:pPr>
            <w:r>
              <w:rPr>
                <w:rFonts w:ascii="Arial" w:cs="Arial" w:eastAsia="Arial" w:hAnsi="Arial"/>
                <w:sz w:val="16"/>
                <w:szCs w:val="16"/>
                <w:color w:val="auto"/>
              </w:rPr>
              <w:t>Prohibition on hedging and</w:t>
            </w:r>
          </w:p>
        </w:tc>
        <w:tc>
          <w:tcPr>
            <w:tcW w:w="7820" w:type="dxa"/>
            <w:vAlign w:val="bottom"/>
            <w:gridSpan w:val="2"/>
            <w:shd w:val="clear" w:color="auto" w:fill="0070C0"/>
          </w:tcPr>
          <w:p>
            <w:pPr>
              <w:ind w:left="100"/>
              <w:spacing w:after="0"/>
              <w:rPr>
                <w:sz w:val="20"/>
                <w:szCs w:val="20"/>
                <w:color w:val="auto"/>
              </w:rPr>
            </w:pPr>
            <w:r>
              <w:rPr>
                <w:rFonts w:ascii="Arial" w:cs="Arial" w:eastAsia="Arial" w:hAnsi="Arial"/>
                <w:sz w:val="16"/>
                <w:szCs w:val="16"/>
                <w:color w:val="FFFFFF"/>
              </w:rPr>
              <w:t>Our officers, directors and designated significant employees are prohibited from entering into hedging and</w:t>
            </w:r>
          </w:p>
        </w:tc>
      </w:tr>
      <w:tr>
        <w:trPr>
          <w:trHeight w:val="237"/>
        </w:trPr>
        <w:tc>
          <w:tcPr>
            <w:tcW w:w="540" w:type="dxa"/>
            <w:vAlign w:val="bottom"/>
            <w:tcBorders>
              <w:bottom w:val="single" w:sz="8" w:color="auto"/>
            </w:tcBorders>
            <w:shd w:val="clear" w:color="auto" w:fill="0070C0"/>
          </w:tcPr>
          <w:p>
            <w:pPr>
              <w:spacing w:after="0"/>
              <w:rPr>
                <w:sz w:val="20"/>
                <w:szCs w:val="20"/>
                <w:color w:val="auto"/>
              </w:rPr>
            </w:pPr>
          </w:p>
        </w:tc>
        <w:tc>
          <w:tcPr>
            <w:tcW w:w="26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pledging</w:t>
            </w:r>
          </w:p>
        </w:tc>
        <w:tc>
          <w:tcPr>
            <w:tcW w:w="7820" w:type="dxa"/>
            <w:vAlign w:val="bottom"/>
            <w:tcBorders>
              <w:bottom w:val="single" w:sz="8" w:color="auto"/>
            </w:tcBorders>
            <w:gridSpan w:val="2"/>
            <w:shd w:val="clear" w:color="auto" w:fill="0070C0"/>
          </w:tcPr>
          <w:p>
            <w:pPr>
              <w:ind w:left="100"/>
              <w:spacing w:after="0"/>
              <w:rPr>
                <w:sz w:val="20"/>
                <w:szCs w:val="20"/>
                <w:color w:val="auto"/>
              </w:rPr>
            </w:pPr>
            <w:r>
              <w:rPr>
                <w:rFonts w:ascii="Arial" w:cs="Arial" w:eastAsia="Arial" w:hAnsi="Arial"/>
                <w:sz w:val="16"/>
                <w:szCs w:val="16"/>
                <w:color w:val="FFFFFF"/>
              </w:rPr>
              <w:t>pledging transactions involving Company stock.</w:t>
            </w:r>
          </w:p>
        </w:tc>
      </w:tr>
      <w:tr>
        <w:trPr>
          <w:trHeight w:val="149"/>
        </w:trPr>
        <w:tc>
          <w:tcPr>
            <w:tcW w:w="3200" w:type="dxa"/>
            <w:vAlign w:val="bottom"/>
            <w:gridSpan w:val="2"/>
          </w:tcPr>
          <w:p>
            <w:pPr>
              <w:spacing w:after="0"/>
              <w:rPr>
                <w:sz w:val="12"/>
                <w:szCs w:val="12"/>
                <w:color w:val="auto"/>
              </w:rPr>
            </w:pPr>
          </w:p>
        </w:tc>
        <w:tc>
          <w:tcPr>
            <w:tcW w:w="7820" w:type="dxa"/>
            <w:vAlign w:val="bottom"/>
            <w:gridSpan w:val="2"/>
          </w:tcPr>
          <w:p>
            <w:pPr>
              <w:spacing w:after="0"/>
              <w:rPr>
                <w:sz w:val="12"/>
                <w:szCs w:val="12"/>
                <w:color w:val="auto"/>
              </w:rPr>
            </w:pPr>
          </w:p>
        </w:tc>
      </w:tr>
      <w:tr>
        <w:trPr>
          <w:trHeight w:val="309"/>
        </w:trPr>
        <w:tc>
          <w:tcPr>
            <w:tcW w:w="3200" w:type="dxa"/>
            <w:vAlign w:val="bottom"/>
            <w:gridSpan w:val="2"/>
          </w:tcPr>
          <w:p>
            <w:pPr>
              <w:spacing w:after="0"/>
              <w:rPr>
                <w:sz w:val="20"/>
                <w:szCs w:val="20"/>
                <w:color w:val="auto"/>
              </w:rPr>
            </w:pPr>
            <w:r>
              <w:rPr>
                <w:rFonts w:ascii="Arial" w:cs="Arial" w:eastAsia="Arial" w:hAnsi="Arial"/>
                <w:sz w:val="16"/>
                <w:szCs w:val="16"/>
                <w:color w:val="002060"/>
              </w:rPr>
              <w:t>Corporate Governance</w:t>
            </w:r>
          </w:p>
        </w:tc>
        <w:tc>
          <w:tcPr>
            <w:tcW w:w="7360" w:type="dxa"/>
            <w:vAlign w:val="bottom"/>
          </w:tcPr>
          <w:p>
            <w:pPr>
              <w:ind w:left="5640"/>
              <w:spacing w:after="0"/>
              <w:rPr>
                <w:sz w:val="20"/>
                <w:szCs w:val="20"/>
                <w:color w:val="auto"/>
              </w:rPr>
            </w:pPr>
            <w:r>
              <w:rPr>
                <w:rFonts w:ascii="Arial" w:cs="Arial" w:eastAsia="Arial" w:hAnsi="Arial"/>
                <w:sz w:val="16"/>
                <w:szCs w:val="16"/>
                <w:color w:val="002060"/>
              </w:rPr>
              <w:t>2023 Proxy Statement</w:t>
            </w:r>
          </w:p>
        </w:tc>
        <w:tc>
          <w:tcPr>
            <w:tcW w:w="460" w:type="dxa"/>
            <w:vAlign w:val="bottom"/>
            <w:shd w:val="clear" w:color="auto" w:fill="002060"/>
          </w:tcPr>
          <w:p>
            <w:pPr>
              <w:jc w:val="right"/>
              <w:ind w:right="59"/>
              <w:spacing w:after="0"/>
              <w:rPr>
                <w:sz w:val="20"/>
                <w:szCs w:val="20"/>
                <w:color w:val="auto"/>
              </w:rPr>
            </w:pPr>
            <w:r>
              <w:rPr>
                <w:rFonts w:ascii="Arial" w:cs="Arial" w:eastAsia="Arial" w:hAnsi="Arial"/>
                <w:sz w:val="16"/>
                <w:szCs w:val="16"/>
                <w:color w:val="FFFFFF"/>
              </w:rPr>
              <w:t>25</w:t>
            </w:r>
          </w:p>
        </w:tc>
      </w:tr>
      <w:tr>
        <w:trPr>
          <w:trHeight w:val="110"/>
        </w:trPr>
        <w:tc>
          <w:tcPr>
            <w:tcW w:w="5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7360" w:type="dxa"/>
            <w:vAlign w:val="bottom"/>
          </w:tcPr>
          <w:p>
            <w:pPr>
              <w:spacing w:after="0"/>
              <w:rPr>
                <w:sz w:val="9"/>
                <w:szCs w:val="9"/>
                <w:color w:val="auto"/>
              </w:rPr>
            </w:pPr>
          </w:p>
        </w:tc>
        <w:tc>
          <w:tcPr>
            <w:tcW w:w="460" w:type="dxa"/>
            <w:vAlign w:val="bottom"/>
            <w:shd w:val="clear" w:color="auto" w:fill="002060"/>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-659130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-1182370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-1464945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-1748155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-1919605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-2202180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-2605405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-2887980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-3171190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Board Leadership Structure</w:t>
      </w:r>
    </w:p>
    <w:p>
      <w:pPr>
        <w:spacing w:after="0" w:line="216"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Mr. Edwards serves as our President, Chief Executive Officer and Chairman. The Board regularly evaluates our governance structure and has concluded that the Company and its stockholders are best served by not having a formal policy regarding whether the same individual should serve as both Chairman and Chief Executive Officer. This approach allows the Board flexibility to exercise its business judgment in determining the most appropriate leadership structure in light of the prevailing facts and circumstances, including the composition and tenure of the Board, the tenure of the Chief Executive Officer, the strength of the Company’s management team, the Company’s recent financial performance, the Company’s strategic plan and the industry environment, among other factors. The positions of Chairman and Chief Executive Officer have historically been combined at our Company.</w:t>
      </w:r>
    </w:p>
    <w:p>
      <w:pPr>
        <w:spacing w:after="0" w:line="185" w:lineRule="exact"/>
        <w:rPr>
          <w:sz w:val="20"/>
          <w:szCs w:val="20"/>
          <w:color w:val="auto"/>
        </w:rPr>
      </w:pPr>
    </w:p>
    <w:p>
      <w:pPr>
        <w:jc w:val="both"/>
        <w:ind w:left="120" w:right="1060"/>
        <w:spacing w:after="0" w:line="301" w:lineRule="auto"/>
        <w:rPr>
          <w:sz w:val="20"/>
          <w:szCs w:val="20"/>
          <w:color w:val="auto"/>
        </w:rPr>
      </w:pPr>
      <w:r>
        <w:rPr>
          <w:rFonts w:ascii="Arial" w:cs="Arial" w:eastAsia="Arial" w:hAnsi="Arial"/>
          <w:sz w:val="17"/>
          <w:szCs w:val="17"/>
          <w:color w:val="auto"/>
        </w:rPr>
        <w:t>We believe that a combined Chairman and Chief Executive Officer role helps provide strong and consistent leadership for our management team and Board of Directors. In reviewing our leadership structure, the Board has considered that Mr. Edwards: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has over 30 years of experience in our industry;</w:t>
      </w:r>
    </w:p>
    <w:p>
      <w:pPr>
        <w:spacing w:after="0" w:line="50" w:lineRule="exact"/>
        <w:rPr>
          <w:sz w:val="20"/>
          <w:szCs w:val="20"/>
          <w:color w:val="auto"/>
        </w:rPr>
      </w:pPr>
    </w:p>
    <w:p>
      <w:pPr>
        <w:ind w:left="560" w:right="680"/>
        <w:spacing w:after="0" w:line="297" w:lineRule="auto"/>
        <w:rPr>
          <w:sz w:val="20"/>
          <w:szCs w:val="20"/>
          <w:color w:val="auto"/>
        </w:rPr>
      </w:pPr>
      <w:r>
        <w:rPr>
          <w:rFonts w:ascii="Arial" w:cs="Arial" w:eastAsia="Arial" w:hAnsi="Arial"/>
          <w:sz w:val="18"/>
          <w:szCs w:val="18"/>
          <w:color w:val="auto"/>
        </w:rPr>
        <w:t>demonstrates the leadership and vision necessary to lead the Board and the Company in challenging industry environments; exercises exceptional leadership that has generated strong operational performance;</w:t>
      </w:r>
    </w:p>
    <w:p>
      <w:pPr>
        <w:spacing w:after="0" w:line="1" w:lineRule="exact"/>
        <w:rPr>
          <w:sz w:val="20"/>
          <w:szCs w:val="20"/>
          <w:color w:val="auto"/>
        </w:rPr>
      </w:pPr>
    </w:p>
    <w:p>
      <w:pPr>
        <w:ind w:left="560" w:right="1960"/>
        <w:spacing w:after="0" w:line="315" w:lineRule="auto"/>
        <w:rPr>
          <w:sz w:val="20"/>
          <w:szCs w:val="20"/>
          <w:color w:val="auto"/>
        </w:rPr>
      </w:pPr>
      <w:r>
        <w:rPr>
          <w:rFonts w:ascii="Arial" w:cs="Arial" w:eastAsia="Arial" w:hAnsi="Arial"/>
          <w:sz w:val="18"/>
          <w:szCs w:val="18"/>
          <w:color w:val="auto"/>
        </w:rPr>
        <w:t>has demonstrated a commitment to advancing a culture of corporate responsibility and employee well-being; is viewed by our customers, stockholders, suppliers and business partners as a leader in our industry; and has a strong working relationship with the Board.</w:t>
      </w:r>
    </w:p>
    <w:p>
      <w:pPr>
        <w:spacing w:after="0" w:line="130"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Based on the demonstrated success of our structure, both in terms of the functioning of the Board and the growth and performance of the Company, and the continued benefits of retaining Mr. Edwards’ strategic perspective in the position of Chairman, the Board believes that having a combined position is the appropriate leadership structure for the Company at this time.</w:t>
      </w:r>
    </w:p>
    <w:p>
      <w:pPr>
        <w:spacing w:after="0" w:line="16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To support our leadership structure, we have established a Presiding Independent Director position. Our Presiding Independent Director is elected annually by the independent directors. Ms. Carter, a director since 2014, currently serves as our Presiding Independent Director. Ms. Carter works with management to determine information to be provided to the Board, provides input on agenda items for Board and committee meetings, chairs regular executive sessions of the independent directors and serves as a liaison between management and the Board, as well as among independent directors. She regularly attends the meetings of all Board committees. The Board further exercises independent oversight through executive meetings of the independent directors after every regular Board meeting without the presence of management.</w:t>
      </w:r>
    </w:p>
    <w:p>
      <w:pPr>
        <w:spacing w:after="0" w:line="185"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The Board believes that having a combined Chief Executive Officer and Chairman position, together with a Presiding Independent Director and a Board comprised of two-thirds of independent directors, provides the best leadership structure for our Company at the present time. The Board recognizes that no leadership model is appropriate for all companies at all times, and will continue to evaluate our leadership structure to choose the appropriate structure that it believes is in the best interest of our stockholders.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Role of the Board in Risk Oversight</w:t>
      </w:r>
    </w:p>
    <w:p>
      <w:pPr>
        <w:spacing w:after="0" w:line="216" w:lineRule="exact"/>
        <w:rPr>
          <w:sz w:val="20"/>
          <w:szCs w:val="20"/>
          <w:color w:val="auto"/>
        </w:rPr>
      </w:pPr>
    </w:p>
    <w:p>
      <w:pPr>
        <w:ind w:left="120" w:right="280"/>
        <w:spacing w:after="0" w:line="242" w:lineRule="auto"/>
        <w:rPr>
          <w:sz w:val="20"/>
          <w:szCs w:val="20"/>
          <w:color w:val="auto"/>
        </w:rPr>
      </w:pPr>
      <w:r>
        <w:rPr>
          <w:rFonts w:ascii="Arial" w:cs="Arial" w:eastAsia="Arial" w:hAnsi="Arial"/>
          <w:sz w:val="18"/>
          <w:szCs w:val="18"/>
          <w:color w:val="auto"/>
        </w:rPr>
        <w:t xml:space="preserve">The Board is responsible for oversight of the Company’s identification, assessment, prioritization and monitoring of risks and the development of comprehensive policies and procedures to effectively mitigate risk and manage compliance. The Board fulfills its responsibility both directly and through its standing committees pursuant to their charters. </w:t>
      </w:r>
      <w:r>
        <w:rPr>
          <w:rFonts w:ascii="Arial" w:cs="Arial" w:eastAsia="Arial" w:hAnsi="Arial"/>
          <w:sz w:val="18"/>
          <w:szCs w:val="18"/>
          <w:i w:val="1"/>
          <w:iCs w:val="1"/>
          <w:color w:val="auto"/>
        </w:rPr>
        <w:t>See “Board Committees and Risk Oversight.”</w:t>
      </w:r>
      <w:r>
        <w:rPr>
          <w:rFonts w:ascii="Arial" w:cs="Arial" w:eastAsia="Arial" w:hAnsi="Arial"/>
          <w:sz w:val="18"/>
          <w:szCs w:val="18"/>
          <w:color w:val="auto"/>
        </w:rPr>
        <w:t xml:space="preserve"> Risk assessment and oversight are an integral part of our corporate governance and management processes. Our Board of Directors encourages management to promote a culture that incorporates risk management into both our overall corporate strategy and our day-to-day business operations.</w:t>
      </w:r>
    </w:p>
    <w:p>
      <w:pPr>
        <w:spacing w:after="0" w:line="179"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It is management’s responsibility to identify material risks facing the Company, to evaluate and prioritize these risks, and to develop plans to monitor, manage and mitigate the risks. These risks may include strategic and business risk, financial risk, operational risk, legal and regulatory risk, cybersecurity risk and ESG risk. It is the Board’s responsibility to oversee our risk management processes and to ensure that management is taking appropriate action to manage material risks. The Board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282575" cy="2660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199" w:lineRule="exact"/>
        <w:rPr>
          <w:sz w:val="20"/>
          <w:szCs w:val="20"/>
          <w:color w:val="auto"/>
        </w:rPr>
      </w:pPr>
    </w:p>
    <w:p>
      <w:pPr>
        <w:ind w:left="240"/>
        <w:spacing w:after="0"/>
        <w:tabs>
          <w:tab w:leader="none" w:pos="660" w:val="left"/>
          <w:tab w:leader="none" w:pos="9460" w:val="left"/>
        </w:tabs>
        <w:rPr>
          <w:sz w:val="20"/>
          <w:szCs w:val="20"/>
          <w:color w:val="auto"/>
        </w:rPr>
      </w:pPr>
      <w:r>
        <w:rPr>
          <w:rFonts w:ascii="Arial" w:cs="Arial" w:eastAsia="Arial" w:hAnsi="Arial"/>
          <w:sz w:val="16"/>
          <w:szCs w:val="16"/>
          <w:color w:val="FFFFFF"/>
        </w:rPr>
        <w:t>26</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Corporate Governance</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has responsibility for oversight of leadership succession for our most senior executives, including the Chief Executive Officer, and reviews short-term and long-term succession plans on an annual basis.</w:t>
      </w:r>
    </w:p>
    <w:p>
      <w:pPr>
        <w:spacing w:after="0" w:line="154"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Management regularly discusses strategic and operational risks, including through regular meetings of the operations committee, SOX steering committee, information security committee and enterprise risk safety committee. In addition, our risk assessment practices, including auditing procedures, internal controls over financial reporting, whistleblower program and other compliance policies and programs, are designed to help inform management about our material risks. Throughout the year, management reviews these risks with the Board and its committees as part of presentations that focus on particular business functions, operations or strategies. At quarterly meetings, management advises the Board concerning major risk exposure and the steps taken to monitor, mitigate or eliminate material risks.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Cybersecurity Risk Management Oversight</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recognize the need to continually assess cybersecurity risk in the face of a rapidly changing environment. Pursuant to its charter, the Audit Committee has responsibility for oversight of the Company’s cybersecurity risk management program. Our Director of Internal Audit and our Chief Information Officer report to the Audit Committee at each quarterly meeting, and more frequently if necessary. Quarterly presentations include reports of cybersecurity incidents and assessments of cybersecurity controls, processes and systems used to identify, prevent, detect, respond and recover from cybersecurity incidents. Mr. Hilsheimer, the chair of our Audit Committee, has earned a CERT Certificate in Cybersecurity Oversight from the National Association of Corporate Directors, which aids the Audit Committee’s understanding of the cybersecurity threat landscape and assists the Audit Committee in overseeing an effective risk management program.</w:t>
      </w:r>
    </w:p>
    <w:p>
      <w:pPr>
        <w:spacing w:after="0" w:line="180"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We have established policies and procedures designed to identify and protect against misappropriation, infiltration and corruption of our information technology systems and data, based upon aspects of the Center for Internet Security framework. Our information security committee is responsible for developing and monitoring our cybersecurity risk management program. The committee, which is co-chaired by our Director of Internal Audit and our Chief Information Officer and which includes members of our executive team, identifies and evaluates cybersecurity risks and works to ensure that appropriate controls, protections and training are designed and implemented. A third-party information technology firm conducts periodic audits and recommends changes or upgrades to our system. We perform simulations and tabletop exercises, incorporating external resources as needed, and conduct regular cybersecurity awareness training and testing.</w:t>
      </w:r>
    </w:p>
    <w:p>
      <w:pPr>
        <w:spacing w:after="0" w:line="180"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We follow an internal Incident Response, Reporting and Management Policy that provides a documented framework for awareness and mitigation of potential information security incidents. We have experienced no material information security breaches in the last three years, and have not incurred significant expenses in connection with addressing information security breaches, nor have we incurred any penalties or settlements related to a breach. We carry cybersecurity insurance to help mitigate any financial exposure and notification costs.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ESG Oversight</w:t>
      </w:r>
    </w:p>
    <w:p>
      <w:pPr>
        <w:spacing w:after="0" w:line="216"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Oversight of Company ESG programs and initiatives is performed both broadly by the Board and on a more granular level by the Board committees. Pursuant to its charter, the Nominating and Corporate Governance Committee is responsible for the oversight of our ESG programs, except to the extent reserved to the full Board or another Board committee. The Nominating and Corporate Governance Committee directly oversees the Company’s corporate governance, environmental and sustainability practices. The Compensation and Human Capital Committee oversees our Foundation activities and human capital practices, including DEI, talent development initiatives, employee retention and employee compensation practices. As described in more detail in “</w:t>
      </w:r>
      <w:r>
        <w:rPr>
          <w:rFonts w:ascii="Arial" w:cs="Arial" w:eastAsia="Arial" w:hAnsi="Arial"/>
          <w:sz w:val="18"/>
          <w:szCs w:val="18"/>
          <w:i w:val="1"/>
          <w:iCs w:val="1"/>
          <w:color w:val="auto"/>
        </w:rPr>
        <w:t>Board Committee Oversight</w:t>
      </w:r>
      <w:r>
        <w:rPr>
          <w:rFonts w:ascii="Arial" w:cs="Arial" w:eastAsia="Arial" w:hAnsi="Arial"/>
          <w:sz w:val="18"/>
          <w:szCs w:val="18"/>
          <w:color w:val="auto"/>
        </w:rPr>
        <w:t>,” each Committee receives quarterly reports on the areas within its oversight function and reports on each of these areas to the Board at each quarterly Board meeting. The Board also directly receives periodic sustainability, cybersecurity, DEI and Foundation reports from Company team leaders at its regular meetings. See also “</w:t>
      </w:r>
      <w:r>
        <w:rPr>
          <w:rFonts w:ascii="Arial" w:cs="Arial" w:eastAsia="Arial" w:hAnsi="Arial"/>
          <w:sz w:val="18"/>
          <w:szCs w:val="18"/>
          <w:i w:val="1"/>
          <w:iCs w:val="1"/>
          <w:color w:val="auto"/>
        </w:rPr>
        <w:t>Corporate Responsibility</w:t>
      </w:r>
      <w:r>
        <w:rPr>
          <w:rFonts w:ascii="Arial" w:cs="Arial" w:eastAsia="Arial" w:hAnsi="Arial"/>
          <w:sz w:val="18"/>
          <w:szCs w:val="18"/>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85725</wp:posOffset>
            </wp:positionV>
            <wp:extent cx="291465" cy="2660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1465" cy="266065"/>
                    </a:xfrm>
                    <a:prstGeom prst="rect">
                      <a:avLst/>
                    </a:prstGeom>
                    <a:noFill/>
                  </pic:spPr>
                </pic:pic>
              </a:graphicData>
            </a:graphic>
          </wp:anchor>
        </w:drawing>
      </w:r>
    </w:p>
    <w:p>
      <w:pPr>
        <w:spacing w:after="0" w:line="209"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Corporate Governance</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27</w:t>
      </w:r>
    </w:p>
    <w:p>
      <w:pPr>
        <w:sectPr>
          <w:pgSz w:w="11900" w:h="16838" w:orient="portrait"/>
          <w:cols w:equalWidth="0" w:num="1">
            <w:col w:w="11060"/>
          </w:cols>
          <w:pgMar w:left="320" w:top="482"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Board Committee Oversight</w:t>
      </w:r>
    </w:p>
    <w:p>
      <w:pPr>
        <w:spacing w:after="0" w:line="104"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The Board currently has three standing committees: Audit, Compensation and Human Capital, and Nominating and Corporate Governance. The Board has delegated certain risk management oversight to its committees in their areas of responsibility. The Board is kept informed of each committee’s risk oversight activities through reports to the Board presented at every regular Board meeting. The risk oversight functions described below do not represent a complete list of all enterprise risks and Company practices that are considered and addressed from time to time by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24942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24942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Audit Committee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70C0"/>
        </w:rPr>
        <w:t>Chair:</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Lawrence A. Hilsheimer</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70C0"/>
        </w:rPr>
        <w:t>Other Members:</w:t>
      </w:r>
    </w:p>
    <w:p>
      <w:pPr>
        <w:spacing w:after="0" w:line="117" w:lineRule="exact"/>
        <w:rPr>
          <w:sz w:val="20"/>
          <w:szCs w:val="20"/>
          <w:color w:val="auto"/>
        </w:rPr>
      </w:pPr>
    </w:p>
    <w:p>
      <w:pPr>
        <w:ind w:left="200" w:right="1880"/>
        <w:spacing w:after="0" w:line="271" w:lineRule="auto"/>
        <w:rPr>
          <w:sz w:val="20"/>
          <w:szCs w:val="20"/>
          <w:color w:val="auto"/>
        </w:rPr>
      </w:pPr>
      <w:r>
        <w:rPr>
          <w:rFonts w:ascii="Arial" w:cs="Arial" w:eastAsia="Arial" w:hAnsi="Arial"/>
          <w:sz w:val="18"/>
          <w:szCs w:val="18"/>
          <w:color w:val="auto"/>
        </w:rPr>
        <w:t>Margot L. Carter Michael H. Thomas</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70C0"/>
        </w:rPr>
        <w:t xml:space="preserve">Meetings in 2022: </w:t>
      </w:r>
      <w:r>
        <w:rPr>
          <w:rFonts w:ascii="Arial" w:cs="Arial" w:eastAsia="Arial" w:hAnsi="Arial"/>
          <w:sz w:val="18"/>
          <w:szCs w:val="18"/>
          <w:color w:val="000000"/>
        </w:rPr>
        <w:t>4</w:t>
      </w:r>
    </w:p>
    <w:p>
      <w:pPr>
        <w:spacing w:after="0" w:line="89" w:lineRule="exact"/>
        <w:rPr>
          <w:sz w:val="20"/>
          <w:szCs w:val="20"/>
          <w:color w:val="auto"/>
        </w:rPr>
      </w:pPr>
    </w:p>
    <w:p>
      <w:pPr>
        <w:ind w:left="480" w:hanging="269"/>
        <w:spacing w:after="0" w:line="218" w:lineRule="exact"/>
        <w:rPr>
          <w:sz w:val="20"/>
          <w:szCs w:val="20"/>
          <w:color w:val="auto"/>
        </w:rPr>
      </w:pPr>
      <w:r>
        <w:rPr>
          <w:rFonts w:ascii="MS PGothic" w:cs="MS PGothic" w:eastAsia="MS PGothic" w:hAnsi="MS PGothic"/>
          <w:sz w:val="17"/>
          <w:szCs w:val="17"/>
          <w:color w:val="0070C0"/>
        </w:rPr>
        <w:t>✓</w:t>
      </w:r>
      <w:r>
        <w:rPr>
          <w:rFonts w:ascii="Arial" w:cs="Arial" w:eastAsia="Arial" w:hAnsi="Arial"/>
          <w:sz w:val="17"/>
          <w:szCs w:val="17"/>
          <w:color w:val="auto"/>
        </w:rPr>
        <w:t xml:space="preserve">   All members are independent under the Securities and Exchange Commission (“SEC”) and New York Stock Exchange (“NYSE”) rules and are “financially literate” under NYSE rules</w:t>
      </w:r>
    </w:p>
    <w:p>
      <w:pPr>
        <w:spacing w:after="0" w:line="88" w:lineRule="exact"/>
        <w:rPr>
          <w:sz w:val="20"/>
          <w:szCs w:val="20"/>
          <w:color w:val="auto"/>
        </w:rPr>
      </w:pPr>
    </w:p>
    <w:p>
      <w:pPr>
        <w:ind w:left="200" w:right="180" w:firstLine="96"/>
        <w:spacing w:after="0" w:line="287" w:lineRule="auto"/>
        <w:tabs>
          <w:tab w:leader="none" w:pos="488" w:val="left"/>
        </w:tabs>
        <w:numPr>
          <w:ilvl w:val="0"/>
          <w:numId w:val="22"/>
        </w:numPr>
        <w:rPr>
          <w:rFonts w:ascii="MS PGothic" w:cs="MS PGothic" w:eastAsia="MS PGothic" w:hAnsi="MS PGothic"/>
          <w:sz w:val="18"/>
          <w:szCs w:val="18"/>
          <w:color w:val="0070C0"/>
        </w:rPr>
      </w:pPr>
      <w:r>
        <w:rPr>
          <w:rFonts w:ascii="Arial" w:cs="Arial" w:eastAsia="Arial" w:hAnsi="Arial"/>
          <w:sz w:val="18"/>
          <w:szCs w:val="18"/>
          <w:color w:val="auto"/>
        </w:rPr>
        <w:t>Mr. Hilsheimer is an “audit committee financial expert” under SEC rules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Audit Committee oversees our financial statement integrity and the quality and integrity of our accounting and financial reporting processes. Its responsibilities include:</w:t>
      </w:r>
    </w:p>
    <w:p>
      <w:pPr>
        <w:spacing w:after="0" w:line="59" w:lineRule="exact"/>
        <w:rPr>
          <w:sz w:val="20"/>
          <w:szCs w:val="20"/>
          <w:color w:val="auto"/>
        </w:rPr>
      </w:pPr>
    </w:p>
    <w:p>
      <w:pPr>
        <w:ind w:left="360" w:right="220" w:hanging="269"/>
        <w:spacing w:after="0" w:line="220"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selecting our independent registered public accounting firm and evaluating the firm’s qualifications, independence and performance;</w:t>
      </w:r>
    </w:p>
    <w:p>
      <w:pPr>
        <w:spacing w:after="0" w:line="6" w:lineRule="exact"/>
        <w:rPr>
          <w:sz w:val="20"/>
          <w:szCs w:val="20"/>
          <w:color w:val="auto"/>
        </w:rPr>
      </w:pPr>
    </w:p>
    <w:p>
      <w:pPr>
        <w:ind w:left="360" w:right="200" w:hanging="269"/>
        <w:spacing w:after="0" w:line="214"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overseeing the adequacy and effectiveness of our accounting and financial reporting processes, internal controls over financial reporting and financial statement audits, which includes reporting by internal and external auditors at every regular meeting;</w:t>
      </w:r>
    </w:p>
    <w:p>
      <w:pPr>
        <w:spacing w:after="0" w:line="6" w:lineRule="exact"/>
        <w:rPr>
          <w:sz w:val="20"/>
          <w:szCs w:val="20"/>
          <w:color w:val="auto"/>
        </w:rPr>
      </w:pPr>
    </w:p>
    <w:p>
      <w:pPr>
        <w:ind w:left="360" w:right="300" w:hanging="269"/>
        <w:spacing w:after="0" w:line="220"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overseeing operational and strategic risks related to the Company’s financial affairs and strategies for managing financial exposure;</w:t>
      </w:r>
    </w:p>
    <w:p>
      <w:pPr>
        <w:spacing w:after="0" w:line="6" w:lineRule="exact"/>
        <w:rPr>
          <w:sz w:val="20"/>
          <w:szCs w:val="20"/>
          <w:color w:val="auto"/>
        </w:rPr>
      </w:pPr>
    </w:p>
    <w:p>
      <w:pPr>
        <w:ind w:left="360" w:right="620" w:hanging="269"/>
        <w:spacing w:after="0" w:line="220"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overseeing complaints on accounting, internal accounting controls and auditing matters;</w:t>
      </w:r>
    </w:p>
    <w:p>
      <w:pPr>
        <w:spacing w:after="0" w:line="6"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overseeing ethics, investment, derivatives and related-party transaction policies; and</w:t>
      </w:r>
    </w:p>
    <w:p>
      <w:pPr>
        <w:spacing w:after="0" w:line="36" w:lineRule="exact"/>
        <w:rPr>
          <w:sz w:val="20"/>
          <w:szCs w:val="20"/>
          <w:color w:val="auto"/>
        </w:rPr>
      </w:pPr>
    </w:p>
    <w:p>
      <w:pPr>
        <w:ind w:left="360" w:right="220" w:hanging="269"/>
        <w:spacing w:after="0" w:line="214"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overseeing cybersecurity and information technology risks, controls and procedures, including privacy and network security and risks affecting adequacy of internal controls, which includes reporting on cybersecurity at every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93345</wp:posOffset>
            </wp:positionV>
            <wp:extent cx="6995160" cy="30175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30175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220"/>
            <w:col w:w="7280"/>
          </w:cols>
          <w:pgMar w:left="320" w:top="482" w:right="439" w:bottom="1440" w:gutter="0" w:footer="0" w:header="0"/>
          <w:type w:val="continuous"/>
        </w:sect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FFFFFF"/>
        </w:rPr>
        <w:t>Compensation and Human Capital Committee</w:t>
      </w:r>
    </w:p>
    <w:p>
      <w:pPr>
        <w:sectPr>
          <w:pgSz w:w="11900" w:h="16838" w:orient="portrait"/>
          <w:cols w:equalWidth="0" w:num="1">
            <w:col w:w="11140"/>
          </w:cols>
          <w:pgMar w:left="320" w:top="482" w:right="439" w:bottom="1440" w:gutter="0" w:footer="0" w:header="0"/>
          <w:type w:val="continuous"/>
        </w:sectPr>
      </w:pP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70C0"/>
        </w:rPr>
        <w:t>Chair:</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Janet E. Jackson</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70C0"/>
        </w:rPr>
        <w:t>Other Members:</w:t>
      </w:r>
    </w:p>
    <w:p>
      <w:pPr>
        <w:spacing w:after="0" w:line="117" w:lineRule="exact"/>
        <w:rPr>
          <w:sz w:val="20"/>
          <w:szCs w:val="20"/>
          <w:color w:val="auto"/>
        </w:rPr>
      </w:pPr>
    </w:p>
    <w:p>
      <w:pPr>
        <w:ind w:left="200" w:right="1580"/>
        <w:spacing w:after="0" w:line="271" w:lineRule="auto"/>
        <w:rPr>
          <w:sz w:val="20"/>
          <w:szCs w:val="20"/>
          <w:color w:val="auto"/>
        </w:rPr>
      </w:pPr>
      <w:r>
        <w:rPr>
          <w:rFonts w:ascii="Arial" w:cs="Arial" w:eastAsia="Arial" w:hAnsi="Arial"/>
          <w:sz w:val="18"/>
          <w:szCs w:val="18"/>
          <w:color w:val="auto"/>
        </w:rPr>
        <w:t>David R. Meuse Michael H. Thomas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70C0"/>
        </w:rPr>
        <w:t xml:space="preserve">Meetings in 2022: </w:t>
      </w:r>
      <w:r>
        <w:rPr>
          <w:rFonts w:ascii="Arial" w:cs="Arial" w:eastAsia="Arial" w:hAnsi="Arial"/>
          <w:sz w:val="18"/>
          <w:szCs w:val="18"/>
          <w:color w:val="000000"/>
        </w:rPr>
        <w:t>5</w:t>
      </w:r>
    </w:p>
    <w:p>
      <w:pPr>
        <w:spacing w:after="0" w:line="89" w:lineRule="exact"/>
        <w:rPr>
          <w:sz w:val="20"/>
          <w:szCs w:val="20"/>
          <w:color w:val="auto"/>
        </w:rPr>
      </w:pPr>
    </w:p>
    <w:p>
      <w:pPr>
        <w:jc w:val="center"/>
        <w:ind w:left="200"/>
        <w:spacing w:after="0" w:line="196" w:lineRule="exact"/>
        <w:rPr>
          <w:sz w:val="20"/>
          <w:szCs w:val="20"/>
          <w:color w:val="auto"/>
        </w:rPr>
      </w:pPr>
      <w:r>
        <w:rPr>
          <w:rFonts w:ascii="MS PGothic" w:cs="MS PGothic" w:eastAsia="MS PGothic" w:hAnsi="MS PGothic"/>
          <w:sz w:val="17"/>
          <w:szCs w:val="17"/>
          <w:color w:val="0070C0"/>
        </w:rPr>
        <w:t>✓</w:t>
      </w:r>
      <w:r>
        <w:rPr>
          <w:rFonts w:ascii="Arial" w:cs="Arial" w:eastAsia="Arial" w:hAnsi="Arial"/>
          <w:sz w:val="17"/>
          <w:szCs w:val="17"/>
          <w:color w:val="auto"/>
        </w:rPr>
        <w:t xml:space="preserve">   All members are independent under</w:t>
      </w:r>
    </w:p>
    <w:p>
      <w:pPr>
        <w:spacing w:after="0" w:line="67" w:lineRule="exact"/>
        <w:rPr>
          <w:sz w:val="20"/>
          <w:szCs w:val="20"/>
          <w:color w:val="auto"/>
        </w:rPr>
      </w:pPr>
    </w:p>
    <w:p>
      <w:pPr>
        <w:ind w:left="480" w:right="280"/>
        <w:spacing w:after="0" w:line="279" w:lineRule="auto"/>
        <w:rPr>
          <w:sz w:val="20"/>
          <w:szCs w:val="20"/>
          <w:color w:val="auto"/>
        </w:rPr>
      </w:pPr>
      <w:r>
        <w:rPr>
          <w:rFonts w:ascii="Arial" w:cs="Arial" w:eastAsia="Arial" w:hAnsi="Arial"/>
          <w:sz w:val="17"/>
          <w:szCs w:val="17"/>
          <w:color w:val="auto"/>
        </w:rPr>
        <w:t>NYSE rules; and “non-employee directors” under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1134745</wp:posOffset>
            </wp:positionV>
            <wp:extent cx="282575" cy="2660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Compensation and Human Capital Committee oversees the design and administration of our compensation plans, policies and programs, including our performance-based compensation programs for executive management and human capital management. Its responsibilities include:</w:t>
      </w:r>
    </w:p>
    <w:p>
      <w:pPr>
        <w:spacing w:after="0" w:line="79"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determining the compensation and benefits of our executive officers;</w:t>
      </w:r>
    </w:p>
    <w:p>
      <w:pPr>
        <w:spacing w:after="0" w:line="36" w:lineRule="exact"/>
        <w:rPr>
          <w:sz w:val="20"/>
          <w:szCs w:val="20"/>
          <w:color w:val="auto"/>
        </w:rPr>
      </w:pPr>
    </w:p>
    <w:p>
      <w:pPr>
        <w:ind w:left="360" w:right="80" w:hanging="269"/>
        <w:spacing w:after="0" w:line="220"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approving annual incentive metrics and compensation targets of our executive officers and evaluating achievement of the targets;</w:t>
      </w:r>
    </w:p>
    <w:p>
      <w:pPr>
        <w:spacing w:after="0" w:line="6"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administering our Omnibus Incentive Plan;</w:t>
      </w:r>
    </w:p>
    <w:p>
      <w:pPr>
        <w:spacing w:after="0" w:line="36"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annual review of compliance with stock ownership policies;</w:t>
      </w:r>
    </w:p>
    <w:p>
      <w:pPr>
        <w:spacing w:after="0" w:line="36" w:lineRule="exact"/>
        <w:rPr>
          <w:sz w:val="20"/>
          <w:szCs w:val="20"/>
          <w:color w:val="auto"/>
        </w:rPr>
      </w:pPr>
    </w:p>
    <w:p>
      <w:pPr>
        <w:ind w:left="360" w:right="120" w:hanging="269"/>
        <w:spacing w:after="0" w:line="214"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overseeing potential risks related to the design and administration of our compensation plans in order to promote appropriate incentives that do not encourage executive officers or employees to take unnecessary or excessive risk;</w:t>
      </w:r>
    </w:p>
    <w:p>
      <w:pPr>
        <w:spacing w:after="0" w:line="6"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evaluating and recommending non-employee director compensation;</w:t>
      </w:r>
    </w:p>
    <w:p>
      <w:pPr>
        <w:spacing w:after="0" w:line="36" w:lineRule="exact"/>
        <w:rPr>
          <w:sz w:val="20"/>
          <w:szCs w:val="20"/>
          <w:color w:val="auto"/>
        </w:rPr>
      </w:pPr>
    </w:p>
    <w:p>
      <w:pPr>
        <w:ind w:left="360" w:right="140" w:hanging="269"/>
        <w:spacing w:after="0" w:line="220"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overseeing human capital management, including DEI, talent development initiatives, employee retention and employee compensation practices; and</w:t>
      </w:r>
    </w:p>
    <w:p>
      <w:pPr>
        <w:spacing w:after="0" w:line="6"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overseeing the activities of the Company’s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292100</wp:posOffset>
            </wp:positionV>
            <wp:extent cx="6995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520"/>
            <w:col w:w="7280"/>
          </w:cols>
          <w:pgMar w:left="320" w:top="482" w:right="43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ind w:left="240"/>
        <w:spacing w:after="0"/>
        <w:tabs>
          <w:tab w:leader="none" w:pos="660" w:val="left"/>
          <w:tab w:leader="none" w:pos="9460" w:val="left"/>
        </w:tabs>
        <w:rPr>
          <w:sz w:val="20"/>
          <w:szCs w:val="20"/>
          <w:color w:val="auto"/>
        </w:rPr>
      </w:pPr>
      <w:r>
        <w:rPr>
          <w:rFonts w:ascii="Arial" w:cs="Arial" w:eastAsia="Arial" w:hAnsi="Arial"/>
          <w:sz w:val="16"/>
          <w:szCs w:val="16"/>
          <w:color w:val="FFFFFF"/>
        </w:rPr>
        <w:t>28</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Corporate Governance</w:t>
      </w:r>
    </w:p>
    <w:p>
      <w:pPr>
        <w:sectPr>
          <w:pgSz w:w="11900" w:h="16838" w:orient="portrait"/>
          <w:cols w:equalWidth="0" w:num="1">
            <w:col w:w="11140"/>
          </w:cols>
          <w:pgMar w:left="320" w:top="482" w:right="4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Compensation and Human Capital Committee Interlocks and Insider Participation</w:t>
      </w:r>
    </w:p>
    <w:p>
      <w:pPr>
        <w:spacing w:after="0" w:line="239" w:lineRule="exact"/>
        <w:rPr>
          <w:sz w:val="20"/>
          <w:szCs w:val="20"/>
          <w:color w:val="auto"/>
        </w:rPr>
      </w:pPr>
    </w:p>
    <w:p>
      <w:pPr>
        <w:ind w:left="200" w:right="260"/>
        <w:spacing w:after="0" w:line="253" w:lineRule="auto"/>
        <w:rPr>
          <w:sz w:val="20"/>
          <w:szCs w:val="20"/>
          <w:color w:val="auto"/>
        </w:rPr>
      </w:pPr>
      <w:r>
        <w:rPr>
          <w:rFonts w:ascii="Arial" w:cs="Arial" w:eastAsia="Arial" w:hAnsi="Arial"/>
          <w:sz w:val="18"/>
          <w:szCs w:val="18"/>
          <w:color w:val="auto"/>
        </w:rPr>
        <w:t>During 2022 (i) no officer, former officer or employee of the Company served as a member of our Compensation and Human Capital Committee, and (ii) none of our executive officers served as a member of the board of directors or the compensation committee of any entity whose executive officers served on our Board or Compensation and Human Capital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32486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3248660"/>
                    </a:xfrm>
                    <a:prstGeom prst="rect">
                      <a:avLst/>
                    </a:prstGeom>
                    <a:noFill/>
                  </pic:spPr>
                </pic:pic>
              </a:graphicData>
            </a:graphic>
          </wp:anchor>
        </w:drawing>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FFFFFF"/>
        </w:rPr>
        <w:t>Nominating and Corporate Governance Committee</w:t>
      </w:r>
    </w:p>
    <w:p>
      <w:pPr>
        <w:sectPr>
          <w:pgSz w:w="11900" w:h="16838" w:orient="portrait"/>
          <w:cols w:equalWidth="0" w:num="1">
            <w:col w:w="11120"/>
          </w:cols>
          <w:pgMar w:left="320" w:top="482" w:right="459" w:bottom="1440" w:gutter="0" w:footer="0" w:header="0"/>
        </w:sectPr>
      </w:pP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70C0"/>
        </w:rPr>
        <w:t>Chair:</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Margot L. Carter</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70C0"/>
        </w:rPr>
        <w:t>Other Members:</w:t>
      </w:r>
    </w:p>
    <w:p>
      <w:pPr>
        <w:spacing w:after="0" w:line="117" w:lineRule="exact"/>
        <w:rPr>
          <w:sz w:val="20"/>
          <w:szCs w:val="20"/>
          <w:color w:val="auto"/>
        </w:rPr>
      </w:pPr>
    </w:p>
    <w:p>
      <w:pPr>
        <w:ind w:left="200" w:right="1240"/>
        <w:spacing w:after="0" w:line="301" w:lineRule="auto"/>
        <w:rPr>
          <w:sz w:val="20"/>
          <w:szCs w:val="20"/>
          <w:color w:val="auto"/>
        </w:rPr>
      </w:pPr>
      <w:r>
        <w:rPr>
          <w:rFonts w:ascii="Arial" w:cs="Arial" w:eastAsia="Arial" w:hAnsi="Arial"/>
          <w:sz w:val="17"/>
          <w:szCs w:val="17"/>
          <w:color w:val="auto"/>
        </w:rPr>
        <w:t>Lawrence A. Hilsheimer Janet E. Jackson</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70C0"/>
        </w:rPr>
        <w:t xml:space="preserve">Meetings in 2022: </w:t>
      </w:r>
      <w:r>
        <w:rPr>
          <w:rFonts w:ascii="Arial" w:cs="Arial" w:eastAsia="Arial" w:hAnsi="Arial"/>
          <w:sz w:val="18"/>
          <w:szCs w:val="18"/>
          <w:color w:val="000000"/>
        </w:rPr>
        <w:t>4</w:t>
      </w:r>
    </w:p>
    <w:p>
      <w:pPr>
        <w:spacing w:after="0" w:line="89" w:lineRule="exact"/>
        <w:rPr>
          <w:sz w:val="20"/>
          <w:szCs w:val="20"/>
          <w:color w:val="auto"/>
        </w:rPr>
      </w:pPr>
    </w:p>
    <w:p>
      <w:pPr>
        <w:ind w:left="480" w:hanging="269"/>
        <w:spacing w:after="0" w:line="242" w:lineRule="exact"/>
        <w:rPr>
          <w:sz w:val="20"/>
          <w:szCs w:val="20"/>
          <w:color w:val="auto"/>
        </w:rPr>
      </w:pPr>
      <w:r>
        <w:rPr>
          <w:rFonts w:ascii="MS PGothic" w:cs="MS PGothic" w:eastAsia="MS PGothic" w:hAnsi="MS PGothic"/>
          <w:sz w:val="18"/>
          <w:szCs w:val="18"/>
          <w:color w:val="0070C0"/>
        </w:rPr>
        <w:t>✓</w:t>
      </w:r>
      <w:r>
        <w:rPr>
          <w:rFonts w:ascii="Arial" w:cs="Arial" w:eastAsia="Arial" w:hAnsi="Arial"/>
          <w:sz w:val="18"/>
          <w:szCs w:val="18"/>
          <w:color w:val="auto"/>
        </w:rPr>
        <w:t xml:space="preserve">   All members are independent under NYSE rules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Nominating and Corporate Governance Committee oversees our corporate governance practices and processes and environmental and sustainability initiatives. Its responsibilities include:</w:t>
      </w:r>
    </w:p>
    <w:p>
      <w:pPr>
        <w:spacing w:after="0" w:line="74" w:lineRule="exact"/>
        <w:rPr>
          <w:sz w:val="20"/>
          <w:szCs w:val="20"/>
          <w:color w:val="auto"/>
        </w:rPr>
      </w:pPr>
    </w:p>
    <w:p>
      <w:pPr>
        <w:ind w:left="360" w:right="260" w:hanging="269"/>
        <w:spacing w:after="0" w:line="220"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reviewing and establishing criteria for director candidates to ensure Board expertise and diversity;</w:t>
      </w:r>
    </w:p>
    <w:p>
      <w:pPr>
        <w:spacing w:after="0" w:line="6" w:lineRule="exact"/>
        <w:rPr>
          <w:sz w:val="20"/>
          <w:szCs w:val="20"/>
          <w:color w:val="auto"/>
        </w:rPr>
      </w:pPr>
    </w:p>
    <w:p>
      <w:pPr>
        <w:ind w:left="360" w:right="100" w:hanging="269"/>
        <w:spacing w:after="0" w:line="214"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recommending director nominees, considering experience, skills, industry knowledge, financial expertise, existing commitments, independence and the extent to which the candidate fills a present need on the Board;</w:t>
      </w:r>
    </w:p>
    <w:p>
      <w:pPr>
        <w:spacing w:after="0" w:line="6"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recommending composition, size and leadership structure of the Board;</w:t>
      </w:r>
    </w:p>
    <w:p>
      <w:pPr>
        <w:spacing w:after="0" w:line="36" w:lineRule="exact"/>
        <w:rPr>
          <w:sz w:val="20"/>
          <w:szCs w:val="20"/>
          <w:color w:val="auto"/>
        </w:rPr>
      </w:pPr>
    </w:p>
    <w:p>
      <w:pPr>
        <w:ind w:left="360" w:right="360" w:hanging="269"/>
        <w:spacing w:after="0" w:line="220"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monitoring the structure and operation of Board committees and qualifications and criteria for membership;</w:t>
      </w:r>
    </w:p>
    <w:p>
      <w:pPr>
        <w:spacing w:after="0" w:line="6"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overseeing the Board’s annual self-assessment;</w:t>
      </w:r>
    </w:p>
    <w:p>
      <w:pPr>
        <w:spacing w:after="0" w:line="36" w:lineRule="exact"/>
        <w:rPr>
          <w:sz w:val="20"/>
          <w:szCs w:val="20"/>
          <w:color w:val="auto"/>
        </w:rPr>
      </w:pPr>
    </w:p>
    <w:p>
      <w:pPr>
        <w:ind w:left="360" w:right="640" w:hanging="269"/>
        <w:spacing w:after="0" w:line="220"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assessing the adequacy of our Corporate Governance Guidelines and Code of Business Conduct and Ethics Policy;</w:t>
      </w:r>
    </w:p>
    <w:p>
      <w:pPr>
        <w:spacing w:after="0" w:line="6" w:lineRule="exact"/>
        <w:rPr>
          <w:sz w:val="20"/>
          <w:szCs w:val="20"/>
          <w:color w:val="auto"/>
        </w:rPr>
      </w:pPr>
    </w:p>
    <w:p>
      <w:pPr>
        <w:ind w:left="360" w:right="120" w:hanging="269"/>
        <w:spacing w:after="0" w:line="220"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overseeing Company environmental and sustainability practices and initiatives, which includes reporting on ESG topics at every regular meeting; and</w:t>
      </w:r>
    </w:p>
    <w:p>
      <w:pPr>
        <w:spacing w:after="0" w:line="6" w:lineRule="exact"/>
        <w:rPr>
          <w:sz w:val="20"/>
          <w:szCs w:val="20"/>
          <w:color w:val="auto"/>
        </w:rPr>
      </w:pPr>
    </w:p>
    <w:p>
      <w:pPr>
        <w:ind w:left="100"/>
        <w:spacing w:after="0" w:line="207" w:lineRule="exact"/>
        <w:rPr>
          <w:sz w:val="20"/>
          <w:szCs w:val="20"/>
          <w:color w:val="auto"/>
        </w:rPr>
      </w:pPr>
      <w:r>
        <w:rPr>
          <w:rFonts w:ascii="MS PGothic" w:cs="MS PGothic" w:eastAsia="MS PGothic" w:hAnsi="MS PGothic"/>
          <w:sz w:val="8"/>
          <w:szCs w:val="8"/>
          <w:color w:val="002060"/>
        </w:rPr>
        <w:t>∎</w:t>
      </w:r>
      <w:r>
        <w:rPr>
          <w:rFonts w:ascii="Arial" w:cs="Arial" w:eastAsia="Arial" w:hAnsi="Arial"/>
          <w:sz w:val="18"/>
          <w:szCs w:val="18"/>
          <w:color w:val="auto"/>
        </w:rPr>
        <w:t xml:space="preserve">    overseeing succession planning for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394970</wp:posOffset>
            </wp:positionV>
            <wp:extent cx="6995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520"/>
            <w:col w:w="7260"/>
          </w:cols>
          <w:pgMar w:left="320" w:top="48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Director Independence</w:t>
      </w:r>
    </w:p>
    <w:p>
      <w:pPr>
        <w:spacing w:after="0" w:line="212"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Based upon information provided by each director concerning his or her background, education, employment, experience and affiliations, our Nominating and Corporate Governance Committee and Board of Directors have determined that Mmes. Carter, Jackson and Moore and Messrs. Hilsheimer, Meuse, Schottenstein and Thomas have no material relationship with the Company or its subsidiaries, either directly or indirectly, that would interfere with the exercise of their independent judgment, and that each qualifies as an “independent director” as defined in the rules of the NYSE and the rules promulgated by the SEC.</w:t>
      </w:r>
    </w:p>
    <w:p>
      <w:pPr>
        <w:spacing w:after="0" w:line="17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When determining whether a director qualifies as independent, the Board broadly considers all relevant facts and circumstances to determine whether the director has any material relationship with the Company, either directly or indirectly, that would interfere with the exercise of independent judgment. In the course of determining the independence of Mr. Meuse, the Board considered that Mr. Meuse’s son is an employee of Blackrock, Inc., which holds more than 10% of our common stock. Based on the fact that Mr. Meuse’s son is not an executive officer, director or control person of Blackrock, Inc., the Board does not believe that this relationship impairs the independence of Mr. Meuse. In the course of determining the independence of Mr. Schottenstein, the Board considered that Mr. Schottenstein is the Chief Executive Officer of M/I Homes, Inc., a single-family homebuilding company with which we conduct transactions in the ordinary course of our business. Based on the aggregate annual value of these transactions (less than 1% of the annual revenues of each of the Company and M/I Homes, Inc. in 2022) and the nature of the transactions (which is the sale and installation of building products in new residential homes in the ordinary course of business of both companies), the Board does not believe that this relationship impairs the independence of Mr. Schottenstein or that Mr. Schottenstein has any material interest in any transaction between the Company and M/I Homes, Inc. Upon careful consideration, the Board of Directors has determined that our Board is comprised of a majority of independent directors, and that each Board committee is comprised entirely of independent directors. There are no family relationships among our executive officers and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89535</wp:posOffset>
            </wp:positionV>
            <wp:extent cx="291465" cy="2660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1465" cy="266065"/>
                    </a:xfrm>
                    <a:prstGeom prst="rect">
                      <a:avLst/>
                    </a:prstGeom>
                    <a:noFill/>
                  </pic:spPr>
                </pic:pic>
              </a:graphicData>
            </a:graphic>
          </wp:anchor>
        </w:drawing>
      </w:r>
    </w:p>
    <w:p>
      <w:pPr>
        <w:spacing w:after="0" w:line="215"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Corporate Governance</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29</w:t>
      </w:r>
    </w:p>
    <w:p>
      <w:pPr>
        <w:sectPr>
          <w:pgSz w:w="11900" w:h="16838" w:orient="portrait"/>
          <w:cols w:equalWidth="0" w:num="1">
            <w:col w:w="11120"/>
          </w:cols>
          <w:pgMar w:left="320" w:top="482" w:right="4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In making its independence recommendations, the Nominating and Corporate Governance Committee evaluates the commercial, charitable and employment relationships that exist between the Company and the directors and entities with which they or members of their immediate families are affiliated (including charitable institutions to which we have given donations if the director is affiliated with such institutions). The Nominating and Corporate Governance Committee also considers other relevant facts and circumstances regarding the nature of these transactions and relationships to determine whether other factors, regardless of the independence standards, might compromise a director’s independence.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Annual Board and Committee Self-Assessments</w:t>
      </w:r>
    </w:p>
    <w:p>
      <w:pPr>
        <w:spacing w:after="0" w:line="212"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Pursuant to NYSE requirements, our Corporate Governance Guidelines and the charters of each of the Board committees, the Board and each of its committees conduct an annual self-assessment. The self-assessment is intended to determine whether the Board and the committees are functioning effectively and to provide them with an opportunity to improve. The self-assessment enables directors to provide confidential feedback on topics including the effectiveness of Board oversight of management, business strategy and enterprise risk; Board and committee composition, structure, diversity, skills and function; Board and management culture; Board resources and processes; and the effectiveness of individual directors. A summary of the results is presented to the Nominating and Corporate Governance Committee, which is responsible for oversight of the process. The Nominating and Corporate Governance Committee reports the results of the self-assessments to the Board, which considers ways in which Board and committee effectiveness may be improved. This process helps identify opportunities to consider implementing new practices and procedures as appropriate. While the formal self-evaluation is conducted on an annual basis, the directors share perspectives, feedback and suggestions throughout the year.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Meetings of the Board and Director Attendance</w:t>
      </w:r>
    </w:p>
    <w:p>
      <w:pPr>
        <w:spacing w:after="0" w:line="212"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The Board of Directors held six meetings during 2022. Each director attended, in person or by telephone, at least 75% of the total number of meetings of both the Board and the committees on which he or she served during the year. Board members frequently attend meetings of committees on which they are not members. Board agendas are set in advance by management with the assistance of the Presiding Independent Director and the committee chairs to ensure that appropriate subjects are covered. Any member of the Board may request that an item be included on the agenda. Directors are provided with materials in advance of meetings and are expected to review these materials before each meeting to ensure that time in Board and committee meetings is focused on active discussions versus lengthy presentations. Although we do not have a formal policy requiring Board members to attend annual meetings of our stockholders, our directors are expected to make every effort to attend. All of our directors attended the Annual Meeting of Stockholders in 2022.</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Executive Sessions of the Board</w:t>
      </w:r>
    </w:p>
    <w:p>
      <w:pPr>
        <w:spacing w:after="0" w:line="21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Board holds regularly scheduled executive sessions in which the independent directors meet without the presence of management. These meetings allow the independent directors to discuss the business and affairs of the Company, as well as matters concerning management, without any member of management present. Ms. Carter, as the Presiding Independent Director, chairs the meetings and acts as liaison among the independent directors and the other Board members and management. As part of the executive sessions, the independent directors may meet with our Chief Executive Officer, our management team members and representatives of our independent registered public accounting firm as they deem necessary or appropriate. The independent directors held four meetings in executive session during 2022.</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Insider Trading Policy and Hedging and Pledging Prohibition</w:t>
      </w:r>
    </w:p>
    <w:p>
      <w:pPr>
        <w:spacing w:after="0" w:line="212"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Our insider trading policy prohibits all directors, officers, employees and their family members from directly or indirectly purchasing or selling any security, whether the issuer of that security is our Company or another company, while aware of material non-public information relating to the issuer. The policy also prohibits providing any such material non-public information to any other person who may trade in the securities while aware of such information.</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insider trading policy prohibits all directors, officers and employees from engaging in the following transactions in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282575" cy="2660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237" w:lineRule="exact"/>
        <w:rPr>
          <w:sz w:val="20"/>
          <w:szCs w:val="20"/>
          <w:color w:val="auto"/>
        </w:rPr>
      </w:pPr>
    </w:p>
    <w:p>
      <w:pPr>
        <w:ind w:left="240"/>
        <w:spacing w:after="0"/>
        <w:tabs>
          <w:tab w:leader="none" w:pos="660" w:val="left"/>
          <w:tab w:leader="none" w:pos="9460" w:val="left"/>
        </w:tabs>
        <w:rPr>
          <w:sz w:val="20"/>
          <w:szCs w:val="20"/>
          <w:color w:val="auto"/>
        </w:rPr>
      </w:pPr>
      <w:r>
        <w:rPr>
          <w:rFonts w:ascii="Arial" w:cs="Arial" w:eastAsia="Arial" w:hAnsi="Arial"/>
          <w:sz w:val="16"/>
          <w:szCs w:val="16"/>
          <w:color w:val="FFFFFF"/>
        </w:rPr>
        <w:t>30</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Corporate Governance</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1400" w:type="dxa"/>
            <w:vAlign w:val="bottom"/>
            <w:tcBorders>
              <w:top w:val="single" w:sz="8" w:color="002060"/>
            </w:tcBorders>
          </w:tcPr>
          <w:p>
            <w:pPr>
              <w:spacing w:after="0" w:line="197" w:lineRule="exact"/>
              <w:rPr>
                <w:sz w:val="20"/>
                <w:szCs w:val="20"/>
                <w:color w:val="auto"/>
              </w:rPr>
            </w:pPr>
            <w:r>
              <w:rPr>
                <w:rFonts w:ascii="Arial" w:cs="Arial" w:eastAsia="Arial" w:hAnsi="Arial"/>
                <w:sz w:val="18"/>
                <w:szCs w:val="18"/>
                <w:b w:val="1"/>
                <w:bCs w:val="1"/>
                <w:color w:val="002060"/>
              </w:rPr>
              <w:t>Speculating</w:t>
            </w:r>
          </w:p>
        </w:tc>
        <w:tc>
          <w:tcPr>
            <w:tcW w:w="9620" w:type="dxa"/>
            <w:vAlign w:val="bottom"/>
            <w:tcBorders>
              <w:top w:val="single" w:sz="8" w:color="002060"/>
            </w:tcBorders>
          </w:tcPr>
          <w:p>
            <w:pPr>
              <w:ind w:left="360"/>
              <w:spacing w:after="0" w:line="197" w:lineRule="exact"/>
              <w:rPr>
                <w:sz w:val="20"/>
                <w:szCs w:val="20"/>
                <w:color w:val="auto"/>
              </w:rPr>
            </w:pPr>
            <w:r>
              <w:rPr>
                <w:rFonts w:ascii="Arial" w:cs="Arial" w:eastAsia="Arial" w:hAnsi="Arial"/>
                <w:sz w:val="18"/>
                <w:szCs w:val="18"/>
                <w:color w:val="auto"/>
              </w:rPr>
              <w:t>Speculating in securities of the Company, including buying with the intention of quickly reselling the securities, or</w:t>
            </w:r>
          </w:p>
        </w:tc>
      </w:tr>
      <w:tr>
        <w:trPr>
          <w:trHeight w:val="221"/>
        </w:trPr>
        <w:tc>
          <w:tcPr>
            <w:tcW w:w="1400" w:type="dxa"/>
            <w:vAlign w:val="bottom"/>
            <w:tcBorders>
              <w:bottom w:val="single" w:sz="8" w:color="002060"/>
            </w:tcBorders>
          </w:tcPr>
          <w:p>
            <w:pPr>
              <w:spacing w:after="0"/>
              <w:rPr>
                <w:sz w:val="19"/>
                <w:szCs w:val="19"/>
                <w:color w:val="auto"/>
              </w:rPr>
            </w:pPr>
          </w:p>
        </w:tc>
        <w:tc>
          <w:tcPr>
            <w:tcW w:w="9620" w:type="dxa"/>
            <w:vAlign w:val="bottom"/>
            <w:tcBorders>
              <w:bottom w:val="single" w:sz="8" w:color="002060"/>
            </w:tcBorders>
          </w:tcPr>
          <w:p>
            <w:pPr>
              <w:ind w:left="360"/>
              <w:spacing w:after="0"/>
              <w:rPr>
                <w:sz w:val="20"/>
                <w:szCs w:val="20"/>
                <w:color w:val="auto"/>
              </w:rPr>
            </w:pPr>
            <w:r>
              <w:rPr>
                <w:rFonts w:ascii="Arial" w:cs="Arial" w:eastAsia="Arial" w:hAnsi="Arial"/>
                <w:sz w:val="18"/>
                <w:szCs w:val="18"/>
                <w:color w:val="auto"/>
              </w:rPr>
              <w:t>selling Company securities with the intention of quickly buying the securities.</w:t>
            </w:r>
          </w:p>
        </w:tc>
      </w:tr>
      <w:tr>
        <w:trPr>
          <w:trHeight w:val="177"/>
        </w:trPr>
        <w:tc>
          <w:tcPr>
            <w:tcW w:w="1400" w:type="dxa"/>
            <w:vAlign w:val="bottom"/>
          </w:tcPr>
          <w:p>
            <w:pPr>
              <w:spacing w:after="0" w:line="177" w:lineRule="exact"/>
              <w:rPr>
                <w:sz w:val="20"/>
                <w:szCs w:val="20"/>
                <w:color w:val="auto"/>
              </w:rPr>
            </w:pPr>
            <w:r>
              <w:rPr>
                <w:rFonts w:ascii="Arial" w:cs="Arial" w:eastAsia="Arial" w:hAnsi="Arial"/>
                <w:sz w:val="18"/>
                <w:szCs w:val="18"/>
                <w:b w:val="1"/>
                <w:bCs w:val="1"/>
                <w:color w:val="002060"/>
              </w:rPr>
              <w:t>Short Sales</w:t>
            </w:r>
          </w:p>
        </w:tc>
        <w:tc>
          <w:tcPr>
            <w:tcW w:w="9620" w:type="dxa"/>
            <w:vAlign w:val="bottom"/>
          </w:tcPr>
          <w:p>
            <w:pPr>
              <w:ind w:left="360"/>
              <w:spacing w:after="0" w:line="177" w:lineRule="exact"/>
              <w:rPr>
                <w:sz w:val="20"/>
                <w:szCs w:val="20"/>
                <w:color w:val="auto"/>
              </w:rPr>
            </w:pPr>
            <w:r>
              <w:rPr>
                <w:rFonts w:ascii="Arial" w:cs="Arial" w:eastAsia="Arial" w:hAnsi="Arial"/>
                <w:sz w:val="18"/>
                <w:szCs w:val="18"/>
                <w:color w:val="auto"/>
              </w:rPr>
              <w:t>Directly or indirectly selling any equity security of the Company if the person does not own the security, including a</w:t>
            </w:r>
          </w:p>
        </w:tc>
      </w:tr>
      <w:tr>
        <w:trPr>
          <w:trHeight w:val="221"/>
        </w:trPr>
        <w:tc>
          <w:tcPr>
            <w:tcW w:w="1400" w:type="dxa"/>
            <w:vAlign w:val="bottom"/>
            <w:tcBorders>
              <w:bottom w:val="single" w:sz="8" w:color="002060"/>
            </w:tcBorders>
          </w:tcPr>
          <w:p>
            <w:pPr>
              <w:spacing w:after="0"/>
              <w:rPr>
                <w:sz w:val="19"/>
                <w:szCs w:val="19"/>
                <w:color w:val="auto"/>
              </w:rPr>
            </w:pPr>
          </w:p>
        </w:tc>
        <w:tc>
          <w:tcPr>
            <w:tcW w:w="9620" w:type="dxa"/>
            <w:vAlign w:val="bottom"/>
            <w:tcBorders>
              <w:bottom w:val="single" w:sz="8" w:color="002060"/>
            </w:tcBorders>
          </w:tcPr>
          <w:p>
            <w:pPr>
              <w:ind w:left="360"/>
              <w:spacing w:after="0"/>
              <w:rPr>
                <w:sz w:val="20"/>
                <w:szCs w:val="20"/>
                <w:color w:val="auto"/>
              </w:rPr>
            </w:pPr>
            <w:r>
              <w:rPr>
                <w:rFonts w:ascii="Arial" w:cs="Arial" w:eastAsia="Arial" w:hAnsi="Arial"/>
                <w:sz w:val="18"/>
                <w:szCs w:val="18"/>
                <w:color w:val="auto"/>
              </w:rPr>
              <w:t>“sale against the box” (a sale with delayed delivery).</w:t>
            </w:r>
          </w:p>
        </w:tc>
      </w:tr>
      <w:tr>
        <w:trPr>
          <w:trHeight w:val="177"/>
        </w:trPr>
        <w:tc>
          <w:tcPr>
            <w:tcW w:w="1400" w:type="dxa"/>
            <w:vAlign w:val="bottom"/>
          </w:tcPr>
          <w:p>
            <w:pPr>
              <w:spacing w:after="0" w:line="177" w:lineRule="exact"/>
              <w:rPr>
                <w:sz w:val="20"/>
                <w:szCs w:val="20"/>
                <w:color w:val="auto"/>
              </w:rPr>
            </w:pPr>
            <w:r>
              <w:rPr>
                <w:rFonts w:ascii="Arial" w:cs="Arial" w:eastAsia="Arial" w:hAnsi="Arial"/>
                <w:sz w:val="18"/>
                <w:szCs w:val="18"/>
                <w:b w:val="1"/>
                <w:bCs w:val="1"/>
                <w:color w:val="002060"/>
              </w:rPr>
              <w:t>Hedging</w:t>
            </w:r>
          </w:p>
        </w:tc>
        <w:tc>
          <w:tcPr>
            <w:tcW w:w="9620" w:type="dxa"/>
            <w:vAlign w:val="bottom"/>
          </w:tcPr>
          <w:p>
            <w:pPr>
              <w:ind w:left="360"/>
              <w:spacing w:after="0" w:line="177" w:lineRule="exact"/>
              <w:rPr>
                <w:sz w:val="20"/>
                <w:szCs w:val="20"/>
                <w:color w:val="auto"/>
              </w:rPr>
            </w:pPr>
            <w:r>
              <w:rPr>
                <w:rFonts w:ascii="Arial" w:cs="Arial" w:eastAsia="Arial" w:hAnsi="Arial"/>
                <w:sz w:val="18"/>
                <w:szCs w:val="18"/>
                <w:color w:val="auto"/>
              </w:rPr>
              <w:t>Engaging in, directly or through family members or other persons or entities, any hedging or monetization</w:t>
            </w:r>
          </w:p>
        </w:tc>
      </w:tr>
      <w:tr>
        <w:trPr>
          <w:trHeight w:val="203"/>
        </w:trPr>
        <w:tc>
          <w:tcPr>
            <w:tcW w:w="1400" w:type="dxa"/>
            <w:vAlign w:val="bottom"/>
          </w:tcPr>
          <w:p>
            <w:pPr>
              <w:spacing w:after="0"/>
              <w:rPr>
                <w:sz w:val="17"/>
                <w:szCs w:val="17"/>
                <w:color w:val="auto"/>
              </w:rPr>
            </w:pPr>
          </w:p>
        </w:tc>
        <w:tc>
          <w:tcPr>
            <w:tcW w:w="9620" w:type="dxa"/>
            <w:vAlign w:val="bottom"/>
          </w:tcPr>
          <w:p>
            <w:pPr>
              <w:ind w:left="360"/>
              <w:spacing w:after="0" w:line="202" w:lineRule="exact"/>
              <w:rPr>
                <w:sz w:val="20"/>
                <w:szCs w:val="20"/>
                <w:color w:val="auto"/>
              </w:rPr>
            </w:pPr>
            <w:r>
              <w:rPr>
                <w:rFonts w:ascii="Arial" w:cs="Arial" w:eastAsia="Arial" w:hAnsi="Arial"/>
                <w:sz w:val="18"/>
                <w:szCs w:val="18"/>
                <w:color w:val="auto"/>
              </w:rPr>
              <w:t>transactions involving Company securities, including through the use of financial instruments such as puts, calls,</w:t>
            </w:r>
          </w:p>
        </w:tc>
      </w:tr>
      <w:tr>
        <w:trPr>
          <w:trHeight w:val="221"/>
        </w:trPr>
        <w:tc>
          <w:tcPr>
            <w:tcW w:w="1400" w:type="dxa"/>
            <w:vAlign w:val="bottom"/>
            <w:tcBorders>
              <w:bottom w:val="single" w:sz="8" w:color="002060"/>
            </w:tcBorders>
          </w:tcPr>
          <w:p>
            <w:pPr>
              <w:spacing w:after="0"/>
              <w:rPr>
                <w:sz w:val="19"/>
                <w:szCs w:val="19"/>
                <w:color w:val="auto"/>
              </w:rPr>
            </w:pPr>
          </w:p>
        </w:tc>
        <w:tc>
          <w:tcPr>
            <w:tcW w:w="9620" w:type="dxa"/>
            <w:vAlign w:val="bottom"/>
            <w:tcBorders>
              <w:bottom w:val="single" w:sz="8" w:color="002060"/>
            </w:tcBorders>
          </w:tcPr>
          <w:p>
            <w:pPr>
              <w:ind w:left="360"/>
              <w:spacing w:after="0"/>
              <w:rPr>
                <w:sz w:val="20"/>
                <w:szCs w:val="20"/>
                <w:color w:val="auto"/>
              </w:rPr>
            </w:pPr>
            <w:r>
              <w:rPr>
                <w:rFonts w:ascii="Arial" w:cs="Arial" w:eastAsia="Arial" w:hAnsi="Arial"/>
                <w:sz w:val="18"/>
                <w:szCs w:val="18"/>
                <w:color w:val="auto"/>
              </w:rPr>
              <w:t>publicly-traded options, swaps, forwards, warrants and any other derivative or similar instruments.</w:t>
            </w: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policy also prohibits our directors, officers and certain other designated employees from engaging in the following transactions in</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stock:</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1420" w:type="dxa"/>
            <w:vAlign w:val="bottom"/>
            <w:tcBorders>
              <w:top w:val="single" w:sz="8" w:color="002060"/>
            </w:tcBorders>
          </w:tcPr>
          <w:p>
            <w:pPr>
              <w:spacing w:after="0" w:line="197" w:lineRule="exact"/>
              <w:rPr>
                <w:sz w:val="20"/>
                <w:szCs w:val="20"/>
                <w:color w:val="auto"/>
              </w:rPr>
            </w:pPr>
            <w:r>
              <w:rPr>
                <w:rFonts w:ascii="Arial" w:cs="Arial" w:eastAsia="Arial" w:hAnsi="Arial"/>
                <w:sz w:val="18"/>
                <w:szCs w:val="18"/>
                <w:b w:val="1"/>
                <w:bCs w:val="1"/>
                <w:color w:val="002060"/>
              </w:rPr>
              <w:t>Pledges and</w:t>
            </w:r>
          </w:p>
        </w:tc>
        <w:tc>
          <w:tcPr>
            <w:tcW w:w="9600" w:type="dxa"/>
            <w:vAlign w:val="bottom"/>
            <w:tcBorders>
              <w:top w:val="single" w:sz="8" w:color="002060"/>
            </w:tcBorders>
          </w:tcPr>
          <w:p>
            <w:pPr>
              <w:ind w:left="340"/>
              <w:spacing w:after="0" w:line="197" w:lineRule="exact"/>
              <w:rPr>
                <w:sz w:val="20"/>
                <w:szCs w:val="20"/>
                <w:color w:val="auto"/>
              </w:rPr>
            </w:pPr>
            <w:r>
              <w:rPr>
                <w:rFonts w:ascii="Arial" w:cs="Arial" w:eastAsia="Arial" w:hAnsi="Arial"/>
                <w:sz w:val="18"/>
                <w:szCs w:val="18"/>
                <w:color w:val="auto"/>
              </w:rPr>
              <w:t>Pledging Company securities as collateral for a loan or holding Company securities as collateral in a margin</w:t>
            </w:r>
          </w:p>
        </w:tc>
      </w:tr>
      <w:tr>
        <w:trPr>
          <w:trHeight w:val="203"/>
        </w:trPr>
        <w:tc>
          <w:tcPr>
            <w:tcW w:w="1420" w:type="dxa"/>
            <w:vAlign w:val="bottom"/>
          </w:tcPr>
          <w:p>
            <w:pPr>
              <w:spacing w:after="0" w:line="202" w:lineRule="exact"/>
              <w:rPr>
                <w:sz w:val="20"/>
                <w:szCs w:val="20"/>
                <w:color w:val="auto"/>
              </w:rPr>
            </w:pPr>
            <w:r>
              <w:rPr>
                <w:rFonts w:ascii="Arial" w:cs="Arial" w:eastAsia="Arial" w:hAnsi="Arial"/>
                <w:sz w:val="18"/>
                <w:szCs w:val="18"/>
                <w:b w:val="1"/>
                <w:bCs w:val="1"/>
                <w:color w:val="002060"/>
              </w:rPr>
              <w:t>Margin</w:t>
            </w:r>
          </w:p>
        </w:tc>
        <w:tc>
          <w:tcPr>
            <w:tcW w:w="9600" w:type="dxa"/>
            <w:vAlign w:val="bottom"/>
          </w:tcPr>
          <w:p>
            <w:pPr>
              <w:ind w:left="340"/>
              <w:spacing w:after="0" w:line="202" w:lineRule="exact"/>
              <w:rPr>
                <w:sz w:val="20"/>
                <w:szCs w:val="20"/>
                <w:color w:val="auto"/>
              </w:rPr>
            </w:pPr>
            <w:r>
              <w:rPr>
                <w:rFonts w:ascii="Arial" w:cs="Arial" w:eastAsia="Arial" w:hAnsi="Arial"/>
                <w:sz w:val="18"/>
                <w:szCs w:val="18"/>
                <w:color w:val="auto"/>
              </w:rPr>
              <w:t>account. Any person who engages in a hedging transaction involving Company securities, pledges Company</w:t>
            </w:r>
          </w:p>
        </w:tc>
      </w:tr>
      <w:tr>
        <w:trPr>
          <w:trHeight w:val="203"/>
        </w:trPr>
        <w:tc>
          <w:tcPr>
            <w:tcW w:w="1420" w:type="dxa"/>
            <w:vAlign w:val="bottom"/>
          </w:tcPr>
          <w:p>
            <w:pPr>
              <w:spacing w:after="0" w:line="202" w:lineRule="exact"/>
              <w:rPr>
                <w:sz w:val="20"/>
                <w:szCs w:val="20"/>
                <w:color w:val="auto"/>
              </w:rPr>
            </w:pPr>
            <w:r>
              <w:rPr>
                <w:rFonts w:ascii="Arial" w:cs="Arial" w:eastAsia="Arial" w:hAnsi="Arial"/>
                <w:sz w:val="18"/>
                <w:szCs w:val="18"/>
                <w:b w:val="1"/>
                <w:bCs w:val="1"/>
                <w:color w:val="002060"/>
              </w:rPr>
              <w:t>Accounts</w:t>
            </w:r>
          </w:p>
        </w:tc>
        <w:tc>
          <w:tcPr>
            <w:tcW w:w="9600" w:type="dxa"/>
            <w:vAlign w:val="bottom"/>
          </w:tcPr>
          <w:p>
            <w:pPr>
              <w:ind w:left="340"/>
              <w:spacing w:after="0" w:line="202" w:lineRule="exact"/>
              <w:rPr>
                <w:sz w:val="20"/>
                <w:szCs w:val="20"/>
                <w:color w:val="auto"/>
              </w:rPr>
            </w:pPr>
            <w:r>
              <w:rPr>
                <w:rFonts w:ascii="Arial" w:cs="Arial" w:eastAsia="Arial" w:hAnsi="Arial"/>
                <w:sz w:val="18"/>
                <w:szCs w:val="18"/>
                <w:color w:val="auto"/>
              </w:rPr>
              <w:t>securities as collateral for a loan or holds Company securities as collateral in a margin account is not eligible for</w:t>
            </w:r>
          </w:p>
        </w:tc>
      </w:tr>
      <w:tr>
        <w:trPr>
          <w:trHeight w:val="221"/>
        </w:trPr>
        <w:tc>
          <w:tcPr>
            <w:tcW w:w="1420" w:type="dxa"/>
            <w:vAlign w:val="bottom"/>
            <w:tcBorders>
              <w:bottom w:val="single" w:sz="8" w:color="002060"/>
            </w:tcBorders>
          </w:tcPr>
          <w:p>
            <w:pPr>
              <w:spacing w:after="0"/>
              <w:rPr>
                <w:sz w:val="19"/>
                <w:szCs w:val="19"/>
                <w:color w:val="auto"/>
              </w:rPr>
            </w:pPr>
          </w:p>
        </w:tc>
        <w:tc>
          <w:tcPr>
            <w:tcW w:w="9600" w:type="dxa"/>
            <w:vAlign w:val="bottom"/>
            <w:tcBorders>
              <w:bottom w:val="single" w:sz="8" w:color="002060"/>
            </w:tcBorders>
          </w:tcPr>
          <w:p>
            <w:pPr>
              <w:ind w:left="340"/>
              <w:spacing w:after="0"/>
              <w:rPr>
                <w:sz w:val="20"/>
                <w:szCs w:val="20"/>
                <w:color w:val="auto"/>
              </w:rPr>
            </w:pPr>
            <w:r>
              <w:rPr>
                <w:rFonts w:ascii="Arial" w:cs="Arial" w:eastAsia="Arial" w:hAnsi="Arial"/>
                <w:sz w:val="18"/>
                <w:szCs w:val="18"/>
                <w:color w:val="auto"/>
              </w:rPr>
              <w:t>election or re-election as a director.</w:t>
            </w:r>
          </w:p>
        </w:tc>
      </w:tr>
    </w:tbl>
    <w:p>
      <w:pPr>
        <w:spacing w:after="0" w:line="197"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auto"/>
        </w:rPr>
        <w:t>Our Insider Trading Policy has procedures that require transactions in our stock by executive officers, directors and other designated employees, and each of their family members and members of their households, only be made during open trading windows after satisfying mandatory pre-clearance requirements. None of our directors or executive officers has any shares of Company stock pledged as collateral for personal loans or other obligations.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Director Compensation</w:t>
      </w:r>
    </w:p>
    <w:p>
      <w:pPr>
        <w:spacing w:after="0" w:line="212"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The Board of Directors annually reviews and determines the compensation of our non-employee directors, taking into account the recommendations of the Compensation and Human Capital Committee. In connection with this review, the Board and the Compensation and Human Capital Committee consider the compensation paid to the non-employee directors of our peer group (which is the same peer group used in reviewing the compensation of our executive officers) and current circumstances relating to our business. The Board believes that non-employee director compensation should be competitive to ensure that we attract and retain qualified non-employee directors and should include a combination of cash and equity-based compensation to align the long-term interests of our non-employee directors with those of our stockholders. The Board does not have a pre-established policy or target for allocation between cash and equity-based compensation and determines the mix of compensation based on what it believes is most appropriate under the circumstances. In 2020, the Compensation and Human Capital Committee engaged Meridian Compensation Partners, LLC, an independent executive compensation consulting firm (“Meridian”), to review our non-employee director compensation program and to conduct market comparisons similar to those performed for our executive officer compensation program. See “</w:t>
      </w:r>
      <w:r>
        <w:rPr>
          <w:rFonts w:ascii="Arial" w:cs="Arial" w:eastAsia="Arial" w:hAnsi="Arial"/>
          <w:sz w:val="18"/>
          <w:szCs w:val="18"/>
          <w:i w:val="1"/>
          <w:iCs w:val="1"/>
          <w:color w:val="auto"/>
        </w:rPr>
        <w:t>Our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Process – Role of Compensation Consultant</w:t>
      </w:r>
      <w:r>
        <w:rPr>
          <w:rFonts w:ascii="Arial" w:cs="Arial" w:eastAsia="Arial" w:hAnsi="Arial"/>
          <w:sz w:val="18"/>
          <w:szCs w:val="18"/>
          <w:color w:val="auto"/>
        </w:rPr>
        <w:t>s” and “</w:t>
      </w:r>
      <w:r>
        <w:rPr>
          <w:rFonts w:ascii="Arial" w:cs="Arial" w:eastAsia="Arial" w:hAnsi="Arial"/>
          <w:sz w:val="18"/>
          <w:szCs w:val="18"/>
          <w:i w:val="1"/>
          <w:iCs w:val="1"/>
          <w:color w:val="auto"/>
        </w:rPr>
        <w:t>Peer Group Analysis</w:t>
      </w:r>
      <w:r>
        <w:rPr>
          <w:rFonts w:ascii="Arial" w:cs="Arial" w:eastAsia="Arial" w:hAnsi="Arial"/>
          <w:sz w:val="18"/>
          <w:szCs w:val="18"/>
          <w:color w:val="auto"/>
        </w:rPr>
        <w:t>.” The Compensation and Human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evaluates director compensation primarily on the basis of peer group data, and intends to engage Meridian or a similar firm to review our director compensation program approximately every two years.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2022 Elements of our Annual Non-Employee Director Compensation</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1760" w:type="dxa"/>
            <w:vAlign w:val="bottom"/>
          </w:tcPr>
          <w:p>
            <w:pPr>
              <w:spacing w:after="0"/>
              <w:rPr>
                <w:sz w:val="17"/>
                <w:szCs w:val="17"/>
                <w:color w:val="auto"/>
              </w:rPr>
            </w:pPr>
          </w:p>
        </w:tc>
        <w:tc>
          <w:tcPr>
            <w:tcW w:w="6320" w:type="dxa"/>
            <w:vAlign w:val="bottom"/>
            <w:tcBorders>
              <w:top w:val="single" w:sz="8" w:color="002060"/>
            </w:tcBorders>
          </w:tcPr>
          <w:p>
            <w:pPr>
              <w:ind w:left="100"/>
              <w:spacing w:after="0" w:line="197" w:lineRule="exact"/>
              <w:rPr>
                <w:sz w:val="20"/>
                <w:szCs w:val="20"/>
                <w:color w:val="auto"/>
              </w:rPr>
            </w:pPr>
            <w:r>
              <w:rPr>
                <w:rFonts w:ascii="Arial" w:cs="Arial" w:eastAsia="Arial" w:hAnsi="Arial"/>
                <w:sz w:val="18"/>
                <w:szCs w:val="18"/>
                <w:color w:val="auto"/>
              </w:rPr>
              <w:t>Board retainer</w:t>
            </w:r>
          </w:p>
        </w:tc>
        <w:tc>
          <w:tcPr>
            <w:tcW w:w="1160" w:type="dxa"/>
            <w:vAlign w:val="bottom"/>
            <w:tcBorders>
              <w:top w:val="single" w:sz="8" w:color="002060"/>
            </w:tcBorders>
          </w:tcPr>
          <w:p>
            <w:pPr>
              <w:jc w:val="right"/>
              <w:spacing w:after="0" w:line="197" w:lineRule="exact"/>
              <w:rPr>
                <w:sz w:val="20"/>
                <w:szCs w:val="20"/>
                <w:color w:val="auto"/>
              </w:rPr>
            </w:pPr>
            <w:r>
              <w:rPr>
                <w:rFonts w:ascii="Arial" w:cs="Arial" w:eastAsia="Arial" w:hAnsi="Arial"/>
                <w:sz w:val="18"/>
                <w:szCs w:val="18"/>
                <w:color w:val="auto"/>
              </w:rPr>
              <w:t>$75,000</w:t>
            </w: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6320" w:type="dxa"/>
            <w:vAlign w:val="bottom"/>
          </w:tcPr>
          <w:p>
            <w:pPr>
              <w:ind w:left="100"/>
              <w:spacing w:after="0" w:line="202" w:lineRule="exact"/>
              <w:rPr>
                <w:sz w:val="20"/>
                <w:szCs w:val="20"/>
                <w:color w:val="auto"/>
              </w:rPr>
            </w:pPr>
            <w:r>
              <w:rPr>
                <w:rFonts w:ascii="Arial" w:cs="Arial" w:eastAsia="Arial" w:hAnsi="Arial"/>
                <w:sz w:val="18"/>
                <w:szCs w:val="18"/>
                <w:color w:val="auto"/>
              </w:rPr>
              <w:t>Compensation and Human Capital Committee chair retainer</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$17,500</w:t>
            </w: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6320" w:type="dxa"/>
            <w:vAlign w:val="bottom"/>
          </w:tcPr>
          <w:p>
            <w:pPr>
              <w:ind w:left="100"/>
              <w:spacing w:after="0" w:line="202" w:lineRule="exact"/>
              <w:rPr>
                <w:sz w:val="20"/>
                <w:szCs w:val="20"/>
                <w:color w:val="auto"/>
              </w:rPr>
            </w:pPr>
            <w:r>
              <w:rPr>
                <w:rFonts w:ascii="Arial" w:cs="Arial" w:eastAsia="Arial" w:hAnsi="Arial"/>
                <w:sz w:val="18"/>
                <w:szCs w:val="18"/>
                <w:color w:val="auto"/>
              </w:rPr>
              <w:t>Nominating and Corporate Governance Committee chair retainer</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$15,000</w:t>
            </w: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6320" w:type="dxa"/>
            <w:vAlign w:val="bottom"/>
          </w:tcPr>
          <w:p>
            <w:pPr>
              <w:ind w:left="100"/>
              <w:spacing w:after="0" w:line="202" w:lineRule="exact"/>
              <w:rPr>
                <w:sz w:val="20"/>
                <w:szCs w:val="20"/>
                <w:color w:val="auto"/>
              </w:rPr>
            </w:pPr>
            <w:r>
              <w:rPr>
                <w:rFonts w:ascii="Arial" w:cs="Arial" w:eastAsia="Arial" w:hAnsi="Arial"/>
                <w:sz w:val="18"/>
                <w:szCs w:val="18"/>
                <w:color w:val="auto"/>
              </w:rPr>
              <w:t>Audit Committee chair retainer</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6320" w:type="dxa"/>
            <w:vAlign w:val="bottom"/>
          </w:tcPr>
          <w:p>
            <w:pPr>
              <w:ind w:left="100"/>
              <w:spacing w:after="0" w:line="202" w:lineRule="exact"/>
              <w:rPr>
                <w:sz w:val="20"/>
                <w:szCs w:val="20"/>
                <w:color w:val="auto"/>
              </w:rPr>
            </w:pPr>
            <w:r>
              <w:rPr>
                <w:rFonts w:ascii="Arial" w:cs="Arial" w:eastAsia="Arial" w:hAnsi="Arial"/>
                <w:sz w:val="18"/>
                <w:szCs w:val="18"/>
                <w:color w:val="auto"/>
              </w:rPr>
              <w:t>Presiding Independent Director retainer</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6320" w:type="dxa"/>
            <w:vAlign w:val="bottom"/>
          </w:tcPr>
          <w:p>
            <w:pPr>
              <w:ind w:left="100"/>
              <w:spacing w:after="0" w:line="202" w:lineRule="exact"/>
              <w:rPr>
                <w:sz w:val="20"/>
                <w:szCs w:val="20"/>
                <w:color w:val="auto"/>
              </w:rPr>
            </w:pPr>
            <w:r>
              <w:rPr>
                <w:rFonts w:ascii="Arial" w:cs="Arial" w:eastAsia="Arial" w:hAnsi="Arial"/>
                <w:sz w:val="18"/>
                <w:szCs w:val="18"/>
                <w:color w:val="auto"/>
              </w:rPr>
              <w:t>Service on Audit Committee (non-chair)</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6320" w:type="dxa"/>
            <w:vAlign w:val="bottom"/>
          </w:tcPr>
          <w:p>
            <w:pPr>
              <w:ind w:left="100"/>
              <w:spacing w:after="0" w:line="202" w:lineRule="exact"/>
              <w:rPr>
                <w:sz w:val="20"/>
                <w:szCs w:val="20"/>
                <w:color w:val="auto"/>
              </w:rPr>
            </w:pPr>
            <w:r>
              <w:rPr>
                <w:rFonts w:ascii="Arial" w:cs="Arial" w:eastAsia="Arial" w:hAnsi="Arial"/>
                <w:sz w:val="18"/>
                <w:szCs w:val="18"/>
                <w:color w:val="auto"/>
              </w:rPr>
              <w:t>Service on Compensation and Human Capital Committee (non-chair)</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2"/>
        </w:trPr>
        <w:tc>
          <w:tcPr>
            <w:tcW w:w="1760" w:type="dxa"/>
            <w:vAlign w:val="bottom"/>
          </w:tcPr>
          <w:p>
            <w:pPr>
              <w:spacing w:after="0"/>
              <w:rPr>
                <w:sz w:val="17"/>
                <w:szCs w:val="17"/>
                <w:color w:val="auto"/>
              </w:rPr>
            </w:pPr>
          </w:p>
        </w:tc>
        <w:tc>
          <w:tcPr>
            <w:tcW w:w="6320" w:type="dxa"/>
            <w:vAlign w:val="bottom"/>
          </w:tcPr>
          <w:p>
            <w:pPr>
              <w:ind w:left="100"/>
              <w:spacing w:after="0" w:line="202" w:lineRule="exact"/>
              <w:rPr>
                <w:sz w:val="20"/>
                <w:szCs w:val="20"/>
                <w:color w:val="auto"/>
              </w:rPr>
            </w:pPr>
            <w:r>
              <w:rPr>
                <w:rFonts w:ascii="Arial" w:cs="Arial" w:eastAsia="Arial" w:hAnsi="Arial"/>
                <w:sz w:val="18"/>
                <w:szCs w:val="18"/>
                <w:color w:val="auto"/>
              </w:rPr>
              <w:t>Service on Nominating and Corporate Governance Committee (non-chair)</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21"/>
        </w:trPr>
        <w:tc>
          <w:tcPr>
            <w:tcW w:w="1760" w:type="dxa"/>
            <w:vAlign w:val="bottom"/>
          </w:tcPr>
          <w:p>
            <w:pPr>
              <w:spacing w:after="0"/>
              <w:rPr>
                <w:sz w:val="19"/>
                <w:szCs w:val="19"/>
                <w:color w:val="auto"/>
              </w:rPr>
            </w:pPr>
          </w:p>
        </w:tc>
        <w:tc>
          <w:tcPr>
            <w:tcW w:w="632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Grant of restricted stock (fair market value on grant date)</w:t>
            </w:r>
          </w:p>
        </w:tc>
        <w:tc>
          <w:tcPr>
            <w:tcW w:w="1160" w:type="dxa"/>
            <w:vAlign w:val="bottom"/>
            <w:tcBorders>
              <w:bottom w:val="single" w:sz="8" w:color="002060"/>
            </w:tcBorders>
          </w:tcPr>
          <w:p>
            <w:pPr>
              <w:jc w:val="right"/>
              <w:spacing w:after="0"/>
              <w:rPr>
                <w:sz w:val="20"/>
                <w:szCs w:val="20"/>
                <w:color w:val="auto"/>
              </w:rPr>
            </w:pPr>
            <w:r>
              <w:rPr>
                <w:rFonts w:ascii="Arial" w:cs="Arial" w:eastAsia="Arial" w:hAnsi="Arial"/>
                <w:sz w:val="18"/>
                <w:szCs w:val="18"/>
                <w:color w:val="auto"/>
              </w:rPr>
              <w:t>$100,000</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142"/>
        </w:trPr>
        <w:tc>
          <w:tcPr>
            <w:tcW w:w="8080" w:type="dxa"/>
            <w:vAlign w:val="bottom"/>
            <w:gridSpan w:val="2"/>
          </w:tcPr>
          <w:p>
            <w:pPr>
              <w:spacing w:after="0"/>
              <w:rPr>
                <w:sz w:val="12"/>
                <w:szCs w:val="12"/>
                <w:color w:val="auto"/>
              </w:rPr>
            </w:pPr>
          </w:p>
        </w:tc>
        <w:tc>
          <w:tcPr>
            <w:tcW w:w="2940" w:type="dxa"/>
            <w:vAlign w:val="bottom"/>
            <w:gridSpan w:val="3"/>
          </w:tcPr>
          <w:p>
            <w:pPr>
              <w:spacing w:after="0"/>
              <w:rPr>
                <w:sz w:val="12"/>
                <w:szCs w:val="12"/>
                <w:color w:val="auto"/>
              </w:rPr>
            </w:pPr>
          </w:p>
        </w:tc>
      </w:tr>
      <w:tr>
        <w:trPr>
          <w:trHeight w:val="309"/>
        </w:trPr>
        <w:tc>
          <w:tcPr>
            <w:tcW w:w="8080" w:type="dxa"/>
            <w:vAlign w:val="bottom"/>
            <w:gridSpan w:val="2"/>
          </w:tcPr>
          <w:p>
            <w:pPr>
              <w:spacing w:after="0"/>
              <w:rPr>
                <w:sz w:val="20"/>
                <w:szCs w:val="20"/>
                <w:color w:val="auto"/>
              </w:rPr>
            </w:pPr>
            <w:r>
              <w:rPr>
                <w:rFonts w:ascii="Arial" w:cs="Arial" w:eastAsia="Arial" w:hAnsi="Arial"/>
                <w:sz w:val="16"/>
                <w:szCs w:val="16"/>
                <w:color w:val="002060"/>
              </w:rPr>
              <w:t>Corporate Governance</w:t>
            </w:r>
          </w:p>
        </w:tc>
        <w:tc>
          <w:tcPr>
            <w:tcW w:w="2480" w:type="dxa"/>
            <w:vAlign w:val="bottom"/>
            <w:gridSpan w:val="2"/>
          </w:tcPr>
          <w:p>
            <w:pPr>
              <w:ind w:left="760"/>
              <w:spacing w:after="0"/>
              <w:rPr>
                <w:sz w:val="20"/>
                <w:szCs w:val="20"/>
                <w:color w:val="auto"/>
              </w:rPr>
            </w:pPr>
            <w:r>
              <w:rPr>
                <w:rFonts w:ascii="Arial" w:cs="Arial" w:eastAsia="Arial" w:hAnsi="Arial"/>
                <w:sz w:val="16"/>
                <w:szCs w:val="16"/>
                <w:color w:val="002060"/>
              </w:rPr>
              <w:t>2023 Proxy Statement</w:t>
            </w:r>
          </w:p>
        </w:tc>
        <w:tc>
          <w:tcPr>
            <w:tcW w:w="460" w:type="dxa"/>
            <w:vAlign w:val="bottom"/>
            <w:shd w:val="clear" w:color="auto" w:fill="002060"/>
          </w:tcPr>
          <w:p>
            <w:pPr>
              <w:jc w:val="right"/>
              <w:ind w:right="59"/>
              <w:spacing w:after="0"/>
              <w:rPr>
                <w:sz w:val="20"/>
                <w:szCs w:val="20"/>
                <w:color w:val="auto"/>
              </w:rPr>
            </w:pPr>
            <w:r>
              <w:rPr>
                <w:rFonts w:ascii="Arial" w:cs="Arial" w:eastAsia="Arial" w:hAnsi="Arial"/>
                <w:sz w:val="16"/>
                <w:szCs w:val="16"/>
                <w:color w:val="FFFFFF"/>
              </w:rPr>
              <w:t>31</w:t>
            </w:r>
          </w:p>
        </w:tc>
      </w:tr>
      <w:tr>
        <w:trPr>
          <w:trHeight w:val="110"/>
        </w:trPr>
        <w:tc>
          <w:tcPr>
            <w:tcW w:w="1760" w:type="dxa"/>
            <w:vAlign w:val="bottom"/>
          </w:tcPr>
          <w:p>
            <w:pPr>
              <w:spacing w:after="0"/>
              <w:rPr>
                <w:sz w:val="9"/>
                <w:szCs w:val="9"/>
                <w:color w:val="auto"/>
              </w:rPr>
            </w:pPr>
          </w:p>
        </w:tc>
        <w:tc>
          <w:tcPr>
            <w:tcW w:w="6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60" w:type="dxa"/>
            <w:vAlign w:val="bottom"/>
            <w:shd w:val="clear" w:color="auto" w:fill="002060"/>
          </w:tcPr>
          <w:p>
            <w:pPr>
              <w:spacing w:after="0"/>
              <w:rPr>
                <w:sz w:val="9"/>
                <w:szCs w:val="9"/>
                <w:color w:val="auto"/>
              </w:rPr>
            </w:pPr>
          </w:p>
        </w:tc>
      </w:tr>
    </w:tbl>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Annual equity awards are awarded automatically on the date of the Annual Meeting of Stockholders based on the closing market price of our common stock on the date of the annual meeting. Directors appointed to the Board at other times during the year receive a pro rata equity award. Our incentive plan provides that non-employee director compensation, including aggregate cash compensation and the grant date fair value of shares of the Company’s common stock, may not exceed $400,000 in any fiscal year for each individual.</w:t>
      </w:r>
    </w:p>
    <w:p>
      <w:pPr>
        <w:spacing w:after="0" w:line="174"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All directors are entitled to reimbursement for their reasonable expenses to attend Board meetings and meetings of committees on which they serve, but do not receive fees for meeting attendance. Directors who are employees of the Company receive no additional compensation for their service as directors. We maintain directors’ and officers’ liability insurance and have entered into indemnification agreements with each of our directors.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Director Compensation Table</w:t>
      </w:r>
    </w:p>
    <w:p>
      <w:pPr>
        <w:spacing w:after="0" w:line="21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The following table presents the total compensation paid in 2022 (i) to each non-employee director and (ii) to Mr. Verma, who is an employee of the Company and was a director in 2022, but who received no compensation for his Board service, as noted below. Directors’ fees are paid quarterly.</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7040" w:type="dxa"/>
            <w:vAlign w:val="bottom"/>
          </w:tcPr>
          <w:p>
            <w:pPr>
              <w:spacing w:after="0"/>
              <w:rPr>
                <w:sz w:val="14"/>
                <w:szCs w:val="14"/>
                <w:color w:val="auto"/>
              </w:rPr>
            </w:pPr>
          </w:p>
        </w:tc>
        <w:tc>
          <w:tcPr>
            <w:tcW w:w="106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002060"/>
              </w:rPr>
              <w:t>Fees Earned</w:t>
            </w:r>
          </w:p>
        </w:tc>
        <w:tc>
          <w:tcPr>
            <w:tcW w:w="900" w:type="dxa"/>
            <w:vAlign w:val="bottom"/>
            <w:shd w:val="clear" w:color="auto" w:fill="E0E0E0"/>
          </w:tcPr>
          <w:p>
            <w:pPr>
              <w:spacing w:after="0"/>
              <w:rPr>
                <w:sz w:val="14"/>
                <w:szCs w:val="14"/>
                <w:color w:val="auto"/>
              </w:rPr>
            </w:pPr>
          </w:p>
        </w:tc>
        <w:tc>
          <w:tcPr>
            <w:tcW w:w="1160" w:type="dxa"/>
            <w:vAlign w:val="bottom"/>
            <w:shd w:val="clear" w:color="auto" w:fill="E0E0E0"/>
          </w:tcPr>
          <w:p>
            <w:pPr>
              <w:spacing w:after="0"/>
              <w:rPr>
                <w:sz w:val="14"/>
                <w:szCs w:val="14"/>
                <w:color w:val="auto"/>
              </w:rPr>
            </w:pPr>
          </w:p>
        </w:tc>
        <w:tc>
          <w:tcPr>
            <w:tcW w:w="860" w:type="dxa"/>
            <w:vAlign w:val="bottom"/>
            <w:shd w:val="clear" w:color="auto" w:fill="E0E0E0"/>
          </w:tcPr>
          <w:p>
            <w:pPr>
              <w:spacing w:after="0"/>
              <w:rPr>
                <w:sz w:val="14"/>
                <w:szCs w:val="14"/>
                <w:color w:val="auto"/>
              </w:rPr>
            </w:pPr>
          </w:p>
        </w:tc>
      </w:tr>
      <w:tr>
        <w:trPr>
          <w:trHeight w:val="162"/>
        </w:trPr>
        <w:tc>
          <w:tcPr>
            <w:tcW w:w="7040" w:type="dxa"/>
            <w:vAlign w:val="bottom"/>
          </w:tcPr>
          <w:p>
            <w:pPr>
              <w:spacing w:after="0"/>
              <w:rPr>
                <w:sz w:val="14"/>
                <w:szCs w:val="14"/>
                <w:color w:val="auto"/>
              </w:rPr>
            </w:pPr>
          </w:p>
        </w:tc>
        <w:tc>
          <w:tcPr>
            <w:tcW w:w="106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002060"/>
              </w:rPr>
              <w:t>or Paid in</w:t>
            </w:r>
          </w:p>
        </w:tc>
        <w:tc>
          <w:tcPr>
            <w:tcW w:w="900" w:type="dxa"/>
            <w:vAlign w:val="bottom"/>
            <w:shd w:val="clear" w:color="auto" w:fill="E0E0E0"/>
          </w:tcPr>
          <w:p>
            <w:pPr>
              <w:jc w:val="right"/>
              <w:ind w:right="155"/>
              <w:spacing w:after="0"/>
              <w:rPr>
                <w:sz w:val="20"/>
                <w:szCs w:val="20"/>
                <w:color w:val="auto"/>
              </w:rPr>
            </w:pPr>
            <w:r>
              <w:rPr>
                <w:rFonts w:ascii="Arial" w:cs="Arial" w:eastAsia="Arial" w:hAnsi="Arial"/>
                <w:sz w:val="14"/>
                <w:szCs w:val="14"/>
                <w:b w:val="1"/>
                <w:bCs w:val="1"/>
                <w:color w:val="002060"/>
              </w:rPr>
              <w:t>Stock</w:t>
            </w:r>
          </w:p>
        </w:tc>
        <w:tc>
          <w:tcPr>
            <w:tcW w:w="116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002060"/>
              </w:rPr>
              <w:t>All Other</w:t>
            </w:r>
          </w:p>
        </w:tc>
        <w:tc>
          <w:tcPr>
            <w:tcW w:w="860" w:type="dxa"/>
            <w:vAlign w:val="bottom"/>
            <w:shd w:val="clear" w:color="auto" w:fill="E0E0E0"/>
          </w:tcPr>
          <w:p>
            <w:pPr>
              <w:spacing w:after="0"/>
              <w:rPr>
                <w:sz w:val="14"/>
                <w:szCs w:val="14"/>
                <w:color w:val="auto"/>
              </w:rPr>
            </w:pPr>
          </w:p>
        </w:tc>
      </w:tr>
      <w:tr>
        <w:trPr>
          <w:trHeight w:val="162"/>
        </w:trPr>
        <w:tc>
          <w:tcPr>
            <w:tcW w:w="7040" w:type="dxa"/>
            <w:vAlign w:val="bottom"/>
          </w:tcPr>
          <w:p>
            <w:pPr>
              <w:spacing w:after="0"/>
              <w:rPr>
                <w:sz w:val="14"/>
                <w:szCs w:val="14"/>
                <w:color w:val="auto"/>
              </w:rPr>
            </w:pPr>
          </w:p>
        </w:tc>
        <w:tc>
          <w:tcPr>
            <w:tcW w:w="106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002060"/>
              </w:rPr>
              <w:t>Cash</w:t>
            </w:r>
          </w:p>
        </w:tc>
        <w:tc>
          <w:tcPr>
            <w:tcW w:w="900" w:type="dxa"/>
            <w:vAlign w:val="bottom"/>
            <w:shd w:val="clear" w:color="auto" w:fill="E0E0E0"/>
          </w:tcPr>
          <w:p>
            <w:pPr>
              <w:jc w:val="right"/>
              <w:ind w:right="95"/>
              <w:spacing w:after="0"/>
              <w:rPr>
                <w:sz w:val="20"/>
                <w:szCs w:val="20"/>
                <w:color w:val="auto"/>
              </w:rPr>
            </w:pPr>
            <w:r>
              <w:rPr>
                <w:rFonts w:ascii="Arial" w:cs="Arial" w:eastAsia="Arial" w:hAnsi="Arial"/>
                <w:sz w:val="14"/>
                <w:szCs w:val="14"/>
                <w:b w:val="1"/>
                <w:bCs w:val="1"/>
                <w:color w:val="002060"/>
              </w:rPr>
              <w:t>Awards</w:t>
            </w:r>
          </w:p>
        </w:tc>
        <w:tc>
          <w:tcPr>
            <w:tcW w:w="116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002060"/>
              </w:rPr>
              <w:t>Compensation</w:t>
            </w:r>
          </w:p>
        </w:tc>
        <w:tc>
          <w:tcPr>
            <w:tcW w:w="860" w:type="dxa"/>
            <w:vAlign w:val="bottom"/>
            <w:shd w:val="clear" w:color="auto" w:fill="E0E0E0"/>
          </w:tcPr>
          <w:p>
            <w:pPr>
              <w:jc w:val="right"/>
              <w:ind w:right="214"/>
              <w:spacing w:after="0"/>
              <w:rPr>
                <w:sz w:val="20"/>
                <w:szCs w:val="20"/>
                <w:color w:val="auto"/>
              </w:rPr>
            </w:pPr>
            <w:r>
              <w:rPr>
                <w:rFonts w:ascii="Arial" w:cs="Arial" w:eastAsia="Arial" w:hAnsi="Arial"/>
                <w:sz w:val="14"/>
                <w:szCs w:val="14"/>
                <w:b w:val="1"/>
                <w:bCs w:val="1"/>
                <w:color w:val="002060"/>
              </w:rPr>
              <w:t>Total</w:t>
            </w:r>
          </w:p>
        </w:tc>
      </w:tr>
      <w:tr>
        <w:trPr>
          <w:trHeight w:val="185"/>
        </w:trPr>
        <w:tc>
          <w:tcPr>
            <w:tcW w:w="7040" w:type="dxa"/>
            <w:vAlign w:val="bottom"/>
            <w:tcBorders>
              <w:bottom w:val="single" w:sz="8" w:color="002060"/>
            </w:tcBorders>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Borders>
              <w:bottom w:val="single" w:sz="8" w:color="002060"/>
            </w:tcBorders>
            <w:shd w:val="clear" w:color="auto" w:fill="E0E0E0"/>
          </w:tcPr>
          <w:p>
            <w:pPr>
              <w:jc w:val="center"/>
              <w:spacing w:after="0"/>
              <w:rPr>
                <w:sz w:val="20"/>
                <w:szCs w:val="20"/>
                <w:color w:val="auto"/>
              </w:rPr>
            </w:pPr>
            <w:r>
              <w:rPr>
                <w:rFonts w:ascii="Arial" w:cs="Arial" w:eastAsia="Arial" w:hAnsi="Arial"/>
                <w:sz w:val="14"/>
                <w:szCs w:val="14"/>
                <w:b w:val="1"/>
                <w:bCs w:val="1"/>
                <w:color w:val="002060"/>
              </w:rPr>
              <w:t>($)(1)</w:t>
            </w:r>
          </w:p>
        </w:tc>
        <w:tc>
          <w:tcPr>
            <w:tcW w:w="900" w:type="dxa"/>
            <w:vAlign w:val="bottom"/>
            <w:tcBorders>
              <w:bottom w:val="single" w:sz="8" w:color="002060"/>
            </w:tcBorders>
            <w:shd w:val="clear" w:color="auto" w:fill="E0E0E0"/>
          </w:tcPr>
          <w:p>
            <w:pPr>
              <w:jc w:val="right"/>
              <w:ind w:right="75"/>
              <w:spacing w:after="0"/>
              <w:rPr>
                <w:sz w:val="20"/>
                <w:szCs w:val="20"/>
                <w:color w:val="auto"/>
              </w:rPr>
            </w:pPr>
            <w:r>
              <w:rPr>
                <w:rFonts w:ascii="Arial" w:cs="Arial" w:eastAsia="Arial" w:hAnsi="Arial"/>
                <w:sz w:val="14"/>
                <w:szCs w:val="14"/>
                <w:b w:val="1"/>
                <w:bCs w:val="1"/>
                <w:color w:val="002060"/>
              </w:rPr>
              <w:t>($)(2)(3)</w:t>
            </w:r>
          </w:p>
        </w:tc>
        <w:tc>
          <w:tcPr>
            <w:tcW w:w="1160" w:type="dxa"/>
            <w:vAlign w:val="bottom"/>
            <w:tcBorders>
              <w:bottom w:val="single" w:sz="8" w:color="002060"/>
            </w:tcBorders>
            <w:shd w:val="clear" w:color="auto" w:fill="E0E0E0"/>
          </w:tcPr>
          <w:p>
            <w:pPr>
              <w:jc w:val="center"/>
              <w:spacing w:after="0"/>
              <w:rPr>
                <w:sz w:val="20"/>
                <w:szCs w:val="20"/>
                <w:color w:val="auto"/>
              </w:rPr>
            </w:pPr>
            <w:r>
              <w:rPr>
                <w:rFonts w:ascii="Arial" w:cs="Arial" w:eastAsia="Arial" w:hAnsi="Arial"/>
                <w:sz w:val="14"/>
                <w:szCs w:val="14"/>
                <w:b w:val="1"/>
                <w:bCs w:val="1"/>
                <w:color w:val="002060"/>
                <w:w w:val="93"/>
              </w:rPr>
              <w:t>($)</w:t>
            </w:r>
          </w:p>
        </w:tc>
        <w:tc>
          <w:tcPr>
            <w:tcW w:w="860" w:type="dxa"/>
            <w:vAlign w:val="bottom"/>
            <w:tcBorders>
              <w:bottom w:val="single" w:sz="8" w:color="002060"/>
            </w:tcBorders>
            <w:shd w:val="clear" w:color="auto" w:fill="E0E0E0"/>
          </w:tcPr>
          <w:p>
            <w:pPr>
              <w:jc w:val="right"/>
              <w:ind w:right="294"/>
              <w:spacing w:after="0"/>
              <w:rPr>
                <w:sz w:val="20"/>
                <w:szCs w:val="20"/>
                <w:color w:val="auto"/>
              </w:rPr>
            </w:pPr>
            <w:r>
              <w:rPr>
                <w:rFonts w:ascii="Arial" w:cs="Arial" w:eastAsia="Arial" w:hAnsi="Arial"/>
                <w:sz w:val="14"/>
                <w:szCs w:val="14"/>
                <w:b w:val="1"/>
                <w:bCs w:val="1"/>
                <w:color w:val="002060"/>
              </w:rPr>
              <w:t>($)</w:t>
            </w:r>
          </w:p>
        </w:tc>
      </w:tr>
      <w:tr>
        <w:trPr>
          <w:trHeight w:val="196"/>
        </w:trPr>
        <w:tc>
          <w:tcPr>
            <w:tcW w:w="70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Margot L. Carter</w:t>
            </w:r>
          </w:p>
        </w:tc>
        <w:tc>
          <w:tcPr>
            <w:tcW w:w="1060" w:type="dxa"/>
            <w:vAlign w:val="bottom"/>
            <w:tcBorders>
              <w:bottom w:val="single" w:sz="8" w:color="auto"/>
            </w:tcBorders>
            <w:shd w:val="clear" w:color="auto" w:fill="E0E0E0"/>
          </w:tcPr>
          <w:p>
            <w:pPr>
              <w:jc w:val="right"/>
              <w:ind w:right="77"/>
              <w:spacing w:after="0" w:line="196" w:lineRule="exact"/>
              <w:rPr>
                <w:sz w:val="20"/>
                <w:szCs w:val="20"/>
                <w:color w:val="auto"/>
              </w:rPr>
            </w:pPr>
            <w:r>
              <w:rPr>
                <w:rFonts w:ascii="Arial" w:cs="Arial" w:eastAsia="Arial" w:hAnsi="Arial"/>
                <w:sz w:val="18"/>
                <w:szCs w:val="18"/>
                <w:color w:val="auto"/>
              </w:rPr>
              <w:t>120,000</w:t>
            </w:r>
          </w:p>
        </w:tc>
        <w:tc>
          <w:tcPr>
            <w:tcW w:w="900" w:type="dxa"/>
            <w:vAlign w:val="bottom"/>
            <w:tcBorders>
              <w:bottom w:val="single" w:sz="8" w:color="auto"/>
            </w:tcBorders>
            <w:shd w:val="clear" w:color="auto" w:fill="E0E0E0"/>
          </w:tcPr>
          <w:p>
            <w:pPr>
              <w:jc w:val="right"/>
              <w:spacing w:after="0" w:line="196" w:lineRule="exact"/>
              <w:rPr>
                <w:sz w:val="20"/>
                <w:szCs w:val="20"/>
                <w:color w:val="auto"/>
              </w:rPr>
            </w:pPr>
            <w:r>
              <w:rPr>
                <w:rFonts w:ascii="Arial" w:cs="Arial" w:eastAsia="Arial" w:hAnsi="Arial"/>
                <w:sz w:val="18"/>
                <w:szCs w:val="18"/>
                <w:color w:val="auto"/>
              </w:rPr>
              <w:t>100,000</w:t>
            </w:r>
          </w:p>
        </w:tc>
        <w:tc>
          <w:tcPr>
            <w:tcW w:w="1160" w:type="dxa"/>
            <w:vAlign w:val="bottom"/>
            <w:tcBorders>
              <w:bottom w:val="single" w:sz="8" w:color="auto"/>
            </w:tcBorders>
            <w:shd w:val="clear" w:color="auto" w:fill="E0E0E0"/>
          </w:tcPr>
          <w:p>
            <w:pPr>
              <w:jc w:val="right"/>
              <w:ind w:right="155"/>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0E0E0"/>
          </w:tcPr>
          <w:p>
            <w:pPr>
              <w:jc w:val="right"/>
              <w:ind w:right="14"/>
              <w:spacing w:after="0" w:line="196" w:lineRule="exact"/>
              <w:rPr>
                <w:sz w:val="20"/>
                <w:szCs w:val="20"/>
                <w:color w:val="auto"/>
              </w:rPr>
            </w:pPr>
            <w:r>
              <w:rPr>
                <w:rFonts w:ascii="Arial" w:cs="Arial" w:eastAsia="Arial" w:hAnsi="Arial"/>
                <w:sz w:val="18"/>
                <w:szCs w:val="18"/>
                <w:color w:val="auto"/>
              </w:rPr>
              <w:t>220,000</w:t>
            </w:r>
          </w:p>
        </w:tc>
      </w:tr>
      <w:tr>
        <w:trPr>
          <w:trHeight w:val="196"/>
        </w:trPr>
        <w:tc>
          <w:tcPr>
            <w:tcW w:w="70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Lawrence A. Hilsheimer</w:t>
            </w:r>
          </w:p>
        </w:tc>
        <w:tc>
          <w:tcPr>
            <w:tcW w:w="1060" w:type="dxa"/>
            <w:vAlign w:val="bottom"/>
            <w:tcBorders>
              <w:bottom w:val="single" w:sz="8" w:color="auto"/>
            </w:tcBorders>
            <w:shd w:val="clear" w:color="auto" w:fill="E0E0E0"/>
          </w:tcPr>
          <w:p>
            <w:pPr>
              <w:jc w:val="right"/>
              <w:ind w:right="77"/>
              <w:spacing w:after="0" w:line="196" w:lineRule="exact"/>
              <w:rPr>
                <w:sz w:val="20"/>
                <w:szCs w:val="20"/>
                <w:color w:val="auto"/>
              </w:rPr>
            </w:pPr>
            <w:r>
              <w:rPr>
                <w:rFonts w:ascii="Arial" w:cs="Arial" w:eastAsia="Arial" w:hAnsi="Arial"/>
                <w:sz w:val="18"/>
                <w:szCs w:val="18"/>
                <w:color w:val="auto"/>
              </w:rPr>
              <w:t>102,500</w:t>
            </w:r>
          </w:p>
        </w:tc>
        <w:tc>
          <w:tcPr>
            <w:tcW w:w="900" w:type="dxa"/>
            <w:vAlign w:val="bottom"/>
            <w:tcBorders>
              <w:bottom w:val="single" w:sz="8" w:color="auto"/>
            </w:tcBorders>
            <w:shd w:val="clear" w:color="auto" w:fill="E0E0E0"/>
          </w:tcPr>
          <w:p>
            <w:pPr>
              <w:jc w:val="right"/>
              <w:spacing w:after="0" w:line="196" w:lineRule="exact"/>
              <w:rPr>
                <w:sz w:val="20"/>
                <w:szCs w:val="20"/>
                <w:color w:val="auto"/>
              </w:rPr>
            </w:pPr>
            <w:r>
              <w:rPr>
                <w:rFonts w:ascii="Arial" w:cs="Arial" w:eastAsia="Arial" w:hAnsi="Arial"/>
                <w:sz w:val="18"/>
                <w:szCs w:val="18"/>
                <w:color w:val="auto"/>
              </w:rPr>
              <w:t>100,000</w:t>
            </w:r>
          </w:p>
        </w:tc>
        <w:tc>
          <w:tcPr>
            <w:tcW w:w="1160" w:type="dxa"/>
            <w:vAlign w:val="bottom"/>
            <w:tcBorders>
              <w:bottom w:val="single" w:sz="8" w:color="auto"/>
            </w:tcBorders>
            <w:shd w:val="clear" w:color="auto" w:fill="E0E0E0"/>
          </w:tcPr>
          <w:p>
            <w:pPr>
              <w:jc w:val="right"/>
              <w:ind w:right="155"/>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0E0E0"/>
          </w:tcPr>
          <w:p>
            <w:pPr>
              <w:jc w:val="right"/>
              <w:ind w:right="14"/>
              <w:spacing w:after="0" w:line="196" w:lineRule="exact"/>
              <w:rPr>
                <w:sz w:val="20"/>
                <w:szCs w:val="20"/>
                <w:color w:val="auto"/>
              </w:rPr>
            </w:pPr>
            <w:r>
              <w:rPr>
                <w:rFonts w:ascii="Arial" w:cs="Arial" w:eastAsia="Arial" w:hAnsi="Arial"/>
                <w:sz w:val="18"/>
                <w:szCs w:val="18"/>
                <w:color w:val="auto"/>
              </w:rPr>
              <w:t>202,500</w:t>
            </w:r>
          </w:p>
        </w:tc>
      </w:tr>
      <w:tr>
        <w:trPr>
          <w:trHeight w:val="196"/>
        </w:trPr>
        <w:tc>
          <w:tcPr>
            <w:tcW w:w="70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Janet E. Jackson</w:t>
            </w:r>
          </w:p>
        </w:tc>
        <w:tc>
          <w:tcPr>
            <w:tcW w:w="1060" w:type="dxa"/>
            <w:vAlign w:val="bottom"/>
            <w:tcBorders>
              <w:bottom w:val="single" w:sz="8" w:color="auto"/>
            </w:tcBorders>
            <w:shd w:val="clear" w:color="auto" w:fill="E0E0E0"/>
          </w:tcPr>
          <w:p>
            <w:pPr>
              <w:jc w:val="right"/>
              <w:ind w:right="77"/>
              <w:spacing w:after="0" w:line="196" w:lineRule="exact"/>
              <w:rPr>
                <w:sz w:val="20"/>
                <w:szCs w:val="20"/>
                <w:color w:val="auto"/>
              </w:rPr>
            </w:pPr>
            <w:r>
              <w:rPr>
                <w:rFonts w:ascii="Arial" w:cs="Arial" w:eastAsia="Arial" w:hAnsi="Arial"/>
                <w:sz w:val="18"/>
                <w:szCs w:val="18"/>
                <w:color w:val="auto"/>
              </w:rPr>
              <w:t>100,000</w:t>
            </w:r>
          </w:p>
        </w:tc>
        <w:tc>
          <w:tcPr>
            <w:tcW w:w="900" w:type="dxa"/>
            <w:vAlign w:val="bottom"/>
            <w:tcBorders>
              <w:bottom w:val="single" w:sz="8" w:color="auto"/>
            </w:tcBorders>
            <w:shd w:val="clear" w:color="auto" w:fill="E0E0E0"/>
          </w:tcPr>
          <w:p>
            <w:pPr>
              <w:jc w:val="right"/>
              <w:spacing w:after="0" w:line="196" w:lineRule="exact"/>
              <w:rPr>
                <w:sz w:val="20"/>
                <w:szCs w:val="20"/>
                <w:color w:val="auto"/>
              </w:rPr>
            </w:pPr>
            <w:r>
              <w:rPr>
                <w:rFonts w:ascii="Arial" w:cs="Arial" w:eastAsia="Arial" w:hAnsi="Arial"/>
                <w:sz w:val="18"/>
                <w:szCs w:val="18"/>
                <w:color w:val="auto"/>
              </w:rPr>
              <w:t>100,000</w:t>
            </w:r>
          </w:p>
        </w:tc>
        <w:tc>
          <w:tcPr>
            <w:tcW w:w="1160" w:type="dxa"/>
            <w:vAlign w:val="bottom"/>
            <w:tcBorders>
              <w:bottom w:val="single" w:sz="8" w:color="auto"/>
            </w:tcBorders>
            <w:shd w:val="clear" w:color="auto" w:fill="E0E0E0"/>
          </w:tcPr>
          <w:p>
            <w:pPr>
              <w:jc w:val="right"/>
              <w:ind w:right="155"/>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0E0E0"/>
          </w:tcPr>
          <w:p>
            <w:pPr>
              <w:jc w:val="right"/>
              <w:ind w:right="14"/>
              <w:spacing w:after="0" w:line="196" w:lineRule="exact"/>
              <w:rPr>
                <w:sz w:val="20"/>
                <w:szCs w:val="20"/>
                <w:color w:val="auto"/>
              </w:rPr>
            </w:pPr>
            <w:r>
              <w:rPr>
                <w:rFonts w:ascii="Arial" w:cs="Arial" w:eastAsia="Arial" w:hAnsi="Arial"/>
                <w:sz w:val="18"/>
                <w:szCs w:val="18"/>
                <w:color w:val="auto"/>
              </w:rPr>
              <w:t>200,000</w:t>
            </w:r>
          </w:p>
        </w:tc>
      </w:tr>
      <w:tr>
        <w:trPr>
          <w:trHeight w:val="196"/>
        </w:trPr>
        <w:tc>
          <w:tcPr>
            <w:tcW w:w="70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David R. Meuse</w:t>
            </w:r>
          </w:p>
        </w:tc>
        <w:tc>
          <w:tcPr>
            <w:tcW w:w="1060" w:type="dxa"/>
            <w:vAlign w:val="bottom"/>
            <w:tcBorders>
              <w:bottom w:val="single" w:sz="8" w:color="auto"/>
            </w:tcBorders>
            <w:shd w:val="clear" w:color="auto" w:fill="E0E0E0"/>
          </w:tcPr>
          <w:p>
            <w:pPr>
              <w:jc w:val="right"/>
              <w:ind w:right="77"/>
              <w:spacing w:after="0" w:line="196" w:lineRule="exact"/>
              <w:rPr>
                <w:sz w:val="20"/>
                <w:szCs w:val="20"/>
                <w:color w:val="auto"/>
              </w:rPr>
            </w:pPr>
            <w:r>
              <w:rPr>
                <w:rFonts w:ascii="Arial" w:cs="Arial" w:eastAsia="Arial" w:hAnsi="Arial"/>
                <w:sz w:val="18"/>
                <w:szCs w:val="18"/>
                <w:color w:val="auto"/>
              </w:rPr>
              <w:t>85,000</w:t>
            </w:r>
          </w:p>
        </w:tc>
        <w:tc>
          <w:tcPr>
            <w:tcW w:w="900" w:type="dxa"/>
            <w:vAlign w:val="bottom"/>
            <w:tcBorders>
              <w:bottom w:val="single" w:sz="8" w:color="auto"/>
            </w:tcBorders>
            <w:shd w:val="clear" w:color="auto" w:fill="E0E0E0"/>
          </w:tcPr>
          <w:p>
            <w:pPr>
              <w:jc w:val="right"/>
              <w:spacing w:after="0" w:line="196" w:lineRule="exact"/>
              <w:rPr>
                <w:sz w:val="20"/>
                <w:szCs w:val="20"/>
                <w:color w:val="auto"/>
              </w:rPr>
            </w:pPr>
            <w:r>
              <w:rPr>
                <w:rFonts w:ascii="Arial" w:cs="Arial" w:eastAsia="Arial" w:hAnsi="Arial"/>
                <w:sz w:val="18"/>
                <w:szCs w:val="18"/>
                <w:color w:val="auto"/>
              </w:rPr>
              <w:t>100,000</w:t>
            </w:r>
          </w:p>
        </w:tc>
        <w:tc>
          <w:tcPr>
            <w:tcW w:w="1160" w:type="dxa"/>
            <w:vAlign w:val="bottom"/>
            <w:tcBorders>
              <w:bottom w:val="single" w:sz="8" w:color="auto"/>
            </w:tcBorders>
            <w:shd w:val="clear" w:color="auto" w:fill="E0E0E0"/>
          </w:tcPr>
          <w:p>
            <w:pPr>
              <w:jc w:val="right"/>
              <w:ind w:right="155"/>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0E0E0"/>
          </w:tcPr>
          <w:p>
            <w:pPr>
              <w:jc w:val="right"/>
              <w:ind w:right="14"/>
              <w:spacing w:after="0" w:line="196" w:lineRule="exact"/>
              <w:rPr>
                <w:sz w:val="20"/>
                <w:szCs w:val="20"/>
                <w:color w:val="auto"/>
              </w:rPr>
            </w:pPr>
            <w:r>
              <w:rPr>
                <w:rFonts w:ascii="Arial" w:cs="Arial" w:eastAsia="Arial" w:hAnsi="Arial"/>
                <w:sz w:val="18"/>
                <w:szCs w:val="18"/>
                <w:color w:val="auto"/>
              </w:rPr>
              <w:t>185,000</w:t>
            </w:r>
          </w:p>
        </w:tc>
      </w:tr>
      <w:tr>
        <w:trPr>
          <w:trHeight w:val="196"/>
        </w:trPr>
        <w:tc>
          <w:tcPr>
            <w:tcW w:w="70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Robert H. Schottenstein(4)</w:t>
            </w:r>
          </w:p>
        </w:tc>
        <w:tc>
          <w:tcPr>
            <w:tcW w:w="1060" w:type="dxa"/>
            <w:vAlign w:val="bottom"/>
            <w:tcBorders>
              <w:bottom w:val="single" w:sz="8" w:color="auto"/>
            </w:tcBorders>
            <w:shd w:val="clear" w:color="auto" w:fill="E0E0E0"/>
          </w:tcPr>
          <w:p>
            <w:pPr>
              <w:jc w:val="right"/>
              <w:ind w:right="77"/>
              <w:spacing w:after="0" w:line="196" w:lineRule="exact"/>
              <w:rPr>
                <w:sz w:val="20"/>
                <w:szCs w:val="20"/>
                <w:color w:val="auto"/>
              </w:rPr>
            </w:pPr>
            <w:r>
              <w:rPr>
                <w:rFonts w:ascii="Arial" w:cs="Arial" w:eastAsia="Arial" w:hAnsi="Arial"/>
                <w:sz w:val="18"/>
                <w:szCs w:val="18"/>
                <w:color w:val="auto"/>
              </w:rPr>
              <w:t>15,285</w:t>
            </w:r>
          </w:p>
        </w:tc>
        <w:tc>
          <w:tcPr>
            <w:tcW w:w="900" w:type="dxa"/>
            <w:vAlign w:val="bottom"/>
            <w:tcBorders>
              <w:bottom w:val="single" w:sz="8" w:color="auto"/>
            </w:tcBorders>
            <w:shd w:val="clear" w:color="auto" w:fill="E0E0E0"/>
          </w:tcPr>
          <w:p>
            <w:pPr>
              <w:jc w:val="right"/>
              <w:spacing w:after="0" w:line="196" w:lineRule="exact"/>
              <w:rPr>
                <w:sz w:val="20"/>
                <w:szCs w:val="20"/>
                <w:color w:val="auto"/>
              </w:rPr>
            </w:pPr>
            <w:r>
              <w:rPr>
                <w:rFonts w:ascii="Arial" w:cs="Arial" w:eastAsia="Arial" w:hAnsi="Arial"/>
                <w:sz w:val="18"/>
                <w:szCs w:val="18"/>
                <w:color w:val="auto"/>
              </w:rPr>
              <w:t>85,532</w:t>
            </w:r>
          </w:p>
        </w:tc>
        <w:tc>
          <w:tcPr>
            <w:tcW w:w="1160" w:type="dxa"/>
            <w:vAlign w:val="bottom"/>
            <w:tcBorders>
              <w:bottom w:val="single" w:sz="8" w:color="auto"/>
            </w:tcBorders>
            <w:shd w:val="clear" w:color="auto" w:fill="E0E0E0"/>
          </w:tcPr>
          <w:p>
            <w:pPr>
              <w:jc w:val="right"/>
              <w:ind w:right="155"/>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0E0E0"/>
          </w:tcPr>
          <w:p>
            <w:pPr>
              <w:jc w:val="right"/>
              <w:ind w:right="14"/>
              <w:spacing w:after="0" w:line="196" w:lineRule="exact"/>
              <w:rPr>
                <w:sz w:val="20"/>
                <w:szCs w:val="20"/>
                <w:color w:val="auto"/>
              </w:rPr>
            </w:pPr>
            <w:r>
              <w:rPr>
                <w:rFonts w:ascii="Arial" w:cs="Arial" w:eastAsia="Arial" w:hAnsi="Arial"/>
                <w:sz w:val="18"/>
                <w:szCs w:val="18"/>
                <w:color w:val="auto"/>
              </w:rPr>
              <w:t>100,817</w:t>
            </w:r>
          </w:p>
        </w:tc>
      </w:tr>
      <w:tr>
        <w:trPr>
          <w:trHeight w:val="196"/>
        </w:trPr>
        <w:tc>
          <w:tcPr>
            <w:tcW w:w="70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Michael H. Thomas</w:t>
            </w:r>
          </w:p>
        </w:tc>
        <w:tc>
          <w:tcPr>
            <w:tcW w:w="1060" w:type="dxa"/>
            <w:vAlign w:val="bottom"/>
            <w:tcBorders>
              <w:bottom w:val="single" w:sz="8" w:color="auto"/>
            </w:tcBorders>
            <w:shd w:val="clear" w:color="auto" w:fill="E0E0E0"/>
          </w:tcPr>
          <w:p>
            <w:pPr>
              <w:jc w:val="right"/>
              <w:ind w:right="77"/>
              <w:spacing w:after="0" w:line="196" w:lineRule="exact"/>
              <w:rPr>
                <w:sz w:val="20"/>
                <w:szCs w:val="20"/>
                <w:color w:val="auto"/>
              </w:rPr>
            </w:pPr>
            <w:r>
              <w:rPr>
                <w:rFonts w:ascii="Arial" w:cs="Arial" w:eastAsia="Arial" w:hAnsi="Arial"/>
                <w:sz w:val="18"/>
                <w:szCs w:val="18"/>
                <w:color w:val="auto"/>
              </w:rPr>
              <w:t>95,000</w:t>
            </w:r>
          </w:p>
        </w:tc>
        <w:tc>
          <w:tcPr>
            <w:tcW w:w="900" w:type="dxa"/>
            <w:vAlign w:val="bottom"/>
            <w:tcBorders>
              <w:bottom w:val="single" w:sz="8" w:color="auto"/>
            </w:tcBorders>
            <w:shd w:val="clear" w:color="auto" w:fill="E0E0E0"/>
          </w:tcPr>
          <w:p>
            <w:pPr>
              <w:jc w:val="right"/>
              <w:spacing w:after="0" w:line="196" w:lineRule="exact"/>
              <w:rPr>
                <w:sz w:val="20"/>
                <w:szCs w:val="20"/>
                <w:color w:val="auto"/>
              </w:rPr>
            </w:pPr>
            <w:r>
              <w:rPr>
                <w:rFonts w:ascii="Arial" w:cs="Arial" w:eastAsia="Arial" w:hAnsi="Arial"/>
                <w:sz w:val="18"/>
                <w:szCs w:val="18"/>
                <w:color w:val="auto"/>
              </w:rPr>
              <w:t>100,000</w:t>
            </w:r>
          </w:p>
        </w:tc>
        <w:tc>
          <w:tcPr>
            <w:tcW w:w="1160" w:type="dxa"/>
            <w:vAlign w:val="bottom"/>
            <w:tcBorders>
              <w:bottom w:val="single" w:sz="8" w:color="auto"/>
            </w:tcBorders>
            <w:shd w:val="clear" w:color="auto" w:fill="E0E0E0"/>
          </w:tcPr>
          <w:p>
            <w:pPr>
              <w:jc w:val="right"/>
              <w:ind w:right="155"/>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0E0E0"/>
          </w:tcPr>
          <w:p>
            <w:pPr>
              <w:jc w:val="right"/>
              <w:ind w:right="14"/>
              <w:spacing w:after="0" w:line="196" w:lineRule="exact"/>
              <w:rPr>
                <w:sz w:val="20"/>
                <w:szCs w:val="20"/>
                <w:color w:val="auto"/>
              </w:rPr>
            </w:pPr>
            <w:r>
              <w:rPr>
                <w:rFonts w:ascii="Arial" w:cs="Arial" w:eastAsia="Arial" w:hAnsi="Arial"/>
                <w:sz w:val="18"/>
                <w:szCs w:val="18"/>
                <w:color w:val="auto"/>
              </w:rPr>
              <w:t>195,000</w:t>
            </w:r>
          </w:p>
        </w:tc>
      </w:tr>
      <w:tr>
        <w:trPr>
          <w:trHeight w:val="196"/>
        </w:trPr>
        <w:tc>
          <w:tcPr>
            <w:tcW w:w="704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Vikas Verma(5)</w:t>
            </w:r>
          </w:p>
        </w:tc>
        <w:tc>
          <w:tcPr>
            <w:tcW w:w="1060" w:type="dxa"/>
            <w:vAlign w:val="bottom"/>
            <w:tcBorders>
              <w:bottom w:val="single" w:sz="8" w:color="002060"/>
            </w:tcBorders>
            <w:shd w:val="clear" w:color="auto" w:fill="E0E0E0"/>
          </w:tcPr>
          <w:p>
            <w:pPr>
              <w:jc w:val="right"/>
              <w:ind w:right="77"/>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002060"/>
            </w:tcBorders>
            <w:shd w:val="clear" w:color="auto" w:fill="E0E0E0"/>
          </w:tcPr>
          <w:p>
            <w:pPr>
              <w:jc w:val="right"/>
              <w:spacing w:after="0" w:line="196" w:lineRule="exact"/>
              <w:rPr>
                <w:sz w:val="20"/>
                <w:szCs w:val="20"/>
                <w:color w:val="auto"/>
              </w:rPr>
            </w:pPr>
            <w:r>
              <w:rPr>
                <w:rFonts w:ascii="Arial" w:cs="Arial" w:eastAsia="Arial" w:hAnsi="Arial"/>
                <w:sz w:val="18"/>
                <w:szCs w:val="18"/>
                <w:color w:val="auto"/>
              </w:rPr>
              <w:t>166,014</w:t>
            </w:r>
          </w:p>
        </w:tc>
        <w:tc>
          <w:tcPr>
            <w:tcW w:w="1160" w:type="dxa"/>
            <w:vAlign w:val="bottom"/>
            <w:tcBorders>
              <w:bottom w:val="single" w:sz="8" w:color="002060"/>
            </w:tcBorders>
            <w:shd w:val="clear" w:color="auto" w:fill="E0E0E0"/>
          </w:tcPr>
          <w:p>
            <w:pPr>
              <w:jc w:val="right"/>
              <w:ind w:right="155"/>
              <w:spacing w:after="0" w:line="196" w:lineRule="exact"/>
              <w:rPr>
                <w:sz w:val="20"/>
                <w:szCs w:val="20"/>
                <w:color w:val="auto"/>
              </w:rPr>
            </w:pPr>
            <w:r>
              <w:rPr>
                <w:rFonts w:ascii="Arial" w:cs="Arial" w:eastAsia="Arial" w:hAnsi="Arial"/>
                <w:sz w:val="18"/>
                <w:szCs w:val="18"/>
                <w:color w:val="auto"/>
              </w:rPr>
              <w:t>409,000</w:t>
            </w:r>
          </w:p>
        </w:tc>
        <w:tc>
          <w:tcPr>
            <w:tcW w:w="860" w:type="dxa"/>
            <w:vAlign w:val="bottom"/>
            <w:tcBorders>
              <w:bottom w:val="single" w:sz="8" w:color="002060"/>
            </w:tcBorders>
            <w:shd w:val="clear" w:color="auto" w:fill="E0E0E0"/>
          </w:tcPr>
          <w:p>
            <w:pPr>
              <w:jc w:val="right"/>
              <w:ind w:right="14"/>
              <w:spacing w:after="0" w:line="196" w:lineRule="exact"/>
              <w:rPr>
                <w:sz w:val="20"/>
                <w:szCs w:val="20"/>
                <w:color w:val="auto"/>
              </w:rPr>
            </w:pPr>
            <w:r>
              <w:rPr>
                <w:rFonts w:ascii="Arial" w:cs="Arial" w:eastAsia="Arial" w:hAnsi="Arial"/>
                <w:sz w:val="18"/>
                <w:szCs w:val="18"/>
                <w:color w:val="auto"/>
              </w:rPr>
              <w:t>575,014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-967740</wp:posOffset>
            </wp:positionV>
            <wp:extent cx="8890" cy="9683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96837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-967740</wp:posOffset>
            </wp:positionV>
            <wp:extent cx="8255" cy="9683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96837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-967740</wp:posOffset>
            </wp:positionV>
            <wp:extent cx="8890" cy="9683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968375"/>
                    </a:xfrm>
                    <a:prstGeom prst="rect">
                      <a:avLst/>
                    </a:prstGeom>
                    <a:noFill/>
                  </pic:spPr>
                </pic:pic>
              </a:graphicData>
            </a:graphic>
          </wp:anchor>
        </w:drawing>
      </w:r>
    </w:p>
    <w:p>
      <w:pPr>
        <w:spacing w:after="0" w:line="83" w:lineRule="exact"/>
        <w:rPr>
          <w:sz w:val="20"/>
          <w:szCs w:val="20"/>
          <w:color w:val="auto"/>
        </w:rPr>
      </w:pPr>
    </w:p>
    <w:p>
      <w:pPr>
        <w:ind w:left="660" w:right="240" w:hanging="436"/>
        <w:spacing w:after="0" w:line="27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in this column represent all earned retainers. Ms. Carter and Messrs. Hilsheimer and Thomas agreed in advance to waive $7,500, $10,000 and $4,000, respectively, in order to assist the Company in funding awards under our Foundation.</w:t>
      </w:r>
    </w:p>
    <w:p>
      <w:pPr>
        <w:spacing w:after="0" w:line="59" w:lineRule="exact"/>
        <w:rPr>
          <w:rFonts w:ascii="Arial" w:cs="Arial" w:eastAsia="Arial" w:hAnsi="Arial"/>
          <w:sz w:val="18"/>
          <w:szCs w:val="18"/>
          <w:color w:val="auto"/>
        </w:rPr>
      </w:pPr>
    </w:p>
    <w:p>
      <w:pPr>
        <w:ind w:left="660" w:right="540" w:hanging="436"/>
        <w:spacing w:after="0" w:line="24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an annual grant of restricted stock having a fair value of $100,000 on the grant date (May 26, 2022), computed in accordance with Financial Accounting Standards Board Accounting Standards Codification Topic 718, Compensation-Stock Compensation (“FASB ASC Topic 718”), based on the closing price of our common stock ($93.72) on the grant date.</w:t>
      </w:r>
    </w:p>
    <w:p>
      <w:pPr>
        <w:spacing w:after="0" w:line="1" w:lineRule="exact"/>
        <w:rPr>
          <w:rFonts w:ascii="Arial" w:cs="Arial" w:eastAsia="Arial" w:hAnsi="Arial"/>
          <w:sz w:val="18"/>
          <w:szCs w:val="18"/>
          <w:color w:val="auto"/>
        </w:rPr>
      </w:pPr>
    </w:p>
    <w:p>
      <w:pPr>
        <w:ind w:left="660" w:right="80"/>
        <w:spacing w:after="0" w:line="237" w:lineRule="auto"/>
        <w:rPr>
          <w:rFonts w:ascii="Arial" w:cs="Arial" w:eastAsia="Arial" w:hAnsi="Arial"/>
          <w:sz w:val="18"/>
          <w:szCs w:val="18"/>
          <w:color w:val="auto"/>
        </w:rPr>
      </w:pPr>
      <w:r>
        <w:rPr>
          <w:rFonts w:ascii="Arial" w:cs="Arial" w:eastAsia="Arial" w:hAnsi="Arial"/>
          <w:sz w:val="18"/>
          <w:szCs w:val="18"/>
          <w:color w:val="auto"/>
        </w:rPr>
        <w:t>Mr. Schottenstein was granted restricted stock upon his appointment to the Board prorated for the director compensation cycle based on the effective date of his appointment through the date of the 2023 Annual Meeting having a value of $85,532 on the grant date (July 18, 2023) with the number of shares determined based on the closing price of our common stock ($79.07) on the grant date. The restricted stock awards vest on the earlier to occur of (i) the one year anniversary of the grant date, (ii) immediately prior to the annual meeting of the Company’s stockholders occurring after the grant date, or (iii) the director’s death, subject in the cases of (i) and (ii) to the director’s continued service through the vesting date. See footnote (4) for a summary of Mr. Verma’s employee restricted stock award.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None of the directors held stock options as of December 31, 2022.</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Schottenstein was appointed to the Board on July 18, 2022.</w:t>
      </w:r>
    </w:p>
    <w:p>
      <w:pPr>
        <w:spacing w:after="0" w:line="117" w:lineRule="exact"/>
        <w:rPr>
          <w:rFonts w:ascii="Arial" w:cs="Arial" w:eastAsia="Arial" w:hAnsi="Arial"/>
          <w:sz w:val="18"/>
          <w:szCs w:val="18"/>
          <w:color w:val="auto"/>
        </w:rPr>
      </w:pPr>
    </w:p>
    <w:p>
      <w:pPr>
        <w:ind w:left="660" w:right="80" w:hanging="436"/>
        <w:spacing w:after="0" w:line="255"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an employee of the Company, Mr. Verma is paid no compensation for his Board service. The amount under the “Stock Awards” column represents a time-based employee restricted stock award having a fair value of $166,014 on the grant date (April 13, 2022) computed in accordance with FASB ASC Topic 718 based on the closing price of our common stock ($80.55) on the grant date.</w:t>
      </w:r>
    </w:p>
    <w:p>
      <w:pPr>
        <w:spacing w:after="0" w:line="2" w:lineRule="exact"/>
        <w:rPr>
          <w:rFonts w:ascii="Arial" w:cs="Arial" w:eastAsia="Arial" w:hAnsi="Arial"/>
          <w:sz w:val="17"/>
          <w:szCs w:val="17"/>
          <w:color w:val="auto"/>
        </w:rPr>
      </w:pPr>
    </w:p>
    <w:p>
      <w:pPr>
        <w:ind w:left="660" w:right="40"/>
        <w:spacing w:after="0"/>
        <w:rPr>
          <w:rFonts w:ascii="Arial" w:cs="Arial" w:eastAsia="Arial" w:hAnsi="Arial"/>
          <w:sz w:val="17"/>
          <w:szCs w:val="17"/>
          <w:color w:val="auto"/>
        </w:rPr>
      </w:pPr>
      <w:r>
        <w:rPr>
          <w:rFonts w:ascii="Arial" w:cs="Arial" w:eastAsia="Arial" w:hAnsi="Arial"/>
          <w:sz w:val="18"/>
          <w:szCs w:val="18"/>
          <w:color w:val="auto"/>
        </w:rPr>
        <w:t>The restricted stock vests in three equal installments (rounded to the nearest whole share) on each of April 20, 2023, April 20, 2024 and April 20, 2025. The amount specified under the “All Other Compensation” column reflects the following compensation paid to Mr. Verma as an employee in 2022: (i) a salary of $400,000, a portion of which was deferred under our non-qualified deferred compensation plan and (ii) other compensation consisting of Company-paid club dues of $9,000.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282575" cy="2660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205" w:lineRule="exact"/>
        <w:rPr>
          <w:sz w:val="20"/>
          <w:szCs w:val="20"/>
          <w:color w:val="auto"/>
        </w:rPr>
      </w:pPr>
    </w:p>
    <w:p>
      <w:pPr>
        <w:ind w:left="240"/>
        <w:spacing w:after="0"/>
        <w:tabs>
          <w:tab w:leader="none" w:pos="660" w:val="left"/>
          <w:tab w:leader="none" w:pos="9460" w:val="left"/>
        </w:tabs>
        <w:rPr>
          <w:sz w:val="20"/>
          <w:szCs w:val="20"/>
          <w:color w:val="auto"/>
        </w:rPr>
      </w:pPr>
      <w:r>
        <w:rPr>
          <w:rFonts w:ascii="Arial" w:cs="Arial" w:eastAsia="Arial" w:hAnsi="Arial"/>
          <w:sz w:val="16"/>
          <w:szCs w:val="16"/>
          <w:color w:val="FFFFFF"/>
        </w:rPr>
        <w:t>32</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Corporate Governance</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Director Stock Ownership Policy</w:t>
      </w:r>
    </w:p>
    <w:p>
      <w:pPr>
        <w:spacing w:after="0" w:line="21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Pursuant to our Stock Ownership Policy for Directors established by the Board and the Compensation and Human Capital Committee to align each director’s interests with the long-term interests of our stockholders, each non-employee director and each employee director who is not otherwise subject to the Company’s stock ownership policy for executive officers is required to beneficially own our common stock having a fair market value equal to at least the greater of $210,000 or three times the annual cash retainer paid to non-employee directors (excluding committee and Presiding Independent Director retainers). If a director chooses to meet this requirement by holding vested or unvested shares of common stock granted in connection with our director compensation program, the shares are valued at the greater of the closing price on the grant date or on the date on which ownership is to be measured. A director has five years from (a) the date of his or her appointment or election, or (b) if later, the date of an increase in the amount of common stock required to be held to meet this requirement. If a director fails to meet the ownership requirement on a measurement date, the director is prohibited from selling any Company stock and 50% of any annual cash retainer (or, for an employee director, an equivalent amount from any annual cash bonus) will be paid in the form of stock in lieu of cash. All of our directors, other than our executive officers who are subject to a different policy, met the stock ownership requirement as of December 31, 2022, except for Mr. Schottenstein, who has five years from the date of his appointment on July 18, 2022 to meet the requirement.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Stockholder Engagement</w:t>
      </w:r>
    </w:p>
    <w:p>
      <w:pPr>
        <w:spacing w:after="0" w:line="212" w:lineRule="exact"/>
        <w:rPr>
          <w:sz w:val="20"/>
          <w:szCs w:val="20"/>
          <w:color w:val="auto"/>
        </w:rPr>
      </w:pPr>
    </w:p>
    <w:p>
      <w:pPr>
        <w:ind w:left="120" w:right="200"/>
        <w:spacing w:after="0" w:line="242" w:lineRule="auto"/>
        <w:rPr>
          <w:sz w:val="20"/>
          <w:szCs w:val="20"/>
          <w:color w:val="auto"/>
        </w:rPr>
      </w:pPr>
      <w:r>
        <w:rPr>
          <w:rFonts w:ascii="Arial" w:cs="Arial" w:eastAsia="Arial" w:hAnsi="Arial"/>
          <w:sz w:val="18"/>
          <w:szCs w:val="18"/>
          <w:color w:val="auto"/>
        </w:rPr>
        <w:t>Developing and fostering long term relationships with our stockholders is a key priority. We actively engage with our stockholders regarding our business strategy, operations, industry trends and conditions, growth opportunities and financial performance. Throughout the year, members of our Investor Relations team and management seek input and feedback through telephone and video calls and in-person meetings with our stockholders to stay informed on their perspectives and to increase their understanding of our business and industry. Feedback received from our stockholder engagement activities informs our decision-making on our business strategy, capital allocation, corporate responsibility, executive compensation, and ESG initiatives.</w:t>
      </w:r>
    </w:p>
    <w:p>
      <w:pPr>
        <w:spacing w:after="0" w:line="179"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During 2022, we participated in 16 sell-side events, hosted quarterly discussions with our largest stockholders and participated in ESG conversations with both existing and potential investors. We engaged with holders representing approximately 25% of our shares, including 36% of our top 25 institutional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136525</wp:posOffset>
            </wp:positionV>
            <wp:extent cx="5314950" cy="291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14950" cy="291465"/>
                    </a:xfrm>
                    <a:prstGeom prst="rect">
                      <a:avLst/>
                    </a:prstGeom>
                    <a:noFill/>
                  </pic:spPr>
                </pic:pic>
              </a:graphicData>
            </a:graphic>
          </wp:anchor>
        </w:drawing>
      </w:r>
    </w:p>
    <w:p>
      <w:pPr>
        <w:spacing w:after="0" w:line="378"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FFFFFF"/>
        </w:rPr>
        <w:t>2022 Engagement Topics:</w:t>
      </w:r>
    </w:p>
    <w:p>
      <w:pPr>
        <w:spacing w:after="0" w:line="40" w:lineRule="exact"/>
        <w:rPr>
          <w:sz w:val="20"/>
          <w:szCs w:val="20"/>
          <w:color w:val="auto"/>
        </w:rPr>
      </w:pPr>
    </w:p>
    <w:p>
      <w:pPr>
        <w:ind w:left="3280"/>
        <w:spacing w:after="0" w:line="207" w:lineRule="exact"/>
        <w:rPr>
          <w:sz w:val="20"/>
          <w:szCs w:val="20"/>
          <w:color w:val="auto"/>
        </w:rPr>
      </w:pPr>
      <w:r>
        <w:rPr>
          <w:rFonts w:ascii="MS PGothic" w:cs="MS PGothic" w:eastAsia="MS PGothic" w:hAnsi="MS PGothic"/>
          <w:sz w:val="18"/>
          <w:szCs w:val="18"/>
          <w:color w:val="002060"/>
        </w:rPr>
        <w:t>∎</w:t>
      </w:r>
      <w:r>
        <w:rPr>
          <w:rFonts w:ascii="Arial" w:cs="Arial" w:eastAsia="Arial" w:hAnsi="Arial"/>
          <w:sz w:val="18"/>
          <w:szCs w:val="18"/>
          <w:color w:val="auto"/>
        </w:rPr>
        <w:t xml:space="preserve">     Macro housing trends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-112395</wp:posOffset>
            </wp:positionV>
            <wp:extent cx="5143500" cy="5060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506095"/>
                    </a:xfrm>
                    <a:prstGeom prst="rect">
                      <a:avLst/>
                    </a:prstGeom>
                    <a:noFill/>
                  </pic:spPr>
                </pic:pic>
              </a:graphicData>
            </a:graphic>
          </wp:anchor>
        </w:drawing>
      </w:r>
    </w:p>
    <w:p>
      <w:pPr>
        <w:spacing w:after="0" w:line="26" w:lineRule="exact"/>
        <w:rPr>
          <w:sz w:val="20"/>
          <w:szCs w:val="20"/>
          <w:color w:val="auto"/>
        </w:rPr>
      </w:pPr>
    </w:p>
    <w:p>
      <w:pPr>
        <w:ind w:left="3640" w:right="1540" w:hanging="359"/>
        <w:spacing w:after="0" w:line="216" w:lineRule="exact"/>
        <w:rPr>
          <w:sz w:val="20"/>
          <w:szCs w:val="20"/>
          <w:color w:val="auto"/>
        </w:rPr>
      </w:pPr>
      <w:r>
        <w:rPr>
          <w:rFonts w:ascii="MS PGothic" w:cs="MS PGothic" w:eastAsia="MS PGothic" w:hAnsi="MS PGothic"/>
          <w:sz w:val="18"/>
          <w:szCs w:val="18"/>
          <w:color w:val="002060"/>
        </w:rPr>
        <w:t>∎</w:t>
      </w:r>
      <w:r>
        <w:rPr>
          <w:rFonts w:ascii="Arial" w:cs="Arial" w:eastAsia="Arial" w:hAnsi="Arial"/>
          <w:sz w:val="18"/>
          <w:szCs w:val="18"/>
          <w:color w:val="auto"/>
        </w:rPr>
        <w:t xml:space="preserve">    Core business operations, including supply chain disruptions, material cost and pricing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-269875</wp:posOffset>
            </wp:positionV>
            <wp:extent cx="4303395" cy="265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03395" cy="265430"/>
                    </a:xfrm>
                    <a:prstGeom prst="rect">
                      <a:avLst/>
                    </a:prstGeom>
                    <a:noFill/>
                  </pic:spPr>
                </pic:pic>
              </a:graphicData>
            </a:graphic>
          </wp:anchor>
        </w:drawing>
      </w:r>
    </w:p>
    <w:p>
      <w:pPr>
        <w:ind w:left="3280"/>
        <w:spacing w:after="0" w:line="188" w:lineRule="exact"/>
        <w:rPr>
          <w:sz w:val="20"/>
          <w:szCs w:val="20"/>
          <w:color w:val="auto"/>
        </w:rPr>
      </w:pPr>
      <w:r>
        <w:rPr>
          <w:rFonts w:ascii="MS PGothic" w:cs="MS PGothic" w:eastAsia="MS PGothic" w:hAnsi="MS PGothic"/>
          <w:sz w:val="18"/>
          <w:szCs w:val="18"/>
          <w:color w:val="002060"/>
        </w:rPr>
        <w:t>∎</w:t>
      </w:r>
      <w:r>
        <w:rPr>
          <w:rFonts w:ascii="Arial" w:cs="Arial" w:eastAsia="Arial" w:hAnsi="Arial"/>
          <w:sz w:val="18"/>
          <w:szCs w:val="18"/>
          <w:color w:val="auto"/>
        </w:rPr>
        <w:t xml:space="preserve">     Our ESG initiatives and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-127635</wp:posOffset>
            </wp:positionV>
            <wp:extent cx="4303395"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03395" cy="137160"/>
                    </a:xfrm>
                    <a:prstGeom prst="rect">
                      <a:avLst/>
                    </a:prstGeom>
                    <a:noFill/>
                  </pic:spPr>
                </pic:pic>
              </a:graphicData>
            </a:graphic>
          </wp:anchor>
        </w:drawing>
      </w:r>
    </w:p>
    <w:p>
      <w:pPr>
        <w:spacing w:after="0" w:line="3" w:lineRule="exact"/>
        <w:rPr>
          <w:sz w:val="20"/>
          <w:szCs w:val="20"/>
          <w:color w:val="auto"/>
        </w:rPr>
      </w:pPr>
    </w:p>
    <w:p>
      <w:pPr>
        <w:ind w:left="3280"/>
        <w:spacing w:after="0" w:line="207" w:lineRule="exact"/>
        <w:rPr>
          <w:sz w:val="20"/>
          <w:szCs w:val="20"/>
          <w:color w:val="auto"/>
        </w:rPr>
      </w:pPr>
      <w:r>
        <w:rPr>
          <w:rFonts w:ascii="MS PGothic" w:cs="MS PGothic" w:eastAsia="MS PGothic" w:hAnsi="MS PGothic"/>
          <w:sz w:val="18"/>
          <w:szCs w:val="18"/>
          <w:color w:val="002060"/>
        </w:rPr>
        <w:t>∎</w:t>
      </w:r>
      <w:r>
        <w:rPr>
          <w:rFonts w:ascii="Arial" w:cs="Arial" w:eastAsia="Arial" w:hAnsi="Arial"/>
          <w:sz w:val="18"/>
          <w:szCs w:val="18"/>
          <w:color w:val="auto"/>
        </w:rPr>
        <w:t xml:space="preserve">     Supporting our communities and people through our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-127635</wp:posOffset>
            </wp:positionV>
            <wp:extent cx="4303395"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03395" cy="137160"/>
                    </a:xfrm>
                    <a:prstGeom prst="rect">
                      <a:avLst/>
                    </a:prstGeom>
                    <a:noFill/>
                  </pic:spPr>
                </pic:pic>
              </a:graphicData>
            </a:graphic>
          </wp:anchor>
        </w:drawing>
      </w:r>
    </w:p>
    <w:p>
      <w:pPr>
        <w:spacing w:after="0" w:line="3" w:lineRule="exact"/>
        <w:rPr>
          <w:sz w:val="20"/>
          <w:szCs w:val="20"/>
          <w:color w:val="auto"/>
        </w:rPr>
      </w:pPr>
    </w:p>
    <w:p>
      <w:pPr>
        <w:ind w:left="3640" w:right="1580" w:hanging="359"/>
        <w:spacing w:after="0" w:line="220" w:lineRule="exact"/>
        <w:rPr>
          <w:sz w:val="20"/>
          <w:szCs w:val="20"/>
          <w:color w:val="auto"/>
        </w:rPr>
      </w:pPr>
      <w:r>
        <w:rPr>
          <w:rFonts w:ascii="MS PGothic" w:cs="MS PGothic" w:eastAsia="MS PGothic" w:hAnsi="MS PGothic"/>
          <w:sz w:val="18"/>
          <w:szCs w:val="18"/>
          <w:color w:val="002060"/>
        </w:rPr>
        <w:t>∎</w:t>
      </w:r>
      <w:r>
        <w:rPr>
          <w:rFonts w:ascii="Arial" w:cs="Arial" w:eastAsia="Arial" w:hAnsi="Arial"/>
          <w:sz w:val="18"/>
          <w:szCs w:val="18"/>
          <w:color w:val="auto"/>
        </w:rPr>
        <w:t xml:space="preserve">    The importance of our primary product, insulation, in reducing greenhouse gas emissions of homes and other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-275590</wp:posOffset>
            </wp:positionV>
            <wp:extent cx="4303395" cy="2660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03395" cy="266065"/>
                    </a:xfrm>
                    <a:prstGeom prst="rect">
                      <a:avLst/>
                    </a:prstGeom>
                    <a:noFill/>
                  </pic:spPr>
                </pic:pic>
              </a:graphicData>
            </a:graphic>
          </wp:anchor>
        </w:drawing>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Communication with Directors</w:t>
      </w:r>
    </w:p>
    <w:p>
      <w:pPr>
        <w:spacing w:after="0" w:line="212"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Stockholders and other interested parties wishing to communicate with the Board of Directors or to any particular director, including the Presiding Independent Director, may do so by writing to the following address: c/o Corporate Secretary, Installed Building Products, Inc., 495 South High Street, Suite 50, Columbus, Ohio 43215. The Board has directed the Corporate Secretary’s office to forward to the appropriate director(s) all correspondence, except for items unrelated to the functions of the Board, business solicitations and advertisements.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81280</wp:posOffset>
            </wp:positionV>
            <wp:extent cx="291465" cy="2660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1465" cy="266065"/>
                    </a:xfrm>
                    <a:prstGeom prst="rect">
                      <a:avLst/>
                    </a:prstGeom>
                    <a:noFill/>
                  </pic:spPr>
                </pic:pic>
              </a:graphicData>
            </a:graphic>
          </wp:anchor>
        </w:drawing>
      </w:r>
    </w:p>
    <w:p>
      <w:pPr>
        <w:spacing w:after="0" w:line="202"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Corporate Governance</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33</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Stockholder Nominations of Director Candidates</w:t>
      </w:r>
    </w:p>
    <w:p>
      <w:pPr>
        <w:spacing w:after="0" w:line="212"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In identifying potential candidates for Board membership, the Nominating and Corporate Governance Committee may rely on recommendations from directors, stockholders, management and others. The Nominating and Corporate Governance Committee reviews all candidates in the same manner, regardless of the source of the recommendation.</w:t>
      </w:r>
    </w:p>
    <w:p>
      <w:pPr>
        <w:spacing w:after="0" w:line="16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Stockholders who wish to recommend or nominate a director candidate must comply with certain procedures. If you desire to nominate a director candidate for the 2024 Annual Meeting of Stockholders, you must comply with the procedures for nomination set forth in the section entitled “</w:t>
      </w:r>
      <w:r>
        <w:rPr>
          <w:rFonts w:ascii="Arial" w:cs="Arial" w:eastAsia="Arial" w:hAnsi="Arial"/>
          <w:sz w:val="18"/>
          <w:szCs w:val="18"/>
          <w:i w:val="1"/>
          <w:iCs w:val="1"/>
          <w:color w:val="auto"/>
        </w:rPr>
        <w:t>Stockholder Proposals for the 2024 Annual Meeting</w:t>
      </w:r>
      <w:r>
        <w:rPr>
          <w:rFonts w:ascii="Arial" w:cs="Arial" w:eastAsia="Arial" w:hAnsi="Arial"/>
          <w:sz w:val="18"/>
          <w:szCs w:val="18"/>
          <w:color w:val="auto"/>
        </w:rPr>
        <w:t>.” Stockholders may recommend a director candidate for consideration at any time by giving written notice of the recommendation to our Corporate Secretary at Installed Building Products, Inc., 495 South High Street, Suite 50, Columbus, Ohio 43215. The recommendation must include the candidate’s name, age, business address, residence address and principal occupation or employment, as well as a description of the candidate’s qualifications, attributes and other skills. The Nominating and Corporate Governance Committee may require additional information before considering the candidate. A written consent from the candidate consenting to serve as a director, if elected, must accompany the recommendation. These procedural requirements are intended to ensure that the Nominating and Corporate Governance Committee has sufficient time and a basis upon which to assess potential director candidates and are not intended to discourage or interfere with stockholder nominations.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Corporate Governance Materials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corporate governance materials are published on our website at</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2E75B4"/>
        </w:rPr>
        <w:t>http://investors.installedbuildingproducts.com/corporate-governance</w:t>
      </w:r>
      <w:r>
        <w:rPr>
          <w:rFonts w:ascii="Arial" w:cs="Arial" w:eastAsia="Arial" w:hAnsi="Arial"/>
          <w:sz w:val="18"/>
          <w:szCs w:val="18"/>
          <w:color w:val="000000"/>
        </w:rPr>
        <w:t>:</w:t>
      </w:r>
    </w:p>
    <w:p>
      <w:pPr>
        <w:spacing w:after="0" w:line="99" w:lineRule="exact"/>
        <w:rPr>
          <w:sz w:val="20"/>
          <w:szCs w:val="20"/>
          <w:color w:val="auto"/>
        </w:rPr>
      </w:pPr>
    </w:p>
    <w:p>
      <w:pPr>
        <w:ind w:left="1080" w:hanging="532"/>
        <w:spacing w:after="0"/>
        <w:tabs>
          <w:tab w:leader="none" w:pos="1080" w:val="left"/>
        </w:tabs>
        <w:numPr>
          <w:ilvl w:val="0"/>
          <w:numId w:val="24"/>
        </w:numPr>
        <w:rPr>
          <w:rFonts w:ascii="MS PGothic" w:cs="MS PGothic" w:eastAsia="MS PGothic" w:hAnsi="MS PGothic"/>
          <w:sz w:val="18"/>
          <w:szCs w:val="18"/>
          <w:color w:val="002060"/>
        </w:rPr>
      </w:pPr>
      <w:r>
        <w:rPr>
          <w:rFonts w:ascii="Arial" w:cs="Arial" w:eastAsia="Arial" w:hAnsi="Arial"/>
          <w:sz w:val="18"/>
          <w:szCs w:val="18"/>
          <w:color w:val="auto"/>
        </w:rPr>
        <w:t>Audit Committee Charter</w:t>
      </w:r>
    </w:p>
    <w:p>
      <w:pPr>
        <w:spacing w:after="0" w:line="49" w:lineRule="exact"/>
        <w:rPr>
          <w:rFonts w:ascii="MS PGothic" w:cs="MS PGothic" w:eastAsia="MS PGothic" w:hAnsi="MS PGothic"/>
          <w:sz w:val="18"/>
          <w:szCs w:val="18"/>
          <w:color w:val="002060"/>
        </w:rPr>
      </w:pPr>
    </w:p>
    <w:p>
      <w:pPr>
        <w:ind w:left="1080" w:hanging="532"/>
        <w:spacing w:after="0"/>
        <w:tabs>
          <w:tab w:leader="none" w:pos="1080" w:val="left"/>
        </w:tabs>
        <w:numPr>
          <w:ilvl w:val="0"/>
          <w:numId w:val="24"/>
        </w:numPr>
        <w:rPr>
          <w:rFonts w:ascii="MS PGothic" w:cs="MS PGothic" w:eastAsia="MS PGothic" w:hAnsi="MS PGothic"/>
          <w:sz w:val="18"/>
          <w:szCs w:val="18"/>
          <w:color w:val="002060"/>
        </w:rPr>
      </w:pPr>
      <w:r>
        <w:rPr>
          <w:rFonts w:ascii="Arial" w:cs="Arial" w:eastAsia="Arial" w:hAnsi="Arial"/>
          <w:sz w:val="18"/>
          <w:szCs w:val="18"/>
          <w:color w:val="auto"/>
        </w:rPr>
        <w:t>Amended and Restated Bylaws</w:t>
      </w:r>
    </w:p>
    <w:p>
      <w:pPr>
        <w:spacing w:after="0" w:line="49" w:lineRule="exact"/>
        <w:rPr>
          <w:rFonts w:ascii="MS PGothic" w:cs="MS PGothic" w:eastAsia="MS PGothic" w:hAnsi="MS PGothic"/>
          <w:sz w:val="18"/>
          <w:szCs w:val="18"/>
          <w:color w:val="002060"/>
        </w:rPr>
      </w:pPr>
    </w:p>
    <w:p>
      <w:pPr>
        <w:ind w:left="1080" w:hanging="532"/>
        <w:spacing w:after="0"/>
        <w:tabs>
          <w:tab w:leader="none" w:pos="1080" w:val="left"/>
        </w:tabs>
        <w:numPr>
          <w:ilvl w:val="0"/>
          <w:numId w:val="24"/>
        </w:numPr>
        <w:rPr>
          <w:rFonts w:ascii="MS PGothic" w:cs="MS PGothic" w:eastAsia="MS PGothic" w:hAnsi="MS PGothic"/>
          <w:sz w:val="18"/>
          <w:szCs w:val="18"/>
          <w:color w:val="002060"/>
        </w:rPr>
      </w:pPr>
      <w:r>
        <w:rPr>
          <w:rFonts w:ascii="Arial" w:cs="Arial" w:eastAsia="Arial" w:hAnsi="Arial"/>
          <w:sz w:val="18"/>
          <w:szCs w:val="18"/>
          <w:color w:val="auto"/>
        </w:rPr>
        <w:t>Amended and Restated Certificate of Incorporation</w:t>
      </w:r>
    </w:p>
    <w:p>
      <w:pPr>
        <w:spacing w:after="0" w:line="49" w:lineRule="exact"/>
        <w:rPr>
          <w:rFonts w:ascii="MS PGothic" w:cs="MS PGothic" w:eastAsia="MS PGothic" w:hAnsi="MS PGothic"/>
          <w:sz w:val="18"/>
          <w:szCs w:val="18"/>
          <w:color w:val="002060"/>
        </w:rPr>
      </w:pPr>
    </w:p>
    <w:p>
      <w:pPr>
        <w:ind w:left="1080" w:hanging="532"/>
        <w:spacing w:after="0"/>
        <w:tabs>
          <w:tab w:leader="none" w:pos="1080" w:val="left"/>
        </w:tabs>
        <w:numPr>
          <w:ilvl w:val="0"/>
          <w:numId w:val="24"/>
        </w:numPr>
        <w:rPr>
          <w:rFonts w:ascii="MS PGothic" w:cs="MS PGothic" w:eastAsia="MS PGothic" w:hAnsi="MS PGothic"/>
          <w:sz w:val="18"/>
          <w:szCs w:val="18"/>
          <w:color w:val="002060"/>
        </w:rPr>
      </w:pPr>
      <w:r>
        <w:rPr>
          <w:rFonts w:ascii="Arial" w:cs="Arial" w:eastAsia="Arial" w:hAnsi="Arial"/>
          <w:sz w:val="18"/>
          <w:szCs w:val="18"/>
          <w:color w:val="auto"/>
        </w:rPr>
        <w:t>Code of Business Conduct and Ethics</w:t>
      </w:r>
    </w:p>
    <w:p>
      <w:pPr>
        <w:spacing w:after="0" w:line="49" w:lineRule="exact"/>
        <w:rPr>
          <w:rFonts w:ascii="MS PGothic" w:cs="MS PGothic" w:eastAsia="MS PGothic" w:hAnsi="MS PGothic"/>
          <w:sz w:val="18"/>
          <w:szCs w:val="18"/>
          <w:color w:val="002060"/>
        </w:rPr>
      </w:pPr>
    </w:p>
    <w:p>
      <w:pPr>
        <w:ind w:left="1080" w:hanging="532"/>
        <w:spacing w:after="0"/>
        <w:tabs>
          <w:tab w:leader="none" w:pos="1080" w:val="left"/>
        </w:tabs>
        <w:numPr>
          <w:ilvl w:val="0"/>
          <w:numId w:val="24"/>
        </w:numPr>
        <w:rPr>
          <w:rFonts w:ascii="MS PGothic" w:cs="MS PGothic" w:eastAsia="MS PGothic" w:hAnsi="MS PGothic"/>
          <w:sz w:val="18"/>
          <w:szCs w:val="18"/>
          <w:color w:val="002060"/>
        </w:rPr>
      </w:pPr>
      <w:r>
        <w:rPr>
          <w:rFonts w:ascii="Arial" w:cs="Arial" w:eastAsia="Arial" w:hAnsi="Arial"/>
          <w:sz w:val="18"/>
          <w:szCs w:val="18"/>
          <w:color w:val="auto"/>
        </w:rPr>
        <w:t>Compensation and Human Capital Committee Charter</w:t>
      </w:r>
    </w:p>
    <w:p>
      <w:pPr>
        <w:spacing w:after="0" w:line="49" w:lineRule="exact"/>
        <w:rPr>
          <w:rFonts w:ascii="MS PGothic" w:cs="MS PGothic" w:eastAsia="MS PGothic" w:hAnsi="MS PGothic"/>
          <w:sz w:val="18"/>
          <w:szCs w:val="18"/>
          <w:color w:val="002060"/>
        </w:rPr>
      </w:pPr>
    </w:p>
    <w:p>
      <w:pPr>
        <w:ind w:left="1080" w:hanging="532"/>
        <w:spacing w:after="0"/>
        <w:tabs>
          <w:tab w:leader="none" w:pos="1080" w:val="left"/>
        </w:tabs>
        <w:numPr>
          <w:ilvl w:val="0"/>
          <w:numId w:val="24"/>
        </w:numPr>
        <w:rPr>
          <w:rFonts w:ascii="MS PGothic" w:cs="MS PGothic" w:eastAsia="MS PGothic" w:hAnsi="MS PGothic"/>
          <w:sz w:val="18"/>
          <w:szCs w:val="18"/>
          <w:color w:val="002060"/>
        </w:rPr>
      </w:pPr>
      <w:r>
        <w:rPr>
          <w:rFonts w:ascii="Arial" w:cs="Arial" w:eastAsia="Arial" w:hAnsi="Arial"/>
          <w:sz w:val="18"/>
          <w:szCs w:val="18"/>
          <w:color w:val="auto"/>
        </w:rPr>
        <w:t>Corporate Governance Guidelines</w:t>
      </w:r>
    </w:p>
    <w:p>
      <w:pPr>
        <w:spacing w:after="0" w:line="49" w:lineRule="exact"/>
        <w:rPr>
          <w:rFonts w:ascii="MS PGothic" w:cs="MS PGothic" w:eastAsia="MS PGothic" w:hAnsi="MS PGothic"/>
          <w:sz w:val="18"/>
          <w:szCs w:val="18"/>
          <w:color w:val="002060"/>
        </w:rPr>
      </w:pPr>
    </w:p>
    <w:p>
      <w:pPr>
        <w:ind w:left="1080" w:hanging="532"/>
        <w:spacing w:after="0"/>
        <w:tabs>
          <w:tab w:leader="none" w:pos="1080" w:val="left"/>
        </w:tabs>
        <w:numPr>
          <w:ilvl w:val="0"/>
          <w:numId w:val="24"/>
        </w:numPr>
        <w:rPr>
          <w:rFonts w:ascii="MS PGothic" w:cs="MS PGothic" w:eastAsia="MS PGothic" w:hAnsi="MS PGothic"/>
          <w:sz w:val="18"/>
          <w:szCs w:val="18"/>
          <w:color w:val="002060"/>
        </w:rPr>
      </w:pPr>
      <w:r>
        <w:rPr>
          <w:rFonts w:ascii="Arial" w:cs="Arial" w:eastAsia="Arial" w:hAnsi="Arial"/>
          <w:sz w:val="18"/>
          <w:szCs w:val="18"/>
          <w:color w:val="auto"/>
        </w:rPr>
        <w:t>Disclosure Committee Charter</w:t>
      </w:r>
    </w:p>
    <w:p>
      <w:pPr>
        <w:spacing w:after="0" w:line="49" w:lineRule="exact"/>
        <w:rPr>
          <w:rFonts w:ascii="MS PGothic" w:cs="MS PGothic" w:eastAsia="MS PGothic" w:hAnsi="MS PGothic"/>
          <w:sz w:val="18"/>
          <w:szCs w:val="18"/>
          <w:color w:val="002060"/>
        </w:rPr>
      </w:pPr>
    </w:p>
    <w:p>
      <w:pPr>
        <w:ind w:left="1080" w:hanging="532"/>
        <w:spacing w:after="0"/>
        <w:tabs>
          <w:tab w:leader="none" w:pos="1080" w:val="left"/>
        </w:tabs>
        <w:numPr>
          <w:ilvl w:val="0"/>
          <w:numId w:val="24"/>
        </w:numPr>
        <w:rPr>
          <w:rFonts w:ascii="MS PGothic" w:cs="MS PGothic" w:eastAsia="MS PGothic" w:hAnsi="MS PGothic"/>
          <w:sz w:val="18"/>
          <w:szCs w:val="18"/>
          <w:color w:val="002060"/>
        </w:rPr>
      </w:pPr>
      <w:r>
        <w:rPr>
          <w:rFonts w:ascii="Arial" w:cs="Arial" w:eastAsia="Arial" w:hAnsi="Arial"/>
          <w:sz w:val="18"/>
          <w:szCs w:val="18"/>
          <w:color w:val="auto"/>
        </w:rPr>
        <w:t>Insider Trading Policy – All Employees</w:t>
      </w:r>
    </w:p>
    <w:p>
      <w:pPr>
        <w:spacing w:after="0" w:line="49" w:lineRule="exact"/>
        <w:rPr>
          <w:rFonts w:ascii="MS PGothic" w:cs="MS PGothic" w:eastAsia="MS PGothic" w:hAnsi="MS PGothic"/>
          <w:sz w:val="18"/>
          <w:szCs w:val="18"/>
          <w:color w:val="002060"/>
        </w:rPr>
      </w:pPr>
    </w:p>
    <w:p>
      <w:pPr>
        <w:ind w:left="1080" w:hanging="532"/>
        <w:spacing w:after="0"/>
        <w:tabs>
          <w:tab w:leader="none" w:pos="1080" w:val="left"/>
        </w:tabs>
        <w:numPr>
          <w:ilvl w:val="0"/>
          <w:numId w:val="24"/>
        </w:numPr>
        <w:rPr>
          <w:rFonts w:ascii="MS PGothic" w:cs="MS PGothic" w:eastAsia="MS PGothic" w:hAnsi="MS PGothic"/>
          <w:sz w:val="18"/>
          <w:szCs w:val="18"/>
          <w:color w:val="002060"/>
        </w:rPr>
      </w:pPr>
      <w:r>
        <w:rPr>
          <w:rFonts w:ascii="Arial" w:cs="Arial" w:eastAsia="Arial" w:hAnsi="Arial"/>
          <w:sz w:val="18"/>
          <w:szCs w:val="18"/>
          <w:color w:val="auto"/>
        </w:rPr>
        <w:t>Insider Trading Policy – Covered Persons</w:t>
      </w:r>
    </w:p>
    <w:p>
      <w:pPr>
        <w:spacing w:after="0" w:line="49" w:lineRule="exact"/>
        <w:rPr>
          <w:rFonts w:ascii="MS PGothic" w:cs="MS PGothic" w:eastAsia="MS PGothic" w:hAnsi="MS PGothic"/>
          <w:sz w:val="18"/>
          <w:szCs w:val="18"/>
          <w:color w:val="002060"/>
        </w:rPr>
      </w:pPr>
    </w:p>
    <w:p>
      <w:pPr>
        <w:ind w:left="1080" w:hanging="532"/>
        <w:spacing w:after="0"/>
        <w:tabs>
          <w:tab w:leader="none" w:pos="1080" w:val="left"/>
        </w:tabs>
        <w:numPr>
          <w:ilvl w:val="0"/>
          <w:numId w:val="24"/>
        </w:numPr>
        <w:rPr>
          <w:rFonts w:ascii="MS PGothic" w:cs="MS PGothic" w:eastAsia="MS PGothic" w:hAnsi="MS PGothic"/>
          <w:sz w:val="18"/>
          <w:szCs w:val="18"/>
          <w:color w:val="002060"/>
        </w:rPr>
      </w:pPr>
      <w:r>
        <w:rPr>
          <w:rFonts w:ascii="Arial" w:cs="Arial" w:eastAsia="Arial" w:hAnsi="Arial"/>
          <w:sz w:val="18"/>
          <w:szCs w:val="18"/>
          <w:color w:val="auto"/>
        </w:rPr>
        <w:t>Nominating and Corporate Governance Committee Charter</w:t>
      </w:r>
    </w:p>
    <w:p>
      <w:pPr>
        <w:spacing w:after="0" w:line="49" w:lineRule="exact"/>
        <w:rPr>
          <w:rFonts w:ascii="MS PGothic" w:cs="MS PGothic" w:eastAsia="MS PGothic" w:hAnsi="MS PGothic"/>
          <w:sz w:val="18"/>
          <w:szCs w:val="18"/>
          <w:color w:val="002060"/>
        </w:rPr>
      </w:pPr>
    </w:p>
    <w:p>
      <w:pPr>
        <w:ind w:left="1080" w:hanging="532"/>
        <w:spacing w:after="0"/>
        <w:tabs>
          <w:tab w:leader="none" w:pos="1080" w:val="left"/>
        </w:tabs>
        <w:numPr>
          <w:ilvl w:val="0"/>
          <w:numId w:val="24"/>
        </w:numPr>
        <w:rPr>
          <w:rFonts w:ascii="MS PGothic" w:cs="MS PGothic" w:eastAsia="MS PGothic" w:hAnsi="MS PGothic"/>
          <w:sz w:val="18"/>
          <w:szCs w:val="18"/>
          <w:color w:val="002060"/>
        </w:rPr>
      </w:pPr>
      <w:r>
        <w:rPr>
          <w:rFonts w:ascii="Arial" w:cs="Arial" w:eastAsia="Arial" w:hAnsi="Arial"/>
          <w:sz w:val="18"/>
          <w:szCs w:val="18"/>
          <w:color w:val="auto"/>
        </w:rPr>
        <w:t>Reg FD Policy</w:t>
      </w:r>
    </w:p>
    <w:p>
      <w:pPr>
        <w:spacing w:after="0" w:line="49" w:lineRule="exact"/>
        <w:rPr>
          <w:rFonts w:ascii="MS PGothic" w:cs="MS PGothic" w:eastAsia="MS PGothic" w:hAnsi="MS PGothic"/>
          <w:sz w:val="18"/>
          <w:szCs w:val="18"/>
          <w:color w:val="002060"/>
        </w:rPr>
      </w:pPr>
    </w:p>
    <w:p>
      <w:pPr>
        <w:ind w:left="1080" w:hanging="532"/>
        <w:spacing w:after="0"/>
        <w:tabs>
          <w:tab w:leader="none" w:pos="1080" w:val="left"/>
        </w:tabs>
        <w:numPr>
          <w:ilvl w:val="0"/>
          <w:numId w:val="24"/>
        </w:numPr>
        <w:rPr>
          <w:rFonts w:ascii="MS PGothic" w:cs="MS PGothic" w:eastAsia="MS PGothic" w:hAnsi="MS PGothic"/>
          <w:sz w:val="18"/>
          <w:szCs w:val="18"/>
          <w:color w:val="002060"/>
        </w:rPr>
      </w:pPr>
      <w:r>
        <w:rPr>
          <w:rFonts w:ascii="Arial" w:cs="Arial" w:eastAsia="Arial" w:hAnsi="Arial"/>
          <w:sz w:val="18"/>
          <w:szCs w:val="18"/>
          <w:color w:val="auto"/>
        </w:rPr>
        <w:t>Related-Party Transactions Policy</w:t>
      </w:r>
    </w:p>
    <w:p>
      <w:pPr>
        <w:spacing w:after="0" w:line="49" w:lineRule="exact"/>
        <w:rPr>
          <w:rFonts w:ascii="MS PGothic" w:cs="MS PGothic" w:eastAsia="MS PGothic" w:hAnsi="MS PGothic"/>
          <w:sz w:val="18"/>
          <w:szCs w:val="18"/>
          <w:color w:val="002060"/>
        </w:rPr>
      </w:pPr>
    </w:p>
    <w:p>
      <w:pPr>
        <w:ind w:left="1080" w:hanging="532"/>
        <w:spacing w:after="0"/>
        <w:tabs>
          <w:tab w:leader="none" w:pos="1080" w:val="left"/>
        </w:tabs>
        <w:numPr>
          <w:ilvl w:val="0"/>
          <w:numId w:val="24"/>
        </w:numPr>
        <w:rPr>
          <w:rFonts w:ascii="MS PGothic" w:cs="MS PGothic" w:eastAsia="MS PGothic" w:hAnsi="MS PGothic"/>
          <w:sz w:val="18"/>
          <w:szCs w:val="18"/>
          <w:color w:val="002060"/>
        </w:rPr>
      </w:pPr>
      <w:r>
        <w:rPr>
          <w:rFonts w:ascii="Arial" w:cs="Arial" w:eastAsia="Arial" w:hAnsi="Arial"/>
          <w:sz w:val="18"/>
          <w:szCs w:val="18"/>
          <w:color w:val="auto"/>
        </w:rPr>
        <w:t>Whistleblower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172085</wp:posOffset>
            </wp:positionV>
            <wp:extent cx="6197600" cy="2674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9760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40"/>
        <w:spacing w:after="0"/>
        <w:tabs>
          <w:tab w:leader="none" w:pos="660" w:val="left"/>
          <w:tab w:leader="none" w:pos="9460" w:val="left"/>
        </w:tabs>
        <w:rPr>
          <w:sz w:val="20"/>
          <w:szCs w:val="20"/>
          <w:color w:val="auto"/>
        </w:rPr>
      </w:pPr>
      <w:r>
        <w:rPr>
          <w:rFonts w:ascii="Arial" w:cs="Arial" w:eastAsia="Arial" w:hAnsi="Arial"/>
          <w:sz w:val="16"/>
          <w:szCs w:val="16"/>
          <w:color w:val="FFFFFF"/>
        </w:rPr>
        <w:t>34</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Corporate Governance</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40"/>
          <w:szCs w:val="40"/>
          <w:b w:val="1"/>
          <w:bCs w:val="1"/>
          <w:color w:val="0070C0"/>
        </w:rPr>
        <w:t>CORPORATE RESPONSIBILITY</w:t>
      </w:r>
    </w:p>
    <w:p>
      <w:pPr>
        <w:spacing w:after="0" w:line="230" w:lineRule="exact"/>
        <w:rPr>
          <w:sz w:val="20"/>
          <w:szCs w:val="20"/>
          <w:color w:val="auto"/>
        </w:rPr>
      </w:pPr>
    </w:p>
    <w:p>
      <w:pPr>
        <w:ind w:left="120" w:right="300"/>
        <w:spacing w:after="0" w:line="244" w:lineRule="auto"/>
        <w:rPr>
          <w:sz w:val="20"/>
          <w:szCs w:val="20"/>
          <w:color w:val="auto"/>
        </w:rPr>
      </w:pPr>
      <w:r>
        <w:rPr>
          <w:rFonts w:ascii="Arial" w:cs="Arial" w:eastAsia="Arial" w:hAnsi="Arial"/>
          <w:sz w:val="18"/>
          <w:szCs w:val="18"/>
          <w:color w:val="auto"/>
        </w:rPr>
        <w:t>Our Board of Directors and management team recognize the importance of ESG issues and their impact on our stockholders, our customers, our employees and our communities. Good corporate citizenship is important to us and we are committed to promoting a culture of doing what is right and investing in the communities where we live and work. We integrate corporate responsibility every day through making buildings energy efficient, providing for the health, safety and welfare of our employees, advocating volunteerism and empowering philanthropy.</w:t>
      </w:r>
    </w:p>
    <w:p>
      <w:pPr>
        <w:spacing w:after="0" w:line="176"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 xml:space="preserve">As we move forward, we will continue to deepen our corporate responsibility efforts. As part of that effort, in 2022, we named Jason R. Niswonger, one of our executive officers, as our Chief Administrative and Sustainability Officer. Mr. Niswonger is responsible for leading and coordinating our ESG initiatives. In 2022 we released our second annual Environmental, Social and Governance Report (“Sustainability Report”), which can be found on our website at </w:t>
      </w:r>
      <w:r>
        <w:rPr>
          <w:rFonts w:ascii="Arial" w:cs="Arial" w:eastAsia="Arial" w:hAnsi="Arial"/>
          <w:sz w:val="18"/>
          <w:szCs w:val="18"/>
          <w:i w:val="1"/>
          <w:iCs w:val="1"/>
          <w:u w:val="single" w:color="auto"/>
          <w:color w:val="0070C0"/>
        </w:rPr>
        <w:t>https://installedbuildingproducts.com/sustainability/</w:t>
      </w:r>
      <w:r>
        <w:rPr>
          <w:rFonts w:ascii="Arial" w:cs="Arial" w:eastAsia="Arial" w:hAnsi="Arial"/>
          <w:sz w:val="18"/>
          <w:szCs w:val="18"/>
          <w:color w:val="auto"/>
        </w:rPr>
        <w:t>.</w:t>
      </w:r>
    </w:p>
    <w:p>
      <w:pPr>
        <w:spacing w:after="0" w:line="174" w:lineRule="exact"/>
        <w:rPr>
          <w:sz w:val="20"/>
          <w:szCs w:val="20"/>
          <w:color w:val="auto"/>
        </w:rPr>
      </w:pPr>
    </w:p>
    <w:p>
      <w:pPr>
        <w:ind w:left="120" w:right="300"/>
        <w:spacing w:after="0" w:line="242" w:lineRule="auto"/>
        <w:rPr>
          <w:sz w:val="20"/>
          <w:szCs w:val="20"/>
          <w:color w:val="auto"/>
        </w:rPr>
      </w:pPr>
      <w:r>
        <w:rPr>
          <w:rFonts w:ascii="Arial" w:cs="Arial" w:eastAsia="Arial" w:hAnsi="Arial"/>
          <w:sz w:val="18"/>
          <w:szCs w:val="18"/>
          <w:color w:val="auto"/>
        </w:rPr>
        <w:t>The Nominating and Corporate Governance Committee is responsible for the oversight of our ESG programs, except to the extent reserved to the full Board or another Board committee. The Compensation and Human Capital Committee oversees our Foundation activities and human capital policies and practices, including DEI, talent development initiatives, employee retention and employee compensation practices. Updates on our ESG programs and initiatives are provided to the Board committees each quarter. The Board also directly receives periodic reports on sustainability, cybersecurity, DEI and Foundation initiatives from Company team leaders at its regular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142875</wp:posOffset>
            </wp:positionV>
            <wp:extent cx="5014595" cy="1525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1459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Our Environment</w:t>
      </w:r>
    </w:p>
    <w:p>
      <w:pPr>
        <w:spacing w:after="0" w:line="216"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We play a direct role in creating a sustainable future through our day-to-day business operations by installing products that promote energy efficiency. Insulation and air sealing play a critical role in reducing energy consumption and carbon emissions. According to the Office of Energy Efficiency &amp; Renewable Energy, over $400 billion is spent each year to power residential and commercial buildings that consume 75% of all electricity used in the United States and approximately 40% of all energy consumed in the United States. Inadequate insulation and air leakage are the leading causes of energy waste in most structures. According to the Alliance to Save Energy, energy efficiency is the single most effective strategy for reducing carbon emissions. Insulated homes and commercial buildings reduce both energy consumption and greenhouse gas emissions.</w:t>
      </w:r>
    </w:p>
    <w:p>
      <w:pPr>
        <w:spacing w:after="0" w:line="185"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In addition to the contribution that our insulation and air barrier installations make to energy conservation throughout the United States, we are searching for ways to reduce our own carbon footprint. We have transitioned a substantial portion of our electricity needs to a carbon free source and have entered into a national waste management program to increase recycling at our branches nationwide. Our future environmental goals may be found in our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79375</wp:posOffset>
            </wp:positionV>
            <wp:extent cx="291465" cy="2660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91465" cy="266065"/>
                    </a:xfrm>
                    <a:prstGeom prst="rect">
                      <a:avLst/>
                    </a:prstGeom>
                    <a:noFill/>
                  </pic:spPr>
                </pic:pic>
              </a:graphicData>
            </a:graphic>
          </wp:anchor>
        </w:drawing>
      </w:r>
    </w:p>
    <w:p>
      <w:pPr>
        <w:spacing w:after="0" w:line="199"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Corporate Responsibility</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35</w:t>
      </w:r>
    </w:p>
    <w:p>
      <w:pPr>
        <w:sectPr>
          <w:pgSz w:w="11900" w:h="16838" w:orient="portrait"/>
          <w:cols w:equalWidth="0" w:num="1">
            <w:col w:w="11080"/>
          </w:cols>
          <w:pgMar w:left="320" w:top="482"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480060" cy="2489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i w:val="1"/>
          <w:iCs w:val="1"/>
          <w:color w:val="auto"/>
        </w:rPr>
        <w:t>Fiberglass Insulation Installation Services</w:t>
      </w:r>
      <w:r>
        <w:rPr>
          <w:rFonts w:ascii="Arial" w:cs="Arial" w:eastAsia="Arial" w:hAnsi="Arial"/>
          <w:sz w:val="18"/>
          <w:szCs w:val="18"/>
          <w:color w:val="auto"/>
        </w:rPr>
        <w:t>. The most common type</w:t>
      </w:r>
      <w:r>
        <w:rPr>
          <w:rFonts w:ascii="Arial" w:cs="Arial" w:eastAsia="Arial" w:hAnsi="Arial"/>
          <w:sz w:val="18"/>
          <w:szCs w:val="18"/>
          <w:i w:val="1"/>
          <w:iCs w:val="1"/>
          <w:color w:val="auto"/>
        </w:rPr>
        <w:t xml:space="preserve"> </w:t>
      </w:r>
      <w:r>
        <w:rPr>
          <w:rFonts w:ascii="Arial" w:cs="Arial" w:eastAsia="Arial" w:hAnsi="Arial"/>
          <w:sz w:val="18"/>
          <w:szCs w:val="18"/>
          <w:color w:val="auto"/>
        </w:rPr>
        <w:t>of insulation we install is fiberglass, which is comprised of up to 80% recycled material. A 2018 survey conducted by the North American Insulation Manufacturers Association (“NAIMA”) found that U.S. fiberglass manufacturers utilized 2.2. billion pounds of recycled glass in the production of fiberglass insulation. Our insulation and air barrier installation services provide the critical link between manufacturer inventory and builders and homeowners who desire to promote energy efficiency or meet increasingly stringent building codes. Our installation professionals receive extensive training through programs developed by NAIMA, including thermal performance, moisture prevention, air infiltration and ventilation, so that we can employ the latest techniques and technologies to improve energy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636905</wp:posOffset>
            </wp:positionV>
            <wp:extent cx="3137535" cy="21088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13753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i w:val="1"/>
          <w:iCs w:val="1"/>
          <w:color w:val="auto"/>
        </w:rPr>
        <w:t xml:space="preserve">Cellulose Insulation Manufacturing. </w:t>
      </w:r>
      <w:r>
        <w:rPr>
          <w:rFonts w:ascii="Arial" w:cs="Arial" w:eastAsia="Arial" w:hAnsi="Arial"/>
          <w:sz w:val="18"/>
          <w:szCs w:val="18"/>
          <w:color w:val="auto"/>
        </w:rPr>
        <w:t>Another product we install is</w:t>
      </w:r>
      <w:r>
        <w:rPr>
          <w:rFonts w:ascii="Arial" w:cs="Arial" w:eastAsia="Arial" w:hAnsi="Arial"/>
          <w:sz w:val="18"/>
          <w:szCs w:val="18"/>
          <w:i w:val="1"/>
          <w:iCs w:val="1"/>
          <w:color w:val="auto"/>
        </w:rPr>
        <w:t xml:space="preserve"> </w:t>
      </w:r>
      <w:r>
        <w:rPr>
          <w:rFonts w:ascii="Arial" w:cs="Arial" w:eastAsia="Arial" w:hAnsi="Arial"/>
          <w:sz w:val="18"/>
          <w:szCs w:val="18"/>
          <w:color w:val="auto"/>
        </w:rPr>
        <w:t>cellulose insulation, which is installed in the walls, ceilings and attics of new homes. In 2022, we produced 51,588 tons of cellulose products consisting of at least 85% post-consumer recycled waste paper and cardboard from our manufacturing plant located in Bucyrus, Ohio. In the manufacturing of our cellulose products, we processed approximately 49,500 tons of recycled wastepaper to make our finished products which might have otherwise decomposed in a landfill, releasing methane and carbon dioxide gases. The manufacturing process does not directly emit atmospheric gases or use water; however, it is a significant user of electricity – approximately 30% of our electricity usage in 2020. In May 2021, the Bucyrus plant transitioned its electricity supply to a carbon-free source, significantly reducing our environmental impact.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Loosefill Insulation Installation Services</w:t>
      </w:r>
      <w:r>
        <w:rPr>
          <w:rFonts w:ascii="Arial" w:cs="Arial" w:eastAsia="Arial" w:hAnsi="Arial"/>
          <w:sz w:val="18"/>
          <w:szCs w:val="18"/>
          <w:color w:val="auto"/>
        </w:rPr>
        <w:t>. One type of fiberglass</w:t>
      </w:r>
      <w:r>
        <w:rPr>
          <w:rFonts w:ascii="Arial" w:cs="Arial" w:eastAsia="Arial" w:hAnsi="Arial"/>
          <w:sz w:val="18"/>
          <w:szCs w:val="18"/>
          <w:i w:val="1"/>
          <w:iCs w:val="1"/>
          <w:color w:val="auto"/>
        </w:rPr>
        <w:t xml:space="preserve"> </w:t>
      </w:r>
      <w:r>
        <w:rPr>
          <w:rFonts w:ascii="Arial" w:cs="Arial" w:eastAsia="Arial" w:hAnsi="Arial"/>
          <w:sz w:val="18"/>
          <w:szCs w:val="18"/>
          <w:color w:val="auto"/>
        </w:rPr>
        <w:t>insulation we install is loosefill, or blown-in, insulation. We have a production facility in Shelbyville, Indiana that retrieves manufacturers’ waste fiberglass material that would otherwise be sent to a landfill and produces loosefill insulation suitable for blowing into attics. In 2022, we reclaimed 2.7 million pounds of scrap material that would otherwise have been placed in a landfill and insulated over 4.7 million square feet of space (to an R value of R30) using this recycled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-3951605</wp:posOffset>
            </wp:positionV>
            <wp:extent cx="3514725" cy="23660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14725" cy="23660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934085</wp:posOffset>
            </wp:positionV>
            <wp:extent cx="3540125" cy="20231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40125" cy="2023110"/>
                    </a:xfrm>
                    <a:prstGeom prst="rect">
                      <a:avLst/>
                    </a:prstGeom>
                    <a:noFill/>
                  </pic:spPr>
                </pic:pic>
              </a:graphicData>
            </a:graphic>
          </wp:anchor>
        </w:drawing>
      </w:r>
    </w:p>
    <w:p>
      <w:pPr>
        <w:spacing w:after="0" w:line="4718"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204"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i w:val="1"/>
          <w:iCs w:val="1"/>
          <w:color w:val="auto"/>
        </w:rPr>
        <w:t>HERS Raters</w:t>
      </w:r>
      <w:r>
        <w:rPr>
          <w:rFonts w:ascii="Arial" w:cs="Arial" w:eastAsia="Arial" w:hAnsi="Arial"/>
          <w:sz w:val="18"/>
          <w:szCs w:val="18"/>
          <w:color w:val="auto"/>
        </w:rPr>
        <w:t>. The Home Energy Raters System (“HERS”) is the industry standard for measuring a home’s energy efficiency. We employ</w:t>
      </w:r>
      <w:r>
        <w:rPr>
          <w:rFonts w:ascii="Arial" w:cs="Arial" w:eastAsia="Arial" w:hAnsi="Arial"/>
          <w:sz w:val="18"/>
          <w:szCs w:val="18"/>
          <w:i w:val="1"/>
          <w:iCs w:val="1"/>
          <w:color w:val="auto"/>
        </w:rPr>
        <w:t xml:space="preserve"> </w:t>
      </w:r>
      <w:r>
        <w:rPr>
          <w:rFonts w:ascii="Arial" w:cs="Arial" w:eastAsia="Arial" w:hAnsi="Arial"/>
          <w:sz w:val="18"/>
          <w:szCs w:val="18"/>
          <w:color w:val="auto"/>
        </w:rPr>
        <w:t>over 15 accredited HERS raters, and have an affiliation with approximately 10 others. Our professional home energy raters complete rigorous training and education programs and are accredited by Residential Energy Services Network (RESNET), an association of builders, lenders, utilities and government agencies. HERS raters are the primary means by which homes are qualified for the U.S. Environmental Protection Agency’s Energy Star for Homes Program, as well as for federal energy tax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282575" cy="2654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202" w:lineRule="exact"/>
        <w:rPr>
          <w:sz w:val="20"/>
          <w:szCs w:val="20"/>
          <w:color w:val="auto"/>
        </w:rPr>
      </w:pPr>
    </w:p>
    <w:p>
      <w:pPr>
        <w:ind w:left="240"/>
        <w:spacing w:after="0"/>
        <w:tabs>
          <w:tab w:leader="none" w:pos="660" w:val="left"/>
          <w:tab w:leader="none" w:pos="9340" w:val="left"/>
        </w:tabs>
        <w:rPr>
          <w:sz w:val="20"/>
          <w:szCs w:val="20"/>
          <w:color w:val="auto"/>
        </w:rPr>
      </w:pPr>
      <w:r>
        <w:rPr>
          <w:rFonts w:ascii="Arial" w:cs="Arial" w:eastAsia="Arial" w:hAnsi="Arial"/>
          <w:sz w:val="16"/>
          <w:szCs w:val="16"/>
          <w:color w:val="FFFFFF"/>
        </w:rPr>
        <w:t>36</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Corporate Responsibility</w:t>
      </w:r>
    </w:p>
    <w:p>
      <w:pPr>
        <w:sectPr>
          <w:pgSz w:w="11900" w:h="16838" w:orient="portrait"/>
          <w:cols w:equalWidth="0" w:num="1">
            <w:col w:w="11140"/>
          </w:cols>
          <w:pgMar w:left="320" w:top="482" w:right="4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HERS raters review insulation levels, window efficiency, HVAC system efficiency and water heating systems. They also do performance testing such as blower door tests to examine air and duct leakage.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Our People</w:t>
      </w:r>
    </w:p>
    <w:p>
      <w:pPr>
        <w:spacing w:after="0" w:line="198" w:lineRule="exact"/>
        <w:rPr>
          <w:sz w:val="20"/>
          <w:szCs w:val="20"/>
          <w:color w:val="auto"/>
        </w:rPr>
      </w:pPr>
    </w:p>
    <w:p>
      <w:pPr>
        <w:ind w:left="120" w:right="5700"/>
        <w:spacing w:after="0" w:line="237" w:lineRule="auto"/>
        <w:rPr>
          <w:sz w:val="20"/>
          <w:szCs w:val="20"/>
          <w:color w:val="auto"/>
        </w:rPr>
      </w:pPr>
      <w:r>
        <w:rPr>
          <w:rFonts w:ascii="Arial" w:cs="Arial" w:eastAsia="Arial" w:hAnsi="Arial"/>
          <w:sz w:val="18"/>
          <w:szCs w:val="18"/>
          <w:color w:val="auto"/>
        </w:rPr>
        <w:t>We believe that our success and our future are directly attributable to the recruitment, development and retention of exceptional employees. Our people are our best assets, so we consider workforce safety, mental health and wellness paramount. We believe that employees who are engaged and committed for the long term are critical to our long-term strategy. The Compensation and Human Capital Committee oversees our human capital management and receives quarterly updates on our culture and people-oriented initiatives. The experience of the committee members in support of social initiatives and in human capital management strengthens the Board’s oversight and assures that our business strategy and long-term value creation are achieved within a responsible business model. Our culture of family unifies our diverse workforce of approximately 10,300 employees in more than 230 locations across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-1934210</wp:posOffset>
            </wp:positionV>
            <wp:extent cx="2785745" cy="18770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85745" cy="1877060"/>
                    </a:xfrm>
                    <a:prstGeom prst="rect">
                      <a:avLst/>
                    </a:prstGeom>
                    <a:noFill/>
                  </pic:spPr>
                </pic:pic>
              </a:graphicData>
            </a:graphic>
          </wp:anchor>
        </w:drawing>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certain key demographic data of our workforce:</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296"/>
        </w:trPr>
        <w:tc>
          <w:tcPr>
            <w:tcW w:w="3300" w:type="dxa"/>
            <w:vAlign w:val="bottom"/>
          </w:tcPr>
          <w:p>
            <w:pPr>
              <w:spacing w:after="0"/>
              <w:rPr>
                <w:sz w:val="24"/>
                <w:szCs w:val="24"/>
                <w:color w:val="auto"/>
              </w:rPr>
            </w:pPr>
          </w:p>
        </w:tc>
        <w:tc>
          <w:tcPr>
            <w:tcW w:w="1460" w:type="dxa"/>
            <w:vAlign w:val="bottom"/>
            <w:shd w:val="clear" w:color="auto" w:fill="E5E5E5"/>
          </w:tcPr>
          <w:p>
            <w:pPr>
              <w:jc w:val="right"/>
              <w:ind w:right="292"/>
              <w:spacing w:after="0"/>
              <w:rPr>
                <w:sz w:val="20"/>
                <w:szCs w:val="20"/>
                <w:color w:val="auto"/>
              </w:rPr>
            </w:pPr>
            <w:r>
              <w:rPr>
                <w:rFonts w:ascii="Arial" w:cs="Arial" w:eastAsia="Arial" w:hAnsi="Arial"/>
                <w:sz w:val="16"/>
                <w:szCs w:val="16"/>
                <w:b w:val="1"/>
                <w:bCs w:val="1"/>
                <w:color w:val="002060"/>
              </w:rPr>
              <w:t>Workforce</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shd w:val="clear" w:color="auto" w:fill="E5E5E5"/>
          </w:tcPr>
          <w:p>
            <w:pPr>
              <w:jc w:val="right"/>
              <w:ind w:right="292"/>
              <w:spacing w:after="0"/>
              <w:rPr>
                <w:sz w:val="20"/>
                <w:szCs w:val="20"/>
                <w:color w:val="auto"/>
              </w:rPr>
            </w:pPr>
            <w:r>
              <w:rPr>
                <w:rFonts w:ascii="Arial" w:cs="Arial" w:eastAsia="Arial" w:hAnsi="Arial"/>
                <w:sz w:val="16"/>
                <w:szCs w:val="16"/>
                <w:b w:val="1"/>
                <w:bCs w:val="1"/>
                <w:color w:val="002060"/>
              </w:rPr>
              <w:t>Workforce</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shd w:val="clear" w:color="auto" w:fill="E5E5E5"/>
          </w:tcPr>
          <w:p>
            <w:pPr>
              <w:jc w:val="right"/>
              <w:ind w:right="295"/>
              <w:spacing w:after="0"/>
              <w:rPr>
                <w:sz w:val="20"/>
                <w:szCs w:val="20"/>
                <w:color w:val="auto"/>
              </w:rPr>
            </w:pPr>
            <w:r>
              <w:rPr>
                <w:rFonts w:ascii="Arial" w:cs="Arial" w:eastAsia="Arial" w:hAnsi="Arial"/>
                <w:sz w:val="16"/>
                <w:szCs w:val="16"/>
                <w:b w:val="1"/>
                <w:bCs w:val="1"/>
                <w:color w:val="002060"/>
              </w:rPr>
              <w:t>Workforce</w:t>
            </w:r>
          </w:p>
        </w:tc>
      </w:tr>
      <w:tr>
        <w:trPr>
          <w:trHeight w:val="278"/>
        </w:trPr>
        <w:tc>
          <w:tcPr>
            <w:tcW w:w="3300" w:type="dxa"/>
            <w:vAlign w:val="bottom"/>
          </w:tcPr>
          <w:p>
            <w:pPr>
              <w:ind w:left="1320"/>
              <w:spacing w:after="0"/>
              <w:rPr>
                <w:sz w:val="20"/>
                <w:szCs w:val="20"/>
                <w:color w:val="auto"/>
              </w:rPr>
            </w:pPr>
            <w:r>
              <w:rPr>
                <w:rFonts w:ascii="Arial" w:cs="Arial" w:eastAsia="Arial" w:hAnsi="Arial"/>
                <w:sz w:val="16"/>
                <w:szCs w:val="16"/>
                <w:b w:val="1"/>
                <w:bCs w:val="1"/>
                <w:color w:val="002060"/>
              </w:rPr>
              <w:t>Ethnicity</w:t>
            </w:r>
          </w:p>
        </w:tc>
        <w:tc>
          <w:tcPr>
            <w:tcW w:w="1460" w:type="dxa"/>
            <w:vAlign w:val="bottom"/>
            <w:tcBorders>
              <w:bottom w:val="single" w:sz="8" w:color="E5E5E5"/>
            </w:tcBorders>
            <w:shd w:val="clear" w:color="auto" w:fill="E5E5E5"/>
          </w:tcPr>
          <w:p>
            <w:pPr>
              <w:jc w:val="right"/>
              <w:ind w:right="552"/>
              <w:spacing w:after="0"/>
              <w:rPr>
                <w:sz w:val="20"/>
                <w:szCs w:val="20"/>
                <w:color w:val="auto"/>
              </w:rPr>
            </w:pPr>
            <w:r>
              <w:rPr>
                <w:rFonts w:ascii="Arial" w:cs="Arial" w:eastAsia="Arial" w:hAnsi="Arial"/>
                <w:sz w:val="16"/>
                <w:szCs w:val="16"/>
                <w:b w:val="1"/>
                <w:bCs w:val="1"/>
                <w:color w:val="002060"/>
              </w:rPr>
              <w:t>(%)</w:t>
            </w:r>
          </w:p>
        </w:tc>
        <w:tc>
          <w:tcPr>
            <w:tcW w:w="160" w:type="dxa"/>
            <w:vAlign w:val="bottom"/>
          </w:tcPr>
          <w:p>
            <w:pPr>
              <w:spacing w:after="0"/>
              <w:rPr>
                <w:sz w:val="24"/>
                <w:szCs w:val="24"/>
                <w:color w:val="auto"/>
              </w:rPr>
            </w:pPr>
          </w:p>
        </w:tc>
        <w:tc>
          <w:tcPr>
            <w:tcW w:w="920" w:type="dxa"/>
            <w:vAlign w:val="bottom"/>
          </w:tcPr>
          <w:p>
            <w:pPr>
              <w:jc w:val="right"/>
              <w:ind w:right="191"/>
              <w:spacing w:after="0"/>
              <w:rPr>
                <w:sz w:val="20"/>
                <w:szCs w:val="20"/>
                <w:color w:val="auto"/>
              </w:rPr>
            </w:pPr>
            <w:r>
              <w:rPr>
                <w:rFonts w:ascii="Arial" w:cs="Arial" w:eastAsia="Arial" w:hAnsi="Arial"/>
                <w:sz w:val="16"/>
                <w:szCs w:val="16"/>
                <w:b w:val="1"/>
                <w:bCs w:val="1"/>
                <w:color w:val="002060"/>
              </w:rPr>
              <w:t>Age</w:t>
            </w:r>
          </w:p>
        </w:tc>
        <w:tc>
          <w:tcPr>
            <w:tcW w:w="1480" w:type="dxa"/>
            <w:vAlign w:val="bottom"/>
            <w:tcBorders>
              <w:bottom w:val="single" w:sz="8" w:color="E5E5E5"/>
            </w:tcBorders>
            <w:shd w:val="clear" w:color="auto" w:fill="E5E5E5"/>
          </w:tcPr>
          <w:p>
            <w:pPr>
              <w:jc w:val="right"/>
              <w:ind w:right="572"/>
              <w:spacing w:after="0"/>
              <w:rPr>
                <w:sz w:val="20"/>
                <w:szCs w:val="20"/>
                <w:color w:val="auto"/>
              </w:rPr>
            </w:pPr>
            <w:r>
              <w:rPr>
                <w:rFonts w:ascii="Arial" w:cs="Arial" w:eastAsia="Arial" w:hAnsi="Arial"/>
                <w:sz w:val="16"/>
                <w:szCs w:val="16"/>
                <w:b w:val="1"/>
                <w:bCs w:val="1"/>
                <w:color w:val="002060"/>
              </w:rPr>
              <w:t>(%)</w:t>
            </w:r>
          </w:p>
        </w:tc>
        <w:tc>
          <w:tcPr>
            <w:tcW w:w="180" w:type="dxa"/>
            <w:vAlign w:val="bottom"/>
          </w:tcPr>
          <w:p>
            <w:pPr>
              <w:spacing w:after="0"/>
              <w:rPr>
                <w:sz w:val="24"/>
                <w:szCs w:val="24"/>
                <w:color w:val="auto"/>
              </w:rPr>
            </w:pPr>
          </w:p>
        </w:tc>
        <w:tc>
          <w:tcPr>
            <w:tcW w:w="1160" w:type="dxa"/>
            <w:vAlign w:val="bottom"/>
          </w:tcPr>
          <w:p>
            <w:pPr>
              <w:ind w:left="340"/>
              <w:spacing w:after="0"/>
              <w:rPr>
                <w:sz w:val="20"/>
                <w:szCs w:val="20"/>
                <w:color w:val="auto"/>
              </w:rPr>
            </w:pPr>
            <w:r>
              <w:rPr>
                <w:rFonts w:ascii="Arial" w:cs="Arial" w:eastAsia="Arial" w:hAnsi="Arial"/>
                <w:sz w:val="16"/>
                <w:szCs w:val="16"/>
                <w:b w:val="1"/>
                <w:bCs w:val="1"/>
                <w:color w:val="002060"/>
              </w:rPr>
              <w:t>Gender</w:t>
            </w:r>
          </w:p>
        </w:tc>
        <w:tc>
          <w:tcPr>
            <w:tcW w:w="1460" w:type="dxa"/>
            <w:vAlign w:val="bottom"/>
            <w:tcBorders>
              <w:bottom w:val="single" w:sz="8" w:color="E5E5E5"/>
            </w:tcBorders>
            <w:shd w:val="clear" w:color="auto" w:fill="E5E5E5"/>
          </w:tcPr>
          <w:p>
            <w:pPr>
              <w:jc w:val="right"/>
              <w:ind w:right="555"/>
              <w:spacing w:after="0"/>
              <w:rPr>
                <w:sz w:val="20"/>
                <w:szCs w:val="20"/>
                <w:color w:val="auto"/>
              </w:rPr>
            </w:pPr>
            <w:r>
              <w:rPr>
                <w:rFonts w:ascii="Arial" w:cs="Arial" w:eastAsia="Arial" w:hAnsi="Arial"/>
                <w:sz w:val="16"/>
                <w:szCs w:val="16"/>
                <w:b w:val="1"/>
                <w:bCs w:val="1"/>
                <w:color w:val="002060"/>
              </w:rPr>
              <w:t>(%)</w:t>
            </w:r>
          </w:p>
        </w:tc>
      </w:tr>
      <w:tr>
        <w:trPr>
          <w:trHeight w:val="239"/>
        </w:trPr>
        <w:tc>
          <w:tcPr>
            <w:tcW w:w="3300" w:type="dxa"/>
            <w:vAlign w:val="bottom"/>
            <w:tcBorders>
              <w:top w:val="single" w:sz="8" w:color="002060"/>
            </w:tcBorders>
            <w:shd w:val="clear" w:color="auto" w:fill="002060"/>
          </w:tcPr>
          <w:p>
            <w:pPr>
              <w:ind w:left="100"/>
              <w:spacing w:after="0"/>
              <w:rPr>
                <w:sz w:val="20"/>
                <w:szCs w:val="20"/>
                <w:color w:val="auto"/>
              </w:rPr>
            </w:pPr>
            <w:r>
              <w:rPr>
                <w:rFonts w:ascii="Arial" w:cs="Arial" w:eastAsia="Arial" w:hAnsi="Arial"/>
                <w:sz w:val="18"/>
                <w:szCs w:val="18"/>
                <w:color w:val="FFFFFF"/>
              </w:rPr>
              <w:t>Hispanic / Latinx</w:t>
            </w:r>
          </w:p>
        </w:tc>
        <w:tc>
          <w:tcPr>
            <w:tcW w:w="1460" w:type="dxa"/>
            <w:vAlign w:val="bottom"/>
            <w:tcBorders>
              <w:top w:val="single" w:sz="8" w:color="002060"/>
            </w:tcBorders>
            <w:shd w:val="clear" w:color="auto" w:fill="E5E5E5"/>
          </w:tcPr>
          <w:p>
            <w:pPr>
              <w:jc w:val="right"/>
              <w:ind w:right="572"/>
              <w:spacing w:after="0"/>
              <w:rPr>
                <w:sz w:val="20"/>
                <w:szCs w:val="20"/>
                <w:color w:val="auto"/>
              </w:rPr>
            </w:pPr>
            <w:r>
              <w:rPr>
                <w:rFonts w:ascii="Arial" w:cs="Arial" w:eastAsia="Arial" w:hAnsi="Arial"/>
                <w:sz w:val="18"/>
                <w:szCs w:val="18"/>
                <w:color w:val="002060"/>
              </w:rPr>
              <w:t>47</w:t>
            </w:r>
          </w:p>
        </w:tc>
        <w:tc>
          <w:tcPr>
            <w:tcW w:w="160" w:type="dxa"/>
            <w:vAlign w:val="bottom"/>
            <w:tcBorders>
              <w:top w:val="single" w:sz="8" w:color="002060"/>
            </w:tcBorders>
          </w:tcPr>
          <w:p>
            <w:pPr>
              <w:spacing w:after="0"/>
              <w:rPr>
                <w:sz w:val="20"/>
                <w:szCs w:val="20"/>
                <w:color w:val="auto"/>
              </w:rPr>
            </w:pPr>
          </w:p>
        </w:tc>
        <w:tc>
          <w:tcPr>
            <w:tcW w:w="920" w:type="dxa"/>
            <w:vAlign w:val="bottom"/>
            <w:tcBorders>
              <w:top w:val="single" w:sz="8" w:color="002060"/>
            </w:tcBorders>
            <w:shd w:val="clear" w:color="auto" w:fill="002060"/>
          </w:tcPr>
          <w:p>
            <w:pPr>
              <w:jc w:val="right"/>
              <w:ind w:right="91"/>
              <w:spacing w:after="0"/>
              <w:rPr>
                <w:sz w:val="20"/>
                <w:szCs w:val="20"/>
                <w:color w:val="auto"/>
              </w:rPr>
            </w:pPr>
            <w:r>
              <w:rPr>
                <w:rFonts w:ascii="Arial" w:cs="Arial" w:eastAsia="Arial" w:hAnsi="Arial"/>
                <w:sz w:val="18"/>
                <w:szCs w:val="18"/>
                <w:color w:val="FFFFFF"/>
              </w:rPr>
              <w:t>16-20</w:t>
            </w:r>
          </w:p>
        </w:tc>
        <w:tc>
          <w:tcPr>
            <w:tcW w:w="1480" w:type="dxa"/>
            <w:vAlign w:val="bottom"/>
            <w:tcBorders>
              <w:top w:val="single" w:sz="8" w:color="002060"/>
            </w:tcBorders>
            <w:shd w:val="clear" w:color="auto" w:fill="E5E5E5"/>
          </w:tcPr>
          <w:p>
            <w:pPr>
              <w:jc w:val="right"/>
              <w:ind w:right="572"/>
              <w:spacing w:after="0"/>
              <w:rPr>
                <w:sz w:val="20"/>
                <w:szCs w:val="20"/>
                <w:color w:val="auto"/>
              </w:rPr>
            </w:pPr>
            <w:r>
              <w:rPr>
                <w:rFonts w:ascii="Arial" w:cs="Arial" w:eastAsia="Arial" w:hAnsi="Arial"/>
                <w:sz w:val="18"/>
                <w:szCs w:val="18"/>
                <w:color w:val="002060"/>
              </w:rPr>
              <w:t>3</w:t>
            </w:r>
          </w:p>
        </w:tc>
        <w:tc>
          <w:tcPr>
            <w:tcW w:w="180" w:type="dxa"/>
            <w:vAlign w:val="bottom"/>
            <w:tcBorders>
              <w:top w:val="single" w:sz="8" w:color="002060"/>
            </w:tcBorders>
          </w:tcPr>
          <w:p>
            <w:pPr>
              <w:spacing w:after="0"/>
              <w:rPr>
                <w:sz w:val="20"/>
                <w:szCs w:val="20"/>
                <w:color w:val="auto"/>
              </w:rPr>
            </w:pPr>
          </w:p>
        </w:tc>
        <w:tc>
          <w:tcPr>
            <w:tcW w:w="1160" w:type="dxa"/>
            <w:vAlign w:val="bottom"/>
            <w:tcBorders>
              <w:top w:val="single" w:sz="8" w:color="002060"/>
            </w:tcBorders>
            <w:shd w:val="clear" w:color="auto" w:fill="002060"/>
          </w:tcPr>
          <w:p>
            <w:pPr>
              <w:ind w:left="200"/>
              <w:spacing w:after="0"/>
              <w:rPr>
                <w:sz w:val="20"/>
                <w:szCs w:val="20"/>
                <w:color w:val="auto"/>
              </w:rPr>
            </w:pPr>
            <w:r>
              <w:rPr>
                <w:rFonts w:ascii="Arial" w:cs="Arial" w:eastAsia="Arial" w:hAnsi="Arial"/>
                <w:sz w:val="18"/>
                <w:szCs w:val="18"/>
                <w:color w:val="FFFFFF"/>
              </w:rPr>
              <w:t>Male</w:t>
            </w:r>
          </w:p>
        </w:tc>
        <w:tc>
          <w:tcPr>
            <w:tcW w:w="1460" w:type="dxa"/>
            <w:vAlign w:val="bottom"/>
            <w:tcBorders>
              <w:top w:val="single" w:sz="8" w:color="002060"/>
            </w:tcBorders>
            <w:shd w:val="clear" w:color="auto" w:fill="E5E5E5"/>
          </w:tcPr>
          <w:p>
            <w:pPr>
              <w:jc w:val="right"/>
              <w:ind w:right="575"/>
              <w:spacing w:after="0"/>
              <w:rPr>
                <w:sz w:val="20"/>
                <w:szCs w:val="20"/>
                <w:color w:val="auto"/>
              </w:rPr>
            </w:pPr>
            <w:r>
              <w:rPr>
                <w:rFonts w:ascii="Arial" w:cs="Arial" w:eastAsia="Arial" w:hAnsi="Arial"/>
                <w:sz w:val="18"/>
                <w:szCs w:val="18"/>
                <w:color w:val="002060"/>
              </w:rPr>
              <w:t>89</w:t>
            </w:r>
          </w:p>
        </w:tc>
      </w:tr>
      <w:tr>
        <w:trPr>
          <w:trHeight w:val="295"/>
        </w:trPr>
        <w:tc>
          <w:tcPr>
            <w:tcW w:w="3300" w:type="dxa"/>
            <w:vAlign w:val="bottom"/>
            <w:tcBorders>
              <w:bottom w:val="single" w:sz="8" w:color="002060"/>
            </w:tcBorders>
            <w:shd w:val="clear" w:color="auto" w:fill="002060"/>
          </w:tcPr>
          <w:p>
            <w:pPr>
              <w:ind w:left="100"/>
              <w:spacing w:after="0"/>
              <w:rPr>
                <w:sz w:val="20"/>
                <w:szCs w:val="20"/>
                <w:color w:val="auto"/>
              </w:rPr>
            </w:pPr>
            <w:r>
              <w:rPr>
                <w:rFonts w:ascii="Arial" w:cs="Arial" w:eastAsia="Arial" w:hAnsi="Arial"/>
                <w:sz w:val="18"/>
                <w:szCs w:val="18"/>
                <w:color w:val="FFFFFF"/>
              </w:rPr>
              <w:t>Caucasian</w:t>
            </w:r>
          </w:p>
        </w:tc>
        <w:tc>
          <w:tcPr>
            <w:tcW w:w="1460" w:type="dxa"/>
            <w:vAlign w:val="bottom"/>
            <w:tcBorders>
              <w:bottom w:val="single" w:sz="8" w:color="E5E5E5"/>
            </w:tcBorders>
            <w:shd w:val="clear" w:color="auto" w:fill="E5E5E5"/>
          </w:tcPr>
          <w:p>
            <w:pPr>
              <w:jc w:val="right"/>
              <w:ind w:right="572"/>
              <w:spacing w:after="0"/>
              <w:rPr>
                <w:sz w:val="20"/>
                <w:szCs w:val="20"/>
                <w:color w:val="auto"/>
              </w:rPr>
            </w:pPr>
            <w:r>
              <w:rPr>
                <w:rFonts w:ascii="Arial" w:cs="Arial" w:eastAsia="Arial" w:hAnsi="Arial"/>
                <w:sz w:val="18"/>
                <w:szCs w:val="18"/>
                <w:color w:val="002060"/>
              </w:rPr>
              <w:t>40</w:t>
            </w:r>
          </w:p>
        </w:tc>
        <w:tc>
          <w:tcPr>
            <w:tcW w:w="160" w:type="dxa"/>
            <w:vAlign w:val="bottom"/>
          </w:tcPr>
          <w:p>
            <w:pPr>
              <w:spacing w:after="0"/>
              <w:rPr>
                <w:sz w:val="24"/>
                <w:szCs w:val="24"/>
                <w:color w:val="auto"/>
              </w:rPr>
            </w:pPr>
          </w:p>
        </w:tc>
        <w:tc>
          <w:tcPr>
            <w:tcW w:w="920" w:type="dxa"/>
            <w:vAlign w:val="bottom"/>
            <w:tcBorders>
              <w:bottom w:val="single" w:sz="8" w:color="002060"/>
            </w:tcBorders>
            <w:shd w:val="clear" w:color="auto" w:fill="002060"/>
          </w:tcPr>
          <w:p>
            <w:pPr>
              <w:jc w:val="right"/>
              <w:ind w:right="91"/>
              <w:spacing w:after="0"/>
              <w:rPr>
                <w:sz w:val="20"/>
                <w:szCs w:val="20"/>
                <w:color w:val="auto"/>
              </w:rPr>
            </w:pPr>
            <w:r>
              <w:rPr>
                <w:rFonts w:ascii="Arial" w:cs="Arial" w:eastAsia="Arial" w:hAnsi="Arial"/>
                <w:sz w:val="18"/>
                <w:szCs w:val="18"/>
                <w:color w:val="FFFFFF"/>
              </w:rPr>
              <w:t>21-30</w:t>
            </w:r>
          </w:p>
        </w:tc>
        <w:tc>
          <w:tcPr>
            <w:tcW w:w="1480" w:type="dxa"/>
            <w:vAlign w:val="bottom"/>
            <w:tcBorders>
              <w:bottom w:val="single" w:sz="8" w:color="E5E5E5"/>
            </w:tcBorders>
            <w:shd w:val="clear" w:color="auto" w:fill="E5E5E5"/>
          </w:tcPr>
          <w:p>
            <w:pPr>
              <w:jc w:val="right"/>
              <w:ind w:right="572"/>
              <w:spacing w:after="0"/>
              <w:rPr>
                <w:sz w:val="20"/>
                <w:szCs w:val="20"/>
                <w:color w:val="auto"/>
              </w:rPr>
            </w:pPr>
            <w:r>
              <w:rPr>
                <w:rFonts w:ascii="Arial" w:cs="Arial" w:eastAsia="Arial" w:hAnsi="Arial"/>
                <w:sz w:val="18"/>
                <w:szCs w:val="18"/>
                <w:color w:val="002060"/>
              </w:rPr>
              <w:t>26</w:t>
            </w:r>
          </w:p>
        </w:tc>
        <w:tc>
          <w:tcPr>
            <w:tcW w:w="180" w:type="dxa"/>
            <w:vAlign w:val="bottom"/>
          </w:tcPr>
          <w:p>
            <w:pPr>
              <w:spacing w:after="0"/>
              <w:rPr>
                <w:sz w:val="24"/>
                <w:szCs w:val="24"/>
                <w:color w:val="auto"/>
              </w:rPr>
            </w:pPr>
          </w:p>
        </w:tc>
        <w:tc>
          <w:tcPr>
            <w:tcW w:w="1160" w:type="dxa"/>
            <w:vAlign w:val="bottom"/>
            <w:tcBorders>
              <w:bottom w:val="single" w:sz="8" w:color="002060"/>
            </w:tcBorders>
            <w:shd w:val="clear" w:color="auto" w:fill="002060"/>
          </w:tcPr>
          <w:p>
            <w:pPr>
              <w:ind w:left="200"/>
              <w:spacing w:after="0"/>
              <w:rPr>
                <w:sz w:val="20"/>
                <w:szCs w:val="20"/>
                <w:color w:val="auto"/>
              </w:rPr>
            </w:pPr>
            <w:r>
              <w:rPr>
                <w:rFonts w:ascii="Arial" w:cs="Arial" w:eastAsia="Arial" w:hAnsi="Arial"/>
                <w:sz w:val="18"/>
                <w:szCs w:val="18"/>
                <w:color w:val="FFFFFF"/>
              </w:rPr>
              <w:t>Female</w:t>
            </w:r>
          </w:p>
        </w:tc>
        <w:tc>
          <w:tcPr>
            <w:tcW w:w="1460" w:type="dxa"/>
            <w:vAlign w:val="bottom"/>
            <w:tcBorders>
              <w:bottom w:val="single" w:sz="8" w:color="E5E5E5"/>
            </w:tcBorders>
            <w:shd w:val="clear" w:color="auto" w:fill="E5E5E5"/>
          </w:tcPr>
          <w:p>
            <w:pPr>
              <w:jc w:val="right"/>
              <w:ind w:right="575"/>
              <w:spacing w:after="0"/>
              <w:rPr>
                <w:sz w:val="20"/>
                <w:szCs w:val="20"/>
                <w:color w:val="auto"/>
              </w:rPr>
            </w:pPr>
            <w:r>
              <w:rPr>
                <w:rFonts w:ascii="Arial" w:cs="Arial" w:eastAsia="Arial" w:hAnsi="Arial"/>
                <w:sz w:val="18"/>
                <w:szCs w:val="18"/>
                <w:color w:val="002060"/>
              </w:rPr>
              <w:t>11</w:t>
            </w:r>
          </w:p>
        </w:tc>
      </w:tr>
      <w:tr>
        <w:trPr>
          <w:trHeight w:val="247"/>
        </w:trPr>
        <w:tc>
          <w:tcPr>
            <w:tcW w:w="3300" w:type="dxa"/>
            <w:vAlign w:val="bottom"/>
            <w:shd w:val="clear" w:color="auto" w:fill="002060"/>
          </w:tcPr>
          <w:p>
            <w:pPr>
              <w:ind w:left="100"/>
              <w:spacing w:after="0"/>
              <w:rPr>
                <w:sz w:val="20"/>
                <w:szCs w:val="20"/>
                <w:color w:val="auto"/>
              </w:rPr>
            </w:pPr>
            <w:r>
              <w:rPr>
                <w:rFonts w:ascii="Arial" w:cs="Arial" w:eastAsia="Arial" w:hAnsi="Arial"/>
                <w:sz w:val="18"/>
                <w:szCs w:val="18"/>
                <w:color w:val="FFFFFF"/>
              </w:rPr>
              <w:t>African American</w:t>
            </w:r>
          </w:p>
        </w:tc>
        <w:tc>
          <w:tcPr>
            <w:tcW w:w="1460" w:type="dxa"/>
            <w:vAlign w:val="bottom"/>
            <w:shd w:val="clear" w:color="auto" w:fill="E5E5E5"/>
          </w:tcPr>
          <w:p>
            <w:pPr>
              <w:jc w:val="right"/>
              <w:ind w:right="572"/>
              <w:spacing w:after="0"/>
              <w:rPr>
                <w:sz w:val="20"/>
                <w:szCs w:val="20"/>
                <w:color w:val="auto"/>
              </w:rPr>
            </w:pPr>
            <w:r>
              <w:rPr>
                <w:rFonts w:ascii="Arial" w:cs="Arial" w:eastAsia="Arial" w:hAnsi="Arial"/>
                <w:sz w:val="18"/>
                <w:szCs w:val="18"/>
                <w:color w:val="002060"/>
              </w:rPr>
              <w:t>6</w:t>
            </w:r>
          </w:p>
        </w:tc>
        <w:tc>
          <w:tcPr>
            <w:tcW w:w="160" w:type="dxa"/>
            <w:vAlign w:val="bottom"/>
          </w:tcPr>
          <w:p>
            <w:pPr>
              <w:spacing w:after="0"/>
              <w:rPr>
                <w:sz w:val="21"/>
                <w:szCs w:val="21"/>
                <w:color w:val="auto"/>
              </w:rPr>
            </w:pPr>
          </w:p>
        </w:tc>
        <w:tc>
          <w:tcPr>
            <w:tcW w:w="920" w:type="dxa"/>
            <w:vAlign w:val="bottom"/>
            <w:shd w:val="clear" w:color="auto" w:fill="002060"/>
          </w:tcPr>
          <w:p>
            <w:pPr>
              <w:jc w:val="right"/>
              <w:ind w:right="91"/>
              <w:spacing w:after="0"/>
              <w:rPr>
                <w:sz w:val="20"/>
                <w:szCs w:val="20"/>
                <w:color w:val="auto"/>
              </w:rPr>
            </w:pPr>
            <w:r>
              <w:rPr>
                <w:rFonts w:ascii="Arial" w:cs="Arial" w:eastAsia="Arial" w:hAnsi="Arial"/>
                <w:sz w:val="18"/>
                <w:szCs w:val="18"/>
                <w:color w:val="FFFFFF"/>
              </w:rPr>
              <w:t>31-40</w:t>
            </w:r>
          </w:p>
        </w:tc>
        <w:tc>
          <w:tcPr>
            <w:tcW w:w="1480" w:type="dxa"/>
            <w:vAlign w:val="bottom"/>
            <w:shd w:val="clear" w:color="auto" w:fill="E5E5E5"/>
          </w:tcPr>
          <w:p>
            <w:pPr>
              <w:jc w:val="right"/>
              <w:ind w:right="572"/>
              <w:spacing w:after="0"/>
              <w:rPr>
                <w:sz w:val="20"/>
                <w:szCs w:val="20"/>
                <w:color w:val="auto"/>
              </w:rPr>
            </w:pPr>
            <w:r>
              <w:rPr>
                <w:rFonts w:ascii="Arial" w:cs="Arial" w:eastAsia="Arial" w:hAnsi="Arial"/>
                <w:sz w:val="18"/>
                <w:szCs w:val="18"/>
                <w:color w:val="002060"/>
              </w:rPr>
              <w:t>28</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83"/>
        </w:trPr>
        <w:tc>
          <w:tcPr>
            <w:tcW w:w="3300" w:type="dxa"/>
            <w:vAlign w:val="bottom"/>
            <w:shd w:val="clear" w:color="auto" w:fill="002060"/>
          </w:tcPr>
          <w:p>
            <w:pPr>
              <w:ind w:left="100"/>
              <w:spacing w:after="0"/>
              <w:rPr>
                <w:sz w:val="20"/>
                <w:szCs w:val="20"/>
                <w:color w:val="auto"/>
              </w:rPr>
            </w:pPr>
            <w:r>
              <w:rPr>
                <w:rFonts w:ascii="Arial" w:cs="Arial" w:eastAsia="Arial" w:hAnsi="Arial"/>
                <w:sz w:val="18"/>
                <w:szCs w:val="18"/>
                <w:color w:val="FFFFFF"/>
              </w:rPr>
              <w:t>Not Specified</w:t>
            </w:r>
          </w:p>
        </w:tc>
        <w:tc>
          <w:tcPr>
            <w:tcW w:w="1460" w:type="dxa"/>
            <w:vAlign w:val="bottom"/>
            <w:shd w:val="clear" w:color="auto" w:fill="E5E5E5"/>
          </w:tcPr>
          <w:p>
            <w:pPr>
              <w:jc w:val="right"/>
              <w:ind w:right="572"/>
              <w:spacing w:after="0"/>
              <w:rPr>
                <w:sz w:val="20"/>
                <w:szCs w:val="20"/>
                <w:color w:val="auto"/>
              </w:rPr>
            </w:pPr>
            <w:r>
              <w:rPr>
                <w:rFonts w:ascii="Arial" w:cs="Arial" w:eastAsia="Arial" w:hAnsi="Arial"/>
                <w:sz w:val="18"/>
                <w:szCs w:val="18"/>
                <w:color w:val="002060"/>
              </w:rPr>
              <w:t>5</w:t>
            </w:r>
          </w:p>
        </w:tc>
        <w:tc>
          <w:tcPr>
            <w:tcW w:w="160" w:type="dxa"/>
            <w:vAlign w:val="bottom"/>
          </w:tcPr>
          <w:p>
            <w:pPr>
              <w:spacing w:after="0"/>
              <w:rPr>
                <w:sz w:val="24"/>
                <w:szCs w:val="24"/>
                <w:color w:val="auto"/>
              </w:rPr>
            </w:pPr>
          </w:p>
        </w:tc>
        <w:tc>
          <w:tcPr>
            <w:tcW w:w="920" w:type="dxa"/>
            <w:vAlign w:val="bottom"/>
            <w:shd w:val="clear" w:color="auto" w:fill="002060"/>
          </w:tcPr>
          <w:p>
            <w:pPr>
              <w:jc w:val="right"/>
              <w:ind w:right="91"/>
              <w:spacing w:after="0"/>
              <w:rPr>
                <w:sz w:val="20"/>
                <w:szCs w:val="20"/>
                <w:color w:val="auto"/>
              </w:rPr>
            </w:pPr>
            <w:r>
              <w:rPr>
                <w:rFonts w:ascii="Arial" w:cs="Arial" w:eastAsia="Arial" w:hAnsi="Arial"/>
                <w:sz w:val="18"/>
                <w:szCs w:val="18"/>
                <w:color w:val="FFFFFF"/>
              </w:rPr>
              <w:t>41-50</w:t>
            </w:r>
          </w:p>
        </w:tc>
        <w:tc>
          <w:tcPr>
            <w:tcW w:w="1480" w:type="dxa"/>
            <w:vAlign w:val="bottom"/>
            <w:shd w:val="clear" w:color="auto" w:fill="E5E5E5"/>
          </w:tcPr>
          <w:p>
            <w:pPr>
              <w:jc w:val="right"/>
              <w:ind w:right="572"/>
              <w:spacing w:after="0"/>
              <w:rPr>
                <w:sz w:val="20"/>
                <w:szCs w:val="20"/>
                <w:color w:val="auto"/>
              </w:rPr>
            </w:pPr>
            <w:r>
              <w:rPr>
                <w:rFonts w:ascii="Arial" w:cs="Arial" w:eastAsia="Arial" w:hAnsi="Arial"/>
                <w:sz w:val="18"/>
                <w:szCs w:val="18"/>
                <w:color w:val="002060"/>
              </w:rPr>
              <w:t>23</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84"/>
        </w:trPr>
        <w:tc>
          <w:tcPr>
            <w:tcW w:w="3300" w:type="dxa"/>
            <w:vAlign w:val="bottom"/>
            <w:shd w:val="clear" w:color="auto" w:fill="002060"/>
          </w:tcPr>
          <w:p>
            <w:pPr>
              <w:ind w:left="100"/>
              <w:spacing w:after="0"/>
              <w:rPr>
                <w:sz w:val="20"/>
                <w:szCs w:val="20"/>
                <w:color w:val="auto"/>
              </w:rPr>
            </w:pPr>
            <w:r>
              <w:rPr>
                <w:rFonts w:ascii="Arial" w:cs="Arial" w:eastAsia="Arial" w:hAnsi="Arial"/>
                <w:sz w:val="18"/>
                <w:szCs w:val="18"/>
                <w:color w:val="FFFFFF"/>
              </w:rPr>
              <w:t>Asian</w:t>
            </w:r>
          </w:p>
        </w:tc>
        <w:tc>
          <w:tcPr>
            <w:tcW w:w="1460" w:type="dxa"/>
            <w:vAlign w:val="bottom"/>
            <w:shd w:val="clear" w:color="auto" w:fill="E5E5E5"/>
          </w:tcPr>
          <w:p>
            <w:pPr>
              <w:jc w:val="right"/>
              <w:ind w:right="572"/>
              <w:spacing w:after="0"/>
              <w:rPr>
                <w:sz w:val="20"/>
                <w:szCs w:val="20"/>
                <w:color w:val="auto"/>
              </w:rPr>
            </w:pPr>
            <w:r>
              <w:rPr>
                <w:rFonts w:ascii="Arial" w:cs="Arial" w:eastAsia="Arial" w:hAnsi="Arial"/>
                <w:sz w:val="18"/>
                <w:szCs w:val="18"/>
                <w:color w:val="002060"/>
              </w:rPr>
              <w:t>1</w:t>
            </w:r>
          </w:p>
        </w:tc>
        <w:tc>
          <w:tcPr>
            <w:tcW w:w="160" w:type="dxa"/>
            <w:vAlign w:val="bottom"/>
          </w:tcPr>
          <w:p>
            <w:pPr>
              <w:spacing w:after="0"/>
              <w:rPr>
                <w:sz w:val="24"/>
                <w:szCs w:val="24"/>
                <w:color w:val="auto"/>
              </w:rPr>
            </w:pPr>
          </w:p>
        </w:tc>
        <w:tc>
          <w:tcPr>
            <w:tcW w:w="920" w:type="dxa"/>
            <w:vAlign w:val="bottom"/>
            <w:shd w:val="clear" w:color="auto" w:fill="002060"/>
          </w:tcPr>
          <w:p>
            <w:pPr>
              <w:jc w:val="right"/>
              <w:ind w:right="91"/>
              <w:spacing w:after="0"/>
              <w:rPr>
                <w:sz w:val="20"/>
                <w:szCs w:val="20"/>
                <w:color w:val="auto"/>
              </w:rPr>
            </w:pPr>
            <w:r>
              <w:rPr>
                <w:rFonts w:ascii="Arial" w:cs="Arial" w:eastAsia="Arial" w:hAnsi="Arial"/>
                <w:sz w:val="18"/>
                <w:szCs w:val="18"/>
                <w:color w:val="FFFFFF"/>
              </w:rPr>
              <w:t>51-60</w:t>
            </w:r>
          </w:p>
        </w:tc>
        <w:tc>
          <w:tcPr>
            <w:tcW w:w="1480" w:type="dxa"/>
            <w:vAlign w:val="bottom"/>
            <w:shd w:val="clear" w:color="auto" w:fill="E5E5E5"/>
          </w:tcPr>
          <w:p>
            <w:pPr>
              <w:jc w:val="right"/>
              <w:ind w:right="572"/>
              <w:spacing w:after="0"/>
              <w:rPr>
                <w:sz w:val="20"/>
                <w:szCs w:val="20"/>
                <w:color w:val="auto"/>
              </w:rPr>
            </w:pPr>
            <w:r>
              <w:rPr>
                <w:rFonts w:ascii="Arial" w:cs="Arial" w:eastAsia="Arial" w:hAnsi="Arial"/>
                <w:sz w:val="18"/>
                <w:szCs w:val="18"/>
                <w:color w:val="002060"/>
              </w:rPr>
              <w:t>14</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00"/>
        </w:trPr>
        <w:tc>
          <w:tcPr>
            <w:tcW w:w="3300" w:type="dxa"/>
            <w:vAlign w:val="bottom"/>
            <w:tcBorders>
              <w:bottom w:val="single" w:sz="8" w:color="002060"/>
            </w:tcBorders>
            <w:shd w:val="clear" w:color="auto" w:fill="002060"/>
          </w:tcPr>
          <w:p>
            <w:pPr>
              <w:ind w:left="100"/>
              <w:spacing w:after="0"/>
              <w:rPr>
                <w:sz w:val="20"/>
                <w:szCs w:val="20"/>
                <w:color w:val="auto"/>
              </w:rPr>
            </w:pPr>
            <w:r>
              <w:rPr>
                <w:rFonts w:ascii="Arial" w:cs="Arial" w:eastAsia="Arial" w:hAnsi="Arial"/>
                <w:sz w:val="18"/>
                <w:szCs w:val="18"/>
                <w:color w:val="FFFFFF"/>
              </w:rPr>
              <w:t>Native Hawaiian / Pacific Islander</w:t>
            </w:r>
          </w:p>
        </w:tc>
        <w:tc>
          <w:tcPr>
            <w:tcW w:w="1460" w:type="dxa"/>
            <w:vAlign w:val="bottom"/>
            <w:tcBorders>
              <w:bottom w:val="single" w:sz="8" w:color="E5E5E5"/>
            </w:tcBorders>
            <w:shd w:val="clear" w:color="auto" w:fill="E5E5E5"/>
          </w:tcPr>
          <w:p>
            <w:pPr>
              <w:jc w:val="right"/>
              <w:ind w:right="572"/>
              <w:spacing w:after="0"/>
              <w:rPr>
                <w:sz w:val="20"/>
                <w:szCs w:val="20"/>
                <w:color w:val="auto"/>
              </w:rPr>
            </w:pPr>
            <w:r>
              <w:rPr>
                <w:rFonts w:ascii="Arial" w:cs="Arial" w:eastAsia="Arial" w:hAnsi="Arial"/>
                <w:sz w:val="18"/>
                <w:szCs w:val="18"/>
                <w:color w:val="002060"/>
              </w:rPr>
              <w:t>1</w:t>
            </w:r>
          </w:p>
        </w:tc>
        <w:tc>
          <w:tcPr>
            <w:tcW w:w="160" w:type="dxa"/>
            <w:vAlign w:val="bottom"/>
          </w:tcPr>
          <w:p>
            <w:pPr>
              <w:spacing w:after="0"/>
              <w:rPr>
                <w:sz w:val="24"/>
                <w:szCs w:val="24"/>
                <w:color w:val="auto"/>
              </w:rPr>
            </w:pPr>
          </w:p>
        </w:tc>
        <w:tc>
          <w:tcPr>
            <w:tcW w:w="920" w:type="dxa"/>
            <w:vAlign w:val="bottom"/>
            <w:tcBorders>
              <w:bottom w:val="single" w:sz="8" w:color="002060"/>
            </w:tcBorders>
            <w:shd w:val="clear" w:color="auto" w:fill="002060"/>
          </w:tcPr>
          <w:p>
            <w:pPr>
              <w:jc w:val="right"/>
              <w:ind w:right="71"/>
              <w:spacing w:after="0"/>
              <w:rPr>
                <w:sz w:val="20"/>
                <w:szCs w:val="20"/>
                <w:color w:val="auto"/>
              </w:rPr>
            </w:pPr>
            <w:r>
              <w:rPr>
                <w:rFonts w:ascii="Arial" w:cs="Arial" w:eastAsia="Arial" w:hAnsi="Arial"/>
                <w:sz w:val="18"/>
                <w:szCs w:val="18"/>
                <w:color w:val="FFFFFF"/>
              </w:rPr>
              <w:t>60+</w:t>
            </w:r>
          </w:p>
        </w:tc>
        <w:tc>
          <w:tcPr>
            <w:tcW w:w="1480" w:type="dxa"/>
            <w:vAlign w:val="bottom"/>
            <w:tcBorders>
              <w:bottom w:val="single" w:sz="8" w:color="E5E5E5"/>
            </w:tcBorders>
            <w:shd w:val="clear" w:color="auto" w:fill="E5E5E5"/>
          </w:tcPr>
          <w:p>
            <w:pPr>
              <w:jc w:val="right"/>
              <w:ind w:right="572"/>
              <w:spacing w:after="0"/>
              <w:rPr>
                <w:sz w:val="20"/>
                <w:szCs w:val="20"/>
                <w:color w:val="auto"/>
              </w:rPr>
            </w:pPr>
            <w:r>
              <w:rPr>
                <w:rFonts w:ascii="Arial" w:cs="Arial" w:eastAsia="Arial" w:hAnsi="Arial"/>
                <w:sz w:val="18"/>
                <w:szCs w:val="18"/>
                <w:color w:val="002060"/>
              </w:rPr>
              <w:t>6</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7"/>
        </w:trPr>
        <w:tc>
          <w:tcPr>
            <w:tcW w:w="3300" w:type="dxa"/>
            <w:vAlign w:val="bottom"/>
            <w:shd w:val="clear" w:color="auto" w:fill="002060"/>
          </w:tcPr>
          <w:p>
            <w:pPr>
              <w:ind w:left="100"/>
              <w:spacing w:after="0"/>
              <w:rPr>
                <w:sz w:val="20"/>
                <w:szCs w:val="20"/>
                <w:color w:val="auto"/>
              </w:rPr>
            </w:pPr>
            <w:r>
              <w:rPr>
                <w:rFonts w:ascii="Arial" w:cs="Arial" w:eastAsia="Arial" w:hAnsi="Arial"/>
                <w:sz w:val="18"/>
                <w:szCs w:val="18"/>
                <w:color w:val="FFFFFF"/>
              </w:rPr>
              <w:t>Two or more</w:t>
            </w:r>
          </w:p>
        </w:tc>
        <w:tc>
          <w:tcPr>
            <w:tcW w:w="1460" w:type="dxa"/>
            <w:vAlign w:val="bottom"/>
            <w:shd w:val="clear" w:color="auto" w:fill="E5E5E5"/>
          </w:tcPr>
          <w:p>
            <w:pPr>
              <w:jc w:val="right"/>
              <w:ind w:right="572"/>
              <w:spacing w:after="0"/>
              <w:rPr>
                <w:sz w:val="20"/>
                <w:szCs w:val="20"/>
                <w:color w:val="auto"/>
              </w:rPr>
            </w:pPr>
            <w:r>
              <w:rPr>
                <w:rFonts w:ascii="Arial" w:cs="Arial" w:eastAsia="Arial" w:hAnsi="Arial"/>
                <w:sz w:val="18"/>
                <w:szCs w:val="18"/>
                <w:color w:val="002060"/>
              </w:rPr>
              <w:t>*</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300"/>
        </w:trPr>
        <w:tc>
          <w:tcPr>
            <w:tcW w:w="3300" w:type="dxa"/>
            <w:vAlign w:val="bottom"/>
            <w:tcBorders>
              <w:bottom w:val="single" w:sz="8" w:color="002060"/>
            </w:tcBorders>
            <w:shd w:val="clear" w:color="auto" w:fill="002060"/>
          </w:tcPr>
          <w:p>
            <w:pPr>
              <w:ind w:left="100"/>
              <w:spacing w:after="0"/>
              <w:rPr>
                <w:sz w:val="20"/>
                <w:szCs w:val="20"/>
                <w:color w:val="auto"/>
              </w:rPr>
            </w:pPr>
            <w:r>
              <w:rPr>
                <w:rFonts w:ascii="Arial" w:cs="Arial" w:eastAsia="Arial" w:hAnsi="Arial"/>
                <w:sz w:val="18"/>
                <w:szCs w:val="18"/>
                <w:color w:val="FFFFFF"/>
              </w:rPr>
              <w:t>Native American or Alaska Native</w:t>
            </w:r>
          </w:p>
        </w:tc>
        <w:tc>
          <w:tcPr>
            <w:tcW w:w="1460" w:type="dxa"/>
            <w:vAlign w:val="bottom"/>
            <w:tcBorders>
              <w:bottom w:val="single" w:sz="8" w:color="E5E5E5"/>
            </w:tcBorders>
            <w:shd w:val="clear" w:color="auto" w:fill="E5E5E5"/>
          </w:tcPr>
          <w:p>
            <w:pPr>
              <w:jc w:val="right"/>
              <w:ind w:right="572"/>
              <w:spacing w:after="0"/>
              <w:rPr>
                <w:sz w:val="20"/>
                <w:szCs w:val="20"/>
                <w:color w:val="auto"/>
              </w:rPr>
            </w:pPr>
            <w:r>
              <w:rPr>
                <w:rFonts w:ascii="Arial" w:cs="Arial" w:eastAsia="Arial" w:hAnsi="Arial"/>
                <w:sz w:val="18"/>
                <w:szCs w:val="18"/>
                <w:color w:val="002060"/>
              </w:rPr>
              <w:t>*</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
        </w:trPr>
        <w:tc>
          <w:tcPr>
            <w:tcW w:w="3300" w:type="dxa"/>
            <w:vAlign w:val="bottom"/>
            <w:shd w:val="clear" w:color="auto" w:fill="002060"/>
          </w:tcPr>
          <w:p>
            <w:pPr>
              <w:spacing w:after="0"/>
              <w:rPr>
                <w:sz w:val="2"/>
                <w:szCs w:val="2"/>
                <w:color w:val="auto"/>
              </w:rPr>
            </w:pPr>
          </w:p>
        </w:tc>
        <w:tc>
          <w:tcPr>
            <w:tcW w:w="1460" w:type="dxa"/>
            <w:vAlign w:val="bottom"/>
            <w:shd w:val="clear" w:color="auto" w:fill="002060"/>
          </w:tcPr>
          <w:p>
            <w:pPr>
              <w:spacing w:after="0"/>
              <w:rPr>
                <w:sz w:val="2"/>
                <w:szCs w:val="2"/>
                <w:color w:val="auto"/>
              </w:rPr>
            </w:pPr>
          </w:p>
        </w:tc>
        <w:tc>
          <w:tcPr>
            <w:tcW w:w="160" w:type="dxa"/>
            <w:vAlign w:val="bottom"/>
            <w:shd w:val="clear" w:color="auto" w:fill="002060"/>
          </w:tcPr>
          <w:p>
            <w:pPr>
              <w:spacing w:after="0"/>
              <w:rPr>
                <w:sz w:val="2"/>
                <w:szCs w:val="2"/>
                <w:color w:val="auto"/>
              </w:rPr>
            </w:pPr>
          </w:p>
        </w:tc>
        <w:tc>
          <w:tcPr>
            <w:tcW w:w="920" w:type="dxa"/>
            <w:vAlign w:val="bottom"/>
            <w:shd w:val="clear" w:color="auto" w:fill="002060"/>
          </w:tcPr>
          <w:p>
            <w:pPr>
              <w:spacing w:after="0"/>
              <w:rPr>
                <w:sz w:val="2"/>
                <w:szCs w:val="2"/>
                <w:color w:val="auto"/>
              </w:rPr>
            </w:pPr>
          </w:p>
        </w:tc>
        <w:tc>
          <w:tcPr>
            <w:tcW w:w="1480" w:type="dxa"/>
            <w:vAlign w:val="bottom"/>
            <w:shd w:val="clear" w:color="auto" w:fill="002060"/>
          </w:tcPr>
          <w:p>
            <w:pPr>
              <w:spacing w:after="0"/>
              <w:rPr>
                <w:sz w:val="2"/>
                <w:szCs w:val="2"/>
                <w:color w:val="auto"/>
              </w:rPr>
            </w:pPr>
          </w:p>
        </w:tc>
        <w:tc>
          <w:tcPr>
            <w:tcW w:w="180" w:type="dxa"/>
            <w:vAlign w:val="bottom"/>
            <w:shd w:val="clear" w:color="auto" w:fill="002060"/>
          </w:tcPr>
          <w:p>
            <w:pPr>
              <w:spacing w:after="0"/>
              <w:rPr>
                <w:sz w:val="2"/>
                <w:szCs w:val="2"/>
                <w:color w:val="auto"/>
              </w:rPr>
            </w:pPr>
          </w:p>
        </w:tc>
        <w:tc>
          <w:tcPr>
            <w:tcW w:w="1160" w:type="dxa"/>
            <w:vAlign w:val="bottom"/>
            <w:shd w:val="clear" w:color="auto" w:fill="002060"/>
          </w:tcPr>
          <w:p>
            <w:pPr>
              <w:spacing w:after="0"/>
              <w:rPr>
                <w:sz w:val="2"/>
                <w:szCs w:val="2"/>
                <w:color w:val="auto"/>
              </w:rPr>
            </w:pPr>
          </w:p>
        </w:tc>
        <w:tc>
          <w:tcPr>
            <w:tcW w:w="1460" w:type="dxa"/>
            <w:vAlign w:val="bottom"/>
            <w:shd w:val="clear" w:color="auto" w:fill="00206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-196215</wp:posOffset>
            </wp:positionV>
            <wp:extent cx="3025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02577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-376555</wp:posOffset>
            </wp:positionV>
            <wp:extent cx="30257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02577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-556895</wp:posOffset>
            </wp:positionV>
            <wp:extent cx="46462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64629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-736600</wp:posOffset>
            </wp:positionV>
            <wp:extent cx="46462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64629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-916305</wp:posOffset>
            </wp:positionV>
            <wp:extent cx="46462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64629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-1096645</wp:posOffset>
            </wp:positionV>
            <wp:extent cx="46462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64629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-1276350</wp:posOffset>
            </wp:positionV>
            <wp:extent cx="642937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Less than 1%</w:t>
      </w:r>
    </w:p>
    <w:p>
      <w:pPr>
        <w:spacing w:after="0" w:line="21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We have developed a number of initiatives to help attract, develop and retain employees, which reduces turnover and training costs, increases productivity, enhances employee engagement, encourages customer loyalty and promotes community engagement. We believe that these retention efforts have reduced turnover levels across our installer base to approximately 23% below the industry average, based on statistics reported by the Bureau of Labor Statistics.</w:t>
      </w:r>
    </w:p>
    <w:p>
      <w:pPr>
        <w:spacing w:after="0" w:line="174"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i w:val="1"/>
          <w:iCs w:val="1"/>
          <w:color w:val="auto"/>
        </w:rPr>
        <w:t xml:space="preserve">Diversity, Equity and Inclusion. </w:t>
      </w:r>
      <w:r>
        <w:rPr>
          <w:rFonts w:ascii="Arial" w:cs="Arial" w:eastAsia="Arial" w:hAnsi="Arial"/>
          <w:sz w:val="18"/>
          <w:szCs w:val="18"/>
          <w:color w:val="auto"/>
        </w:rPr>
        <w:t>Our vision is to build an empathetic organization where employees are valued, heard and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to thrive. In 2020, we began to develop our DEI initiative. The initiative is overseen by the Compensation and Human Capital Committee, who reviews and discusses the development of our DEI programs at each regular meeting.</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DEI program has five pillars:</w:t>
      </w:r>
    </w:p>
    <w:p>
      <w:pPr>
        <w:spacing w:after="0" w:line="239" w:lineRule="exact"/>
        <w:rPr>
          <w:sz w:val="20"/>
          <w:szCs w:val="20"/>
          <w:color w:val="auto"/>
        </w:rPr>
      </w:pPr>
    </w:p>
    <w:p>
      <w:pPr>
        <w:ind w:left="660" w:right="2680"/>
        <w:spacing w:after="0" w:line="257" w:lineRule="auto"/>
        <w:rPr>
          <w:sz w:val="20"/>
          <w:szCs w:val="20"/>
          <w:color w:val="auto"/>
        </w:rPr>
      </w:pPr>
      <w:r>
        <w:rPr>
          <w:rFonts w:ascii="Arial" w:cs="Arial" w:eastAsia="Arial" w:hAnsi="Arial"/>
          <w:sz w:val="18"/>
          <w:szCs w:val="18"/>
          <w:i w:val="1"/>
          <w:iCs w:val="1"/>
          <w:color w:val="auto"/>
        </w:rPr>
        <w:t>Training and development</w:t>
      </w:r>
      <w:r>
        <w:rPr>
          <w:rFonts w:ascii="Arial" w:cs="Arial" w:eastAsia="Arial" w:hAnsi="Arial"/>
          <w:sz w:val="18"/>
          <w:szCs w:val="18"/>
          <w:color w:val="auto"/>
        </w:rPr>
        <w:t>, including a management development program and language training;</w:t>
      </w:r>
      <w:r>
        <w:rPr>
          <w:rFonts w:ascii="Arial" w:cs="Arial" w:eastAsia="Arial" w:hAnsi="Arial"/>
          <w:sz w:val="18"/>
          <w:szCs w:val="18"/>
          <w:i w:val="1"/>
          <w:iCs w:val="1"/>
          <w:color w:val="auto"/>
        </w:rPr>
        <w:t xml:space="preserve"> Employee well-being</w:t>
      </w:r>
      <w:r>
        <w:rPr>
          <w:rFonts w:ascii="Arial" w:cs="Arial" w:eastAsia="Arial" w:hAnsi="Arial"/>
          <w:sz w:val="18"/>
          <w:szCs w:val="18"/>
          <w:color w:val="auto"/>
        </w:rPr>
        <w:t>, including our Positive Production Program and partnering with Care.com;</w:t>
      </w:r>
      <w:r>
        <w:rPr>
          <w:rFonts w:ascii="Arial" w:cs="Arial" w:eastAsia="Arial" w:hAnsi="Arial"/>
          <w:sz w:val="18"/>
          <w:szCs w:val="18"/>
          <w:i w:val="1"/>
          <w:iCs w:val="1"/>
          <w:color w:val="auto"/>
        </w:rPr>
        <w:t xml:space="preserve"> Supplier diversity</w:t>
      </w:r>
      <w:r>
        <w:rPr>
          <w:rFonts w:ascii="Arial" w:cs="Arial" w:eastAsia="Arial" w:hAnsi="Arial"/>
          <w:sz w:val="18"/>
          <w:szCs w:val="18"/>
          <w:color w:val="auto"/>
        </w:rPr>
        <w:t>, including seeking minority-owned suppliers of our products;</w:t>
      </w:r>
    </w:p>
    <w:p>
      <w:pPr>
        <w:spacing w:after="0" w:line="1" w:lineRule="exact"/>
        <w:rPr>
          <w:sz w:val="20"/>
          <w:szCs w:val="20"/>
          <w:color w:val="auto"/>
        </w:rPr>
      </w:pPr>
    </w:p>
    <w:p>
      <w:pPr>
        <w:ind w:left="660" w:right="480"/>
        <w:spacing w:after="0" w:line="250" w:lineRule="auto"/>
        <w:rPr>
          <w:sz w:val="20"/>
          <w:szCs w:val="20"/>
          <w:color w:val="auto"/>
        </w:rPr>
      </w:pPr>
      <w:r>
        <w:rPr>
          <w:rFonts w:ascii="Arial" w:cs="Arial" w:eastAsia="Arial" w:hAnsi="Arial"/>
          <w:sz w:val="18"/>
          <w:szCs w:val="18"/>
          <w:i w:val="1"/>
          <w:iCs w:val="1"/>
          <w:color w:val="auto"/>
        </w:rPr>
        <w:t>Philanthropy and community engagement</w:t>
      </w:r>
      <w:r>
        <w:rPr>
          <w:rFonts w:ascii="Arial" w:cs="Arial" w:eastAsia="Arial" w:hAnsi="Arial"/>
          <w:sz w:val="18"/>
          <w:szCs w:val="18"/>
          <w:color w:val="auto"/>
        </w:rPr>
        <w:t>, including regionalized DEI committees and development of DEI-related metrics for</w:t>
      </w:r>
      <w:r>
        <w:rPr>
          <w:rFonts w:ascii="Arial" w:cs="Arial" w:eastAsia="Arial" w:hAnsi="Arial"/>
          <w:sz w:val="18"/>
          <w:szCs w:val="18"/>
          <w:i w:val="1"/>
          <w:iCs w:val="1"/>
          <w:color w:val="auto"/>
        </w:rPr>
        <w:t xml:space="preserve"> </w:t>
      </w:r>
      <w:r>
        <w:rPr>
          <w:rFonts w:ascii="Arial" w:cs="Arial" w:eastAsia="Arial" w:hAnsi="Arial"/>
          <w:sz w:val="18"/>
          <w:szCs w:val="18"/>
          <w:color w:val="auto"/>
        </w:rPr>
        <w:t>grantmaking and volunteerism;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78105</wp:posOffset>
            </wp:positionV>
            <wp:extent cx="291465" cy="265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197"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Corporate Responsibility</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37</w:t>
      </w:r>
    </w:p>
    <w:p>
      <w:pPr>
        <w:sectPr>
          <w:pgSz w:w="11900" w:h="16838" w:orient="portrait"/>
          <w:cols w:equalWidth="0" w:num="1">
            <w:col w:w="11100"/>
          </w:cols>
          <w:pgMar w:left="320" w:top="482"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Workforce and leadership diversity</w:t>
      </w:r>
      <w:r>
        <w:rPr>
          <w:rFonts w:ascii="Arial" w:cs="Arial" w:eastAsia="Arial" w:hAnsi="Arial"/>
          <w:sz w:val="18"/>
          <w:szCs w:val="18"/>
          <w:color w:val="auto"/>
        </w:rPr>
        <w:t>, including diversity recruiting.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current DEI initiatives include:</w:t>
      </w:r>
    </w:p>
    <w:p>
      <w:pPr>
        <w:spacing w:after="0" w:line="239"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Management training programs to address minority representation in management and sales positions and gender income equality; Assessment of suppliers to source products and services from minority and women owned businesses where possible; Building a diverse hiring pipeline;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Employee focus groups to understand diversity needs and perceptions throughout the Company;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Broadcast of our Positive Production Program videos to educate and encourage inclusion; and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Offering both English and Spanish as a Second Language classes to remove communication hurdles.</w:t>
      </w:r>
    </w:p>
    <w:p>
      <w:pPr>
        <w:spacing w:after="0" w:line="207"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Offering competitive pay and benefits helps us attract and retain talented employees. We offer a full range of benefits to</w:t>
      </w:r>
      <w:r>
        <w:rPr>
          <w:rFonts w:ascii="Arial" w:cs="Arial" w:eastAsia="Arial" w:hAnsi="Arial"/>
          <w:sz w:val="18"/>
          <w:szCs w:val="18"/>
          <w:i w:val="1"/>
          <w:iCs w:val="1"/>
          <w:color w:val="auto"/>
        </w:rPr>
        <w:t xml:space="preserve"> </w:t>
      </w:r>
      <w:r>
        <w:rPr>
          <w:rFonts w:ascii="Arial" w:cs="Arial" w:eastAsia="Arial" w:hAnsi="Arial"/>
          <w:sz w:val="18"/>
          <w:szCs w:val="18"/>
          <w:color w:val="auto"/>
        </w:rPr>
        <w:t>qualifying employees, including medical, dental and vision insurance, prescription drug coverage, flexible spending accounts, 401(k) retirement programs with matching contributions, paid vacations and holidays, short- and long-term disability insurance, life insurance and group accident and critical illness insurance.</w:t>
      </w:r>
    </w:p>
    <w:p>
      <w:pPr>
        <w:spacing w:after="0" w:line="174"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i w:val="1"/>
          <w:iCs w:val="1"/>
          <w:color w:val="auto"/>
        </w:rPr>
        <w:t xml:space="preserve">Safety. </w:t>
      </w:r>
      <w:r>
        <w:rPr>
          <w:rFonts w:ascii="Arial" w:cs="Arial" w:eastAsia="Arial" w:hAnsi="Arial"/>
          <w:sz w:val="18"/>
          <w:szCs w:val="18"/>
          <w:color w:val="auto"/>
        </w:rPr>
        <w:t>Employee safety is a core business objective. Our installers engage in physically strenuous, and at times, hazardous work.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detailed safety policies and each year significant staffing, funding and resources are allocated to safety and risk management. We have strong workplace safety measures that we call Lead with Safety, a continuing education program focused on creating a safer working environment for our employees and other jobsite personnel through year-round education and training. We have regional safety managers who are OSHA 500 certified outreach trainers who conduct intensive courses on OSHA safety training.</w:t>
      </w:r>
    </w:p>
    <w:p>
      <w:pPr>
        <w:spacing w:after="0" w:line="176"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We track all incidents that occur on our job sites that could result in injury, including minor incidents that may not require first aid or medical treatment. We use this information to refine our safety training programs. We believe our safety programs are having a positive impact. Total hours worked increased 10% from 2021 to 2022, while OSHA-defined incidents declined by 15% during the same period, resulting in a decline in incident rate per 100 hours worked of 22%. We also reported a 27% decrease in severe incidents from 2021 to 2022 with eight severe incidents in 2022, representing a 34% decline in the severe incident rate per 100 hours worked compared to 2021. We had zero fatalities in 2020, 2021 and 2022.</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safety programs include drugs and alcohol, confined space, fall protection, hazardous chemicals communication, respiratory protection, hand and portable power tools, personal protection, carbon monoxide, weather safety, cell phone usage, drywall storage safety, driver safety and fleet safety. Each installer receives initial safety training upon hire and may receive specialty training depending upon duties. Safety training continues with weekly toolbox talks, quarterly safety initiatives, annual refresher training and safety excellence awards. Our safety program employs more than 35 training videos, including ladder and scaffold safety, electrical safety and forklift safety. Our spray polyurethane foam protocol includes trucks and equipment, storage and disposal, sales and installer training, preventative maintenance and technical support and quality control.</w:t>
      </w:r>
    </w:p>
    <w:p>
      <w:pPr>
        <w:spacing w:after="0" w:line="185" w:lineRule="exact"/>
        <w:rPr>
          <w:sz w:val="20"/>
          <w:szCs w:val="20"/>
          <w:color w:val="auto"/>
        </w:rPr>
      </w:pPr>
    </w:p>
    <w:p>
      <w:pPr>
        <w:ind w:left="120" w:right="140"/>
        <w:spacing w:after="0"/>
        <w:rPr>
          <w:sz w:val="20"/>
          <w:szCs w:val="20"/>
          <w:color w:val="auto"/>
        </w:rPr>
      </w:pPr>
      <w:r>
        <w:rPr>
          <w:rFonts w:ascii="Arial" w:cs="Arial" w:eastAsia="Arial" w:hAnsi="Arial"/>
          <w:sz w:val="18"/>
          <w:szCs w:val="18"/>
          <w:i w:val="1"/>
          <w:iCs w:val="1"/>
          <w:color w:val="auto"/>
        </w:rPr>
        <w:t xml:space="preserve">Financial Wellness Program. </w:t>
      </w:r>
      <w:r>
        <w:rPr>
          <w:rFonts w:ascii="Arial" w:cs="Arial" w:eastAsia="Arial" w:hAnsi="Arial"/>
          <w:sz w:val="18"/>
          <w:szCs w:val="18"/>
          <w:color w:val="auto"/>
        </w:rPr>
        <w:t>We offer a financial wellness education program to our employees called Momentum on Up to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 and encourage responsible personal financial decision-making. The program educates participants on key personal financial topics, including budgeting, credit scores, debt reduction, saving and giving back to the community. One of the key components of this program is encouraging employees to establish personal savings accounts, which the Company matches dollar for dollar up to $1,000. Since inception of the program, we have matched over $5.5 million in employee personal savings. We believe this valuable program not only helps address employee retention, but represents the right thing to do in order to help educate and inform our employees about their financial position and security.</w:t>
      </w:r>
    </w:p>
    <w:p>
      <w:pPr>
        <w:spacing w:after="0" w:line="185"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i w:val="1"/>
          <w:iCs w:val="1"/>
          <w:color w:val="auto"/>
        </w:rPr>
        <w:t xml:space="preserve">Longevity Awards. </w:t>
      </w:r>
      <w:r>
        <w:rPr>
          <w:rFonts w:ascii="Arial" w:cs="Arial" w:eastAsia="Arial" w:hAnsi="Arial"/>
          <w:sz w:val="18"/>
          <w:szCs w:val="18"/>
          <w:color w:val="auto"/>
        </w:rPr>
        <w:t>Our longevity award program rewards employees who do not otherwise receive awards under another Company stock</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for their long-time dedicated service to the Company. Eligible employees are awarded grants of restricted stock units for each ten years of continuous service to the Company, including service for companies that we acquire. Provided the Company meets a revenue target established in advance by the Compensation and Human Capital Committee, employees are awarded restricted stock units based on a percentage of wages that convert one year later into shares of our common stock (for 2022 awards, the target was $2.16 billion trailing 12-month revenue from July 1, 2021 to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282575" cy="2660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204" w:lineRule="exact"/>
        <w:rPr>
          <w:sz w:val="20"/>
          <w:szCs w:val="20"/>
          <w:color w:val="auto"/>
        </w:rPr>
      </w:pPr>
    </w:p>
    <w:p>
      <w:pPr>
        <w:ind w:left="240"/>
        <w:spacing w:after="0"/>
        <w:tabs>
          <w:tab w:leader="none" w:pos="660" w:val="left"/>
          <w:tab w:leader="none" w:pos="9340" w:val="left"/>
        </w:tabs>
        <w:rPr>
          <w:sz w:val="20"/>
          <w:szCs w:val="20"/>
          <w:color w:val="auto"/>
        </w:rPr>
      </w:pPr>
      <w:r>
        <w:rPr>
          <w:rFonts w:ascii="Arial" w:cs="Arial" w:eastAsia="Arial" w:hAnsi="Arial"/>
          <w:sz w:val="16"/>
          <w:szCs w:val="16"/>
          <w:color w:val="FFFFFF"/>
        </w:rPr>
        <w:t>38</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Corporate Responsibility</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20" w:right="440"/>
        <w:spacing w:after="0" w:line="253" w:lineRule="auto"/>
        <w:rPr>
          <w:sz w:val="20"/>
          <w:szCs w:val="20"/>
          <w:color w:val="auto"/>
        </w:rPr>
      </w:pPr>
      <w:r>
        <w:rPr>
          <w:rFonts w:ascii="Arial" w:cs="Arial" w:eastAsia="Arial" w:hAnsi="Arial"/>
          <w:sz w:val="18"/>
          <w:szCs w:val="18"/>
          <w:color w:val="auto"/>
        </w:rPr>
        <w:t>Through December 31, 2022, we have awarded approximately 141,000 restricted stock units to approximately 1,500 employees with tenures ranging from 10 to 48 years. We believe the program rewards employees for valued service, assists in retention of our highly valued long-term employees and results in a highly motivated and engaged workforce.</w:t>
      </w:r>
    </w:p>
    <w:p>
      <w:pPr>
        <w:spacing w:after="0" w:line="169"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i w:val="1"/>
          <w:iCs w:val="1"/>
          <w:color w:val="auto"/>
        </w:rPr>
        <w:t xml:space="preserve">Positive Production Program. </w:t>
      </w:r>
      <w:r>
        <w:rPr>
          <w:rFonts w:ascii="Arial" w:cs="Arial" w:eastAsia="Arial" w:hAnsi="Arial"/>
          <w:sz w:val="18"/>
          <w:szCs w:val="18"/>
          <w:color w:val="auto"/>
        </w:rPr>
        <w:t>The Positive Production Program is a custom well-being program developed for our employees by Positive</w:t>
      </w:r>
      <w:r>
        <w:rPr>
          <w:rFonts w:ascii="Arial" w:cs="Arial" w:eastAsia="Arial" w:hAnsi="Arial"/>
          <w:sz w:val="18"/>
          <w:szCs w:val="18"/>
          <w:i w:val="1"/>
          <w:iCs w:val="1"/>
          <w:color w:val="auto"/>
        </w:rPr>
        <w:t xml:space="preserve"> </w:t>
      </w:r>
      <w:r>
        <w:rPr>
          <w:rFonts w:ascii="Arial" w:cs="Arial" w:eastAsia="Arial" w:hAnsi="Arial"/>
          <w:sz w:val="18"/>
          <w:szCs w:val="18"/>
          <w:color w:val="auto"/>
        </w:rPr>
        <w:t>Foundry to provide personal development learning opportunities. The program is based on the science of positive psychology, human behavior and neuroscience. The goals of the program are:</w:t>
      </w:r>
    </w:p>
    <w:p>
      <w:pPr>
        <w:spacing w:after="0" w:line="196" w:lineRule="exact"/>
        <w:rPr>
          <w:sz w:val="20"/>
          <w:szCs w:val="20"/>
          <w:color w:val="auto"/>
        </w:rPr>
      </w:pPr>
    </w:p>
    <w:p>
      <w:pPr>
        <w:ind w:left="1080" w:right="840"/>
        <w:spacing w:after="0" w:line="260" w:lineRule="auto"/>
        <w:rPr>
          <w:sz w:val="20"/>
          <w:szCs w:val="20"/>
          <w:color w:val="auto"/>
        </w:rPr>
      </w:pPr>
      <w:r>
        <w:rPr>
          <w:rFonts w:ascii="Arial" w:cs="Arial" w:eastAsia="Arial" w:hAnsi="Arial"/>
          <w:sz w:val="18"/>
          <w:szCs w:val="18"/>
          <w:color w:val="auto"/>
        </w:rPr>
        <w:t>To provide opportunities to build strong relationships among employees and connect with each other while learning. To build strong teams and work environments with engaged employees.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 provide opportunities for employees to learn and grow.</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 improve employee well-being by building awareness and sharing best practices.</w:t>
      </w:r>
    </w:p>
    <w:p>
      <w:pPr>
        <w:spacing w:after="0" w:line="20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elements of the Positive Production Program include videos and emails, supplemented by online sessions, with topics including understanding unconscious bias; managing energy through eating, moving and sleeping; and reflection. Through the Positive Production Program, we hope to assist our employees in developing mindsets and behaviors that can have a lasting impact on well-being,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125095</wp:posOffset>
            </wp:positionV>
            <wp:extent cx="6574790" cy="1534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74790"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Our Communities</w:t>
      </w:r>
    </w:p>
    <w:p>
      <w:pPr>
        <w:spacing w:after="0" w:line="21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i w:val="1"/>
          <w:iCs w:val="1"/>
          <w:color w:val="auto"/>
        </w:rPr>
        <w:t xml:space="preserve">Volunteerism. </w:t>
      </w:r>
      <w:r>
        <w:rPr>
          <w:rFonts w:ascii="Arial" w:cs="Arial" w:eastAsia="Arial" w:hAnsi="Arial"/>
          <w:sz w:val="18"/>
          <w:szCs w:val="18"/>
          <w:color w:val="auto"/>
        </w:rPr>
        <w:t>We are committed to investing in the communities where our employees live and work. We have numerous community</w:t>
      </w:r>
      <w:r>
        <w:rPr>
          <w:rFonts w:ascii="Arial" w:cs="Arial" w:eastAsia="Arial" w:hAnsi="Arial"/>
          <w:sz w:val="18"/>
          <w:szCs w:val="18"/>
          <w:i w:val="1"/>
          <w:iCs w:val="1"/>
          <w:color w:val="auto"/>
        </w:rPr>
        <w:t xml:space="preserve"> </w:t>
      </w:r>
      <w:r>
        <w:rPr>
          <w:rFonts w:ascii="Arial" w:cs="Arial" w:eastAsia="Arial" w:hAnsi="Arial"/>
          <w:sz w:val="18"/>
          <w:szCs w:val="18"/>
          <w:color w:val="auto"/>
        </w:rPr>
        <w:t>engagement programs and we encourage our employees to volunteer at nonprofit organizations in their local communities. Our employees contribute their time, passion and money to a wide variety of philanthropic organizations and we are proud to partner with them in their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139700</wp:posOffset>
            </wp:positionV>
            <wp:extent cx="6951980" cy="28117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5198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Corporate Responsibility</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39</w:t>
      </w:r>
    </w:p>
    <w:p>
      <w:pPr>
        <w:sectPr>
          <w:pgSz w:w="11900" w:h="16838" w:orient="portrait"/>
          <w:cols w:equalWidth="0" w:num="1">
            <w:col w:w="11100"/>
          </w:cols>
          <w:pgMar w:left="320" w:top="482"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Installed Building Products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187960</wp:posOffset>
            </wp:positionV>
            <wp:extent cx="7016115" cy="35401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16115" cy="3540125"/>
                    </a:xfrm>
                    <a:prstGeom prst="rect">
                      <a:avLst/>
                    </a:prstGeom>
                    <a:noFill/>
                  </pic:spPr>
                </pic:pic>
              </a:graphicData>
            </a:graphic>
          </wp:anchor>
        </w:drawing>
      </w:r>
    </w:p>
    <w:p>
      <w:pPr>
        <w:spacing w:after="0" w:line="352" w:lineRule="exact"/>
        <w:rPr>
          <w:sz w:val="20"/>
          <w:szCs w:val="20"/>
          <w:color w:val="auto"/>
        </w:rPr>
      </w:pPr>
    </w:p>
    <w:p>
      <w:pPr>
        <w:ind w:left="1580" w:right="320"/>
        <w:spacing w:after="0" w:line="247" w:lineRule="auto"/>
        <w:rPr>
          <w:sz w:val="20"/>
          <w:szCs w:val="20"/>
          <w:color w:val="auto"/>
        </w:rPr>
      </w:pPr>
      <w:r>
        <w:rPr>
          <w:rFonts w:ascii="Arial" w:cs="Arial" w:eastAsia="Arial" w:hAnsi="Arial"/>
          <w:sz w:val="18"/>
          <w:szCs w:val="18"/>
          <w:color w:val="FFFFFF"/>
        </w:rPr>
        <w:t>In 2019, we established the Installed Building Products Foundation (“Foundation”) in partnership with the Columbus Foundation. The Foundation Advisory Board consists of non-executive employees representing all of our geographic regions in a wide range of job categories. The Foundation is overseen by the Compensation and Human Capital Committee. The Foundation sponsors four programs: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580"/>
        <w:spacing w:after="0" w:line="242" w:lineRule="auto"/>
        <w:rPr>
          <w:sz w:val="20"/>
          <w:szCs w:val="20"/>
          <w:color w:val="auto"/>
        </w:rPr>
      </w:pPr>
      <w:r>
        <w:rPr>
          <w:rFonts w:ascii="Arial" w:cs="Arial" w:eastAsia="Arial" w:hAnsi="Arial"/>
          <w:sz w:val="18"/>
          <w:szCs w:val="18"/>
          <w:i w:val="1"/>
          <w:iCs w:val="1"/>
          <w:color w:val="4472C4"/>
        </w:rPr>
        <w:t>Scholarship Program</w:t>
      </w:r>
      <w:r>
        <w:rPr>
          <w:rFonts w:ascii="Arial" w:cs="Arial" w:eastAsia="Arial" w:hAnsi="Arial"/>
          <w:sz w:val="18"/>
          <w:szCs w:val="18"/>
          <w:color w:val="4472C4"/>
        </w:rPr>
        <w:t>.</w:t>
      </w:r>
      <w:r>
        <w:rPr>
          <w:rFonts w:ascii="Arial" w:cs="Arial" w:eastAsia="Arial" w:hAnsi="Arial"/>
          <w:sz w:val="18"/>
          <w:szCs w:val="18"/>
          <w:i w:val="1"/>
          <w:iCs w:val="1"/>
          <w:color w:val="4472C4"/>
        </w:rPr>
        <w:t xml:space="preserve"> </w:t>
      </w:r>
      <w:r>
        <w:rPr>
          <w:rFonts w:ascii="Arial" w:cs="Arial" w:eastAsia="Arial" w:hAnsi="Arial"/>
          <w:sz w:val="18"/>
          <w:szCs w:val="18"/>
          <w:color w:val="000000"/>
        </w:rPr>
        <w:t xml:space="preserve">The Building for Tomorrow Scholarship Program </w:t>
      </w:r>
      <w:r>
        <w:rPr>
          <w:sz w:val="1"/>
          <w:szCs w:val="1"/>
          <w:color w:val="auto"/>
        </w:rPr>
        <w:drawing>
          <wp:inline distT="0" distB="0" distL="0" distR="0">
            <wp:extent cx="93980" cy="3365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3980" cy="33655"/>
                    </a:xfrm>
                    <a:prstGeom prst="rect">
                      <a:avLst/>
                    </a:prstGeom>
                    <a:noFill/>
                    <a:ln>
                      <a:noFill/>
                    </a:ln>
                  </pic:spPr>
                </pic:pic>
              </a:graphicData>
            </a:graphic>
          </wp:inline>
        </w:drawing>
      </w:r>
      <w:r>
        <w:rPr>
          <w:rFonts w:ascii="Arial" w:cs="Arial" w:eastAsia="Arial" w:hAnsi="Arial"/>
          <w:sz w:val="18"/>
          <w:szCs w:val="18"/>
          <w:color w:val="auto"/>
        </w:rPr>
        <w:t xml:space="preserve"> awards renewable scholarships of up to $5,000 to employees and their dependents attending accredited vocational or trade schools and universities or colleges. Selection criteria include academic performance, financial need and character reference letters. Preference is given to construction-related fields of study.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ind w:right="300"/>
        <w:spacing w:after="0"/>
        <w:rPr>
          <w:sz w:val="20"/>
          <w:szCs w:val="20"/>
          <w:color w:val="auto"/>
        </w:rPr>
      </w:pPr>
      <w:r>
        <w:rPr>
          <w:rFonts w:ascii="Arial" w:cs="Arial" w:eastAsia="Arial" w:hAnsi="Arial"/>
          <w:sz w:val="14"/>
          <w:szCs w:val="14"/>
          <w:i w:val="1"/>
          <w:iCs w:val="1"/>
          <w:color w:val="002060"/>
        </w:rPr>
        <w:t>Since Inception(1)</w:t>
      </w:r>
    </w:p>
    <w:p>
      <w:pPr>
        <w:spacing w:after="0" w:line="88" w:lineRule="exact"/>
        <w:rPr>
          <w:sz w:val="20"/>
          <w:szCs w:val="20"/>
          <w:color w:val="auto"/>
        </w:rPr>
      </w:pPr>
    </w:p>
    <w:p>
      <w:pPr>
        <w:spacing w:after="0"/>
        <w:tabs>
          <w:tab w:leader="none" w:pos="2260" w:val="left"/>
        </w:tabs>
        <w:rPr>
          <w:sz w:val="20"/>
          <w:szCs w:val="20"/>
          <w:color w:val="auto"/>
        </w:rPr>
      </w:pPr>
      <w:r>
        <w:rPr>
          <w:rFonts w:ascii="Arial" w:cs="Arial" w:eastAsia="Arial" w:hAnsi="Arial"/>
          <w:sz w:val="22"/>
          <w:szCs w:val="22"/>
          <w:b w:val="1"/>
          <w:bCs w:val="1"/>
          <w:color w:val="002060"/>
        </w:rPr>
        <w:t>$2.4 Million</w:t>
      </w:r>
      <w:r>
        <w:rPr>
          <w:sz w:val="20"/>
          <w:szCs w:val="20"/>
          <w:color w:val="auto"/>
        </w:rPr>
        <w:tab/>
      </w:r>
      <w:r>
        <w:rPr>
          <w:rFonts w:ascii="Arial" w:cs="Arial" w:eastAsia="Arial" w:hAnsi="Arial"/>
          <w:sz w:val="21"/>
          <w:szCs w:val="21"/>
          <w:b w:val="1"/>
          <w:bCs w:val="1"/>
          <w:color w:val="002060"/>
        </w:rPr>
        <w:t>230</w:t>
      </w:r>
    </w:p>
    <w:p>
      <w:pPr>
        <w:spacing w:after="0" w:line="45" w:lineRule="exact"/>
        <w:rPr>
          <w:sz w:val="20"/>
          <w:szCs w:val="20"/>
          <w:color w:val="auto"/>
        </w:rPr>
      </w:pPr>
    </w:p>
    <w:p>
      <w:pPr>
        <w:ind w:left="140"/>
        <w:spacing w:after="0"/>
        <w:tabs>
          <w:tab w:leader="none" w:pos="2080" w:val="left"/>
        </w:tabs>
        <w:rPr>
          <w:sz w:val="20"/>
          <w:szCs w:val="20"/>
          <w:color w:val="auto"/>
        </w:rPr>
      </w:pPr>
      <w:r>
        <w:rPr>
          <w:rFonts w:ascii="Arial" w:cs="Arial" w:eastAsia="Arial" w:hAnsi="Arial"/>
          <w:sz w:val="21"/>
          <w:szCs w:val="21"/>
          <w:b w:val="1"/>
          <w:bCs w:val="1"/>
          <w:color w:val="002060"/>
        </w:rPr>
        <w:t>Awarded</w:t>
      </w:r>
      <w:r>
        <w:rPr>
          <w:sz w:val="20"/>
          <w:szCs w:val="20"/>
          <w:color w:val="auto"/>
        </w:rPr>
        <w:tab/>
      </w:r>
      <w:r>
        <w:rPr>
          <w:rFonts w:ascii="Arial" w:cs="Arial" w:eastAsia="Arial" w:hAnsi="Arial"/>
          <w:sz w:val="21"/>
          <w:szCs w:val="21"/>
          <w:b w:val="1"/>
          <w:bCs w:val="1"/>
          <w:color w:val="002060"/>
        </w:rPr>
        <w:t>Grants</w:t>
      </w:r>
    </w:p>
    <w:p>
      <w:pPr>
        <w:spacing w:after="0" w:line="855" w:lineRule="exact"/>
        <w:rPr>
          <w:sz w:val="20"/>
          <w:szCs w:val="20"/>
          <w:color w:val="auto"/>
        </w:rPr>
      </w:pPr>
    </w:p>
    <w:p>
      <w:pPr>
        <w:sectPr>
          <w:pgSz w:w="11900" w:h="16838" w:orient="portrait"/>
          <w:cols w:equalWidth="0" w:num="2">
            <w:col w:w="7540" w:space="260"/>
            <w:col w:w="3340"/>
          </w:cols>
          <w:pgMar w:left="320" w:top="482" w:right="439" w:bottom="1440" w:gutter="0" w:footer="0" w:header="0"/>
          <w:type w:val="continuous"/>
        </w:sectPr>
      </w:pPr>
    </w:p>
    <w:p>
      <w:pPr>
        <w:ind w:left="1580"/>
        <w:spacing w:after="0"/>
        <w:rPr>
          <w:sz w:val="20"/>
          <w:szCs w:val="20"/>
          <w:color w:val="auto"/>
        </w:rPr>
      </w:pPr>
      <w:r>
        <w:rPr>
          <w:rFonts w:ascii="Arial" w:cs="Arial" w:eastAsia="Arial" w:hAnsi="Arial"/>
          <w:sz w:val="18"/>
          <w:szCs w:val="18"/>
          <w:i w:val="1"/>
          <w:iCs w:val="1"/>
          <w:color w:val="4472C4"/>
        </w:rPr>
        <w:t>Charitable Giving Match</w:t>
      </w:r>
      <w:r>
        <w:rPr>
          <w:rFonts w:ascii="Arial" w:cs="Arial" w:eastAsia="Arial" w:hAnsi="Arial"/>
          <w:sz w:val="18"/>
          <w:szCs w:val="18"/>
          <w:color w:val="000000"/>
        </w:rPr>
        <w:t>. Our Foundation matches cash gifts</w:t>
      </w:r>
    </w:p>
    <w:p>
      <w:pPr>
        <w:ind w:left="1580"/>
        <w:spacing w:after="0" w:line="247" w:lineRule="auto"/>
        <w:rPr>
          <w:sz w:val="20"/>
          <w:szCs w:val="20"/>
          <w:color w:val="auto"/>
        </w:rPr>
      </w:pPr>
      <w:r>
        <w:rPr>
          <w:rFonts w:ascii="Arial" w:cs="Arial" w:eastAsia="Arial" w:hAnsi="Arial"/>
          <w:sz w:val="18"/>
          <w:szCs w:val="18"/>
          <w:color w:val="auto"/>
        </w:rPr>
        <w:t xml:space="preserve">by employees of up to $500 or volunteer time of up to 25 hours ($20 per </w:t>
      </w:r>
      <w:r>
        <w:rPr>
          <w:sz w:val="1"/>
          <w:szCs w:val="1"/>
          <w:color w:val="auto"/>
        </w:rPr>
        <w:drawing>
          <wp:inline distT="0" distB="0" distL="0" distR="0">
            <wp:extent cx="93980" cy="3365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3980" cy="33655"/>
                    </a:xfrm>
                    <a:prstGeom prst="rect">
                      <a:avLst/>
                    </a:prstGeom>
                    <a:noFill/>
                    <a:ln>
                      <a:noFill/>
                    </a:ln>
                  </pic:spPr>
                </pic:pic>
              </a:graphicData>
            </a:graphic>
          </wp:inline>
        </w:drawing>
      </w:r>
      <w:r>
        <w:rPr>
          <w:rFonts w:ascii="Arial" w:cs="Arial" w:eastAsia="Arial" w:hAnsi="Arial"/>
          <w:sz w:val="18"/>
          <w:szCs w:val="18"/>
          <w:color w:val="auto"/>
        </w:rPr>
        <w:t xml:space="preserve"> hour). Eligible organizations include tax-exempt public charities, nonprofit colleges, universities, hospitals and medical facilities and community service programs.</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Arial" w:cs="Arial" w:eastAsia="Arial" w:hAnsi="Arial"/>
          <w:sz w:val="14"/>
          <w:szCs w:val="14"/>
          <w:i w:val="1"/>
          <w:iCs w:val="1"/>
          <w:color w:val="002060"/>
        </w:rPr>
        <w:t>Since In</w:t>
      </w:r>
      <w:r>
        <w:rPr>
          <w:rFonts w:ascii="Arial" w:cs="Arial" w:eastAsia="Arial" w:hAnsi="Arial"/>
          <w:sz w:val="14"/>
          <w:szCs w:val="14"/>
          <w:i w:val="1"/>
          <w:iCs w:val="1"/>
          <w:u w:val="single" w:color="auto"/>
          <w:color w:val="002060"/>
        </w:rPr>
        <w:t>ce</w:t>
      </w:r>
      <w:r>
        <w:rPr>
          <w:rFonts w:ascii="Arial" w:cs="Arial" w:eastAsia="Arial" w:hAnsi="Arial"/>
          <w:sz w:val="14"/>
          <w:szCs w:val="14"/>
          <w:i w:val="1"/>
          <w:iCs w:val="1"/>
          <w:color w:val="002060"/>
        </w:rPr>
        <w:t>ption(1)</w:t>
      </w:r>
    </w:p>
    <w:p>
      <w:pPr>
        <w:spacing w:after="0" w:line="74" w:lineRule="exact"/>
        <w:rPr>
          <w:sz w:val="20"/>
          <w:szCs w:val="20"/>
          <w:color w:val="auto"/>
        </w:rPr>
      </w:pPr>
    </w:p>
    <w:p>
      <w:pPr>
        <w:ind w:left="40"/>
        <w:spacing w:after="0"/>
        <w:tabs>
          <w:tab w:leader="none" w:pos="2160" w:val="left"/>
        </w:tabs>
        <w:rPr>
          <w:sz w:val="20"/>
          <w:szCs w:val="20"/>
          <w:color w:val="auto"/>
        </w:rPr>
      </w:pPr>
      <w:r>
        <w:rPr>
          <w:rFonts w:ascii="Arial" w:cs="Arial" w:eastAsia="Arial" w:hAnsi="Arial"/>
          <w:sz w:val="22"/>
          <w:szCs w:val="22"/>
          <w:b w:val="1"/>
          <w:bCs w:val="1"/>
          <w:color w:val="002060"/>
        </w:rPr>
        <w:t>$33,810</w:t>
      </w:r>
      <w:r>
        <w:rPr>
          <w:sz w:val="20"/>
          <w:szCs w:val="20"/>
          <w:color w:val="auto"/>
        </w:rPr>
        <w:tab/>
      </w:r>
      <w:r>
        <w:rPr>
          <w:rFonts w:ascii="Arial" w:cs="Arial" w:eastAsia="Arial" w:hAnsi="Arial"/>
          <w:sz w:val="21"/>
          <w:szCs w:val="21"/>
          <w:b w:val="1"/>
          <w:bCs w:val="1"/>
          <w:color w:val="002060"/>
        </w:rPr>
        <w:t>99</w:t>
      </w:r>
    </w:p>
    <w:p>
      <w:pPr>
        <w:spacing w:after="0" w:line="45" w:lineRule="exact"/>
        <w:rPr>
          <w:sz w:val="20"/>
          <w:szCs w:val="20"/>
          <w:color w:val="auto"/>
        </w:rPr>
      </w:pPr>
    </w:p>
    <w:p>
      <w:pPr>
        <w:spacing w:after="0"/>
        <w:tabs>
          <w:tab w:leader="none" w:pos="1740" w:val="left"/>
        </w:tabs>
        <w:rPr>
          <w:sz w:val="20"/>
          <w:szCs w:val="20"/>
          <w:color w:val="auto"/>
        </w:rPr>
      </w:pPr>
      <w:r>
        <w:rPr>
          <w:rFonts w:ascii="Arial" w:cs="Arial" w:eastAsia="Arial" w:hAnsi="Arial"/>
          <w:sz w:val="21"/>
          <w:szCs w:val="21"/>
          <w:b w:val="1"/>
          <w:bCs w:val="1"/>
          <w:color w:val="002060"/>
        </w:rPr>
        <w:t>Matched</w:t>
      </w:r>
      <w:r>
        <w:rPr>
          <w:sz w:val="20"/>
          <w:szCs w:val="20"/>
          <w:color w:val="auto"/>
        </w:rPr>
        <w:tab/>
      </w:r>
      <w:r>
        <w:rPr>
          <w:rFonts w:ascii="Arial" w:cs="Arial" w:eastAsia="Arial" w:hAnsi="Arial"/>
          <w:sz w:val="21"/>
          <w:szCs w:val="21"/>
          <w:b w:val="1"/>
          <w:bCs w:val="1"/>
          <w:color w:val="002060"/>
        </w:rPr>
        <w:t>Cash Gifts</w:t>
      </w:r>
    </w:p>
    <w:p>
      <w:pPr>
        <w:spacing w:after="0" w:line="456" w:lineRule="exact"/>
        <w:rPr>
          <w:sz w:val="20"/>
          <w:szCs w:val="20"/>
          <w:color w:val="auto"/>
        </w:rPr>
      </w:pPr>
    </w:p>
    <w:p>
      <w:pPr>
        <w:sectPr>
          <w:pgSz w:w="11900" w:h="16838" w:orient="portrait"/>
          <w:cols w:equalWidth="0" w:num="2">
            <w:col w:w="7540" w:space="420"/>
            <w:col w:w="3180"/>
          </w:cols>
          <w:pgMar w:left="320" w:top="482" w:right="439" w:bottom="1440" w:gutter="0" w:footer="0" w:header="0"/>
          <w:type w:val="continuous"/>
        </w:sectPr>
      </w:pPr>
    </w:p>
    <w:p>
      <w:pPr>
        <w:ind w:left="1580"/>
        <w:spacing w:after="0"/>
        <w:rPr>
          <w:sz w:val="20"/>
          <w:szCs w:val="20"/>
          <w:color w:val="auto"/>
        </w:rPr>
      </w:pPr>
      <w:r>
        <w:rPr>
          <w:rFonts w:ascii="Arial" w:cs="Arial" w:eastAsia="Arial" w:hAnsi="Arial"/>
          <w:sz w:val="18"/>
          <w:szCs w:val="18"/>
          <w:i w:val="1"/>
          <w:iCs w:val="1"/>
          <w:color w:val="4472C4"/>
        </w:rPr>
        <w:t>Employee Financial Assistance</w:t>
      </w:r>
      <w:r>
        <w:rPr>
          <w:rFonts w:ascii="Arial" w:cs="Arial" w:eastAsia="Arial" w:hAnsi="Arial"/>
          <w:sz w:val="18"/>
          <w:szCs w:val="18"/>
          <w:color w:val="000000"/>
        </w:rPr>
        <w:t>. Our Employee Financial</w:t>
      </w:r>
    </w:p>
    <w:p>
      <w:pPr>
        <w:spacing w:after="0" w:line="8" w:lineRule="exact"/>
        <w:rPr>
          <w:sz w:val="20"/>
          <w:szCs w:val="20"/>
          <w:color w:val="auto"/>
        </w:rPr>
      </w:pPr>
    </w:p>
    <w:p>
      <w:pPr>
        <w:ind w:left="1580"/>
        <w:spacing w:after="0" w:line="239" w:lineRule="auto"/>
        <w:rPr>
          <w:sz w:val="20"/>
          <w:szCs w:val="20"/>
          <w:color w:val="auto"/>
        </w:rPr>
      </w:pPr>
      <w:r>
        <w:rPr>
          <w:rFonts w:ascii="Arial" w:cs="Arial" w:eastAsia="Arial" w:hAnsi="Arial"/>
          <w:sz w:val="18"/>
          <w:szCs w:val="18"/>
          <w:color w:val="auto"/>
        </w:rPr>
        <w:t xml:space="preserve">Assistance Program provides for awards of up to $2,000 for food, shelter </w:t>
      </w:r>
      <w:r>
        <w:rPr>
          <w:sz w:val="1"/>
          <w:szCs w:val="1"/>
          <w:color w:val="auto"/>
        </w:rPr>
        <w:drawing>
          <wp:inline distT="0" distB="0" distL="0" distR="0">
            <wp:extent cx="93980" cy="3365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33655"/>
                    </a:xfrm>
                    <a:prstGeom prst="rect">
                      <a:avLst/>
                    </a:prstGeom>
                    <a:noFill/>
                    <a:ln>
                      <a:noFill/>
                    </a:ln>
                  </pic:spPr>
                </pic:pic>
              </a:graphicData>
            </a:graphic>
          </wp:inline>
        </w:drawing>
      </w:r>
      <w:r>
        <w:rPr>
          <w:rFonts w:ascii="Arial" w:cs="Arial" w:eastAsia="Arial" w:hAnsi="Arial"/>
          <w:sz w:val="18"/>
          <w:szCs w:val="18"/>
          <w:color w:val="auto"/>
        </w:rPr>
        <w:t xml:space="preserve"> and other basic needs for employees who experience a qualifying event, such as a natural disaster or other acts of nature, house fire, accident, domestic abuse, crime, short term illness, death of a spouse, partner or dependent or military deployment.</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Arial" w:cs="Arial" w:eastAsia="Arial" w:hAnsi="Arial"/>
          <w:sz w:val="14"/>
          <w:szCs w:val="14"/>
          <w:i w:val="1"/>
          <w:iCs w:val="1"/>
          <w:color w:val="002060"/>
        </w:rPr>
        <w:t>Since Inception(1)</w:t>
      </w:r>
    </w:p>
    <w:p>
      <w:pPr>
        <w:spacing w:after="0" w:line="88" w:lineRule="exact"/>
        <w:rPr>
          <w:sz w:val="20"/>
          <w:szCs w:val="20"/>
          <w:color w:val="auto"/>
        </w:rPr>
      </w:pPr>
    </w:p>
    <w:p>
      <w:pPr>
        <w:spacing w:after="0"/>
        <w:tabs>
          <w:tab w:leader="none" w:pos="2120" w:val="left"/>
        </w:tabs>
        <w:rPr>
          <w:sz w:val="20"/>
          <w:szCs w:val="20"/>
          <w:color w:val="auto"/>
        </w:rPr>
      </w:pPr>
      <w:r>
        <w:rPr>
          <w:rFonts w:ascii="Arial" w:cs="Arial" w:eastAsia="Arial" w:hAnsi="Arial"/>
          <w:sz w:val="22"/>
          <w:szCs w:val="22"/>
          <w:b w:val="1"/>
          <w:bCs w:val="1"/>
          <w:color w:val="002060"/>
        </w:rPr>
        <w:t>$289,450</w:t>
      </w:r>
      <w:r>
        <w:rPr>
          <w:sz w:val="20"/>
          <w:szCs w:val="20"/>
          <w:color w:val="auto"/>
        </w:rPr>
        <w:tab/>
      </w:r>
      <w:r>
        <w:rPr>
          <w:rFonts w:ascii="Arial" w:cs="Arial" w:eastAsia="Arial" w:hAnsi="Arial"/>
          <w:sz w:val="21"/>
          <w:szCs w:val="21"/>
          <w:b w:val="1"/>
          <w:bCs w:val="1"/>
          <w:color w:val="002060"/>
        </w:rPr>
        <w:t>236</w:t>
      </w:r>
    </w:p>
    <w:p>
      <w:pPr>
        <w:spacing w:after="0" w:line="45"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002060"/>
        </w:rPr>
        <w:t>Awarded</w:t>
      </w:r>
      <w:r>
        <w:rPr>
          <w:sz w:val="20"/>
          <w:szCs w:val="20"/>
          <w:color w:val="auto"/>
        </w:rPr>
        <w:tab/>
      </w:r>
      <w:r>
        <w:rPr>
          <w:rFonts w:ascii="Arial" w:cs="Arial" w:eastAsia="Arial" w:hAnsi="Arial"/>
          <w:sz w:val="21"/>
          <w:szCs w:val="21"/>
          <w:b w:val="1"/>
          <w:bCs w:val="1"/>
          <w:color w:val="002060"/>
        </w:rPr>
        <w:t>Employees</w:t>
      </w:r>
    </w:p>
    <w:p>
      <w:pPr>
        <w:spacing w:after="0" w:line="468" w:lineRule="exact"/>
        <w:rPr>
          <w:sz w:val="20"/>
          <w:szCs w:val="20"/>
          <w:color w:val="auto"/>
        </w:rPr>
      </w:pPr>
    </w:p>
    <w:p>
      <w:pPr>
        <w:sectPr>
          <w:pgSz w:w="11900" w:h="16838" w:orient="portrait"/>
          <w:cols w:equalWidth="0" w:num="2">
            <w:col w:w="7540" w:space="400"/>
            <w:col w:w="320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77"/>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960" w:type="dxa"/>
            <w:vAlign w:val="bottom"/>
            <w:shd w:val="clear" w:color="auto" w:fill="E5E5E5"/>
          </w:tcPr>
          <w:p>
            <w:pPr>
              <w:ind w:left="140"/>
              <w:spacing w:after="0"/>
              <w:rPr>
                <w:sz w:val="20"/>
                <w:szCs w:val="20"/>
                <w:color w:val="auto"/>
              </w:rPr>
            </w:pPr>
            <w:r>
              <w:rPr>
                <w:rFonts w:ascii="Arial" w:cs="Arial" w:eastAsia="Arial" w:hAnsi="Arial"/>
                <w:sz w:val="18"/>
                <w:szCs w:val="18"/>
                <w:i w:val="1"/>
                <w:iCs w:val="1"/>
                <w:color w:val="4472C4"/>
                <w:w w:val="99"/>
              </w:rPr>
              <w:t>Major Grants Program</w:t>
            </w:r>
            <w:r>
              <w:rPr>
                <w:rFonts w:ascii="Arial" w:cs="Arial" w:eastAsia="Arial" w:hAnsi="Arial"/>
                <w:sz w:val="18"/>
                <w:szCs w:val="18"/>
                <w:color w:val="000000"/>
                <w:w w:val="99"/>
              </w:rPr>
              <w:t>. Our Foundation’s Major Grants Program provides</w:t>
            </w:r>
          </w:p>
        </w:tc>
        <w:tc>
          <w:tcPr>
            <w:tcW w:w="1780" w:type="dxa"/>
            <w:vAlign w:val="bottom"/>
          </w:tcPr>
          <w:p>
            <w:pPr>
              <w:ind w:left="400"/>
              <w:spacing w:after="0"/>
              <w:rPr>
                <w:sz w:val="20"/>
                <w:szCs w:val="20"/>
                <w:color w:val="auto"/>
              </w:rPr>
            </w:pPr>
            <w:r>
              <w:rPr>
                <w:rFonts w:ascii="Arial" w:cs="Arial" w:eastAsia="Arial" w:hAnsi="Arial"/>
                <w:sz w:val="22"/>
                <w:szCs w:val="22"/>
                <w:b w:val="1"/>
                <w:bCs w:val="1"/>
                <w:color w:val="002060"/>
              </w:rPr>
              <w:t>$3.6 Million</w:t>
            </w:r>
          </w:p>
        </w:tc>
        <w:tc>
          <w:tcPr>
            <w:tcW w:w="1960" w:type="dxa"/>
            <w:vAlign w:val="bottom"/>
          </w:tcPr>
          <w:p>
            <w:pPr>
              <w:jc w:val="center"/>
              <w:ind w:left="101"/>
              <w:spacing w:after="0"/>
              <w:rPr>
                <w:sz w:val="20"/>
                <w:szCs w:val="20"/>
                <w:color w:val="auto"/>
              </w:rPr>
            </w:pPr>
            <w:r>
              <w:rPr>
                <w:rFonts w:ascii="Arial" w:cs="Arial" w:eastAsia="Arial" w:hAnsi="Arial"/>
                <w:sz w:val="22"/>
                <w:szCs w:val="22"/>
                <w:b w:val="1"/>
                <w:bCs w:val="1"/>
                <w:color w:val="002060"/>
                <w:w w:val="97"/>
              </w:rPr>
              <w:t>74</w:t>
            </w: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960" w:type="dxa"/>
            <w:vAlign w:val="bottom"/>
            <w:shd w:val="clear" w:color="auto" w:fill="E5E5E5"/>
          </w:tcPr>
          <w:p>
            <w:pPr>
              <w:ind w:left="140"/>
              <w:spacing w:after="0" w:line="197" w:lineRule="exact"/>
              <w:rPr>
                <w:sz w:val="20"/>
                <w:szCs w:val="20"/>
                <w:color w:val="auto"/>
              </w:rPr>
            </w:pPr>
            <w:r>
              <w:rPr>
                <w:rFonts w:ascii="Arial" w:cs="Arial" w:eastAsia="Arial" w:hAnsi="Arial"/>
                <w:sz w:val="18"/>
                <w:szCs w:val="18"/>
                <w:color w:val="auto"/>
              </w:rPr>
              <w:t>grants to 501(c)(3) organizations involved in building or renovating</w:t>
            </w:r>
          </w:p>
        </w:tc>
        <w:tc>
          <w:tcPr>
            <w:tcW w:w="1780" w:type="dxa"/>
            <w:vAlign w:val="bottom"/>
          </w:tcPr>
          <w:p>
            <w:pPr>
              <w:spacing w:after="0"/>
              <w:rPr>
                <w:sz w:val="17"/>
                <w:szCs w:val="17"/>
                <w:color w:val="auto"/>
              </w:rPr>
            </w:pPr>
          </w:p>
        </w:tc>
        <w:tc>
          <w:tcPr>
            <w:tcW w:w="1960" w:type="dxa"/>
            <w:vAlign w:val="bottom"/>
            <w:vMerge w:val="restart"/>
          </w:tcPr>
          <w:p>
            <w:pPr>
              <w:jc w:val="center"/>
              <w:ind w:left="81"/>
              <w:spacing w:after="0"/>
              <w:rPr>
                <w:sz w:val="20"/>
                <w:szCs w:val="20"/>
                <w:color w:val="auto"/>
              </w:rPr>
            </w:pPr>
            <w:r>
              <w:rPr>
                <w:rFonts w:ascii="Arial" w:cs="Arial" w:eastAsia="Arial" w:hAnsi="Arial"/>
                <w:sz w:val="22"/>
                <w:szCs w:val="22"/>
                <w:b w:val="1"/>
                <w:bCs w:val="1"/>
                <w:color w:val="002060"/>
                <w:w w:val="98"/>
              </w:rPr>
              <w:t>Grants</w:t>
            </w:r>
          </w:p>
        </w:tc>
        <w:tc>
          <w:tcPr>
            <w:tcW w:w="0" w:type="dxa"/>
            <w:vAlign w:val="bottom"/>
          </w:tcPr>
          <w:p>
            <w:pPr>
              <w:spacing w:after="0"/>
              <w:rPr>
                <w:sz w:val="1"/>
                <w:szCs w:val="1"/>
                <w:color w:val="auto"/>
              </w:rPr>
            </w:pPr>
          </w:p>
        </w:tc>
      </w:tr>
      <w:tr>
        <w:trPr>
          <w:trHeight w:val="239"/>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960" w:type="dxa"/>
            <w:vAlign w:val="bottom"/>
            <w:shd w:val="clear" w:color="auto" w:fill="E5E5E5"/>
          </w:tcPr>
          <w:p>
            <w:pPr>
              <w:ind w:left="140"/>
              <w:spacing w:after="0"/>
              <w:rPr>
                <w:sz w:val="20"/>
                <w:szCs w:val="20"/>
                <w:color w:val="auto"/>
              </w:rPr>
            </w:pPr>
            <w:r>
              <w:rPr>
                <w:rFonts w:ascii="Arial" w:cs="Arial" w:eastAsia="Arial" w:hAnsi="Arial"/>
                <w:sz w:val="18"/>
                <w:szCs w:val="18"/>
                <w:color w:val="auto"/>
              </w:rPr>
              <w:t>homes or providing shelter for those in need.</w:t>
            </w:r>
          </w:p>
        </w:tc>
        <w:tc>
          <w:tcPr>
            <w:tcW w:w="1780" w:type="dxa"/>
            <w:vAlign w:val="bottom"/>
          </w:tcPr>
          <w:p>
            <w:pPr>
              <w:spacing w:after="0"/>
              <w:rPr>
                <w:sz w:val="20"/>
                <w:szCs w:val="20"/>
                <w:color w:val="auto"/>
              </w:rPr>
            </w:pPr>
          </w:p>
        </w:tc>
        <w:tc>
          <w:tcPr>
            <w:tcW w:w="1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5"/>
        </w:trPr>
        <w:tc>
          <w:tcPr>
            <w:tcW w:w="440" w:type="dxa"/>
            <w:vAlign w:val="bottom"/>
            <w:tcBorders>
              <w:bottom w:val="single" w:sz="8" w:color="002060"/>
            </w:tcBorders>
          </w:tcPr>
          <w:p>
            <w:pPr>
              <w:spacing w:after="0"/>
              <w:rPr>
                <w:sz w:val="10"/>
                <w:szCs w:val="10"/>
                <w:color w:val="auto"/>
              </w:rPr>
            </w:pPr>
          </w:p>
        </w:tc>
        <w:tc>
          <w:tcPr>
            <w:tcW w:w="880" w:type="dxa"/>
            <w:vAlign w:val="bottom"/>
            <w:tcBorders>
              <w:bottom w:val="single" w:sz="8" w:color="002060"/>
            </w:tcBorders>
          </w:tcPr>
          <w:p>
            <w:pPr>
              <w:spacing w:after="0"/>
              <w:rPr>
                <w:sz w:val="10"/>
                <w:szCs w:val="10"/>
                <w:color w:val="auto"/>
              </w:rPr>
            </w:pPr>
          </w:p>
        </w:tc>
        <w:tc>
          <w:tcPr>
            <w:tcW w:w="5960" w:type="dxa"/>
            <w:vAlign w:val="bottom"/>
            <w:tcBorders>
              <w:bottom w:val="single" w:sz="8" w:color="002060"/>
            </w:tcBorders>
            <w:shd w:val="clear" w:color="auto" w:fill="E5E5E5"/>
          </w:tcPr>
          <w:p>
            <w:pPr>
              <w:spacing w:after="0"/>
              <w:rPr>
                <w:sz w:val="10"/>
                <w:szCs w:val="10"/>
                <w:color w:val="auto"/>
              </w:rPr>
            </w:pPr>
          </w:p>
        </w:tc>
        <w:tc>
          <w:tcPr>
            <w:tcW w:w="1780" w:type="dxa"/>
            <w:vAlign w:val="bottom"/>
            <w:tcBorders>
              <w:bottom w:val="single" w:sz="8" w:color="002060"/>
            </w:tcBorders>
          </w:tcPr>
          <w:p>
            <w:pPr>
              <w:spacing w:after="0"/>
              <w:rPr>
                <w:sz w:val="10"/>
                <w:szCs w:val="10"/>
                <w:color w:val="auto"/>
              </w:rPr>
            </w:pPr>
          </w:p>
        </w:tc>
        <w:tc>
          <w:tcPr>
            <w:tcW w:w="1960" w:type="dxa"/>
            <w:vAlign w:val="bottom"/>
            <w:tcBorders>
              <w:bottom w:val="single" w:sz="8" w:color="002060"/>
            </w:tcBorders>
          </w:tcPr>
          <w:p>
            <w:pPr>
              <w:spacing w:after="0"/>
              <w:rPr>
                <w:sz w:val="10"/>
                <w:szCs w:val="10"/>
                <w:color w:val="auto"/>
              </w:rPr>
            </w:pPr>
          </w:p>
        </w:tc>
        <w:tc>
          <w:tcPr>
            <w:tcW w:w="0" w:type="dxa"/>
            <w:vAlign w:val="bottom"/>
          </w:tcPr>
          <w:p>
            <w:pPr>
              <w:spacing w:after="0"/>
              <w:rPr>
                <w:sz w:val="1"/>
                <w:szCs w:val="1"/>
                <w:color w:val="auto"/>
              </w:rPr>
            </w:pPr>
          </w:p>
        </w:tc>
      </w:tr>
      <w:tr>
        <w:trPr>
          <w:trHeight w:val="436"/>
        </w:trPr>
        <w:tc>
          <w:tcPr>
            <w:tcW w:w="7280" w:type="dxa"/>
            <w:vAlign w:val="bottom"/>
            <w:gridSpan w:val="3"/>
          </w:tcPr>
          <w:p>
            <w:pPr>
              <w:spacing w:after="0"/>
              <w:rPr>
                <w:sz w:val="20"/>
                <w:szCs w:val="20"/>
                <w:color w:val="auto"/>
              </w:rPr>
            </w:pPr>
            <w:r>
              <w:rPr>
                <w:rFonts w:ascii="Arial" w:cs="Arial" w:eastAsia="Arial" w:hAnsi="Arial"/>
                <w:sz w:val="18"/>
                <w:szCs w:val="18"/>
                <w:color w:val="auto"/>
              </w:rPr>
              <w:t>(1) Dollar amounts are approximate.</w:t>
            </w:r>
          </w:p>
        </w:tc>
        <w:tc>
          <w:tcPr>
            <w:tcW w:w="1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7280" w:type="dxa"/>
            <w:vAlign w:val="bottom"/>
            <w:gridSpan w:val="3"/>
          </w:tcPr>
          <w:p>
            <w:pPr>
              <w:spacing w:after="0"/>
              <w:rPr>
                <w:sz w:val="11"/>
                <w:szCs w:val="11"/>
                <w:color w:val="auto"/>
              </w:rPr>
            </w:pPr>
          </w:p>
        </w:tc>
        <w:tc>
          <w:tcPr>
            <w:tcW w:w="17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8"/>
        </w:trPr>
        <w:tc>
          <w:tcPr>
            <w:tcW w:w="440" w:type="dxa"/>
            <w:vAlign w:val="bottom"/>
            <w:shd w:val="clear" w:color="auto" w:fill="002060"/>
          </w:tcPr>
          <w:p>
            <w:pPr>
              <w:jc w:val="right"/>
              <w:ind w:right="55"/>
              <w:spacing w:after="0"/>
              <w:rPr>
                <w:sz w:val="20"/>
                <w:szCs w:val="20"/>
                <w:color w:val="auto"/>
              </w:rPr>
            </w:pPr>
            <w:r>
              <w:rPr>
                <w:rFonts w:ascii="Arial" w:cs="Arial" w:eastAsia="Arial" w:hAnsi="Arial"/>
                <w:sz w:val="16"/>
                <w:szCs w:val="16"/>
                <w:color w:val="FFFFFF"/>
              </w:rPr>
              <w:t>40</w:t>
            </w:r>
          </w:p>
        </w:tc>
        <w:tc>
          <w:tcPr>
            <w:tcW w:w="6840" w:type="dxa"/>
            <w:vAlign w:val="bottom"/>
            <w:gridSpan w:val="2"/>
          </w:tcPr>
          <w:p>
            <w:pPr>
              <w:ind w:left="120"/>
              <w:spacing w:after="0"/>
              <w:rPr>
                <w:sz w:val="20"/>
                <w:szCs w:val="20"/>
                <w:color w:val="auto"/>
              </w:rPr>
            </w:pPr>
            <w:r>
              <w:rPr>
                <w:rFonts w:ascii="Arial" w:cs="Arial" w:eastAsia="Arial" w:hAnsi="Arial"/>
                <w:sz w:val="16"/>
                <w:szCs w:val="16"/>
                <w:color w:val="002060"/>
              </w:rPr>
              <w:t>2023 Proxy Statement</w:t>
            </w:r>
          </w:p>
        </w:tc>
        <w:tc>
          <w:tcPr>
            <w:tcW w:w="1780" w:type="dxa"/>
            <w:vAlign w:val="bottom"/>
          </w:tcPr>
          <w:p>
            <w:pPr>
              <w:spacing w:after="0"/>
              <w:rPr>
                <w:sz w:val="24"/>
                <w:szCs w:val="24"/>
                <w:color w:val="auto"/>
              </w:rPr>
            </w:pPr>
          </w:p>
        </w:tc>
        <w:tc>
          <w:tcPr>
            <w:tcW w:w="1960" w:type="dxa"/>
            <w:vAlign w:val="bottom"/>
          </w:tcPr>
          <w:p>
            <w:pPr>
              <w:jc w:val="center"/>
              <w:ind w:left="81"/>
              <w:spacing w:after="0"/>
              <w:rPr>
                <w:sz w:val="20"/>
                <w:szCs w:val="20"/>
                <w:color w:val="auto"/>
              </w:rPr>
            </w:pPr>
            <w:r>
              <w:rPr>
                <w:rFonts w:ascii="Arial" w:cs="Arial" w:eastAsia="Arial" w:hAnsi="Arial"/>
                <w:sz w:val="16"/>
                <w:szCs w:val="16"/>
                <w:color w:val="002060"/>
              </w:rPr>
              <w:t>Corporate Responsibility</w:t>
            </w:r>
          </w:p>
        </w:tc>
        <w:tc>
          <w:tcPr>
            <w:tcW w:w="0" w:type="dxa"/>
            <w:vAlign w:val="bottom"/>
          </w:tcPr>
          <w:p>
            <w:pPr>
              <w:spacing w:after="0"/>
              <w:rPr>
                <w:sz w:val="1"/>
                <w:szCs w:val="1"/>
                <w:color w:val="auto"/>
              </w:rPr>
            </w:pPr>
          </w:p>
        </w:tc>
      </w:tr>
      <w:tr>
        <w:trPr>
          <w:trHeight w:val="110"/>
        </w:trPr>
        <w:tc>
          <w:tcPr>
            <w:tcW w:w="440" w:type="dxa"/>
            <w:vAlign w:val="bottom"/>
            <w:shd w:val="clear" w:color="auto" w:fill="002060"/>
          </w:tcPr>
          <w:p>
            <w:pPr>
              <w:spacing w:after="0"/>
              <w:rPr>
                <w:sz w:val="9"/>
                <w:szCs w:val="9"/>
                <w:color w:val="auto"/>
              </w:rPr>
            </w:pPr>
          </w:p>
        </w:tc>
        <w:tc>
          <w:tcPr>
            <w:tcW w:w="88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i w:val="1"/>
          <w:iCs w:val="1"/>
          <w:color w:val="auto"/>
        </w:rPr>
        <w:t>Corporate Giving</w:t>
      </w:r>
      <w:r>
        <w:rPr>
          <w:rFonts w:ascii="Arial" w:cs="Arial" w:eastAsia="Arial" w:hAnsi="Arial"/>
          <w:sz w:val="18"/>
          <w:szCs w:val="18"/>
          <w:color w:val="auto"/>
        </w:rPr>
        <w:t>. We recognize that as a good corporate citizen, we have a responsibility to support our communities. In addition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Foundation, we have a robust corporate giving program that includes both national and local charities to which we have collectively contributed $1.4 million. We have entered into multi-year commitments with Gary Sinese Foundation RISE Program, Mid-Ohio Food Collective, YWCA of Central Ohio, Boys and Girls Club of Central Ohio, St. Mary’s Scholarship Endowment, The Columbus Promise and Besa Community, Inc. Through our Foundation and corporate giving programs, we are committed to contribute at least 1% of our EBITDA annually to support our local communities with initiatives focused on education and housing.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142875</wp:posOffset>
            </wp:positionV>
            <wp:extent cx="6532245" cy="20313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322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60"/>
        <w:spacing w:after="0" w:line="255" w:lineRule="auto"/>
        <w:rPr>
          <w:sz w:val="20"/>
          <w:szCs w:val="20"/>
          <w:color w:val="auto"/>
        </w:rPr>
      </w:pPr>
      <w:r>
        <w:rPr>
          <w:rFonts w:ascii="Arial" w:cs="Arial" w:eastAsia="Arial" w:hAnsi="Arial"/>
          <w:sz w:val="16"/>
          <w:szCs w:val="16"/>
          <w:i w:val="1"/>
          <w:iCs w:val="1"/>
          <w:color w:val="002060"/>
        </w:rPr>
        <w:t>For the third consecutive year, IBP participated in Habitat for Humanity – MidOhio’s Annual Playhouse Blitz. A team of IBP employees worked to custom design and assemble a playhouse for a local family. The playhouse provided five-year old Maddison and four-year old Jonathan with a safe place to play while raising money towards affordable housing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921385</wp:posOffset>
            </wp:positionV>
            <wp:extent cx="6532245" cy="2348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53224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440" w:right="300"/>
        <w:spacing w:after="0" w:line="255" w:lineRule="auto"/>
        <w:rPr>
          <w:sz w:val="20"/>
          <w:szCs w:val="20"/>
          <w:color w:val="auto"/>
        </w:rPr>
      </w:pPr>
      <w:r>
        <w:rPr>
          <w:rFonts w:ascii="Arial" w:cs="Arial" w:eastAsia="Arial" w:hAnsi="Arial"/>
          <w:sz w:val="16"/>
          <w:szCs w:val="16"/>
          <w:i w:val="1"/>
          <w:iCs w:val="1"/>
          <w:color w:val="002060"/>
        </w:rPr>
        <w:t>The Foundation was proud to provide a $40,000 grant to the Texas Ramp Project, an organization that provides free wheelchair ramps to low-income older adults and those with disabilities, to build over 35 accessibility ramps at homes throughout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Corporate Responsibility Materials</w:t>
      </w:r>
    </w:p>
    <w:p>
      <w:pPr>
        <w:spacing w:after="0" w:line="108" w:lineRule="exact"/>
        <w:rPr>
          <w:sz w:val="20"/>
          <w:szCs w:val="20"/>
          <w:color w:val="auto"/>
        </w:rPr>
      </w:pPr>
    </w:p>
    <w:p>
      <w:pPr>
        <w:ind w:left="120" w:right="4640"/>
        <w:spacing w:after="0" w:line="271" w:lineRule="auto"/>
        <w:rPr>
          <w:sz w:val="20"/>
          <w:szCs w:val="20"/>
          <w:color w:val="auto"/>
        </w:rPr>
      </w:pPr>
      <w:r>
        <w:rPr>
          <w:rFonts w:ascii="Arial" w:cs="Arial" w:eastAsia="Arial" w:hAnsi="Arial"/>
          <w:sz w:val="18"/>
          <w:szCs w:val="18"/>
          <w:color w:val="auto"/>
        </w:rPr>
        <w:t xml:space="preserve">The following corporate responsibility materials are published on our website at </w:t>
      </w:r>
      <w:r>
        <w:rPr>
          <w:rFonts w:ascii="Arial" w:cs="Arial" w:eastAsia="Arial" w:hAnsi="Arial"/>
          <w:sz w:val="18"/>
          <w:szCs w:val="18"/>
          <w:i w:val="1"/>
          <w:iCs w:val="1"/>
          <w:u w:val="single" w:color="auto"/>
          <w:color w:val="0070C0"/>
        </w:rPr>
        <w:t>https://investors.installedbuildingproducts.com/corporate-governance</w:t>
      </w:r>
      <w:r>
        <w:rPr>
          <w:rFonts w:ascii="Arial" w:cs="Arial" w:eastAsia="Arial" w:hAnsi="Arial"/>
          <w:sz w:val="18"/>
          <w:szCs w:val="18"/>
          <w:color w:val="000000"/>
        </w:rPr>
        <w:t>:</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Environmental Policy</w:t>
      </w:r>
    </w:p>
    <w:p>
      <w:pPr>
        <w:spacing w:after="0" w:line="27" w:lineRule="exact"/>
        <w:rPr>
          <w:sz w:val="20"/>
          <w:szCs w:val="20"/>
          <w:color w:val="auto"/>
        </w:rPr>
      </w:pPr>
    </w:p>
    <w:p>
      <w:pPr>
        <w:ind w:left="1080" w:right="7420"/>
        <w:spacing w:after="0" w:line="250" w:lineRule="auto"/>
        <w:rPr>
          <w:sz w:val="20"/>
          <w:szCs w:val="20"/>
          <w:color w:val="auto"/>
        </w:rPr>
      </w:pPr>
      <w:r>
        <w:rPr>
          <w:rFonts w:ascii="Arial" w:cs="Arial" w:eastAsia="Arial" w:hAnsi="Arial"/>
          <w:sz w:val="18"/>
          <w:szCs w:val="18"/>
          <w:color w:val="auto"/>
        </w:rPr>
        <w:t>Human Rights Policy Statement Safety Policy</w:t>
      </w:r>
    </w:p>
    <w:p>
      <w:pPr>
        <w:ind w:left="540"/>
        <w:spacing w:after="0"/>
        <w:rPr>
          <w:sz w:val="20"/>
          <w:szCs w:val="20"/>
          <w:color w:val="auto"/>
        </w:rPr>
      </w:pPr>
      <w:r>
        <w:rPr>
          <w:rFonts w:ascii="Arial" w:cs="Arial" w:eastAsia="Arial" w:hAnsi="Arial"/>
          <w:sz w:val="18"/>
          <w:szCs w:val="18"/>
          <w:color w:val="auto"/>
        </w:rPr>
        <w:t>Supplier 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100330</wp:posOffset>
            </wp:positionV>
            <wp:extent cx="291465" cy="265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232"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Corporate Responsibility</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41</w:t>
      </w:r>
    </w:p>
    <w:p>
      <w:pPr>
        <w:sectPr>
          <w:pgSz w:w="11900" w:h="16838" w:orient="portrait"/>
          <w:cols w:equalWidth="0" w:num="1">
            <w:col w:w="11040"/>
          </w:cols>
          <w:pgMar w:left="320" w:top="482" w:right="5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440" w:right="40"/>
        <w:spacing w:after="0" w:line="262" w:lineRule="auto"/>
        <w:rPr>
          <w:sz w:val="20"/>
          <w:szCs w:val="20"/>
          <w:color w:val="auto"/>
        </w:rPr>
      </w:pPr>
      <w:r>
        <w:rPr>
          <w:rFonts w:ascii="Arial" w:cs="Arial" w:eastAsia="Arial" w:hAnsi="Arial"/>
          <w:sz w:val="40"/>
          <w:szCs w:val="40"/>
          <w:b w:val="1"/>
          <w:bCs w:val="1"/>
          <w:color w:val="0070C0"/>
        </w:rPr>
        <w:t>PROPOSAL 2 – RATIFICATION OF THE APPOINTMENT OF OUR INDEPENDENT REGISTERED PUBLIC ACCOUNTING FIRM</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Overview</w:t>
      </w:r>
    </w:p>
    <w:p>
      <w:pPr>
        <w:spacing w:after="0" w:line="175"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Our Audit Committee is responsible for the appointment and oversight of our independent registered public accounting firm. The Audit Committee conducts an annual evaluation of the firm, considering whether the firm should be rotated and the advisability and potential impact of selecting a different auditing firm. In evaluating and selecting the Company’s independent registered public accounting firm, the Audit Committee considers a number of factors, including:</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historical and recent performance of the firm;</w:t>
      </w:r>
    </w:p>
    <w:p>
      <w:pPr>
        <w:spacing w:after="0" w:line="31" w:lineRule="exact"/>
        <w:rPr>
          <w:sz w:val="20"/>
          <w:szCs w:val="20"/>
          <w:color w:val="auto"/>
        </w:rPr>
      </w:pPr>
    </w:p>
    <w:p>
      <w:pPr>
        <w:ind w:left="1080" w:right="800"/>
        <w:spacing w:after="0" w:line="271" w:lineRule="auto"/>
        <w:rPr>
          <w:sz w:val="20"/>
          <w:szCs w:val="20"/>
          <w:color w:val="auto"/>
        </w:rPr>
      </w:pPr>
      <w:r>
        <w:rPr>
          <w:rFonts w:ascii="Arial" w:cs="Arial" w:eastAsia="Arial" w:hAnsi="Arial"/>
          <w:sz w:val="18"/>
          <w:szCs w:val="18"/>
          <w:color w:val="auto"/>
        </w:rPr>
        <w:t>an analysis of known significant legal or regulatory proceedings against the firm and the firm’s internal quality control procedures;</w:t>
      </w:r>
    </w:p>
    <w:p>
      <w:pPr>
        <w:spacing w:after="0" w:line="211" w:lineRule="exact"/>
        <w:rPr>
          <w:sz w:val="20"/>
          <w:szCs w:val="20"/>
          <w:color w:val="auto"/>
        </w:rPr>
      </w:pPr>
    </w:p>
    <w:p>
      <w:pPr>
        <w:ind w:left="1080" w:right="880"/>
        <w:spacing w:after="0" w:line="422" w:lineRule="auto"/>
        <w:rPr>
          <w:sz w:val="20"/>
          <w:szCs w:val="20"/>
          <w:color w:val="auto"/>
        </w:rPr>
      </w:pPr>
      <w:r>
        <w:rPr>
          <w:rFonts w:ascii="Arial" w:cs="Arial" w:eastAsia="Arial" w:hAnsi="Arial"/>
          <w:sz w:val="18"/>
          <w:szCs w:val="18"/>
          <w:color w:val="auto"/>
        </w:rPr>
        <w:t>audit quality and efficiency , including the performance of the audit partner and audit team and their audit approach; the quality of the firm’s communications with the Audit Committee;</w:t>
      </w:r>
    </w:p>
    <w:p>
      <w:pPr>
        <w:spacing w:after="0" w:line="1" w:lineRule="exact"/>
        <w:rPr>
          <w:sz w:val="20"/>
          <w:szCs w:val="20"/>
          <w:color w:val="auto"/>
        </w:rPr>
      </w:pPr>
    </w:p>
    <w:p>
      <w:pPr>
        <w:ind w:left="1080" w:right="6340"/>
        <w:spacing w:after="0" w:line="459" w:lineRule="auto"/>
        <w:rPr>
          <w:sz w:val="20"/>
          <w:szCs w:val="20"/>
          <w:color w:val="auto"/>
        </w:rPr>
      </w:pPr>
      <w:r>
        <w:rPr>
          <w:rFonts w:ascii="Arial" w:cs="Arial" w:eastAsia="Arial" w:hAnsi="Arial"/>
          <w:sz w:val="18"/>
          <w:szCs w:val="18"/>
          <w:color w:val="auto"/>
        </w:rPr>
        <w:t>the independence and integrity of the firm; and appropriateness of the firm’s fees.</w:t>
      </w:r>
    </w:p>
    <w:p>
      <w:pPr>
        <w:spacing w:after="0" w:line="5" w:lineRule="exact"/>
        <w:rPr>
          <w:sz w:val="20"/>
          <w:szCs w:val="20"/>
          <w:color w:val="auto"/>
        </w:rPr>
      </w:pPr>
    </w:p>
    <w:p>
      <w:pPr>
        <w:jc w:val="both"/>
        <w:ind w:left="120" w:right="440"/>
        <w:spacing w:after="0" w:line="253" w:lineRule="auto"/>
        <w:rPr>
          <w:sz w:val="20"/>
          <w:szCs w:val="20"/>
          <w:color w:val="auto"/>
        </w:rPr>
      </w:pPr>
      <w:r>
        <w:rPr>
          <w:rFonts w:ascii="Arial" w:cs="Arial" w:eastAsia="Arial" w:hAnsi="Arial"/>
          <w:sz w:val="18"/>
          <w:szCs w:val="18"/>
          <w:color w:val="auto"/>
        </w:rPr>
        <w:t>The Audit Committee has appointed, and the Board has ratified the appointment of, Deloitte &amp; Touche LLP (“Deloitte”) to serve as our independent registered public accounting firm for the fiscal year ending December 31, 2023. Deloitte has served as our independent registered public accounting firm since 2013.</w:t>
      </w:r>
    </w:p>
    <w:p>
      <w:pPr>
        <w:spacing w:after="0" w:line="16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Based on its assessment of Deloitte’s performance, the Audit Committee believes that the retention of Deloitte as our independent registered public accounting firm is in the best interests of the Company and our stockholders, and we are asking our stockholders to ratify the selection of Deloitte as our independent registered public accounting firm for 2023. Although stockholder ratification is not required, the Board is submitting the selection of Deloitte to our stockholders for ratification because we value our stockholders’ views on our independent registered public accounting firm. If our stockholders fail to ratify the appointment of Deloitte, the Audit Committee will reconsider whether or not to retain Deloitte and may retain that firm or another firm without resubmitting the matter to our stockholders. Even if the selection of Deloitte is ratified, the Audit Committee may, in its discretion, select a different firm at any time during the year if it determines that such a change would be in the best interests of the Company and its stockholders.</w:t>
      </w:r>
    </w:p>
    <w:p>
      <w:pPr>
        <w:spacing w:after="0" w:line="180"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A representative of Deloitte is expected to be present at the Annual Meeting, will be given an opportunity to make a statement and will be available to respond to appropriate questions from stockholders.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Fees Paid to Deloitte</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aggregate fees we paid to Deloitte in 2022 and 2021, respectively:</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40" w:type="dxa"/>
            <w:vAlign w:val="bottom"/>
            <w:tcBorders>
              <w:bottom w:val="single" w:sz="8" w:color="002060"/>
            </w:tcBorders>
          </w:tcPr>
          <w:p>
            <w:pPr>
              <w:spacing w:after="0"/>
              <w:rPr>
                <w:sz w:val="18"/>
                <w:szCs w:val="18"/>
                <w:color w:val="auto"/>
              </w:rPr>
            </w:pPr>
          </w:p>
        </w:tc>
        <w:tc>
          <w:tcPr>
            <w:tcW w:w="2620" w:type="dxa"/>
            <w:vAlign w:val="bottom"/>
            <w:tcBorders>
              <w:bottom w:val="single" w:sz="8" w:color="002060"/>
            </w:tcBorders>
          </w:tcPr>
          <w:p>
            <w:pPr>
              <w:spacing w:after="0"/>
              <w:rPr>
                <w:sz w:val="18"/>
                <w:szCs w:val="18"/>
                <w:color w:val="auto"/>
              </w:rPr>
            </w:pPr>
          </w:p>
        </w:tc>
        <w:tc>
          <w:tcPr>
            <w:tcW w:w="5280" w:type="dxa"/>
            <w:vAlign w:val="bottom"/>
            <w:tcBorders>
              <w:bottom w:val="single" w:sz="8" w:color="002060"/>
            </w:tcBorders>
          </w:tcPr>
          <w:p>
            <w:pPr>
              <w:spacing w:after="0"/>
              <w:rPr>
                <w:sz w:val="18"/>
                <w:szCs w:val="18"/>
                <w:color w:val="auto"/>
              </w:rPr>
            </w:pPr>
          </w:p>
        </w:tc>
        <w:tc>
          <w:tcPr>
            <w:tcW w:w="320" w:type="dxa"/>
            <w:vAlign w:val="bottom"/>
            <w:tcBorders>
              <w:bottom w:val="single" w:sz="8" w:color="002060"/>
            </w:tcBorders>
            <w:shd w:val="clear" w:color="auto" w:fill="D8D8D8"/>
          </w:tcPr>
          <w:p>
            <w:pPr>
              <w:spacing w:after="0"/>
              <w:rPr>
                <w:sz w:val="18"/>
                <w:szCs w:val="18"/>
                <w:color w:val="auto"/>
              </w:rPr>
            </w:pPr>
          </w:p>
        </w:tc>
        <w:tc>
          <w:tcPr>
            <w:tcW w:w="960" w:type="dxa"/>
            <w:vAlign w:val="bottom"/>
            <w:tcBorders>
              <w:bottom w:val="single" w:sz="8" w:color="002060"/>
            </w:tcBorders>
            <w:shd w:val="clear" w:color="auto" w:fill="D8D8D8"/>
          </w:tcPr>
          <w:p>
            <w:pPr>
              <w:jc w:val="right"/>
              <w:ind w:right="292"/>
              <w:spacing w:after="0"/>
              <w:rPr>
                <w:sz w:val="20"/>
                <w:szCs w:val="20"/>
                <w:color w:val="auto"/>
              </w:rPr>
            </w:pPr>
            <w:r>
              <w:rPr>
                <w:rFonts w:ascii="Arial" w:cs="Arial" w:eastAsia="Arial" w:hAnsi="Arial"/>
                <w:sz w:val="16"/>
                <w:szCs w:val="16"/>
                <w:b w:val="1"/>
                <w:bCs w:val="1"/>
                <w:color w:val="002060"/>
              </w:rPr>
              <w:t>2022</w:t>
            </w:r>
          </w:p>
        </w:tc>
        <w:tc>
          <w:tcPr>
            <w:tcW w:w="420" w:type="dxa"/>
            <w:vAlign w:val="bottom"/>
            <w:tcBorders>
              <w:bottom w:val="single" w:sz="8" w:color="002060"/>
            </w:tcBorders>
            <w:shd w:val="clear" w:color="auto" w:fill="D8D8D8"/>
          </w:tcPr>
          <w:p>
            <w:pPr>
              <w:spacing w:after="0"/>
              <w:rPr>
                <w:sz w:val="18"/>
                <w:szCs w:val="18"/>
                <w:color w:val="auto"/>
              </w:rPr>
            </w:pPr>
          </w:p>
        </w:tc>
        <w:tc>
          <w:tcPr>
            <w:tcW w:w="980" w:type="dxa"/>
            <w:vAlign w:val="bottom"/>
            <w:tcBorders>
              <w:bottom w:val="single" w:sz="8" w:color="002060"/>
            </w:tcBorders>
            <w:shd w:val="clear" w:color="auto" w:fill="D8D8D8"/>
          </w:tcPr>
          <w:p>
            <w:pPr>
              <w:jc w:val="right"/>
              <w:ind w:right="352"/>
              <w:spacing w:after="0"/>
              <w:rPr>
                <w:sz w:val="20"/>
                <w:szCs w:val="20"/>
                <w:color w:val="auto"/>
              </w:rPr>
            </w:pPr>
            <w:r>
              <w:rPr>
                <w:rFonts w:ascii="Arial" w:cs="Arial" w:eastAsia="Arial" w:hAnsi="Arial"/>
                <w:sz w:val="16"/>
                <w:szCs w:val="16"/>
                <w:b w:val="1"/>
                <w:bCs w:val="1"/>
                <w:color w:val="002060"/>
              </w:rPr>
              <w:t>2021</w:t>
            </w:r>
          </w:p>
        </w:tc>
      </w:tr>
      <w:tr>
        <w:trPr>
          <w:trHeight w:val="196"/>
        </w:trPr>
        <w:tc>
          <w:tcPr>
            <w:tcW w:w="3060" w:type="dxa"/>
            <w:vAlign w:val="bottom"/>
            <w:tcBorders>
              <w:bottom w:val="single" w:sz="8" w:color="002060"/>
            </w:tcBorders>
            <w:gridSpan w:val="2"/>
          </w:tcPr>
          <w:p>
            <w:pPr>
              <w:spacing w:after="0" w:line="196" w:lineRule="exact"/>
              <w:rPr>
                <w:sz w:val="20"/>
                <w:szCs w:val="20"/>
                <w:color w:val="auto"/>
              </w:rPr>
            </w:pPr>
            <w:r>
              <w:rPr>
                <w:rFonts w:ascii="Arial" w:cs="Arial" w:eastAsia="Arial" w:hAnsi="Arial"/>
                <w:sz w:val="18"/>
                <w:szCs w:val="18"/>
                <w:color w:val="auto"/>
              </w:rPr>
              <w:t>Audit Fees(1)</w:t>
            </w:r>
          </w:p>
        </w:tc>
        <w:tc>
          <w:tcPr>
            <w:tcW w:w="5280" w:type="dxa"/>
            <w:vAlign w:val="bottom"/>
            <w:tcBorders>
              <w:bottom w:val="single" w:sz="8" w:color="002060"/>
            </w:tcBorders>
          </w:tcPr>
          <w:p>
            <w:pPr>
              <w:spacing w:after="0"/>
              <w:rPr>
                <w:sz w:val="17"/>
                <w:szCs w:val="17"/>
                <w:color w:val="auto"/>
              </w:rPr>
            </w:pPr>
          </w:p>
        </w:tc>
        <w:tc>
          <w:tcPr>
            <w:tcW w:w="320" w:type="dxa"/>
            <w:vAlign w:val="bottom"/>
            <w:tcBorders>
              <w:bottom w:val="single" w:sz="8" w:color="002060"/>
            </w:tcBorders>
            <w:shd w:val="clear" w:color="auto" w:fill="D8D8D8"/>
          </w:tcPr>
          <w:p>
            <w:pPr>
              <w:jc w:val="right"/>
              <w:spacing w:after="0" w:line="196" w:lineRule="exact"/>
              <w:rPr>
                <w:sz w:val="20"/>
                <w:szCs w:val="20"/>
                <w:color w:val="auto"/>
              </w:rPr>
            </w:pPr>
            <w:r>
              <w:rPr>
                <w:rFonts w:ascii="Arial" w:cs="Arial" w:eastAsia="Arial" w:hAnsi="Arial"/>
                <w:sz w:val="18"/>
                <w:szCs w:val="18"/>
                <w:color w:val="002060"/>
                <w:highlight w:val="lightGray"/>
              </w:rPr>
              <w:t>$</w:t>
            </w:r>
          </w:p>
        </w:tc>
        <w:tc>
          <w:tcPr>
            <w:tcW w:w="960" w:type="dxa"/>
            <w:vAlign w:val="bottom"/>
            <w:tcBorders>
              <w:bottom w:val="single" w:sz="8" w:color="002060"/>
            </w:tcBorders>
            <w:shd w:val="clear" w:color="auto" w:fill="D8D8D8"/>
          </w:tcPr>
          <w:p>
            <w:pPr>
              <w:jc w:val="right"/>
              <w:spacing w:after="0" w:line="196" w:lineRule="exact"/>
              <w:rPr>
                <w:sz w:val="20"/>
                <w:szCs w:val="20"/>
                <w:color w:val="auto"/>
              </w:rPr>
            </w:pPr>
            <w:r>
              <w:rPr>
                <w:rFonts w:ascii="Arial" w:cs="Arial" w:eastAsia="Arial" w:hAnsi="Arial"/>
                <w:sz w:val="18"/>
                <w:szCs w:val="18"/>
                <w:color w:val="002060"/>
                <w:highlight w:val="lightGray"/>
              </w:rPr>
              <w:t>2,395,889</w:t>
            </w:r>
          </w:p>
        </w:tc>
        <w:tc>
          <w:tcPr>
            <w:tcW w:w="420" w:type="dxa"/>
            <w:vAlign w:val="bottom"/>
            <w:tcBorders>
              <w:bottom w:val="single" w:sz="8" w:color="002060"/>
            </w:tcBorders>
            <w:shd w:val="clear" w:color="auto" w:fill="D8D8D8"/>
          </w:tcPr>
          <w:p>
            <w:pPr>
              <w:jc w:val="right"/>
              <w:ind w:right="10"/>
              <w:spacing w:after="0" w:line="196" w:lineRule="exact"/>
              <w:rPr>
                <w:sz w:val="20"/>
                <w:szCs w:val="20"/>
                <w:color w:val="auto"/>
              </w:rPr>
            </w:pPr>
            <w:r>
              <w:rPr>
                <w:rFonts w:ascii="Arial" w:cs="Arial" w:eastAsia="Arial" w:hAnsi="Arial"/>
                <w:sz w:val="18"/>
                <w:szCs w:val="18"/>
                <w:color w:val="002060"/>
                <w:highlight w:val="lightGray"/>
              </w:rPr>
              <w:t>$</w:t>
            </w:r>
          </w:p>
        </w:tc>
        <w:tc>
          <w:tcPr>
            <w:tcW w:w="980" w:type="dxa"/>
            <w:vAlign w:val="bottom"/>
            <w:tcBorders>
              <w:bottom w:val="single" w:sz="8" w:color="002060"/>
            </w:tcBorders>
            <w:shd w:val="clear" w:color="auto" w:fill="D8D8D8"/>
          </w:tcPr>
          <w:p>
            <w:pPr>
              <w:jc w:val="right"/>
              <w:spacing w:after="0" w:line="196" w:lineRule="exact"/>
              <w:rPr>
                <w:sz w:val="20"/>
                <w:szCs w:val="20"/>
                <w:color w:val="auto"/>
              </w:rPr>
            </w:pPr>
            <w:r>
              <w:rPr>
                <w:rFonts w:ascii="Arial" w:cs="Arial" w:eastAsia="Arial" w:hAnsi="Arial"/>
                <w:sz w:val="18"/>
                <w:szCs w:val="18"/>
                <w:color w:val="002060"/>
                <w:highlight w:val="lightGray"/>
              </w:rPr>
              <w:t>2,129,009</w:t>
            </w:r>
          </w:p>
        </w:tc>
      </w:tr>
      <w:tr>
        <w:trPr>
          <w:trHeight w:val="196"/>
        </w:trPr>
        <w:tc>
          <w:tcPr>
            <w:tcW w:w="3060" w:type="dxa"/>
            <w:vAlign w:val="bottom"/>
            <w:tcBorders>
              <w:bottom w:val="single" w:sz="8" w:color="002060"/>
            </w:tcBorders>
            <w:gridSpan w:val="2"/>
          </w:tcPr>
          <w:p>
            <w:pPr>
              <w:spacing w:after="0" w:line="196" w:lineRule="exact"/>
              <w:rPr>
                <w:sz w:val="20"/>
                <w:szCs w:val="20"/>
                <w:color w:val="auto"/>
              </w:rPr>
            </w:pPr>
            <w:r>
              <w:rPr>
                <w:rFonts w:ascii="Arial" w:cs="Arial" w:eastAsia="Arial" w:hAnsi="Arial"/>
                <w:sz w:val="18"/>
                <w:szCs w:val="18"/>
                <w:color w:val="auto"/>
              </w:rPr>
              <w:t>Audit-Related Fees(2)</w:t>
            </w:r>
          </w:p>
        </w:tc>
        <w:tc>
          <w:tcPr>
            <w:tcW w:w="5280" w:type="dxa"/>
            <w:vAlign w:val="bottom"/>
            <w:tcBorders>
              <w:bottom w:val="single" w:sz="8" w:color="002060"/>
            </w:tcBorders>
          </w:tcPr>
          <w:p>
            <w:pPr>
              <w:spacing w:after="0"/>
              <w:rPr>
                <w:sz w:val="17"/>
                <w:szCs w:val="17"/>
                <w:color w:val="auto"/>
              </w:rPr>
            </w:pPr>
          </w:p>
        </w:tc>
        <w:tc>
          <w:tcPr>
            <w:tcW w:w="320" w:type="dxa"/>
            <w:vAlign w:val="bottom"/>
            <w:tcBorders>
              <w:bottom w:val="single" w:sz="8" w:color="002060"/>
            </w:tcBorders>
            <w:shd w:val="clear" w:color="auto" w:fill="D8D8D8"/>
          </w:tcPr>
          <w:p>
            <w:pPr>
              <w:spacing w:after="0"/>
              <w:rPr>
                <w:sz w:val="17"/>
                <w:szCs w:val="17"/>
                <w:color w:val="auto"/>
              </w:rPr>
            </w:pPr>
          </w:p>
        </w:tc>
        <w:tc>
          <w:tcPr>
            <w:tcW w:w="960" w:type="dxa"/>
            <w:vAlign w:val="bottom"/>
            <w:tcBorders>
              <w:bottom w:val="single" w:sz="8" w:color="002060"/>
            </w:tcBorders>
            <w:shd w:val="clear" w:color="auto" w:fill="D8D8D8"/>
          </w:tcPr>
          <w:p>
            <w:pPr>
              <w:jc w:val="right"/>
              <w:spacing w:after="0" w:line="196" w:lineRule="exact"/>
              <w:rPr>
                <w:sz w:val="20"/>
                <w:szCs w:val="20"/>
                <w:color w:val="auto"/>
              </w:rPr>
            </w:pPr>
            <w:r>
              <w:rPr>
                <w:rFonts w:ascii="Arial" w:cs="Arial" w:eastAsia="Arial" w:hAnsi="Arial"/>
                <w:sz w:val="18"/>
                <w:szCs w:val="18"/>
                <w:color w:val="002060"/>
              </w:rPr>
              <w:t>111,930</w:t>
            </w:r>
          </w:p>
        </w:tc>
        <w:tc>
          <w:tcPr>
            <w:tcW w:w="420" w:type="dxa"/>
            <w:vAlign w:val="bottom"/>
            <w:tcBorders>
              <w:bottom w:val="single" w:sz="8" w:color="002060"/>
            </w:tcBorders>
            <w:shd w:val="clear" w:color="auto" w:fill="D8D8D8"/>
          </w:tcPr>
          <w:p>
            <w:pPr>
              <w:spacing w:after="0"/>
              <w:rPr>
                <w:sz w:val="17"/>
                <w:szCs w:val="17"/>
                <w:color w:val="auto"/>
              </w:rPr>
            </w:pPr>
          </w:p>
        </w:tc>
        <w:tc>
          <w:tcPr>
            <w:tcW w:w="980" w:type="dxa"/>
            <w:vAlign w:val="bottom"/>
            <w:tcBorders>
              <w:bottom w:val="single" w:sz="8" w:color="002060"/>
            </w:tcBorders>
            <w:shd w:val="clear" w:color="auto" w:fill="D8D8D8"/>
          </w:tcPr>
          <w:p>
            <w:pPr>
              <w:jc w:val="right"/>
              <w:spacing w:after="0" w:line="196" w:lineRule="exact"/>
              <w:rPr>
                <w:sz w:val="20"/>
                <w:szCs w:val="20"/>
                <w:color w:val="auto"/>
              </w:rPr>
            </w:pPr>
            <w:r>
              <w:rPr>
                <w:rFonts w:ascii="Arial" w:cs="Arial" w:eastAsia="Arial" w:hAnsi="Arial"/>
                <w:sz w:val="18"/>
                <w:szCs w:val="18"/>
                <w:color w:val="002060"/>
              </w:rPr>
              <w:t>–</w:t>
            </w:r>
          </w:p>
        </w:tc>
      </w:tr>
      <w:tr>
        <w:trPr>
          <w:trHeight w:val="196"/>
        </w:trPr>
        <w:tc>
          <w:tcPr>
            <w:tcW w:w="3060" w:type="dxa"/>
            <w:vAlign w:val="bottom"/>
            <w:tcBorders>
              <w:bottom w:val="single" w:sz="8" w:color="002060"/>
            </w:tcBorders>
            <w:gridSpan w:val="2"/>
          </w:tcPr>
          <w:p>
            <w:pPr>
              <w:spacing w:after="0" w:line="196" w:lineRule="exact"/>
              <w:rPr>
                <w:sz w:val="20"/>
                <w:szCs w:val="20"/>
                <w:color w:val="auto"/>
              </w:rPr>
            </w:pPr>
            <w:r>
              <w:rPr>
                <w:rFonts w:ascii="Arial" w:cs="Arial" w:eastAsia="Arial" w:hAnsi="Arial"/>
                <w:sz w:val="18"/>
                <w:szCs w:val="18"/>
                <w:color w:val="auto"/>
              </w:rPr>
              <w:t>Tax-Related Fees(3)</w:t>
            </w:r>
          </w:p>
        </w:tc>
        <w:tc>
          <w:tcPr>
            <w:tcW w:w="5280" w:type="dxa"/>
            <w:vAlign w:val="bottom"/>
            <w:tcBorders>
              <w:bottom w:val="single" w:sz="8" w:color="002060"/>
            </w:tcBorders>
          </w:tcPr>
          <w:p>
            <w:pPr>
              <w:spacing w:after="0"/>
              <w:rPr>
                <w:sz w:val="17"/>
                <w:szCs w:val="17"/>
                <w:color w:val="auto"/>
              </w:rPr>
            </w:pPr>
          </w:p>
        </w:tc>
        <w:tc>
          <w:tcPr>
            <w:tcW w:w="320" w:type="dxa"/>
            <w:vAlign w:val="bottom"/>
            <w:tcBorders>
              <w:bottom w:val="single" w:sz="8" w:color="002060"/>
            </w:tcBorders>
            <w:shd w:val="clear" w:color="auto" w:fill="D8D8D8"/>
          </w:tcPr>
          <w:p>
            <w:pPr>
              <w:spacing w:after="0"/>
              <w:rPr>
                <w:sz w:val="17"/>
                <w:szCs w:val="17"/>
                <w:color w:val="auto"/>
              </w:rPr>
            </w:pPr>
          </w:p>
        </w:tc>
        <w:tc>
          <w:tcPr>
            <w:tcW w:w="960" w:type="dxa"/>
            <w:vAlign w:val="bottom"/>
            <w:tcBorders>
              <w:bottom w:val="single" w:sz="8" w:color="002060"/>
            </w:tcBorders>
            <w:shd w:val="clear" w:color="auto" w:fill="D8D8D8"/>
          </w:tcPr>
          <w:p>
            <w:pPr>
              <w:jc w:val="right"/>
              <w:spacing w:after="0" w:line="196" w:lineRule="exact"/>
              <w:rPr>
                <w:sz w:val="20"/>
                <w:szCs w:val="20"/>
                <w:color w:val="auto"/>
              </w:rPr>
            </w:pPr>
            <w:r>
              <w:rPr>
                <w:rFonts w:ascii="Arial" w:cs="Arial" w:eastAsia="Arial" w:hAnsi="Arial"/>
                <w:sz w:val="18"/>
                <w:szCs w:val="18"/>
                <w:color w:val="002060"/>
              </w:rPr>
              <w:t>–</w:t>
            </w:r>
          </w:p>
        </w:tc>
        <w:tc>
          <w:tcPr>
            <w:tcW w:w="420" w:type="dxa"/>
            <w:vAlign w:val="bottom"/>
            <w:tcBorders>
              <w:bottom w:val="single" w:sz="8" w:color="002060"/>
            </w:tcBorders>
            <w:shd w:val="clear" w:color="auto" w:fill="D8D8D8"/>
          </w:tcPr>
          <w:p>
            <w:pPr>
              <w:spacing w:after="0"/>
              <w:rPr>
                <w:sz w:val="17"/>
                <w:szCs w:val="17"/>
                <w:color w:val="auto"/>
              </w:rPr>
            </w:pPr>
          </w:p>
        </w:tc>
        <w:tc>
          <w:tcPr>
            <w:tcW w:w="980" w:type="dxa"/>
            <w:vAlign w:val="bottom"/>
            <w:tcBorders>
              <w:bottom w:val="single" w:sz="8" w:color="002060"/>
            </w:tcBorders>
            <w:shd w:val="clear" w:color="auto" w:fill="D8D8D8"/>
          </w:tcPr>
          <w:p>
            <w:pPr>
              <w:jc w:val="right"/>
              <w:spacing w:after="0" w:line="196" w:lineRule="exact"/>
              <w:rPr>
                <w:sz w:val="20"/>
                <w:szCs w:val="20"/>
                <w:color w:val="auto"/>
              </w:rPr>
            </w:pPr>
            <w:r>
              <w:rPr>
                <w:rFonts w:ascii="Arial" w:cs="Arial" w:eastAsia="Arial" w:hAnsi="Arial"/>
                <w:sz w:val="18"/>
                <w:szCs w:val="18"/>
                <w:color w:val="002060"/>
              </w:rPr>
              <w:t>–</w:t>
            </w:r>
          </w:p>
        </w:tc>
      </w:tr>
      <w:tr>
        <w:trPr>
          <w:trHeight w:val="196"/>
        </w:trPr>
        <w:tc>
          <w:tcPr>
            <w:tcW w:w="3060" w:type="dxa"/>
            <w:vAlign w:val="bottom"/>
            <w:tcBorders>
              <w:bottom w:val="single" w:sz="8" w:color="002060"/>
            </w:tcBorders>
            <w:gridSpan w:val="2"/>
          </w:tcPr>
          <w:p>
            <w:pPr>
              <w:spacing w:after="0" w:line="196" w:lineRule="exact"/>
              <w:rPr>
                <w:sz w:val="20"/>
                <w:szCs w:val="20"/>
                <w:color w:val="auto"/>
              </w:rPr>
            </w:pPr>
            <w:r>
              <w:rPr>
                <w:rFonts w:ascii="Arial" w:cs="Arial" w:eastAsia="Arial" w:hAnsi="Arial"/>
                <w:sz w:val="18"/>
                <w:szCs w:val="18"/>
                <w:color w:val="auto"/>
              </w:rPr>
              <w:t>All Other Fees(4)</w:t>
            </w:r>
          </w:p>
        </w:tc>
        <w:tc>
          <w:tcPr>
            <w:tcW w:w="5280" w:type="dxa"/>
            <w:vAlign w:val="bottom"/>
            <w:tcBorders>
              <w:bottom w:val="single" w:sz="8" w:color="002060"/>
            </w:tcBorders>
          </w:tcPr>
          <w:p>
            <w:pPr>
              <w:spacing w:after="0"/>
              <w:rPr>
                <w:sz w:val="17"/>
                <w:szCs w:val="17"/>
                <w:color w:val="auto"/>
              </w:rPr>
            </w:pPr>
          </w:p>
        </w:tc>
        <w:tc>
          <w:tcPr>
            <w:tcW w:w="320" w:type="dxa"/>
            <w:vAlign w:val="bottom"/>
            <w:tcBorders>
              <w:bottom w:val="single" w:sz="8" w:color="002060"/>
            </w:tcBorders>
            <w:shd w:val="clear" w:color="auto" w:fill="D8D8D8"/>
          </w:tcPr>
          <w:p>
            <w:pPr>
              <w:spacing w:after="0"/>
              <w:rPr>
                <w:sz w:val="17"/>
                <w:szCs w:val="17"/>
                <w:color w:val="auto"/>
              </w:rPr>
            </w:pPr>
          </w:p>
        </w:tc>
        <w:tc>
          <w:tcPr>
            <w:tcW w:w="960" w:type="dxa"/>
            <w:vAlign w:val="bottom"/>
            <w:tcBorders>
              <w:bottom w:val="single" w:sz="8" w:color="002060"/>
            </w:tcBorders>
            <w:shd w:val="clear" w:color="auto" w:fill="D8D8D8"/>
          </w:tcPr>
          <w:p>
            <w:pPr>
              <w:jc w:val="right"/>
              <w:spacing w:after="0" w:line="196" w:lineRule="exact"/>
              <w:rPr>
                <w:sz w:val="20"/>
                <w:szCs w:val="20"/>
                <w:color w:val="auto"/>
              </w:rPr>
            </w:pPr>
            <w:r>
              <w:rPr>
                <w:rFonts w:ascii="Arial" w:cs="Arial" w:eastAsia="Arial" w:hAnsi="Arial"/>
                <w:sz w:val="18"/>
                <w:szCs w:val="18"/>
                <w:color w:val="002060"/>
              </w:rPr>
              <w:t>2,037</w:t>
            </w:r>
          </w:p>
        </w:tc>
        <w:tc>
          <w:tcPr>
            <w:tcW w:w="420" w:type="dxa"/>
            <w:vAlign w:val="bottom"/>
            <w:tcBorders>
              <w:bottom w:val="single" w:sz="8" w:color="002060"/>
            </w:tcBorders>
            <w:shd w:val="clear" w:color="auto" w:fill="D8D8D8"/>
          </w:tcPr>
          <w:p>
            <w:pPr>
              <w:spacing w:after="0"/>
              <w:rPr>
                <w:sz w:val="17"/>
                <w:szCs w:val="17"/>
                <w:color w:val="auto"/>
              </w:rPr>
            </w:pPr>
          </w:p>
        </w:tc>
        <w:tc>
          <w:tcPr>
            <w:tcW w:w="980" w:type="dxa"/>
            <w:vAlign w:val="bottom"/>
            <w:tcBorders>
              <w:bottom w:val="single" w:sz="8" w:color="002060"/>
            </w:tcBorders>
            <w:shd w:val="clear" w:color="auto" w:fill="D8D8D8"/>
          </w:tcPr>
          <w:p>
            <w:pPr>
              <w:jc w:val="right"/>
              <w:spacing w:after="0" w:line="196" w:lineRule="exact"/>
              <w:rPr>
                <w:sz w:val="20"/>
                <w:szCs w:val="20"/>
                <w:color w:val="auto"/>
              </w:rPr>
            </w:pPr>
            <w:r>
              <w:rPr>
                <w:rFonts w:ascii="Arial" w:cs="Arial" w:eastAsia="Arial" w:hAnsi="Arial"/>
                <w:sz w:val="18"/>
                <w:szCs w:val="18"/>
                <w:color w:val="002060"/>
              </w:rPr>
              <w:t>2,037</w:t>
            </w:r>
          </w:p>
        </w:tc>
      </w:tr>
      <w:tr>
        <w:trPr>
          <w:trHeight w:val="203"/>
        </w:trPr>
        <w:tc>
          <w:tcPr>
            <w:tcW w:w="3060" w:type="dxa"/>
            <w:vAlign w:val="bottom"/>
            <w:tcBorders>
              <w:bottom w:val="single" w:sz="8" w:color="002060"/>
            </w:tcBorders>
            <w:gridSpan w:val="2"/>
          </w:tcPr>
          <w:p>
            <w:pPr>
              <w:ind w:left="360"/>
              <w:spacing w:after="0" w:line="196" w:lineRule="exact"/>
              <w:rPr>
                <w:sz w:val="20"/>
                <w:szCs w:val="20"/>
                <w:color w:val="auto"/>
              </w:rPr>
            </w:pPr>
            <w:r>
              <w:rPr>
                <w:rFonts w:ascii="Arial" w:cs="Arial" w:eastAsia="Arial" w:hAnsi="Arial"/>
                <w:sz w:val="18"/>
                <w:szCs w:val="18"/>
                <w:color w:val="auto"/>
              </w:rPr>
              <w:t>Total</w:t>
            </w:r>
          </w:p>
        </w:tc>
        <w:tc>
          <w:tcPr>
            <w:tcW w:w="5280" w:type="dxa"/>
            <w:vAlign w:val="bottom"/>
            <w:tcBorders>
              <w:bottom w:val="single" w:sz="8" w:color="002060"/>
            </w:tcBorders>
          </w:tcPr>
          <w:p>
            <w:pPr>
              <w:spacing w:after="0"/>
              <w:rPr>
                <w:sz w:val="17"/>
                <w:szCs w:val="17"/>
                <w:color w:val="auto"/>
              </w:rPr>
            </w:pPr>
          </w:p>
        </w:tc>
        <w:tc>
          <w:tcPr>
            <w:tcW w:w="320" w:type="dxa"/>
            <w:vAlign w:val="bottom"/>
            <w:tcBorders>
              <w:bottom w:val="single" w:sz="8" w:color="002060"/>
            </w:tcBorders>
            <w:shd w:val="clear" w:color="auto" w:fill="D8D8D8"/>
          </w:tcPr>
          <w:p>
            <w:pPr>
              <w:jc w:val="right"/>
              <w:spacing w:after="0" w:line="196" w:lineRule="exact"/>
              <w:rPr>
                <w:sz w:val="20"/>
                <w:szCs w:val="20"/>
                <w:color w:val="auto"/>
              </w:rPr>
            </w:pPr>
            <w:r>
              <w:rPr>
                <w:rFonts w:ascii="Arial" w:cs="Arial" w:eastAsia="Arial" w:hAnsi="Arial"/>
                <w:sz w:val="18"/>
                <w:szCs w:val="18"/>
                <w:color w:val="002060"/>
              </w:rPr>
              <w:t>$</w:t>
            </w:r>
          </w:p>
        </w:tc>
        <w:tc>
          <w:tcPr>
            <w:tcW w:w="960" w:type="dxa"/>
            <w:vAlign w:val="bottom"/>
            <w:tcBorders>
              <w:bottom w:val="single" w:sz="8" w:color="002060"/>
            </w:tcBorders>
            <w:shd w:val="clear" w:color="auto" w:fill="D8D8D8"/>
          </w:tcPr>
          <w:p>
            <w:pPr>
              <w:jc w:val="right"/>
              <w:spacing w:after="0" w:line="196" w:lineRule="exact"/>
              <w:rPr>
                <w:sz w:val="20"/>
                <w:szCs w:val="20"/>
                <w:color w:val="auto"/>
              </w:rPr>
            </w:pPr>
            <w:r>
              <w:rPr>
                <w:rFonts w:ascii="Arial" w:cs="Arial" w:eastAsia="Arial" w:hAnsi="Arial"/>
                <w:sz w:val="18"/>
                <w:szCs w:val="18"/>
                <w:color w:val="002060"/>
              </w:rPr>
              <w:t>2,509,856</w:t>
            </w:r>
          </w:p>
        </w:tc>
        <w:tc>
          <w:tcPr>
            <w:tcW w:w="420" w:type="dxa"/>
            <w:vAlign w:val="bottom"/>
            <w:tcBorders>
              <w:bottom w:val="single" w:sz="8" w:color="002060"/>
            </w:tcBorders>
            <w:shd w:val="clear" w:color="auto" w:fill="D8D8D8"/>
          </w:tcPr>
          <w:p>
            <w:pPr>
              <w:jc w:val="right"/>
              <w:ind w:right="10"/>
              <w:spacing w:after="0" w:line="196" w:lineRule="exact"/>
              <w:rPr>
                <w:sz w:val="20"/>
                <w:szCs w:val="20"/>
                <w:color w:val="auto"/>
              </w:rPr>
            </w:pPr>
            <w:r>
              <w:rPr>
                <w:rFonts w:ascii="Arial" w:cs="Arial" w:eastAsia="Arial" w:hAnsi="Arial"/>
                <w:sz w:val="18"/>
                <w:szCs w:val="18"/>
                <w:color w:val="002060"/>
                <w:highlight w:val="lightGray"/>
              </w:rPr>
              <w:t>$</w:t>
            </w:r>
          </w:p>
        </w:tc>
        <w:tc>
          <w:tcPr>
            <w:tcW w:w="980" w:type="dxa"/>
            <w:vAlign w:val="bottom"/>
            <w:tcBorders>
              <w:bottom w:val="single" w:sz="8" w:color="002060"/>
            </w:tcBorders>
            <w:shd w:val="clear" w:color="auto" w:fill="D8D8D8"/>
          </w:tcPr>
          <w:p>
            <w:pPr>
              <w:jc w:val="right"/>
              <w:spacing w:after="0" w:line="196" w:lineRule="exact"/>
              <w:rPr>
                <w:sz w:val="20"/>
                <w:szCs w:val="20"/>
                <w:color w:val="auto"/>
              </w:rPr>
            </w:pPr>
            <w:r>
              <w:rPr>
                <w:rFonts w:ascii="Arial" w:cs="Arial" w:eastAsia="Arial" w:hAnsi="Arial"/>
                <w:sz w:val="18"/>
                <w:szCs w:val="18"/>
                <w:color w:val="002060"/>
                <w:highlight w:val="lightGray"/>
              </w:rPr>
              <w:t>2,131,046</w:t>
            </w:r>
          </w:p>
        </w:tc>
      </w:tr>
      <w:tr>
        <w:trPr>
          <w:trHeight w:val="149"/>
        </w:trPr>
        <w:tc>
          <w:tcPr>
            <w:tcW w:w="3060" w:type="dxa"/>
            <w:vAlign w:val="bottom"/>
            <w:gridSpan w:val="2"/>
          </w:tcPr>
          <w:p>
            <w:pPr>
              <w:spacing w:after="0"/>
              <w:rPr>
                <w:sz w:val="12"/>
                <w:szCs w:val="12"/>
                <w:color w:val="auto"/>
              </w:rPr>
            </w:pPr>
          </w:p>
        </w:tc>
        <w:tc>
          <w:tcPr>
            <w:tcW w:w="7960" w:type="dxa"/>
            <w:vAlign w:val="bottom"/>
            <w:gridSpan w:val="5"/>
          </w:tcPr>
          <w:p>
            <w:pPr>
              <w:spacing w:after="0"/>
              <w:rPr>
                <w:sz w:val="12"/>
                <w:szCs w:val="12"/>
                <w:color w:val="auto"/>
              </w:rPr>
            </w:pPr>
          </w:p>
        </w:tc>
      </w:tr>
      <w:tr>
        <w:trPr>
          <w:trHeight w:val="309"/>
        </w:trPr>
        <w:tc>
          <w:tcPr>
            <w:tcW w:w="440" w:type="dxa"/>
            <w:vAlign w:val="bottom"/>
            <w:shd w:val="clear" w:color="auto" w:fill="002060"/>
          </w:tcPr>
          <w:p>
            <w:pPr>
              <w:ind w:left="120"/>
              <w:spacing w:after="0"/>
              <w:rPr>
                <w:sz w:val="20"/>
                <w:szCs w:val="20"/>
                <w:color w:val="auto"/>
              </w:rPr>
            </w:pPr>
            <w:r>
              <w:rPr>
                <w:rFonts w:ascii="Arial" w:cs="Arial" w:eastAsia="Arial" w:hAnsi="Arial"/>
                <w:sz w:val="16"/>
                <w:szCs w:val="16"/>
                <w:color w:val="FFFFFF"/>
              </w:rPr>
              <w:t>42</w:t>
            </w:r>
          </w:p>
        </w:tc>
        <w:tc>
          <w:tcPr>
            <w:tcW w:w="2620" w:type="dxa"/>
            <w:vAlign w:val="bottom"/>
          </w:tcPr>
          <w:p>
            <w:pPr>
              <w:ind w:left="120"/>
              <w:spacing w:after="0"/>
              <w:rPr>
                <w:sz w:val="20"/>
                <w:szCs w:val="20"/>
                <w:color w:val="auto"/>
              </w:rPr>
            </w:pPr>
            <w:r>
              <w:rPr>
                <w:rFonts w:ascii="Arial" w:cs="Arial" w:eastAsia="Arial" w:hAnsi="Arial"/>
                <w:sz w:val="16"/>
                <w:szCs w:val="16"/>
                <w:color w:val="002060"/>
              </w:rPr>
              <w:t>2023 Proxy Statement</w:t>
            </w:r>
          </w:p>
        </w:tc>
        <w:tc>
          <w:tcPr>
            <w:tcW w:w="7960" w:type="dxa"/>
            <w:vAlign w:val="bottom"/>
            <w:gridSpan w:val="5"/>
          </w:tcPr>
          <w:p>
            <w:pPr>
              <w:jc w:val="right"/>
              <w:spacing w:after="0"/>
              <w:rPr>
                <w:sz w:val="20"/>
                <w:szCs w:val="20"/>
                <w:color w:val="auto"/>
              </w:rPr>
            </w:pPr>
            <w:r>
              <w:rPr>
                <w:rFonts w:ascii="Arial" w:cs="Arial" w:eastAsia="Arial" w:hAnsi="Arial"/>
                <w:sz w:val="16"/>
                <w:szCs w:val="16"/>
                <w:color w:val="002060"/>
              </w:rPr>
              <w:t>Proposal 2 – Ratification of the Appointment of our Independent Registered Pubic Accounting Firm</w:t>
            </w:r>
          </w:p>
        </w:tc>
      </w:tr>
      <w:tr>
        <w:trPr>
          <w:trHeight w:val="110"/>
        </w:trPr>
        <w:tc>
          <w:tcPr>
            <w:tcW w:w="440" w:type="dxa"/>
            <w:vAlign w:val="bottom"/>
            <w:shd w:val="clear" w:color="auto" w:fill="002060"/>
          </w:tcPr>
          <w:p>
            <w:pPr>
              <w:spacing w:after="0"/>
              <w:rPr>
                <w:sz w:val="9"/>
                <w:szCs w:val="9"/>
                <w:color w:val="auto"/>
              </w:rPr>
            </w:pPr>
          </w:p>
        </w:tc>
        <w:tc>
          <w:tcPr>
            <w:tcW w:w="26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-1053465</wp:posOffset>
            </wp:positionV>
            <wp:extent cx="8255" cy="676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67691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0" w:right="200" w:hanging="424"/>
        <w:spacing w:after="0" w:line="253"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for professional services rendered in connection with the audit of our annual consolidated financial statements and internal control over financial reporting, review of our quarterly consolidated financial statements and services that are normally provided in connection with statutory and regulatory filings or engagements.</w:t>
      </w:r>
    </w:p>
    <w:p>
      <w:pPr>
        <w:spacing w:after="0" w:line="74" w:lineRule="exact"/>
        <w:rPr>
          <w:rFonts w:ascii="Arial" w:cs="Arial" w:eastAsia="Arial" w:hAnsi="Arial"/>
          <w:sz w:val="18"/>
          <w:szCs w:val="18"/>
          <w:color w:val="auto"/>
        </w:rPr>
      </w:pPr>
    </w:p>
    <w:p>
      <w:pPr>
        <w:ind w:left="540" w:right="720" w:hanging="424"/>
        <w:spacing w:after="0" w:line="271"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for permissible advisory services in connection with environmental, social, and governance compliance and assurance readiness.</w:t>
      </w:r>
    </w:p>
    <w:p>
      <w:pPr>
        <w:spacing w:after="0" w:line="59" w:lineRule="exact"/>
        <w:rPr>
          <w:rFonts w:ascii="Arial" w:cs="Arial" w:eastAsia="Arial" w:hAnsi="Arial"/>
          <w:sz w:val="18"/>
          <w:szCs w:val="18"/>
          <w:color w:val="auto"/>
        </w:rPr>
      </w:pP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for professional services rendered in connection with tax consultation services.</w:t>
      </w:r>
    </w:p>
    <w:p>
      <w:pPr>
        <w:spacing w:after="0" w:line="117" w:lineRule="exact"/>
        <w:rPr>
          <w:rFonts w:ascii="Arial" w:cs="Arial" w:eastAsia="Arial" w:hAnsi="Arial"/>
          <w:sz w:val="18"/>
          <w:szCs w:val="18"/>
          <w:color w:val="auto"/>
        </w:rPr>
      </w:pPr>
    </w:p>
    <w:p>
      <w:pPr>
        <w:ind w:left="540" w:right="560" w:hanging="424"/>
        <w:spacing w:after="0" w:line="271"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for permissible work performed by Deloitte that does not fit within the above categories. The fees under this category are related to technical subscriptions.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Pre-Approval of Services</w:t>
      </w:r>
    </w:p>
    <w:p>
      <w:pPr>
        <w:spacing w:after="0" w:line="216"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The Audit Committee has established a policy requiring pre-approval of all audit and non-audit services provided by our independent registered public accounting firm. On an ongoing basis, management submits to the Audit Committee specific projects and services to be performed by Deloitte for which it seeks advance approval. The Audit Committee reviews these requests and determines whether to approve the requested engagement. Periodically management reports to the Audit Committee the actual spending for such projects and services compared to the approved amounts. All services provided by Deloitte in 2022 were pre-approved by the Audit Committee in accordance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44919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4491990"/>
                    </a:xfrm>
                    <a:prstGeom prst="rect">
                      <a:avLst/>
                    </a:prstGeom>
                    <a:noFill/>
                  </pic:spPr>
                </pic:pic>
              </a:graphicData>
            </a:graphic>
          </wp:anchor>
        </w:drawing>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Report of the Audit Committee</w:t>
      </w:r>
    </w:p>
    <w:p>
      <w:pPr>
        <w:spacing w:after="0" w:line="247" w:lineRule="exact"/>
        <w:rPr>
          <w:sz w:val="20"/>
          <w:szCs w:val="20"/>
          <w:color w:val="auto"/>
        </w:rPr>
      </w:pPr>
    </w:p>
    <w:p>
      <w:pPr>
        <w:ind w:left="180" w:right="160"/>
        <w:spacing w:after="0" w:line="259" w:lineRule="auto"/>
        <w:rPr>
          <w:sz w:val="20"/>
          <w:szCs w:val="20"/>
          <w:color w:val="auto"/>
        </w:rPr>
      </w:pPr>
      <w:r>
        <w:rPr>
          <w:rFonts w:ascii="Arial" w:cs="Arial" w:eastAsia="Arial" w:hAnsi="Arial"/>
          <w:sz w:val="16"/>
          <w:szCs w:val="16"/>
          <w:color w:val="FFFFFF"/>
        </w:rPr>
        <w:t>Management is responsible for the preparation and presentation of the Company’s financial statements, the effectiveness of internal controls over financial reporting and procedures that are reasonably designed to assure compliance with accounting standards and applicable law. The Company’s independent registered public accounting firm, Deloitte &amp; Touche LLP (“Deloitte”), is responsible for performing an independent audit of the Company’s consolidated financial statements in accordance with the standards of the Public Company Accounting Oversight Board (United States) (“PCAOB”).</w:t>
      </w:r>
    </w:p>
    <w:p>
      <w:pPr>
        <w:spacing w:after="0" w:line="205" w:lineRule="exact"/>
        <w:rPr>
          <w:sz w:val="20"/>
          <w:szCs w:val="20"/>
          <w:color w:val="auto"/>
        </w:rPr>
      </w:pPr>
    </w:p>
    <w:p>
      <w:pPr>
        <w:ind w:left="180"/>
        <w:spacing w:after="0" w:line="253" w:lineRule="auto"/>
        <w:rPr>
          <w:sz w:val="20"/>
          <w:szCs w:val="20"/>
          <w:color w:val="auto"/>
        </w:rPr>
      </w:pPr>
      <w:r>
        <w:rPr>
          <w:rFonts w:ascii="Arial" w:cs="Arial" w:eastAsia="Arial" w:hAnsi="Arial"/>
          <w:sz w:val="16"/>
          <w:szCs w:val="16"/>
          <w:color w:val="FFFFFF"/>
        </w:rPr>
        <w:t>The Audit Committee’s responsibility is to monitor and oversee these processes. In fulfilling its oversight responsibilities, the Audit Committee has reviewed and discussed with management and Deloitte the Company’s audited consolidated financial statements for the fiscal year ended December 31, 2022, the fair and complete presentation of the Company’s results and the assessment of the Company’s internal controls over financial reporting. The Audit Committee discussed significant accounting policies applied in the Company’s financial statements, and, when applicable, alternative accounting treatments. Management represented to the Audit Committee that the financial statements were prepared in accordance with accounting principles generally accepted in the United States. The Audit Committee has also discussed with Deloitte the matters required to be discussed with the independent registered public accounting firm by the applicable requirements of the PCAOB and the Securities and Exchange Commission.</w:t>
      </w:r>
    </w:p>
    <w:p>
      <w:pPr>
        <w:spacing w:after="0" w:line="208" w:lineRule="exact"/>
        <w:rPr>
          <w:sz w:val="20"/>
          <w:szCs w:val="20"/>
          <w:color w:val="auto"/>
        </w:rPr>
      </w:pPr>
    </w:p>
    <w:p>
      <w:pPr>
        <w:ind w:left="180"/>
        <w:spacing w:after="0" w:line="259" w:lineRule="auto"/>
        <w:rPr>
          <w:sz w:val="20"/>
          <w:szCs w:val="20"/>
          <w:color w:val="auto"/>
        </w:rPr>
      </w:pPr>
      <w:r>
        <w:rPr>
          <w:rFonts w:ascii="Arial" w:cs="Arial" w:eastAsia="Arial" w:hAnsi="Arial"/>
          <w:sz w:val="16"/>
          <w:szCs w:val="16"/>
          <w:color w:val="FFFFFF"/>
        </w:rPr>
        <w:t>In addition, the Audit Committee reviewed and discussed with Deloitte its independence from the Company and management. As part of that review, the Audit Committee received the written disclosures and the letter from Deloitte required by the PCAOB, and the Audit Committee considered and discussed Deloitte’s independence, including whether the firm’s provision of non-audit services to the Company is compatible with its independence. The Audit Committee concluded that Deloitte is independent from the Company and its management.</w:t>
      </w:r>
    </w:p>
    <w:p>
      <w:pPr>
        <w:spacing w:after="0" w:line="205" w:lineRule="exact"/>
        <w:rPr>
          <w:sz w:val="20"/>
          <w:szCs w:val="20"/>
          <w:color w:val="auto"/>
        </w:rPr>
      </w:pPr>
    </w:p>
    <w:p>
      <w:pPr>
        <w:ind w:left="180" w:right="20"/>
        <w:spacing w:after="0" w:line="262" w:lineRule="auto"/>
        <w:rPr>
          <w:sz w:val="20"/>
          <w:szCs w:val="20"/>
          <w:color w:val="auto"/>
        </w:rPr>
      </w:pPr>
      <w:r>
        <w:rPr>
          <w:rFonts w:ascii="Arial" w:cs="Arial" w:eastAsia="Arial" w:hAnsi="Arial"/>
          <w:sz w:val="16"/>
          <w:szCs w:val="16"/>
          <w:color w:val="FFFFFF"/>
        </w:rPr>
        <w:t>The Audit Committee discussed with the Company’s Internal Audit Department and Deloitte the overall scope of and plans for their respective audits. The Audit Committee meets with the Director of Internal Audit and representatives of Deloitte, in regular and executive sessions, to discuss the results of their examinations, the evaluations of the Company’s internal controls and the overall quality of the Company’s financial reporting and compliance programs.</w:t>
      </w:r>
    </w:p>
    <w:p>
      <w:pPr>
        <w:spacing w:after="0" w:line="396" w:lineRule="exact"/>
        <w:rPr>
          <w:sz w:val="20"/>
          <w:szCs w:val="20"/>
          <w:color w:val="auto"/>
        </w:rPr>
      </w:pPr>
    </w:p>
    <w:p>
      <w:pPr>
        <w:ind w:left="180" w:right="260"/>
        <w:spacing w:after="0" w:line="266" w:lineRule="auto"/>
        <w:rPr>
          <w:sz w:val="20"/>
          <w:szCs w:val="20"/>
          <w:color w:val="auto"/>
        </w:rPr>
      </w:pPr>
      <w:r>
        <w:rPr>
          <w:rFonts w:ascii="Arial" w:cs="Arial" w:eastAsia="Arial" w:hAnsi="Arial"/>
          <w:sz w:val="16"/>
          <w:szCs w:val="16"/>
          <w:color w:val="FFFFFF"/>
        </w:rPr>
        <w:t>Based on these reviews and discussions, the Audit Committee has recommended to the Board that the audited consolidated financial statements referred to above be included in the Company’s Annual Report on Form 10-K for the fiscal year ended December 31, 2022. The Audit Committee has selected, and the Board of Directors has ratified the selection of, Deloitte as the Company’s independent registered public accounting firm for 2023.</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color w:val="FFFFFF"/>
        </w:rPr>
        <w:t>Audit Committee</w:t>
      </w:r>
    </w:p>
    <w:p>
      <w:pPr>
        <w:spacing w:after="0" w:line="250"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FFFFFF"/>
        </w:rPr>
        <w:t>Lawrence A. Hilsheimer (Chair)</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FFFFFF"/>
        </w:rPr>
        <w:t>Margot L. Carter</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FFFFFF"/>
        </w:rPr>
        <w:t>Michael 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207645</wp:posOffset>
            </wp:positionV>
            <wp:extent cx="240030" cy="2660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0030" cy="26606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20"/>
        <w:spacing w:after="0"/>
        <w:tabs>
          <w:tab w:leader="none" w:pos="9040" w:val="left"/>
          <w:tab w:leader="none" w:pos="10840" w:val="left"/>
        </w:tabs>
        <w:rPr>
          <w:sz w:val="20"/>
          <w:szCs w:val="20"/>
          <w:color w:val="auto"/>
        </w:rPr>
      </w:pPr>
      <w:r>
        <w:rPr>
          <w:rFonts w:ascii="Arial" w:cs="Arial" w:eastAsia="Arial" w:hAnsi="Arial"/>
          <w:sz w:val="16"/>
          <w:szCs w:val="16"/>
          <w:color w:val="002060"/>
        </w:rPr>
        <w:t>Proposal 2 – Ratification of the Appointment of our Independent Registered Public Accounting Firm</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43</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Required Vote and Recommendation of the Board</w:t>
      </w:r>
    </w:p>
    <w:p>
      <w:pPr>
        <w:spacing w:after="0" w:line="216"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The affirmative vote of a majority of the shares present or represented by proxy at the Annual Meeting and entitled to vote is required to ratify the appointment of Deloitte as our independent registered public accounting firm for 2023. Brokers have discretion to vote on this proposal in the absence of voting instructions. Abstentions will have the same effect as votes “AGAINST” this proposal. Broker non-votes will have no effect on the outcome of this proposal. Unless otherwise instructed, the persons named as proxies will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780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78041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380" w:right="480"/>
        <w:spacing w:after="0" w:line="251" w:lineRule="auto"/>
        <w:rPr>
          <w:sz w:val="20"/>
          <w:szCs w:val="20"/>
          <w:color w:val="auto"/>
        </w:rPr>
      </w:pPr>
      <w:r>
        <w:rPr>
          <w:rFonts w:ascii="Arial" w:cs="Arial" w:eastAsia="Arial" w:hAnsi="Arial"/>
          <w:sz w:val="22"/>
          <w:szCs w:val="22"/>
          <w:b w:val="1"/>
          <w:bCs w:val="1"/>
          <w:color w:val="FFFFFF"/>
        </w:rPr>
        <w:t>THE BOARD OF DIRECTORS UNANIMOUSLY RECOMMENDS THAT YOU VOTE “FOR” THE RATIFICATION OF THE APPOINTMENT OF DELOITTE &amp; TOUCHE LLP AS OUR INDEPENDENT REGISTERED PUBLIC ACCOUNTING FIRM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774065</wp:posOffset>
            </wp:positionV>
            <wp:extent cx="6429375" cy="33864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429375" cy="338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tabs>
          <w:tab w:leader="none" w:pos="520" w:val="left"/>
          <w:tab w:leader="none" w:pos="4060" w:val="left"/>
        </w:tabs>
        <w:rPr>
          <w:sz w:val="20"/>
          <w:szCs w:val="20"/>
          <w:color w:val="auto"/>
        </w:rPr>
      </w:pPr>
      <w:r>
        <w:rPr>
          <w:rFonts w:ascii="Arial" w:cs="Arial" w:eastAsia="Arial" w:hAnsi="Arial"/>
          <w:sz w:val="16"/>
          <w:szCs w:val="16"/>
          <w:color w:val="FFFFFF"/>
        </w:rPr>
        <w:t>44</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Proposal 2 – Ratification of the Appointment of our Independent Registered Pubic Accounting Firm</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440" w:right="640"/>
        <w:spacing w:after="0" w:line="284" w:lineRule="auto"/>
        <w:rPr>
          <w:sz w:val="20"/>
          <w:szCs w:val="20"/>
          <w:color w:val="auto"/>
        </w:rPr>
      </w:pPr>
      <w:r>
        <w:rPr>
          <w:rFonts w:ascii="Arial" w:cs="Arial" w:eastAsia="Arial" w:hAnsi="Arial"/>
          <w:sz w:val="40"/>
          <w:szCs w:val="40"/>
          <w:b w:val="1"/>
          <w:bCs w:val="1"/>
          <w:color w:val="0070C0"/>
        </w:rPr>
        <w:t>PROPOSAL 3 – NON-BINDING ADVISORY VOTE ON EXECUTIVE COMPENSATION</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Overview</w:t>
      </w:r>
    </w:p>
    <w:p>
      <w:pPr>
        <w:spacing w:after="0" w:line="216"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As required by Section 14A of the Securities Exchange Act of 1934 (the “Exchange Act”) and as a matter of good corporate governance, we are seeking stockholder approval of our executive compensation program. This vote is not intended to address any specific item of compensation, but rather the overall compensation of our NEOs and the executive compensation program and practices described in this Proxy Statement.</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are being asked to vote on the following advisory resolution:</w:t>
      </w:r>
    </w:p>
    <w:p>
      <w:pPr>
        <w:spacing w:after="0" w:line="212" w:lineRule="exact"/>
        <w:rPr>
          <w:sz w:val="20"/>
          <w:szCs w:val="20"/>
          <w:color w:val="auto"/>
        </w:rPr>
      </w:pPr>
    </w:p>
    <w:p>
      <w:pPr>
        <w:jc w:val="both"/>
        <w:ind w:left="560" w:right="20"/>
        <w:spacing w:after="0" w:line="253" w:lineRule="auto"/>
        <w:rPr>
          <w:sz w:val="20"/>
          <w:szCs w:val="20"/>
          <w:color w:val="auto"/>
        </w:rPr>
      </w:pPr>
      <w:r>
        <w:rPr>
          <w:rFonts w:ascii="Arial" w:cs="Arial" w:eastAsia="Arial" w:hAnsi="Arial"/>
          <w:sz w:val="18"/>
          <w:szCs w:val="18"/>
          <w:color w:val="auto"/>
        </w:rPr>
        <w:t>“RESOLVED, that the Company’s stockholders approve, on an advisory basis, the compensation of the Company’s named executive officers for 2022, as disclosed pursuant to the compensation disclosure rules of the Securities and Exchange Commission, including the Compensation Discussion and Analysis, compensation tables and related disclosures.”</w:t>
      </w:r>
    </w:p>
    <w:p>
      <w:pPr>
        <w:spacing w:after="0" w:line="16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We have a pay for performance philosophy that forms the foundation of our decisions regarding payment of executive compensation. We believe that this philosophy and the compensation structure established by the Compensation and Human Capital Committee are central to our ability to attract, retain and motivate individuals who can achieve superior financial results in the best interests of the Company and our stockholders. We link pay to performance by weighting a significant portion of the target compensation of our NEOs in variable, or “pay at risk,” compensation elements. We also align our NEOs’ financial interests with those of our stockholders by awarding a substantial portion of total compensation in the form of equity.</w:t>
      </w:r>
    </w:p>
    <w:p>
      <w:pPr>
        <w:spacing w:after="0" w:line="179" w:lineRule="exact"/>
        <w:rPr>
          <w:sz w:val="20"/>
          <w:szCs w:val="20"/>
          <w:color w:val="auto"/>
        </w:rPr>
      </w:pPr>
    </w:p>
    <w:p>
      <w:pPr>
        <w:jc w:val="both"/>
        <w:ind w:left="120" w:right="620"/>
        <w:spacing w:after="0" w:line="253" w:lineRule="auto"/>
        <w:rPr>
          <w:sz w:val="20"/>
          <w:szCs w:val="20"/>
          <w:color w:val="auto"/>
        </w:rPr>
      </w:pPr>
      <w:r>
        <w:rPr>
          <w:rFonts w:ascii="Arial" w:cs="Arial" w:eastAsia="Arial" w:hAnsi="Arial"/>
          <w:sz w:val="18"/>
          <w:szCs w:val="18"/>
          <w:color w:val="auto"/>
        </w:rPr>
        <w:t>We urge you to read “</w:t>
      </w:r>
      <w:r>
        <w:rPr>
          <w:rFonts w:ascii="Arial" w:cs="Arial" w:eastAsia="Arial" w:hAnsi="Arial"/>
          <w:sz w:val="18"/>
          <w:szCs w:val="18"/>
          <w:i w:val="1"/>
          <w:iCs w:val="1"/>
          <w:color w:val="auto"/>
        </w:rPr>
        <w:t>Executive Compensation – Compensation Discussion and Analysis</w:t>
      </w:r>
      <w:r>
        <w:rPr>
          <w:rFonts w:ascii="Arial" w:cs="Arial" w:eastAsia="Arial" w:hAnsi="Arial"/>
          <w:sz w:val="18"/>
          <w:szCs w:val="18"/>
          <w:color w:val="auto"/>
        </w:rPr>
        <w:t>” below, which describes in detail how our executive compensation program operates and is designed to achieve our compensation objectives, as well as the accompanying compensation tables and narratives that provide detailed information on the compensation of our NEOs.</w:t>
      </w:r>
    </w:p>
    <w:p>
      <w:pPr>
        <w:spacing w:after="0" w:line="16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As discussed in more detail in the Compensation Discussion and Analysis, we believe our executive compensation program is competitive and focused on pay for performance principles, emphasizing compensation opportunities that reward results. Our stock ownership requirements and use of stock-based incentives strongly align the interests of our executives with those of our long-term stockholders. The Compensation and Human Capital Committee believes that our executive compensation program is consistent with our compensation philosophy, supports our long-term strategic objectives, encourages appropriate sensitivity to risk and increases stockholder value, and that executive compensation for 2022 was reasonable, appropriate and justified by the performance of the Company.</w:t>
      </w:r>
    </w:p>
    <w:p>
      <w:pPr>
        <w:spacing w:after="0" w:line="179"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This advisory vote, commonly referred to as a “say-on-pay” advisory vote, is non-binding. However, the outcome of the vote will provide valuable information to the Compensation and Human Capital Committee regarding stockholder sentiment about our compensation program, which the Compensation and Human Capital Committee will carefully review and consider when making future decisions regarding the compensation of our NEOs. Our executive compensation program was strongly supported by our stockholders in 2022, with approximately 95% of the votes cast at the 2022 annual meeting voting in favor. We have held a similar stockholder vote every year since 2017 and expect to hold a similar vote at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82550</wp:posOffset>
            </wp:positionV>
            <wp:extent cx="291465" cy="2660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91465" cy="266065"/>
                    </a:xfrm>
                    <a:prstGeom prst="rect">
                      <a:avLst/>
                    </a:prstGeom>
                    <a:noFill/>
                  </pic:spPr>
                </pic:pic>
              </a:graphicData>
            </a:graphic>
          </wp:anchor>
        </w:drawing>
      </w:r>
    </w:p>
    <w:p>
      <w:pPr>
        <w:spacing w:after="0" w:line="204"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Proposal 3 – Non-Binding Advisory Vote on Executive Compensation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45</w:t>
      </w:r>
    </w:p>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Required Vote and Recommendation of the Board</w:t>
      </w:r>
    </w:p>
    <w:p>
      <w:pPr>
        <w:spacing w:after="0" w:line="216" w:lineRule="exact"/>
        <w:rPr>
          <w:sz w:val="20"/>
          <w:szCs w:val="20"/>
          <w:color w:val="auto"/>
        </w:rPr>
      </w:pPr>
    </w:p>
    <w:p>
      <w:pPr>
        <w:jc w:val="both"/>
        <w:ind w:left="120" w:right="200"/>
        <w:spacing w:after="0" w:line="275" w:lineRule="auto"/>
        <w:rPr>
          <w:sz w:val="20"/>
          <w:szCs w:val="20"/>
          <w:color w:val="auto"/>
        </w:rPr>
      </w:pPr>
      <w:r>
        <w:rPr>
          <w:rFonts w:ascii="Arial" w:cs="Arial" w:eastAsia="Arial" w:hAnsi="Arial"/>
          <w:sz w:val="17"/>
          <w:szCs w:val="17"/>
          <w:color w:val="auto"/>
        </w:rPr>
        <w:t>The affirmative vote of a majority of the shares present or represented by proxy at the Annual Meeting and entitled to vote is required for approval of this advisory resolution. Abstentions will have the same effect as votes “AGAINST” this proposal. Broker non-votes will have no effect on the outcome of the proposal. Unless otherwise instructed, the persons named as proxies will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780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780415"/>
                    </a:xfrm>
                    <a:prstGeom prst="rect">
                      <a:avLst/>
                    </a:prstGeom>
                    <a:noFill/>
                  </pic:spPr>
                </pic:pic>
              </a:graphicData>
            </a:graphic>
          </wp:anchor>
        </w:drawing>
      </w:r>
    </w:p>
    <w:p>
      <w:pPr>
        <w:spacing w:after="0" w:line="392" w:lineRule="exact"/>
        <w:rPr>
          <w:sz w:val="20"/>
          <w:szCs w:val="20"/>
          <w:color w:val="auto"/>
        </w:rPr>
      </w:pPr>
    </w:p>
    <w:p>
      <w:pPr>
        <w:ind w:left="1460" w:right="400"/>
        <w:spacing w:after="0" w:line="251" w:lineRule="auto"/>
        <w:rPr>
          <w:sz w:val="20"/>
          <w:szCs w:val="20"/>
          <w:color w:val="auto"/>
        </w:rPr>
      </w:pPr>
      <w:r>
        <w:rPr>
          <w:rFonts w:ascii="Arial" w:cs="Arial" w:eastAsia="Arial" w:hAnsi="Arial"/>
          <w:sz w:val="22"/>
          <w:szCs w:val="22"/>
          <w:b w:val="1"/>
          <w:bCs w:val="1"/>
          <w:color w:val="FFFFFF"/>
        </w:rPr>
        <w:t>THE BOARD UNANIMOUSLY RECOMMENDS THAT YOU VOTE “FOR” THE NON-BINDING ADVISORY RESOLUTION APPROVING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774065</wp:posOffset>
            </wp:positionV>
            <wp:extent cx="6035040" cy="44062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5040"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440" w:type="dxa"/>
            <w:vAlign w:val="bottom"/>
            <w:vMerge w:val="restart"/>
            <w:shd w:val="clear" w:color="auto" w:fill="002060"/>
          </w:tcPr>
          <w:p>
            <w:pPr>
              <w:jc w:val="right"/>
              <w:ind w:right="59"/>
              <w:spacing w:after="0"/>
              <w:rPr>
                <w:sz w:val="20"/>
                <w:szCs w:val="20"/>
                <w:color w:val="auto"/>
              </w:rPr>
            </w:pPr>
            <w:r>
              <w:rPr>
                <w:rFonts w:ascii="Arial" w:cs="Arial" w:eastAsia="Arial" w:hAnsi="Arial"/>
                <w:sz w:val="16"/>
                <w:szCs w:val="16"/>
                <w:color w:val="FFFFFF"/>
              </w:rPr>
              <w:t>46</w:t>
            </w:r>
          </w:p>
        </w:tc>
        <w:tc>
          <w:tcPr>
            <w:tcW w:w="3680" w:type="dxa"/>
            <w:vAlign w:val="bottom"/>
          </w:tcPr>
          <w:p>
            <w:pPr>
              <w:ind w:left="120"/>
              <w:spacing w:after="0"/>
              <w:rPr>
                <w:sz w:val="20"/>
                <w:szCs w:val="20"/>
                <w:color w:val="auto"/>
              </w:rPr>
            </w:pPr>
            <w:r>
              <w:rPr>
                <w:rFonts w:ascii="Arial" w:cs="Arial" w:eastAsia="Arial" w:hAnsi="Arial"/>
                <w:sz w:val="16"/>
                <w:szCs w:val="16"/>
                <w:color w:val="002060"/>
              </w:rPr>
              <w:t>2023 Proxy Statement</w:t>
            </w:r>
          </w:p>
        </w:tc>
        <w:tc>
          <w:tcPr>
            <w:tcW w:w="6900" w:type="dxa"/>
            <w:vAlign w:val="bottom"/>
          </w:tcPr>
          <w:p>
            <w:pPr>
              <w:ind w:left="1960"/>
              <w:spacing w:after="0"/>
              <w:rPr>
                <w:sz w:val="20"/>
                <w:szCs w:val="20"/>
                <w:color w:val="auto"/>
              </w:rPr>
            </w:pPr>
            <w:r>
              <w:rPr>
                <w:rFonts w:ascii="Arial" w:cs="Arial" w:eastAsia="Arial" w:hAnsi="Arial"/>
                <w:sz w:val="16"/>
                <w:szCs w:val="16"/>
                <w:color w:val="002060"/>
              </w:rPr>
              <w:t>Proposal 3 – Non-Binding Advisory Vote on Executive Compensation</w:t>
            </w:r>
          </w:p>
        </w:tc>
        <w:tc>
          <w:tcPr>
            <w:tcW w:w="0" w:type="dxa"/>
            <w:vAlign w:val="bottom"/>
          </w:tcPr>
          <w:p>
            <w:pPr>
              <w:spacing w:after="0"/>
              <w:rPr>
                <w:sz w:val="1"/>
                <w:szCs w:val="1"/>
                <w:color w:val="auto"/>
              </w:rPr>
            </w:pPr>
          </w:p>
        </w:tc>
      </w:tr>
      <w:tr>
        <w:trPr>
          <w:trHeight w:val="74"/>
        </w:trPr>
        <w:tc>
          <w:tcPr>
            <w:tcW w:w="440" w:type="dxa"/>
            <w:vAlign w:val="bottom"/>
            <w:vMerge w:val="continue"/>
            <w:shd w:val="clear" w:color="auto" w:fill="002060"/>
          </w:tcPr>
          <w:p>
            <w:pPr>
              <w:spacing w:after="0"/>
              <w:rPr>
                <w:sz w:val="6"/>
                <w:szCs w:val="6"/>
                <w:color w:val="auto"/>
              </w:rPr>
            </w:pPr>
          </w:p>
        </w:tc>
        <w:tc>
          <w:tcPr>
            <w:tcW w:w="3680" w:type="dxa"/>
            <w:vAlign w:val="bottom"/>
          </w:tcPr>
          <w:p>
            <w:pPr>
              <w:spacing w:after="0"/>
              <w:rPr>
                <w:sz w:val="6"/>
                <w:szCs w:val="6"/>
                <w:color w:val="auto"/>
              </w:rPr>
            </w:pPr>
          </w:p>
        </w:tc>
        <w:tc>
          <w:tcPr>
            <w:tcW w:w="6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40" w:type="dxa"/>
            <w:vAlign w:val="bottom"/>
            <w:shd w:val="clear" w:color="auto" w:fill="002060"/>
          </w:tcPr>
          <w:p>
            <w:pPr>
              <w:spacing w:after="0"/>
              <w:rPr>
                <w:sz w:val="9"/>
                <w:szCs w:val="9"/>
                <w:color w:val="auto"/>
              </w:rPr>
            </w:pPr>
          </w:p>
        </w:tc>
        <w:tc>
          <w:tcPr>
            <w:tcW w:w="3680" w:type="dxa"/>
            <w:vAlign w:val="bottom"/>
          </w:tcPr>
          <w:p>
            <w:pPr>
              <w:spacing w:after="0"/>
              <w:rPr>
                <w:sz w:val="9"/>
                <w:szCs w:val="9"/>
                <w:color w:val="auto"/>
              </w:rPr>
            </w:pPr>
          </w:p>
        </w:tc>
        <w:tc>
          <w:tcPr>
            <w:tcW w:w="6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40"/>
          <w:szCs w:val="40"/>
          <w:b w:val="1"/>
          <w:bCs w:val="1"/>
          <w:color w:val="0070C0"/>
        </w:rPr>
        <w:t>EXECUTIVE OFFICERS AND CERTAIN</w:t>
      </w:r>
    </w:p>
    <w:p>
      <w:pPr>
        <w:spacing w:after="0" w:line="39" w:lineRule="exact"/>
        <w:rPr>
          <w:sz w:val="20"/>
          <w:szCs w:val="20"/>
          <w:color w:val="auto"/>
        </w:rPr>
      </w:pPr>
    </w:p>
    <w:p>
      <w:pPr>
        <w:jc w:val="center"/>
        <w:ind w:right="-99"/>
        <w:spacing w:after="0"/>
        <w:rPr>
          <w:sz w:val="20"/>
          <w:szCs w:val="20"/>
          <w:color w:val="auto"/>
        </w:rPr>
      </w:pPr>
      <w:r>
        <w:rPr>
          <w:rFonts w:ascii="Arial" w:cs="Arial" w:eastAsia="Arial" w:hAnsi="Arial"/>
          <w:sz w:val="40"/>
          <w:szCs w:val="40"/>
          <w:b w:val="1"/>
          <w:bCs w:val="1"/>
          <w:color w:val="0070C0"/>
        </w:rPr>
        <w:t>SIGNIFICANT EMPLOYEES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biographical information regarding our executive officers and certain significant employees is as of April 13, 2023:</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002060"/>
        </w:rPr>
        <w:t>Executive Officers</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2100" w:type="dxa"/>
            <w:vAlign w:val="bottom"/>
            <w:tcBorders>
              <w:top w:val="single" w:sz="8" w:color="002060"/>
            </w:tcBorders>
            <w:shd w:val="clear" w:color="auto" w:fill="E5E5E5"/>
          </w:tcPr>
          <w:p>
            <w:pPr>
              <w:spacing w:after="0" w:line="194" w:lineRule="exact"/>
              <w:rPr>
                <w:sz w:val="20"/>
                <w:szCs w:val="20"/>
                <w:color w:val="auto"/>
              </w:rPr>
            </w:pPr>
            <w:r>
              <w:rPr>
                <w:rFonts w:ascii="Arial" w:cs="Arial" w:eastAsia="Arial" w:hAnsi="Arial"/>
                <w:sz w:val="17"/>
                <w:szCs w:val="17"/>
                <w:b w:val="1"/>
                <w:bCs w:val="1"/>
                <w:color w:val="0070C0"/>
              </w:rPr>
              <w:t>Jeffrey W. Edwards</w:t>
            </w:r>
          </w:p>
        </w:tc>
        <w:tc>
          <w:tcPr>
            <w:tcW w:w="8920" w:type="dxa"/>
            <w:vAlign w:val="bottom"/>
            <w:tcBorders>
              <w:top w:val="single" w:sz="8" w:color="002060"/>
            </w:tcBorders>
            <w:gridSpan w:val="3"/>
          </w:tcPr>
          <w:p>
            <w:pPr>
              <w:ind w:left="120"/>
              <w:spacing w:after="0" w:line="194" w:lineRule="exact"/>
              <w:rPr>
                <w:sz w:val="20"/>
                <w:szCs w:val="20"/>
                <w:color w:val="auto"/>
              </w:rPr>
            </w:pPr>
            <w:r>
              <w:rPr>
                <w:rFonts w:ascii="Arial" w:cs="Arial" w:eastAsia="Arial" w:hAnsi="Arial"/>
                <w:sz w:val="17"/>
                <w:szCs w:val="17"/>
                <w:color w:val="auto"/>
              </w:rPr>
              <w:t>Mr. Edwards is our President, Chief Executive Officer and Chairman and has held these positions since 2011, 2004</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Age 59</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and 1999, respectively. Mr. Edwards’ position allows him to advise the Board on management’s perspective over a</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President, Chief</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full range of issues affecting the Company. Prior to joining us, Mr. Edwards acted as an officer and strategist for</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Executive Officer and</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several companies that he and his family started, acquired or invested in over more than 40 years across a variety</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Chairman</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of industries, including multi-family and student housing development and management, industrial tool distribution,</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wholesale building supply, homebuilding, land and real estate development and real estate brokerage. Since 1988,</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Mr. Edwards has been involved in the launch of many business ventures as well as commercial real estate</w:t>
            </w:r>
          </w:p>
        </w:tc>
      </w:tr>
      <w:tr>
        <w:trPr>
          <w:trHeight w:val="218"/>
        </w:trPr>
        <w:tc>
          <w:tcPr>
            <w:tcW w:w="2100" w:type="dxa"/>
            <w:vAlign w:val="bottom"/>
            <w:tcBorders>
              <w:bottom w:val="single" w:sz="8" w:color="002060"/>
            </w:tcBorders>
            <w:shd w:val="clear" w:color="auto" w:fill="E5E5E5"/>
          </w:tcPr>
          <w:p>
            <w:pPr>
              <w:spacing w:after="0"/>
              <w:rPr>
                <w:sz w:val="18"/>
                <w:szCs w:val="18"/>
                <w:color w:val="auto"/>
              </w:rPr>
            </w:pPr>
          </w:p>
        </w:tc>
        <w:tc>
          <w:tcPr>
            <w:tcW w:w="8920" w:type="dxa"/>
            <w:vAlign w:val="bottom"/>
            <w:tcBorders>
              <w:bottom w:val="single" w:sz="8" w:color="002060"/>
            </w:tcBorders>
            <w:gridSpan w:val="3"/>
          </w:tcPr>
          <w:p>
            <w:pPr>
              <w:ind w:left="120"/>
              <w:spacing w:after="0"/>
              <w:rPr>
                <w:sz w:val="20"/>
                <w:szCs w:val="20"/>
                <w:color w:val="auto"/>
              </w:rPr>
            </w:pPr>
            <w:r>
              <w:rPr>
                <w:rFonts w:ascii="Arial" w:cs="Arial" w:eastAsia="Arial" w:hAnsi="Arial"/>
                <w:sz w:val="17"/>
                <w:szCs w:val="17"/>
                <w:color w:val="auto"/>
              </w:rPr>
              <w:t>developments in central Ohio and elsewhere. He holds a B.S. in Marketing from Miami University.</w:t>
            </w:r>
          </w:p>
        </w:tc>
      </w:tr>
      <w:tr>
        <w:trPr>
          <w:trHeight w:val="167"/>
        </w:trPr>
        <w:tc>
          <w:tcPr>
            <w:tcW w:w="2100" w:type="dxa"/>
            <w:vAlign w:val="bottom"/>
            <w:shd w:val="clear" w:color="auto" w:fill="E5E5E5"/>
          </w:tcPr>
          <w:p>
            <w:pPr>
              <w:spacing w:after="0" w:line="167" w:lineRule="exact"/>
              <w:rPr>
                <w:sz w:val="20"/>
                <w:szCs w:val="20"/>
                <w:color w:val="auto"/>
              </w:rPr>
            </w:pPr>
            <w:r>
              <w:rPr>
                <w:rFonts w:ascii="Arial" w:cs="Arial" w:eastAsia="Arial" w:hAnsi="Arial"/>
                <w:sz w:val="17"/>
                <w:szCs w:val="17"/>
                <w:b w:val="1"/>
                <w:bCs w:val="1"/>
                <w:color w:val="0070C0"/>
              </w:rPr>
              <w:t>Michael T. Miller</w:t>
            </w:r>
          </w:p>
        </w:tc>
        <w:tc>
          <w:tcPr>
            <w:tcW w:w="8920" w:type="dxa"/>
            <w:vAlign w:val="bottom"/>
            <w:gridSpan w:val="3"/>
          </w:tcPr>
          <w:p>
            <w:pPr>
              <w:ind w:left="120"/>
              <w:spacing w:after="0" w:line="167" w:lineRule="exact"/>
              <w:rPr>
                <w:sz w:val="20"/>
                <w:szCs w:val="20"/>
                <w:color w:val="auto"/>
              </w:rPr>
            </w:pPr>
            <w:r>
              <w:rPr>
                <w:rFonts w:ascii="Arial" w:cs="Arial" w:eastAsia="Arial" w:hAnsi="Arial"/>
                <w:sz w:val="17"/>
                <w:szCs w:val="17"/>
                <w:color w:val="auto"/>
              </w:rPr>
              <w:t>Mr. Miller has served as our most senior financial officer since he joined us in 2000 as our Executive Vice President</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Age 58</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 Finance. He has been our Chief Financial Officer since 2013 and a director since 2004. Prior to joining the</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Executive Vice</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Company, Mr. Miller held the position of Senior Vice President/Managing Director responsible for Corporate</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President, Chief</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Investment Banking at Huntington Capital Corp., a subsidiary of Huntington Bancshares, Inc., a regional bank</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Financial Officer and</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holding company. Before joining Huntington in 1991, Mr. Miller held various positions with Deutsche Bank and</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Director</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Canadian Imperial Bank of Commerce in New York. Mr. Miller began his career at First Union National Bank in</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Charlotte, North Carolina. He holds a B.A. from Wake Forest University. Mr. Miller previously served on the Board of</w:t>
            </w:r>
          </w:p>
        </w:tc>
      </w:tr>
      <w:tr>
        <w:trPr>
          <w:trHeight w:val="218"/>
        </w:trPr>
        <w:tc>
          <w:tcPr>
            <w:tcW w:w="2100" w:type="dxa"/>
            <w:vAlign w:val="bottom"/>
            <w:tcBorders>
              <w:bottom w:val="single" w:sz="8" w:color="002060"/>
            </w:tcBorders>
            <w:shd w:val="clear" w:color="auto" w:fill="E5E5E5"/>
          </w:tcPr>
          <w:p>
            <w:pPr>
              <w:spacing w:after="0"/>
              <w:rPr>
                <w:sz w:val="18"/>
                <w:szCs w:val="18"/>
                <w:color w:val="auto"/>
              </w:rPr>
            </w:pPr>
          </w:p>
        </w:tc>
        <w:tc>
          <w:tcPr>
            <w:tcW w:w="5700" w:type="dxa"/>
            <w:vAlign w:val="bottom"/>
            <w:tcBorders>
              <w:bottom w:val="single" w:sz="8" w:color="002060"/>
            </w:tcBorders>
          </w:tcPr>
          <w:p>
            <w:pPr>
              <w:ind w:left="120"/>
              <w:spacing w:after="0"/>
              <w:rPr>
                <w:sz w:val="20"/>
                <w:szCs w:val="20"/>
                <w:color w:val="auto"/>
              </w:rPr>
            </w:pPr>
            <w:r>
              <w:rPr>
                <w:rFonts w:ascii="Arial" w:cs="Arial" w:eastAsia="Arial" w:hAnsi="Arial"/>
                <w:sz w:val="17"/>
                <w:szCs w:val="17"/>
                <w:color w:val="auto"/>
              </w:rPr>
              <w:t>BMC Stock Holdings, Inc. from 2014 to January 2021.</w:t>
            </w:r>
          </w:p>
        </w:tc>
        <w:tc>
          <w:tcPr>
            <w:tcW w:w="2760" w:type="dxa"/>
            <w:vAlign w:val="bottom"/>
            <w:tcBorders>
              <w:bottom w:val="single" w:sz="8" w:color="002060"/>
            </w:tcBorders>
          </w:tcPr>
          <w:p>
            <w:pPr>
              <w:spacing w:after="0"/>
              <w:rPr>
                <w:sz w:val="18"/>
                <w:szCs w:val="18"/>
                <w:color w:val="auto"/>
              </w:rPr>
            </w:pPr>
          </w:p>
        </w:tc>
        <w:tc>
          <w:tcPr>
            <w:tcW w:w="460" w:type="dxa"/>
            <w:vAlign w:val="bottom"/>
            <w:tcBorders>
              <w:bottom w:val="single" w:sz="8" w:color="002060"/>
            </w:tcBorders>
          </w:tcPr>
          <w:p>
            <w:pPr>
              <w:spacing w:after="0"/>
              <w:rPr>
                <w:sz w:val="18"/>
                <w:szCs w:val="18"/>
                <w:color w:val="auto"/>
              </w:rPr>
            </w:pPr>
          </w:p>
        </w:tc>
      </w:tr>
      <w:tr>
        <w:trPr>
          <w:trHeight w:val="167"/>
        </w:trPr>
        <w:tc>
          <w:tcPr>
            <w:tcW w:w="2100" w:type="dxa"/>
            <w:vAlign w:val="bottom"/>
            <w:shd w:val="clear" w:color="auto" w:fill="E5E5E5"/>
          </w:tcPr>
          <w:p>
            <w:pPr>
              <w:spacing w:after="0" w:line="167" w:lineRule="exact"/>
              <w:rPr>
                <w:sz w:val="20"/>
                <w:szCs w:val="20"/>
                <w:color w:val="auto"/>
              </w:rPr>
            </w:pPr>
            <w:r>
              <w:rPr>
                <w:rFonts w:ascii="Arial" w:cs="Arial" w:eastAsia="Arial" w:hAnsi="Arial"/>
                <w:sz w:val="17"/>
                <w:szCs w:val="17"/>
                <w:b w:val="1"/>
                <w:bCs w:val="1"/>
                <w:color w:val="0070C0"/>
              </w:rPr>
              <w:t>Jay P. Elliott</w:t>
            </w:r>
          </w:p>
        </w:tc>
        <w:tc>
          <w:tcPr>
            <w:tcW w:w="8920" w:type="dxa"/>
            <w:vAlign w:val="bottom"/>
            <w:gridSpan w:val="3"/>
          </w:tcPr>
          <w:p>
            <w:pPr>
              <w:ind w:left="120"/>
              <w:spacing w:after="0" w:line="167" w:lineRule="exact"/>
              <w:rPr>
                <w:sz w:val="20"/>
                <w:szCs w:val="20"/>
                <w:color w:val="auto"/>
              </w:rPr>
            </w:pPr>
            <w:r>
              <w:rPr>
                <w:rFonts w:ascii="Arial" w:cs="Arial" w:eastAsia="Arial" w:hAnsi="Arial"/>
                <w:sz w:val="17"/>
                <w:szCs w:val="17"/>
                <w:color w:val="auto"/>
              </w:rPr>
              <w:t>Mr. Elliott has been our Chief Operating Officer since 2013. He joined the Company in April 2002 as our Regional</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Age 61</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Operations and Business Integrations Manager. Prior to joining us, Mr. Elliott worked with E&amp;Y Corporate Finance,</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Chief Operating Officer</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LLC in restructuring advisory services. Mr. Elliott’s experience includes ten years with Owens Corning in several</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roles, including new business development, market management and corporate strategic planning. Mr. Elliott spent</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three years with IBM and began his career with Westinghouse Electric Corp. He earned an M.B.A. from Cornell</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University Johnson Graduate School of Management, a B.E. from Dartmouth College Thayer School of Engineering,</w:t>
            </w:r>
          </w:p>
        </w:tc>
      </w:tr>
      <w:tr>
        <w:trPr>
          <w:trHeight w:val="218"/>
        </w:trPr>
        <w:tc>
          <w:tcPr>
            <w:tcW w:w="2100" w:type="dxa"/>
            <w:vAlign w:val="bottom"/>
            <w:tcBorders>
              <w:bottom w:val="single" w:sz="8" w:color="002060"/>
            </w:tcBorders>
            <w:shd w:val="clear" w:color="auto" w:fill="E5E5E5"/>
          </w:tcPr>
          <w:p>
            <w:pPr>
              <w:spacing w:after="0"/>
              <w:rPr>
                <w:sz w:val="18"/>
                <w:szCs w:val="18"/>
                <w:color w:val="auto"/>
              </w:rPr>
            </w:pPr>
          </w:p>
        </w:tc>
        <w:tc>
          <w:tcPr>
            <w:tcW w:w="5700" w:type="dxa"/>
            <w:vAlign w:val="bottom"/>
            <w:tcBorders>
              <w:bottom w:val="single" w:sz="8" w:color="002060"/>
            </w:tcBorders>
          </w:tcPr>
          <w:p>
            <w:pPr>
              <w:ind w:left="120"/>
              <w:spacing w:after="0"/>
              <w:rPr>
                <w:sz w:val="20"/>
                <w:szCs w:val="20"/>
                <w:color w:val="auto"/>
              </w:rPr>
            </w:pPr>
            <w:r>
              <w:rPr>
                <w:rFonts w:ascii="Arial" w:cs="Arial" w:eastAsia="Arial" w:hAnsi="Arial"/>
                <w:sz w:val="17"/>
                <w:szCs w:val="17"/>
                <w:color w:val="auto"/>
              </w:rPr>
              <w:t>and an A.B. from Colgate University.</w:t>
            </w:r>
          </w:p>
        </w:tc>
        <w:tc>
          <w:tcPr>
            <w:tcW w:w="2760" w:type="dxa"/>
            <w:vAlign w:val="bottom"/>
            <w:tcBorders>
              <w:bottom w:val="single" w:sz="8" w:color="002060"/>
            </w:tcBorders>
          </w:tcPr>
          <w:p>
            <w:pPr>
              <w:spacing w:after="0"/>
              <w:rPr>
                <w:sz w:val="18"/>
                <w:szCs w:val="18"/>
                <w:color w:val="auto"/>
              </w:rPr>
            </w:pPr>
          </w:p>
        </w:tc>
        <w:tc>
          <w:tcPr>
            <w:tcW w:w="460" w:type="dxa"/>
            <w:vAlign w:val="bottom"/>
            <w:tcBorders>
              <w:bottom w:val="single" w:sz="8" w:color="002060"/>
            </w:tcBorders>
          </w:tcPr>
          <w:p>
            <w:pPr>
              <w:spacing w:after="0"/>
              <w:rPr>
                <w:sz w:val="18"/>
                <w:szCs w:val="18"/>
                <w:color w:val="auto"/>
              </w:rPr>
            </w:pPr>
          </w:p>
        </w:tc>
      </w:tr>
      <w:tr>
        <w:trPr>
          <w:trHeight w:val="167"/>
        </w:trPr>
        <w:tc>
          <w:tcPr>
            <w:tcW w:w="2100" w:type="dxa"/>
            <w:vAlign w:val="bottom"/>
            <w:shd w:val="clear" w:color="auto" w:fill="E5E5E5"/>
          </w:tcPr>
          <w:p>
            <w:pPr>
              <w:spacing w:after="0" w:line="167" w:lineRule="exact"/>
              <w:rPr>
                <w:sz w:val="20"/>
                <w:szCs w:val="20"/>
                <w:color w:val="auto"/>
              </w:rPr>
            </w:pPr>
            <w:r>
              <w:rPr>
                <w:rFonts w:ascii="Arial" w:cs="Arial" w:eastAsia="Arial" w:hAnsi="Arial"/>
                <w:sz w:val="17"/>
                <w:szCs w:val="17"/>
                <w:b w:val="1"/>
                <w:bCs w:val="1"/>
                <w:color w:val="0070C0"/>
              </w:rPr>
              <w:t>Todd R. Fry</w:t>
            </w:r>
          </w:p>
        </w:tc>
        <w:tc>
          <w:tcPr>
            <w:tcW w:w="8920" w:type="dxa"/>
            <w:vAlign w:val="bottom"/>
            <w:gridSpan w:val="3"/>
          </w:tcPr>
          <w:p>
            <w:pPr>
              <w:ind w:left="120"/>
              <w:spacing w:after="0" w:line="167" w:lineRule="exact"/>
              <w:rPr>
                <w:sz w:val="20"/>
                <w:szCs w:val="20"/>
                <w:color w:val="auto"/>
              </w:rPr>
            </w:pPr>
            <w:r>
              <w:rPr>
                <w:rFonts w:ascii="Arial" w:cs="Arial" w:eastAsia="Arial" w:hAnsi="Arial"/>
                <w:sz w:val="17"/>
                <w:szCs w:val="17"/>
                <w:color w:val="auto"/>
              </w:rPr>
              <w:t>Mr. Fry has been our Chief Accounting Officer since April 2014 and our Treasurer since March 2015. He was Chief</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Age 57</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Financial Officer of Champion Industries, Inc., a commercial printer, business form manufacturer and supplier of</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Chief Accounting Officer</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office products and office furniture, from 1999 to April 2014, where his responsibilities included SEC reporting,</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Sarbanes-Oxley compliance, mergers &amp; acquisitions, corporate governance, risk management and debt negotiation.</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From 1997 to 1999, Mr. Fry served as Chief Financial Officer of Broughton Foods Company, where he led both the</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initial public offering and subsequent sale of the company. Mr. Fry served in various positions at Coopers &amp; Lybrand</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L.L.P. from 1991 to 1997. Mr. Fry holds a B.S. from The Ohio State University. Mr. Fry has served as a director of</w:t>
            </w:r>
          </w:p>
        </w:tc>
      </w:tr>
      <w:tr>
        <w:trPr>
          <w:trHeight w:val="218"/>
        </w:trPr>
        <w:tc>
          <w:tcPr>
            <w:tcW w:w="2100" w:type="dxa"/>
            <w:vAlign w:val="bottom"/>
            <w:tcBorders>
              <w:bottom w:val="single" w:sz="8" w:color="002060"/>
            </w:tcBorders>
            <w:shd w:val="clear" w:color="auto" w:fill="E5E5E5"/>
          </w:tcPr>
          <w:p>
            <w:pPr>
              <w:spacing w:after="0"/>
              <w:rPr>
                <w:sz w:val="18"/>
                <w:szCs w:val="18"/>
                <w:color w:val="auto"/>
              </w:rPr>
            </w:pPr>
          </w:p>
        </w:tc>
        <w:tc>
          <w:tcPr>
            <w:tcW w:w="5700" w:type="dxa"/>
            <w:vAlign w:val="bottom"/>
            <w:tcBorders>
              <w:bottom w:val="single" w:sz="8" w:color="002060"/>
            </w:tcBorders>
          </w:tcPr>
          <w:p>
            <w:pPr>
              <w:ind w:left="120"/>
              <w:spacing w:after="0"/>
              <w:rPr>
                <w:sz w:val="20"/>
                <w:szCs w:val="20"/>
                <w:color w:val="auto"/>
              </w:rPr>
            </w:pPr>
            <w:r>
              <w:rPr>
                <w:rFonts w:ascii="Arial" w:cs="Arial" w:eastAsia="Arial" w:hAnsi="Arial"/>
                <w:sz w:val="17"/>
                <w:szCs w:val="17"/>
                <w:color w:val="auto"/>
              </w:rPr>
              <w:t>Summit State Bank since 2000.</w:t>
            </w:r>
          </w:p>
        </w:tc>
        <w:tc>
          <w:tcPr>
            <w:tcW w:w="2760" w:type="dxa"/>
            <w:vAlign w:val="bottom"/>
            <w:tcBorders>
              <w:bottom w:val="single" w:sz="8" w:color="002060"/>
            </w:tcBorders>
          </w:tcPr>
          <w:p>
            <w:pPr>
              <w:spacing w:after="0"/>
              <w:rPr>
                <w:sz w:val="18"/>
                <w:szCs w:val="18"/>
                <w:color w:val="auto"/>
              </w:rPr>
            </w:pPr>
          </w:p>
        </w:tc>
        <w:tc>
          <w:tcPr>
            <w:tcW w:w="460" w:type="dxa"/>
            <w:vAlign w:val="bottom"/>
            <w:tcBorders>
              <w:bottom w:val="single" w:sz="8" w:color="002060"/>
            </w:tcBorders>
          </w:tcPr>
          <w:p>
            <w:pPr>
              <w:spacing w:after="0"/>
              <w:rPr>
                <w:sz w:val="18"/>
                <w:szCs w:val="18"/>
                <w:color w:val="auto"/>
              </w:rPr>
            </w:pPr>
          </w:p>
        </w:tc>
      </w:tr>
      <w:tr>
        <w:trPr>
          <w:trHeight w:val="167"/>
        </w:trPr>
        <w:tc>
          <w:tcPr>
            <w:tcW w:w="2100" w:type="dxa"/>
            <w:vAlign w:val="bottom"/>
            <w:shd w:val="clear" w:color="auto" w:fill="E5E5E5"/>
          </w:tcPr>
          <w:p>
            <w:pPr>
              <w:spacing w:after="0" w:line="167" w:lineRule="exact"/>
              <w:rPr>
                <w:sz w:val="20"/>
                <w:szCs w:val="20"/>
                <w:color w:val="auto"/>
              </w:rPr>
            </w:pPr>
            <w:r>
              <w:rPr>
                <w:rFonts w:ascii="Arial" w:cs="Arial" w:eastAsia="Arial" w:hAnsi="Arial"/>
                <w:sz w:val="17"/>
                <w:szCs w:val="17"/>
                <w:b w:val="1"/>
                <w:bCs w:val="1"/>
                <w:color w:val="0070C0"/>
              </w:rPr>
              <w:t>W. Jeffrey Hire</w:t>
            </w:r>
          </w:p>
        </w:tc>
        <w:tc>
          <w:tcPr>
            <w:tcW w:w="8920" w:type="dxa"/>
            <w:vAlign w:val="bottom"/>
            <w:gridSpan w:val="3"/>
          </w:tcPr>
          <w:p>
            <w:pPr>
              <w:ind w:left="120"/>
              <w:spacing w:after="0" w:line="167" w:lineRule="exact"/>
              <w:rPr>
                <w:sz w:val="20"/>
                <w:szCs w:val="20"/>
                <w:color w:val="auto"/>
              </w:rPr>
            </w:pPr>
            <w:r>
              <w:rPr>
                <w:rFonts w:ascii="Arial" w:cs="Arial" w:eastAsia="Arial" w:hAnsi="Arial"/>
                <w:sz w:val="17"/>
                <w:szCs w:val="17"/>
                <w:color w:val="auto"/>
              </w:rPr>
              <w:t>Mr. Hire joined the Company in 2008 and was named President of External Affairs in 2013. His responsibilities</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Age 71</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include working with our largest customers, our major suppliers and industry associations. Prior to joining us, from</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President of External</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1978 to 2008, Mr. Hire held numerous management positions at Owens Corning. From 2006 to 2008, he served as</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Affairs</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Director of Products and Programs for the Insulating Systems Business, developing product innovations and value-</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added customer programs. For 11 years prior to that, Mr. Hire was General Manager of the Insulation Contractor</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Segment of the Residential Insulation Division. He earned a B.S. in Philosophy from University of Mount Union in</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Alliance, Ohio and an M.B.A. specializing in General Management from The University of St. Thomas Opus College</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of Business in St. Paul, Minnesota. He serves on the Board of the Insulation Contractors Association of America,</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and has served twice as its President. Mr. Hire has served as a Committee Chairman for the North American</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Insulation Manufacturers Association. Mr. Hire received the Insulation Contractors Association of America’s “Key</w:t>
            </w:r>
          </w:p>
        </w:tc>
      </w:tr>
      <w:tr>
        <w:trPr>
          <w:trHeight w:val="245"/>
        </w:trPr>
        <w:tc>
          <w:tcPr>
            <w:tcW w:w="2100" w:type="dxa"/>
            <w:vAlign w:val="bottom"/>
            <w:tcBorders>
              <w:bottom w:val="single" w:sz="8" w:color="002060"/>
            </w:tcBorders>
            <w:shd w:val="clear" w:color="auto" w:fill="E5E5E5"/>
          </w:tcPr>
          <w:p>
            <w:pPr>
              <w:spacing w:after="0"/>
              <w:rPr>
                <w:sz w:val="21"/>
                <w:szCs w:val="21"/>
                <w:color w:val="auto"/>
              </w:rPr>
            </w:pPr>
          </w:p>
        </w:tc>
        <w:tc>
          <w:tcPr>
            <w:tcW w:w="5700" w:type="dxa"/>
            <w:vAlign w:val="bottom"/>
            <w:tcBorders>
              <w:bottom w:val="single" w:sz="8" w:color="002060"/>
            </w:tcBorders>
          </w:tcPr>
          <w:p>
            <w:pPr>
              <w:ind w:left="120"/>
              <w:spacing w:after="0"/>
              <w:rPr>
                <w:sz w:val="20"/>
                <w:szCs w:val="20"/>
                <w:color w:val="auto"/>
              </w:rPr>
            </w:pPr>
            <w:r>
              <w:rPr>
                <w:rFonts w:ascii="Arial" w:cs="Arial" w:eastAsia="Arial" w:hAnsi="Arial"/>
                <w:sz w:val="17"/>
                <w:szCs w:val="17"/>
                <w:color w:val="auto"/>
              </w:rPr>
              <w:t>Man” award for his leadership and dedication to the industry.</w:t>
            </w:r>
          </w:p>
        </w:tc>
        <w:tc>
          <w:tcPr>
            <w:tcW w:w="2760" w:type="dxa"/>
            <w:vAlign w:val="bottom"/>
            <w:tcBorders>
              <w:bottom w:val="single" w:sz="8" w:color="002060"/>
            </w:tcBorders>
          </w:tcPr>
          <w:p>
            <w:pPr>
              <w:spacing w:after="0"/>
              <w:rPr>
                <w:sz w:val="21"/>
                <w:szCs w:val="21"/>
                <w:color w:val="auto"/>
              </w:rPr>
            </w:pPr>
          </w:p>
        </w:tc>
        <w:tc>
          <w:tcPr>
            <w:tcW w:w="460" w:type="dxa"/>
            <w:vAlign w:val="bottom"/>
            <w:tcBorders>
              <w:bottom w:val="single" w:sz="8" w:color="002060"/>
            </w:tcBorders>
          </w:tcPr>
          <w:p>
            <w:pPr>
              <w:spacing w:after="0"/>
              <w:rPr>
                <w:sz w:val="21"/>
                <w:szCs w:val="21"/>
                <w:color w:val="auto"/>
              </w:rPr>
            </w:pPr>
          </w:p>
        </w:tc>
      </w:tr>
      <w:tr>
        <w:trPr>
          <w:trHeight w:val="149"/>
        </w:trPr>
        <w:tc>
          <w:tcPr>
            <w:tcW w:w="7800" w:type="dxa"/>
            <w:vAlign w:val="bottom"/>
            <w:gridSpan w:val="2"/>
          </w:tcPr>
          <w:p>
            <w:pPr>
              <w:spacing w:after="0"/>
              <w:rPr>
                <w:sz w:val="12"/>
                <w:szCs w:val="12"/>
                <w:color w:val="auto"/>
              </w:rPr>
            </w:pPr>
          </w:p>
        </w:tc>
        <w:tc>
          <w:tcPr>
            <w:tcW w:w="3220" w:type="dxa"/>
            <w:vAlign w:val="bottom"/>
            <w:gridSpan w:val="2"/>
          </w:tcPr>
          <w:p>
            <w:pPr>
              <w:spacing w:after="0"/>
              <w:rPr>
                <w:sz w:val="12"/>
                <w:szCs w:val="12"/>
                <w:color w:val="auto"/>
              </w:rPr>
            </w:pPr>
          </w:p>
        </w:tc>
      </w:tr>
      <w:tr>
        <w:trPr>
          <w:trHeight w:val="309"/>
        </w:trPr>
        <w:tc>
          <w:tcPr>
            <w:tcW w:w="7800" w:type="dxa"/>
            <w:vAlign w:val="bottom"/>
            <w:gridSpan w:val="2"/>
          </w:tcPr>
          <w:p>
            <w:pPr>
              <w:spacing w:after="0"/>
              <w:rPr>
                <w:sz w:val="20"/>
                <w:szCs w:val="20"/>
                <w:color w:val="auto"/>
              </w:rPr>
            </w:pPr>
            <w:r>
              <w:rPr>
                <w:rFonts w:ascii="Arial" w:cs="Arial" w:eastAsia="Arial" w:hAnsi="Arial"/>
                <w:sz w:val="16"/>
                <w:szCs w:val="16"/>
                <w:color w:val="002060"/>
              </w:rPr>
              <w:t>Executive Officers and Certain Significant Employees</w:t>
            </w:r>
          </w:p>
        </w:tc>
        <w:tc>
          <w:tcPr>
            <w:tcW w:w="2760" w:type="dxa"/>
            <w:vAlign w:val="bottom"/>
          </w:tcPr>
          <w:p>
            <w:pPr>
              <w:ind w:left="1040"/>
              <w:spacing w:after="0"/>
              <w:rPr>
                <w:sz w:val="20"/>
                <w:szCs w:val="20"/>
                <w:color w:val="auto"/>
              </w:rPr>
            </w:pPr>
            <w:r>
              <w:rPr>
                <w:rFonts w:ascii="Arial" w:cs="Arial" w:eastAsia="Arial" w:hAnsi="Arial"/>
                <w:sz w:val="16"/>
                <w:szCs w:val="16"/>
                <w:color w:val="002060"/>
              </w:rPr>
              <w:t>2023 Proxy Statement</w:t>
            </w:r>
          </w:p>
        </w:tc>
        <w:tc>
          <w:tcPr>
            <w:tcW w:w="460" w:type="dxa"/>
            <w:vAlign w:val="bottom"/>
            <w:shd w:val="clear" w:color="auto" w:fill="002060"/>
          </w:tcPr>
          <w:p>
            <w:pPr>
              <w:jc w:val="right"/>
              <w:ind w:right="59"/>
              <w:spacing w:after="0"/>
              <w:rPr>
                <w:sz w:val="20"/>
                <w:szCs w:val="20"/>
                <w:color w:val="auto"/>
              </w:rPr>
            </w:pPr>
            <w:r>
              <w:rPr>
                <w:rFonts w:ascii="Arial" w:cs="Arial" w:eastAsia="Arial" w:hAnsi="Arial"/>
                <w:sz w:val="16"/>
                <w:szCs w:val="16"/>
                <w:color w:val="FFFFFF"/>
              </w:rPr>
              <w:t>47</w:t>
            </w:r>
          </w:p>
        </w:tc>
      </w:tr>
      <w:tr>
        <w:trPr>
          <w:trHeight w:val="110"/>
        </w:trPr>
        <w:tc>
          <w:tcPr>
            <w:tcW w:w="2100" w:type="dxa"/>
            <w:vAlign w:val="bottom"/>
          </w:tcPr>
          <w:p>
            <w:pPr>
              <w:spacing w:after="0"/>
              <w:rPr>
                <w:sz w:val="9"/>
                <w:szCs w:val="9"/>
                <w:color w:val="auto"/>
              </w:rPr>
            </w:pPr>
          </w:p>
        </w:tc>
        <w:tc>
          <w:tcPr>
            <w:tcW w:w="57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460" w:type="dxa"/>
            <w:vAlign w:val="bottom"/>
            <w:shd w:val="clear" w:color="auto" w:fill="002060"/>
          </w:tcPr>
          <w:p>
            <w:pPr>
              <w:spacing w:after="0"/>
              <w:rPr>
                <w:sz w:val="9"/>
                <w:szCs w:val="9"/>
                <w:color w:val="auto"/>
              </w:rPr>
            </w:pPr>
          </w:p>
        </w:tc>
      </w:tr>
    </w:tbl>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2100" w:type="dxa"/>
            <w:vAlign w:val="bottom"/>
            <w:tcBorders>
              <w:top w:val="single" w:sz="8" w:color="002060"/>
            </w:tcBorders>
            <w:gridSpan w:val="2"/>
            <w:shd w:val="clear" w:color="auto" w:fill="E5E5E5"/>
          </w:tcPr>
          <w:p>
            <w:pPr>
              <w:spacing w:after="0" w:line="194" w:lineRule="exact"/>
              <w:rPr>
                <w:sz w:val="20"/>
                <w:szCs w:val="20"/>
                <w:color w:val="auto"/>
              </w:rPr>
            </w:pPr>
            <w:r>
              <w:rPr>
                <w:rFonts w:ascii="Arial" w:cs="Arial" w:eastAsia="Arial" w:hAnsi="Arial"/>
                <w:sz w:val="17"/>
                <w:szCs w:val="17"/>
                <w:b w:val="1"/>
                <w:bCs w:val="1"/>
                <w:color w:val="0070C0"/>
              </w:rPr>
              <w:t>Jason R. Niswonger</w:t>
            </w:r>
          </w:p>
        </w:tc>
        <w:tc>
          <w:tcPr>
            <w:tcW w:w="80" w:type="dxa"/>
            <w:vAlign w:val="bottom"/>
            <w:tcBorders>
              <w:top w:val="single" w:sz="8" w:color="002060"/>
            </w:tcBorders>
          </w:tcPr>
          <w:p>
            <w:pPr>
              <w:spacing w:after="0"/>
              <w:rPr>
                <w:sz w:val="16"/>
                <w:szCs w:val="16"/>
                <w:color w:val="auto"/>
              </w:rPr>
            </w:pPr>
          </w:p>
        </w:tc>
        <w:tc>
          <w:tcPr>
            <w:tcW w:w="8840" w:type="dxa"/>
            <w:vAlign w:val="bottom"/>
            <w:tcBorders>
              <w:top w:val="single" w:sz="8" w:color="002060"/>
            </w:tcBorders>
          </w:tcPr>
          <w:p>
            <w:pPr>
              <w:ind w:left="40"/>
              <w:spacing w:after="0" w:line="194" w:lineRule="exact"/>
              <w:rPr>
                <w:sz w:val="20"/>
                <w:szCs w:val="20"/>
                <w:color w:val="auto"/>
              </w:rPr>
            </w:pPr>
            <w:r>
              <w:rPr>
                <w:rFonts w:ascii="Arial" w:cs="Arial" w:eastAsia="Arial" w:hAnsi="Arial"/>
                <w:sz w:val="17"/>
                <w:szCs w:val="17"/>
                <w:color w:val="auto"/>
              </w:rPr>
              <w:t>Mr. Niswonger has been our Chief Administrative and Sustainability Officer since March 1, 2022. Previously</w:t>
            </w:r>
          </w:p>
        </w:tc>
      </w:tr>
      <w:tr>
        <w:trPr>
          <w:trHeight w:val="189"/>
        </w:trPr>
        <w:tc>
          <w:tcPr>
            <w:tcW w:w="2100" w:type="dxa"/>
            <w:vAlign w:val="bottom"/>
            <w:gridSpan w:val="2"/>
            <w:shd w:val="clear" w:color="auto" w:fill="E5E5E5"/>
          </w:tcPr>
          <w:p>
            <w:pPr>
              <w:spacing w:after="0" w:line="189" w:lineRule="exact"/>
              <w:rPr>
                <w:sz w:val="20"/>
                <w:szCs w:val="20"/>
                <w:color w:val="auto"/>
              </w:rPr>
            </w:pPr>
            <w:r>
              <w:rPr>
                <w:rFonts w:ascii="Arial" w:cs="Arial" w:eastAsia="Arial" w:hAnsi="Arial"/>
                <w:sz w:val="17"/>
                <w:szCs w:val="17"/>
                <w:color w:val="auto"/>
              </w:rPr>
              <w:t>Age 50</w:t>
            </w: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Mr. Niswonger served as our Senior Vice President, Finance and Investor Relations from March 2015 to February</w:t>
            </w:r>
          </w:p>
        </w:tc>
      </w:tr>
      <w:tr>
        <w:trPr>
          <w:trHeight w:val="189"/>
        </w:trPr>
        <w:tc>
          <w:tcPr>
            <w:tcW w:w="2100" w:type="dxa"/>
            <w:vAlign w:val="bottom"/>
            <w:gridSpan w:val="2"/>
            <w:shd w:val="clear" w:color="auto" w:fill="E5E5E5"/>
          </w:tcPr>
          <w:p>
            <w:pPr>
              <w:spacing w:after="0" w:line="189" w:lineRule="exact"/>
              <w:rPr>
                <w:sz w:val="20"/>
                <w:szCs w:val="20"/>
                <w:color w:val="auto"/>
              </w:rPr>
            </w:pPr>
            <w:r>
              <w:rPr>
                <w:rFonts w:ascii="Arial" w:cs="Arial" w:eastAsia="Arial" w:hAnsi="Arial"/>
                <w:sz w:val="17"/>
                <w:szCs w:val="17"/>
                <w:color w:val="auto"/>
              </w:rPr>
              <w:t>Chief Administrative and</w:t>
            </w: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2022 and our Director of Investor Relations from January 2014 until March 2015. Prior to joining the Company, he</w:t>
            </w:r>
          </w:p>
        </w:tc>
      </w:tr>
      <w:tr>
        <w:trPr>
          <w:trHeight w:val="189"/>
        </w:trPr>
        <w:tc>
          <w:tcPr>
            <w:tcW w:w="2100" w:type="dxa"/>
            <w:vAlign w:val="bottom"/>
            <w:gridSpan w:val="2"/>
            <w:shd w:val="clear" w:color="auto" w:fill="E5E5E5"/>
          </w:tcPr>
          <w:p>
            <w:pPr>
              <w:spacing w:after="0" w:line="189" w:lineRule="exact"/>
              <w:rPr>
                <w:sz w:val="20"/>
                <w:szCs w:val="20"/>
                <w:color w:val="auto"/>
              </w:rPr>
            </w:pPr>
            <w:r>
              <w:rPr>
                <w:rFonts w:ascii="Arial" w:cs="Arial" w:eastAsia="Arial" w:hAnsi="Arial"/>
                <w:sz w:val="17"/>
                <w:szCs w:val="17"/>
                <w:color w:val="auto"/>
              </w:rPr>
              <w:t>Sustainability Officer</w:t>
            </w: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served from 2011 to 2013 as the Director, Financial Reporting for Edwards Industries, a national property</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development and management company. From 2006 to 2011, Mr. Niswonger held multiple positions, including the</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Director, Finance for the Seating Systems Division of Commercial Vehicle Group, Inc., a supplier of integrated</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system solutions for the global commercial vehicle market. From 2004 to 2006, he was the Director, Financial</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Reporting for Installed Building Products, LLC. Prior to joining Installed Building Products, LLC, Mr. Niswonger</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served as the Director of Global Accounting and Financial Reporting at Sterling Commerce, Inc., a global provider of</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EDI services, B2B integration software solutions and consulting, where he worked from 2000 to 2004. Prior to</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joining Sterling, he held positions in financial reporting at Express, a division of The Limited, and Exel Logistics.</w:t>
            </w:r>
          </w:p>
        </w:tc>
      </w:tr>
      <w:tr>
        <w:trPr>
          <w:trHeight w:val="245"/>
        </w:trPr>
        <w:tc>
          <w:tcPr>
            <w:tcW w:w="440" w:type="dxa"/>
            <w:vAlign w:val="bottom"/>
            <w:tcBorders>
              <w:bottom w:val="single" w:sz="8" w:color="002060"/>
            </w:tcBorders>
            <w:shd w:val="clear" w:color="auto" w:fill="E5E5E5"/>
          </w:tcPr>
          <w:p>
            <w:pPr>
              <w:spacing w:after="0"/>
              <w:rPr>
                <w:sz w:val="21"/>
                <w:szCs w:val="21"/>
                <w:color w:val="auto"/>
              </w:rPr>
            </w:pPr>
          </w:p>
        </w:tc>
        <w:tc>
          <w:tcPr>
            <w:tcW w:w="1660" w:type="dxa"/>
            <w:vAlign w:val="bottom"/>
            <w:tcBorders>
              <w:bottom w:val="single" w:sz="8" w:color="002060"/>
            </w:tcBorders>
            <w:shd w:val="clear" w:color="auto" w:fill="E5E5E5"/>
          </w:tcPr>
          <w:p>
            <w:pPr>
              <w:spacing w:after="0"/>
              <w:rPr>
                <w:sz w:val="21"/>
                <w:szCs w:val="21"/>
                <w:color w:val="auto"/>
              </w:rPr>
            </w:pPr>
          </w:p>
        </w:tc>
        <w:tc>
          <w:tcPr>
            <w:tcW w:w="80" w:type="dxa"/>
            <w:vAlign w:val="bottom"/>
            <w:tcBorders>
              <w:bottom w:val="single" w:sz="8" w:color="002060"/>
            </w:tcBorders>
          </w:tcPr>
          <w:p>
            <w:pPr>
              <w:spacing w:after="0"/>
              <w:rPr>
                <w:sz w:val="21"/>
                <w:szCs w:val="21"/>
                <w:color w:val="auto"/>
              </w:rPr>
            </w:pPr>
          </w:p>
        </w:tc>
        <w:tc>
          <w:tcPr>
            <w:tcW w:w="8840" w:type="dxa"/>
            <w:vAlign w:val="bottom"/>
            <w:tcBorders>
              <w:bottom w:val="single" w:sz="8" w:color="002060"/>
            </w:tcBorders>
          </w:tcPr>
          <w:p>
            <w:pPr>
              <w:ind w:left="40"/>
              <w:spacing w:after="0"/>
              <w:rPr>
                <w:sz w:val="20"/>
                <w:szCs w:val="20"/>
                <w:color w:val="auto"/>
              </w:rPr>
            </w:pPr>
            <w:r>
              <w:rPr>
                <w:rFonts w:ascii="Arial" w:cs="Arial" w:eastAsia="Arial" w:hAnsi="Arial"/>
                <w:sz w:val="17"/>
                <w:szCs w:val="17"/>
                <w:color w:val="auto"/>
              </w:rPr>
              <w:t>Mr. Niswonger earned an M.B.A. from Otterbein College and a B.A. from Ohio University.</w:t>
            </w:r>
          </w:p>
        </w:tc>
      </w:tr>
      <w:tr>
        <w:trPr>
          <w:trHeight w:val="439"/>
        </w:trPr>
        <w:tc>
          <w:tcPr>
            <w:tcW w:w="11020" w:type="dxa"/>
            <w:vAlign w:val="bottom"/>
            <w:tcBorders>
              <w:bottom w:val="single" w:sz="8" w:color="002060"/>
            </w:tcBorders>
            <w:gridSpan w:val="4"/>
          </w:tcPr>
          <w:p>
            <w:pPr>
              <w:spacing w:after="0"/>
              <w:rPr>
                <w:sz w:val="20"/>
                <w:szCs w:val="20"/>
                <w:color w:val="auto"/>
              </w:rPr>
            </w:pPr>
            <w:r>
              <w:rPr>
                <w:rFonts w:ascii="Arial" w:cs="Arial" w:eastAsia="Arial" w:hAnsi="Arial"/>
                <w:sz w:val="18"/>
                <w:szCs w:val="18"/>
                <w:i w:val="1"/>
                <w:iCs w:val="1"/>
                <w:color w:val="002060"/>
              </w:rPr>
              <w:t>Certain Significant Employees</w:t>
            </w:r>
          </w:p>
        </w:tc>
      </w:tr>
      <w:tr>
        <w:trPr>
          <w:trHeight w:val="167"/>
        </w:trPr>
        <w:tc>
          <w:tcPr>
            <w:tcW w:w="2100" w:type="dxa"/>
            <w:vAlign w:val="bottom"/>
            <w:gridSpan w:val="2"/>
            <w:shd w:val="clear" w:color="auto" w:fill="E5E5E5"/>
          </w:tcPr>
          <w:p>
            <w:pPr>
              <w:spacing w:after="0" w:line="167" w:lineRule="exact"/>
              <w:rPr>
                <w:sz w:val="20"/>
                <w:szCs w:val="20"/>
                <w:color w:val="auto"/>
              </w:rPr>
            </w:pPr>
            <w:r>
              <w:rPr>
                <w:rFonts w:ascii="Arial" w:cs="Arial" w:eastAsia="Arial" w:hAnsi="Arial"/>
                <w:sz w:val="17"/>
                <w:szCs w:val="17"/>
                <w:b w:val="1"/>
                <w:bCs w:val="1"/>
                <w:color w:val="0070C0"/>
              </w:rPr>
              <w:t>Randy Hall</w:t>
            </w:r>
          </w:p>
        </w:tc>
        <w:tc>
          <w:tcPr>
            <w:tcW w:w="80" w:type="dxa"/>
            <w:vAlign w:val="bottom"/>
          </w:tcPr>
          <w:p>
            <w:pPr>
              <w:spacing w:after="0"/>
              <w:rPr>
                <w:sz w:val="14"/>
                <w:szCs w:val="14"/>
                <w:color w:val="auto"/>
              </w:rPr>
            </w:pPr>
          </w:p>
        </w:tc>
        <w:tc>
          <w:tcPr>
            <w:tcW w:w="8840" w:type="dxa"/>
            <w:vAlign w:val="bottom"/>
          </w:tcPr>
          <w:p>
            <w:pPr>
              <w:ind w:left="40"/>
              <w:spacing w:after="0" w:line="167" w:lineRule="exact"/>
              <w:rPr>
                <w:sz w:val="20"/>
                <w:szCs w:val="20"/>
                <w:color w:val="auto"/>
              </w:rPr>
            </w:pPr>
            <w:r>
              <w:rPr>
                <w:rFonts w:ascii="Arial" w:cs="Arial" w:eastAsia="Arial" w:hAnsi="Arial"/>
                <w:sz w:val="17"/>
                <w:szCs w:val="17"/>
                <w:color w:val="auto"/>
              </w:rPr>
              <w:t>Mr. Hall has been President of Aster Contractors Holdings, LLC, one of our subsidiaries, since October 2020.</w:t>
            </w:r>
          </w:p>
        </w:tc>
      </w:tr>
      <w:tr>
        <w:trPr>
          <w:trHeight w:val="189"/>
        </w:trPr>
        <w:tc>
          <w:tcPr>
            <w:tcW w:w="2100" w:type="dxa"/>
            <w:vAlign w:val="bottom"/>
            <w:gridSpan w:val="2"/>
            <w:shd w:val="clear" w:color="auto" w:fill="E5E5E5"/>
          </w:tcPr>
          <w:p>
            <w:pPr>
              <w:spacing w:after="0" w:line="189" w:lineRule="exact"/>
              <w:rPr>
                <w:sz w:val="20"/>
                <w:szCs w:val="20"/>
                <w:color w:val="auto"/>
              </w:rPr>
            </w:pPr>
            <w:r>
              <w:rPr>
                <w:rFonts w:ascii="Arial" w:cs="Arial" w:eastAsia="Arial" w:hAnsi="Arial"/>
                <w:sz w:val="17"/>
                <w:szCs w:val="17"/>
                <w:color w:val="auto"/>
              </w:rPr>
              <w:t>Age 61</w:t>
            </w: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Mr. Hall joined the Company in 1995 and has held a number of positions, including regional manager (January 2017</w:t>
            </w:r>
          </w:p>
        </w:tc>
      </w:tr>
      <w:tr>
        <w:trPr>
          <w:trHeight w:val="189"/>
        </w:trPr>
        <w:tc>
          <w:tcPr>
            <w:tcW w:w="2100" w:type="dxa"/>
            <w:vAlign w:val="bottom"/>
            <w:gridSpan w:val="2"/>
            <w:shd w:val="clear" w:color="auto" w:fill="E5E5E5"/>
          </w:tcPr>
          <w:p>
            <w:pPr>
              <w:spacing w:after="0" w:line="189" w:lineRule="exact"/>
              <w:rPr>
                <w:sz w:val="20"/>
                <w:szCs w:val="20"/>
                <w:color w:val="auto"/>
              </w:rPr>
            </w:pPr>
            <w:r>
              <w:rPr>
                <w:rFonts w:ascii="Arial" w:cs="Arial" w:eastAsia="Arial" w:hAnsi="Arial"/>
                <w:sz w:val="17"/>
                <w:szCs w:val="17"/>
                <w:color w:val="auto"/>
              </w:rPr>
              <w:t>President, Aster</w:t>
            </w: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—October 2020), regional operations performance manager (May 2016- January 2017), manager of our</w:t>
            </w:r>
          </w:p>
        </w:tc>
      </w:tr>
      <w:tr>
        <w:trPr>
          <w:trHeight w:val="189"/>
        </w:trPr>
        <w:tc>
          <w:tcPr>
            <w:tcW w:w="2100" w:type="dxa"/>
            <w:vAlign w:val="bottom"/>
            <w:gridSpan w:val="2"/>
            <w:shd w:val="clear" w:color="auto" w:fill="E5E5E5"/>
          </w:tcPr>
          <w:p>
            <w:pPr>
              <w:spacing w:after="0" w:line="189" w:lineRule="exact"/>
              <w:rPr>
                <w:sz w:val="20"/>
                <w:szCs w:val="20"/>
                <w:color w:val="auto"/>
              </w:rPr>
            </w:pPr>
            <w:r>
              <w:rPr>
                <w:rFonts w:ascii="Arial" w:cs="Arial" w:eastAsia="Arial" w:hAnsi="Arial"/>
                <w:sz w:val="17"/>
                <w:szCs w:val="17"/>
                <w:color w:val="auto"/>
              </w:rPr>
              <w:t>Contractors Holdings, LLC</w:t>
            </w: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Cornerstone Energy Conservation Service operations and manager of our Edwards/Mooney &amp; Moses branch</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operations. Prior to joining the Company, Mr. Hall served as the Vice President of Operations and Vice President of</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Finance at Pipeliner Systems, Inc., and as an accountant at Bolon, Hart &amp; Buehler, Inc. He received a B.S. in</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Accounting from Franklin University in Columbus, Ohio. Mr. Hall is a current member of RESNET, the Central Ohio</w:t>
            </w:r>
          </w:p>
        </w:tc>
      </w:tr>
      <w:tr>
        <w:trPr>
          <w:trHeight w:val="245"/>
        </w:trPr>
        <w:tc>
          <w:tcPr>
            <w:tcW w:w="440" w:type="dxa"/>
            <w:vAlign w:val="bottom"/>
            <w:tcBorders>
              <w:bottom w:val="single" w:sz="8" w:color="002060"/>
            </w:tcBorders>
            <w:shd w:val="clear" w:color="auto" w:fill="E5E5E5"/>
          </w:tcPr>
          <w:p>
            <w:pPr>
              <w:spacing w:after="0"/>
              <w:rPr>
                <w:sz w:val="21"/>
                <w:szCs w:val="21"/>
                <w:color w:val="auto"/>
              </w:rPr>
            </w:pPr>
          </w:p>
        </w:tc>
        <w:tc>
          <w:tcPr>
            <w:tcW w:w="1660" w:type="dxa"/>
            <w:vAlign w:val="bottom"/>
            <w:tcBorders>
              <w:bottom w:val="single" w:sz="8" w:color="002060"/>
            </w:tcBorders>
            <w:shd w:val="clear" w:color="auto" w:fill="E5E5E5"/>
          </w:tcPr>
          <w:p>
            <w:pPr>
              <w:spacing w:after="0"/>
              <w:rPr>
                <w:sz w:val="21"/>
                <w:szCs w:val="21"/>
                <w:color w:val="auto"/>
              </w:rPr>
            </w:pPr>
          </w:p>
        </w:tc>
        <w:tc>
          <w:tcPr>
            <w:tcW w:w="80" w:type="dxa"/>
            <w:vAlign w:val="bottom"/>
            <w:tcBorders>
              <w:bottom w:val="single" w:sz="8" w:color="002060"/>
            </w:tcBorders>
          </w:tcPr>
          <w:p>
            <w:pPr>
              <w:spacing w:after="0"/>
              <w:rPr>
                <w:sz w:val="21"/>
                <w:szCs w:val="21"/>
                <w:color w:val="auto"/>
              </w:rPr>
            </w:pPr>
          </w:p>
        </w:tc>
        <w:tc>
          <w:tcPr>
            <w:tcW w:w="8840" w:type="dxa"/>
            <w:vAlign w:val="bottom"/>
            <w:tcBorders>
              <w:bottom w:val="single" w:sz="8" w:color="002060"/>
            </w:tcBorders>
          </w:tcPr>
          <w:p>
            <w:pPr>
              <w:ind w:left="40"/>
              <w:spacing w:after="0"/>
              <w:rPr>
                <w:sz w:val="20"/>
                <w:szCs w:val="20"/>
                <w:color w:val="auto"/>
              </w:rPr>
            </w:pPr>
            <w:r>
              <w:rPr>
                <w:rFonts w:ascii="Arial" w:cs="Arial" w:eastAsia="Arial" w:hAnsi="Arial"/>
                <w:sz w:val="17"/>
                <w:szCs w:val="17"/>
                <w:color w:val="auto"/>
              </w:rPr>
              <w:t>Green Building Initiative and Building Industry Association of Central Ohio.</w:t>
            </w:r>
          </w:p>
        </w:tc>
      </w:tr>
      <w:tr>
        <w:trPr>
          <w:trHeight w:val="167"/>
        </w:trPr>
        <w:tc>
          <w:tcPr>
            <w:tcW w:w="2100" w:type="dxa"/>
            <w:vAlign w:val="bottom"/>
            <w:gridSpan w:val="2"/>
            <w:shd w:val="clear" w:color="auto" w:fill="E5E5E5"/>
          </w:tcPr>
          <w:p>
            <w:pPr>
              <w:spacing w:after="0" w:line="167" w:lineRule="exact"/>
              <w:rPr>
                <w:sz w:val="20"/>
                <w:szCs w:val="20"/>
                <w:color w:val="auto"/>
              </w:rPr>
            </w:pPr>
            <w:r>
              <w:rPr>
                <w:rFonts w:ascii="Arial" w:cs="Arial" w:eastAsia="Arial" w:hAnsi="Arial"/>
                <w:sz w:val="17"/>
                <w:szCs w:val="17"/>
                <w:b w:val="1"/>
                <w:bCs w:val="1"/>
                <w:color w:val="0070C0"/>
              </w:rPr>
              <w:t>William W. Jenkins</w:t>
            </w:r>
          </w:p>
        </w:tc>
        <w:tc>
          <w:tcPr>
            <w:tcW w:w="80" w:type="dxa"/>
            <w:vAlign w:val="bottom"/>
          </w:tcPr>
          <w:p>
            <w:pPr>
              <w:spacing w:after="0"/>
              <w:rPr>
                <w:sz w:val="14"/>
                <w:szCs w:val="14"/>
                <w:color w:val="auto"/>
              </w:rPr>
            </w:pPr>
          </w:p>
        </w:tc>
        <w:tc>
          <w:tcPr>
            <w:tcW w:w="8840" w:type="dxa"/>
            <w:vAlign w:val="bottom"/>
          </w:tcPr>
          <w:p>
            <w:pPr>
              <w:ind w:left="40"/>
              <w:spacing w:after="0" w:line="167" w:lineRule="exact"/>
              <w:rPr>
                <w:sz w:val="20"/>
                <w:szCs w:val="20"/>
                <w:color w:val="auto"/>
              </w:rPr>
            </w:pPr>
            <w:r>
              <w:rPr>
                <w:rFonts w:ascii="Arial" w:cs="Arial" w:eastAsia="Arial" w:hAnsi="Arial"/>
                <w:sz w:val="17"/>
                <w:szCs w:val="17"/>
                <w:color w:val="auto"/>
              </w:rPr>
              <w:t>Mr. Jenkins has been our Senior Vice President, Purchasing and Supply Chain since March 2015 and served as our</w:t>
            </w:r>
          </w:p>
        </w:tc>
      </w:tr>
      <w:tr>
        <w:trPr>
          <w:trHeight w:val="189"/>
        </w:trPr>
        <w:tc>
          <w:tcPr>
            <w:tcW w:w="2100" w:type="dxa"/>
            <w:vAlign w:val="bottom"/>
            <w:gridSpan w:val="2"/>
            <w:shd w:val="clear" w:color="auto" w:fill="E5E5E5"/>
          </w:tcPr>
          <w:p>
            <w:pPr>
              <w:spacing w:after="0" w:line="189" w:lineRule="exact"/>
              <w:rPr>
                <w:sz w:val="20"/>
                <w:szCs w:val="20"/>
                <w:color w:val="auto"/>
              </w:rPr>
            </w:pPr>
            <w:r>
              <w:rPr>
                <w:rFonts w:ascii="Arial" w:cs="Arial" w:eastAsia="Arial" w:hAnsi="Arial"/>
                <w:sz w:val="17"/>
                <w:szCs w:val="17"/>
                <w:color w:val="auto"/>
              </w:rPr>
              <w:t>Age 66</w:t>
            </w: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Director of Internal Audit from September 2013 until March 2015. From 2011 to 2013, he served as a Regional</w:t>
            </w:r>
          </w:p>
        </w:tc>
      </w:tr>
      <w:tr>
        <w:trPr>
          <w:trHeight w:val="189"/>
        </w:trPr>
        <w:tc>
          <w:tcPr>
            <w:tcW w:w="2100" w:type="dxa"/>
            <w:vAlign w:val="bottom"/>
            <w:gridSpan w:val="2"/>
            <w:shd w:val="clear" w:color="auto" w:fill="E5E5E5"/>
          </w:tcPr>
          <w:p>
            <w:pPr>
              <w:spacing w:after="0" w:line="189" w:lineRule="exact"/>
              <w:rPr>
                <w:sz w:val="20"/>
                <w:szCs w:val="20"/>
                <w:color w:val="auto"/>
              </w:rPr>
            </w:pPr>
            <w:r>
              <w:rPr>
                <w:rFonts w:ascii="Arial" w:cs="Arial" w:eastAsia="Arial" w:hAnsi="Arial"/>
                <w:sz w:val="17"/>
                <w:szCs w:val="17"/>
                <w:color w:val="auto"/>
              </w:rPr>
              <w:t>Senior Vice President,</w:t>
            </w: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President and served as our President from 1998 to 2011. Prior to joining the Company, Mr. Jenkins held senior</w:t>
            </w:r>
          </w:p>
        </w:tc>
      </w:tr>
      <w:tr>
        <w:trPr>
          <w:trHeight w:val="189"/>
        </w:trPr>
        <w:tc>
          <w:tcPr>
            <w:tcW w:w="2100" w:type="dxa"/>
            <w:vAlign w:val="bottom"/>
            <w:gridSpan w:val="2"/>
            <w:shd w:val="clear" w:color="auto" w:fill="E5E5E5"/>
          </w:tcPr>
          <w:p>
            <w:pPr>
              <w:spacing w:after="0" w:line="189" w:lineRule="exact"/>
              <w:rPr>
                <w:sz w:val="20"/>
                <w:szCs w:val="20"/>
                <w:color w:val="auto"/>
              </w:rPr>
            </w:pPr>
            <w:r>
              <w:rPr>
                <w:rFonts w:ascii="Arial" w:cs="Arial" w:eastAsia="Arial" w:hAnsi="Arial"/>
                <w:sz w:val="17"/>
                <w:szCs w:val="17"/>
                <w:color w:val="auto"/>
              </w:rPr>
              <w:t>Purchasing and</w:t>
            </w: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management positions with Midwest Wholesale Building Materials, a building products wholesaler and BuyOhio</w:t>
            </w:r>
          </w:p>
        </w:tc>
      </w:tr>
      <w:tr>
        <w:trPr>
          <w:trHeight w:val="189"/>
        </w:trPr>
        <w:tc>
          <w:tcPr>
            <w:tcW w:w="2100" w:type="dxa"/>
            <w:vAlign w:val="bottom"/>
            <w:gridSpan w:val="2"/>
            <w:shd w:val="clear" w:color="auto" w:fill="E5E5E5"/>
          </w:tcPr>
          <w:p>
            <w:pPr>
              <w:spacing w:after="0" w:line="189" w:lineRule="exact"/>
              <w:rPr>
                <w:sz w:val="20"/>
                <w:szCs w:val="20"/>
                <w:color w:val="auto"/>
              </w:rPr>
            </w:pPr>
            <w:r>
              <w:rPr>
                <w:rFonts w:ascii="Arial" w:cs="Arial" w:eastAsia="Arial" w:hAnsi="Arial"/>
                <w:sz w:val="17"/>
                <w:szCs w:val="17"/>
                <w:color w:val="auto"/>
              </w:rPr>
              <w:t>Supply Chain</w:t>
            </w: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Realtors. Mr. Jenkins began his career with Ernst &amp; Young LLP, where he progressed to become a Senior</w:t>
            </w:r>
          </w:p>
        </w:tc>
      </w:tr>
      <w:tr>
        <w:trPr>
          <w:trHeight w:val="245"/>
        </w:trPr>
        <w:tc>
          <w:tcPr>
            <w:tcW w:w="440" w:type="dxa"/>
            <w:vAlign w:val="bottom"/>
            <w:tcBorders>
              <w:bottom w:val="single" w:sz="8" w:color="002060"/>
            </w:tcBorders>
            <w:shd w:val="clear" w:color="auto" w:fill="E5E5E5"/>
          </w:tcPr>
          <w:p>
            <w:pPr>
              <w:spacing w:after="0"/>
              <w:rPr>
                <w:sz w:val="21"/>
                <w:szCs w:val="21"/>
                <w:color w:val="auto"/>
              </w:rPr>
            </w:pPr>
          </w:p>
        </w:tc>
        <w:tc>
          <w:tcPr>
            <w:tcW w:w="1660" w:type="dxa"/>
            <w:vAlign w:val="bottom"/>
            <w:tcBorders>
              <w:bottom w:val="single" w:sz="8" w:color="002060"/>
            </w:tcBorders>
            <w:shd w:val="clear" w:color="auto" w:fill="E5E5E5"/>
          </w:tcPr>
          <w:p>
            <w:pPr>
              <w:spacing w:after="0"/>
              <w:rPr>
                <w:sz w:val="21"/>
                <w:szCs w:val="21"/>
                <w:color w:val="auto"/>
              </w:rPr>
            </w:pPr>
          </w:p>
        </w:tc>
        <w:tc>
          <w:tcPr>
            <w:tcW w:w="80" w:type="dxa"/>
            <w:vAlign w:val="bottom"/>
            <w:tcBorders>
              <w:bottom w:val="single" w:sz="8" w:color="002060"/>
            </w:tcBorders>
          </w:tcPr>
          <w:p>
            <w:pPr>
              <w:spacing w:after="0"/>
              <w:rPr>
                <w:sz w:val="21"/>
                <w:szCs w:val="21"/>
                <w:color w:val="auto"/>
              </w:rPr>
            </w:pPr>
          </w:p>
        </w:tc>
        <w:tc>
          <w:tcPr>
            <w:tcW w:w="8840" w:type="dxa"/>
            <w:vAlign w:val="bottom"/>
            <w:tcBorders>
              <w:bottom w:val="single" w:sz="8" w:color="002060"/>
            </w:tcBorders>
          </w:tcPr>
          <w:p>
            <w:pPr>
              <w:ind w:left="40"/>
              <w:spacing w:after="0"/>
              <w:rPr>
                <w:sz w:val="20"/>
                <w:szCs w:val="20"/>
                <w:color w:val="auto"/>
              </w:rPr>
            </w:pPr>
            <w:r>
              <w:rPr>
                <w:rFonts w:ascii="Arial" w:cs="Arial" w:eastAsia="Arial" w:hAnsi="Arial"/>
                <w:sz w:val="17"/>
                <w:szCs w:val="17"/>
                <w:color w:val="auto"/>
              </w:rPr>
              <w:t>Manager. He graduated from The Ohio State University with a B.S. and became a licensed CPA in the State of Ohio.</w:t>
            </w:r>
          </w:p>
        </w:tc>
      </w:tr>
      <w:tr>
        <w:trPr>
          <w:trHeight w:val="167"/>
        </w:trPr>
        <w:tc>
          <w:tcPr>
            <w:tcW w:w="2100" w:type="dxa"/>
            <w:vAlign w:val="bottom"/>
            <w:gridSpan w:val="2"/>
            <w:shd w:val="clear" w:color="auto" w:fill="E5E5E5"/>
          </w:tcPr>
          <w:p>
            <w:pPr>
              <w:spacing w:after="0" w:line="167" w:lineRule="exact"/>
              <w:rPr>
                <w:sz w:val="20"/>
                <w:szCs w:val="20"/>
                <w:color w:val="auto"/>
              </w:rPr>
            </w:pPr>
            <w:r>
              <w:rPr>
                <w:rFonts w:ascii="Arial" w:cs="Arial" w:eastAsia="Arial" w:hAnsi="Arial"/>
                <w:sz w:val="17"/>
                <w:szCs w:val="17"/>
                <w:b w:val="1"/>
                <w:bCs w:val="1"/>
                <w:color w:val="0070C0"/>
              </w:rPr>
              <w:t>R. Scott Jenkins</w:t>
            </w:r>
          </w:p>
        </w:tc>
        <w:tc>
          <w:tcPr>
            <w:tcW w:w="80" w:type="dxa"/>
            <w:vAlign w:val="bottom"/>
          </w:tcPr>
          <w:p>
            <w:pPr>
              <w:spacing w:after="0"/>
              <w:rPr>
                <w:sz w:val="14"/>
                <w:szCs w:val="14"/>
                <w:color w:val="auto"/>
              </w:rPr>
            </w:pPr>
          </w:p>
        </w:tc>
        <w:tc>
          <w:tcPr>
            <w:tcW w:w="8840" w:type="dxa"/>
            <w:vAlign w:val="bottom"/>
          </w:tcPr>
          <w:p>
            <w:pPr>
              <w:ind w:left="40"/>
              <w:spacing w:after="0" w:line="167" w:lineRule="exact"/>
              <w:rPr>
                <w:sz w:val="20"/>
                <w:szCs w:val="20"/>
                <w:color w:val="auto"/>
              </w:rPr>
            </w:pPr>
            <w:r>
              <w:rPr>
                <w:rFonts w:ascii="Arial" w:cs="Arial" w:eastAsia="Arial" w:hAnsi="Arial"/>
                <w:sz w:val="17"/>
                <w:szCs w:val="17"/>
                <w:color w:val="auto"/>
              </w:rPr>
              <w:t>Mr. Jenkins has been a Regional President since 2006 when we acquired OJ Insulation, Inc., which he co-founded</w:t>
            </w:r>
          </w:p>
        </w:tc>
      </w:tr>
      <w:tr>
        <w:trPr>
          <w:trHeight w:val="189"/>
        </w:trPr>
        <w:tc>
          <w:tcPr>
            <w:tcW w:w="2100" w:type="dxa"/>
            <w:vAlign w:val="bottom"/>
            <w:gridSpan w:val="2"/>
            <w:shd w:val="clear" w:color="auto" w:fill="E5E5E5"/>
          </w:tcPr>
          <w:p>
            <w:pPr>
              <w:spacing w:after="0" w:line="189" w:lineRule="exact"/>
              <w:rPr>
                <w:sz w:val="20"/>
                <w:szCs w:val="20"/>
                <w:color w:val="auto"/>
              </w:rPr>
            </w:pPr>
            <w:r>
              <w:rPr>
                <w:rFonts w:ascii="Arial" w:cs="Arial" w:eastAsia="Arial" w:hAnsi="Arial"/>
                <w:sz w:val="17"/>
                <w:szCs w:val="17"/>
                <w:color w:val="auto"/>
              </w:rPr>
              <w:t>Age 67</w:t>
            </w: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in 1984. Since joining us, Mr. Jenkins has been responsible for the management of operations in several states,</w:t>
            </w:r>
          </w:p>
        </w:tc>
      </w:tr>
      <w:tr>
        <w:trPr>
          <w:trHeight w:val="189"/>
        </w:trPr>
        <w:tc>
          <w:tcPr>
            <w:tcW w:w="2100" w:type="dxa"/>
            <w:vAlign w:val="bottom"/>
            <w:gridSpan w:val="2"/>
            <w:shd w:val="clear" w:color="auto" w:fill="E5E5E5"/>
          </w:tcPr>
          <w:p>
            <w:pPr>
              <w:spacing w:after="0" w:line="189" w:lineRule="exact"/>
              <w:rPr>
                <w:sz w:val="20"/>
                <w:szCs w:val="20"/>
                <w:color w:val="auto"/>
              </w:rPr>
            </w:pPr>
            <w:r>
              <w:rPr>
                <w:rFonts w:ascii="Arial" w:cs="Arial" w:eastAsia="Arial" w:hAnsi="Arial"/>
                <w:sz w:val="17"/>
                <w:szCs w:val="17"/>
                <w:color w:val="auto"/>
              </w:rPr>
              <w:t>Regional President</w:t>
            </w: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including Minnesota, Idaho, Washington and California. During his 22-year tenure at OJ Insulation as owner and</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chief executive officer, Mr. Jenkins was responsible for numerous strategic acquisitions and significant company</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growth. He received a B.A. in Social Science from the University of California at Irvine and was an active member of</w:t>
            </w:r>
          </w:p>
        </w:tc>
      </w:tr>
      <w:tr>
        <w:trPr>
          <w:trHeight w:val="245"/>
        </w:trPr>
        <w:tc>
          <w:tcPr>
            <w:tcW w:w="440" w:type="dxa"/>
            <w:vAlign w:val="bottom"/>
            <w:tcBorders>
              <w:bottom w:val="single" w:sz="8" w:color="002060"/>
            </w:tcBorders>
            <w:shd w:val="clear" w:color="auto" w:fill="E5E5E5"/>
          </w:tcPr>
          <w:p>
            <w:pPr>
              <w:spacing w:after="0"/>
              <w:rPr>
                <w:sz w:val="21"/>
                <w:szCs w:val="21"/>
                <w:color w:val="auto"/>
              </w:rPr>
            </w:pPr>
          </w:p>
        </w:tc>
        <w:tc>
          <w:tcPr>
            <w:tcW w:w="1660" w:type="dxa"/>
            <w:vAlign w:val="bottom"/>
            <w:tcBorders>
              <w:bottom w:val="single" w:sz="8" w:color="002060"/>
            </w:tcBorders>
            <w:shd w:val="clear" w:color="auto" w:fill="E5E5E5"/>
          </w:tcPr>
          <w:p>
            <w:pPr>
              <w:spacing w:after="0"/>
              <w:rPr>
                <w:sz w:val="21"/>
                <w:szCs w:val="21"/>
                <w:color w:val="auto"/>
              </w:rPr>
            </w:pPr>
          </w:p>
        </w:tc>
        <w:tc>
          <w:tcPr>
            <w:tcW w:w="80" w:type="dxa"/>
            <w:vAlign w:val="bottom"/>
            <w:tcBorders>
              <w:bottom w:val="single" w:sz="8" w:color="002060"/>
            </w:tcBorders>
          </w:tcPr>
          <w:p>
            <w:pPr>
              <w:spacing w:after="0"/>
              <w:rPr>
                <w:sz w:val="21"/>
                <w:szCs w:val="21"/>
                <w:color w:val="auto"/>
              </w:rPr>
            </w:pPr>
          </w:p>
        </w:tc>
        <w:tc>
          <w:tcPr>
            <w:tcW w:w="8840" w:type="dxa"/>
            <w:vAlign w:val="bottom"/>
            <w:tcBorders>
              <w:bottom w:val="single" w:sz="8" w:color="002060"/>
            </w:tcBorders>
          </w:tcPr>
          <w:p>
            <w:pPr>
              <w:ind w:left="40"/>
              <w:spacing w:after="0"/>
              <w:rPr>
                <w:sz w:val="20"/>
                <w:szCs w:val="20"/>
                <w:color w:val="auto"/>
              </w:rPr>
            </w:pPr>
            <w:r>
              <w:rPr>
                <w:rFonts w:ascii="Arial" w:cs="Arial" w:eastAsia="Arial" w:hAnsi="Arial"/>
                <w:sz w:val="17"/>
                <w:szCs w:val="17"/>
                <w:color w:val="auto"/>
              </w:rPr>
              <w:t>Vistage International CEO Organization for over 15 years.</w:t>
            </w:r>
          </w:p>
        </w:tc>
      </w:tr>
      <w:tr>
        <w:trPr>
          <w:trHeight w:val="167"/>
        </w:trPr>
        <w:tc>
          <w:tcPr>
            <w:tcW w:w="2100" w:type="dxa"/>
            <w:vAlign w:val="bottom"/>
            <w:gridSpan w:val="2"/>
            <w:shd w:val="clear" w:color="auto" w:fill="E5E5E5"/>
          </w:tcPr>
          <w:p>
            <w:pPr>
              <w:spacing w:after="0" w:line="167" w:lineRule="exact"/>
              <w:rPr>
                <w:sz w:val="20"/>
                <w:szCs w:val="20"/>
                <w:color w:val="auto"/>
              </w:rPr>
            </w:pPr>
            <w:r>
              <w:rPr>
                <w:rFonts w:ascii="Arial" w:cs="Arial" w:eastAsia="Arial" w:hAnsi="Arial"/>
                <w:sz w:val="17"/>
                <w:szCs w:val="17"/>
                <w:b w:val="1"/>
                <w:bCs w:val="1"/>
                <w:color w:val="0070C0"/>
              </w:rPr>
              <w:t>Shelley A. McBride</w:t>
            </w:r>
          </w:p>
        </w:tc>
        <w:tc>
          <w:tcPr>
            <w:tcW w:w="80" w:type="dxa"/>
            <w:vAlign w:val="bottom"/>
          </w:tcPr>
          <w:p>
            <w:pPr>
              <w:spacing w:after="0"/>
              <w:rPr>
                <w:sz w:val="14"/>
                <w:szCs w:val="14"/>
                <w:color w:val="auto"/>
              </w:rPr>
            </w:pPr>
          </w:p>
        </w:tc>
        <w:tc>
          <w:tcPr>
            <w:tcW w:w="8840" w:type="dxa"/>
            <w:vAlign w:val="bottom"/>
          </w:tcPr>
          <w:p>
            <w:pPr>
              <w:ind w:left="40"/>
              <w:spacing w:after="0" w:line="167" w:lineRule="exact"/>
              <w:rPr>
                <w:sz w:val="20"/>
                <w:szCs w:val="20"/>
                <w:color w:val="auto"/>
              </w:rPr>
            </w:pPr>
            <w:r>
              <w:rPr>
                <w:rFonts w:ascii="Arial" w:cs="Arial" w:eastAsia="Arial" w:hAnsi="Arial"/>
                <w:sz w:val="17"/>
                <w:szCs w:val="17"/>
                <w:color w:val="auto"/>
              </w:rPr>
              <w:t>Ms. McBride joined the Company in 2005 as General Counsel and Secretary. Prior to joining the Company, she</w:t>
            </w:r>
          </w:p>
        </w:tc>
      </w:tr>
      <w:tr>
        <w:trPr>
          <w:trHeight w:val="189"/>
        </w:trPr>
        <w:tc>
          <w:tcPr>
            <w:tcW w:w="2100" w:type="dxa"/>
            <w:vAlign w:val="bottom"/>
            <w:gridSpan w:val="2"/>
            <w:shd w:val="clear" w:color="auto" w:fill="E5E5E5"/>
          </w:tcPr>
          <w:p>
            <w:pPr>
              <w:spacing w:after="0" w:line="189" w:lineRule="exact"/>
              <w:rPr>
                <w:sz w:val="20"/>
                <w:szCs w:val="20"/>
                <w:color w:val="auto"/>
              </w:rPr>
            </w:pPr>
            <w:r>
              <w:rPr>
                <w:rFonts w:ascii="Arial" w:cs="Arial" w:eastAsia="Arial" w:hAnsi="Arial"/>
                <w:sz w:val="17"/>
                <w:szCs w:val="17"/>
                <w:color w:val="auto"/>
              </w:rPr>
              <w:t>Age 66</w:t>
            </w: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worked as an attorney at the law firm of Calfee, Halter &amp; Griswold, representing corporate and institutional clients in</w:t>
            </w:r>
          </w:p>
        </w:tc>
      </w:tr>
      <w:tr>
        <w:trPr>
          <w:trHeight w:val="189"/>
        </w:trPr>
        <w:tc>
          <w:tcPr>
            <w:tcW w:w="2100" w:type="dxa"/>
            <w:vAlign w:val="bottom"/>
            <w:gridSpan w:val="2"/>
            <w:shd w:val="clear" w:color="auto" w:fill="E5E5E5"/>
          </w:tcPr>
          <w:p>
            <w:pPr>
              <w:spacing w:after="0" w:line="189" w:lineRule="exact"/>
              <w:rPr>
                <w:sz w:val="20"/>
                <w:szCs w:val="20"/>
                <w:color w:val="auto"/>
              </w:rPr>
            </w:pPr>
            <w:r>
              <w:rPr>
                <w:rFonts w:ascii="Arial" w:cs="Arial" w:eastAsia="Arial" w:hAnsi="Arial"/>
                <w:sz w:val="17"/>
                <w:szCs w:val="17"/>
                <w:color w:val="auto"/>
              </w:rPr>
              <w:t>General Counsel and</w:t>
            </w: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the areas of mergers and acquisitions, secured credit transactions, subordinated debt financings, common and</w:t>
            </w:r>
          </w:p>
        </w:tc>
      </w:tr>
      <w:tr>
        <w:trPr>
          <w:trHeight w:val="189"/>
        </w:trPr>
        <w:tc>
          <w:tcPr>
            <w:tcW w:w="2100" w:type="dxa"/>
            <w:vAlign w:val="bottom"/>
            <w:gridSpan w:val="2"/>
            <w:shd w:val="clear" w:color="auto" w:fill="E5E5E5"/>
          </w:tcPr>
          <w:p>
            <w:pPr>
              <w:spacing w:after="0" w:line="189" w:lineRule="exact"/>
              <w:rPr>
                <w:sz w:val="20"/>
                <w:szCs w:val="20"/>
                <w:color w:val="auto"/>
              </w:rPr>
            </w:pPr>
            <w:r>
              <w:rPr>
                <w:rFonts w:ascii="Arial" w:cs="Arial" w:eastAsia="Arial" w:hAnsi="Arial"/>
                <w:sz w:val="17"/>
                <w:szCs w:val="17"/>
                <w:color w:val="auto"/>
              </w:rPr>
              <w:t>Secretary</w:t>
            </w: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preferred equity investments, organizational restructuring and general corporate matters. Before joining Calfee,</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Halter &amp; Griswold in 2001, Ms. McBride served as legal counsel for Nationwide Mutual Insurance Company in the</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Nationwide Enterprise Office of Investments and also served as legal counsel for various investment funds at Banc</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One Capital. Her experience includes representing corporate and institutional clients at the law firms of Squire</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Patton Boggs and Kegler, Brown, Hill &amp; Ritter. From 1983 to 1989, Ms. McBride served as a law clerk to the</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Honorable John D. Holschuh and the Honorable Mark R. Abel in the United States District Court for the Southern</w:t>
            </w:r>
          </w:p>
        </w:tc>
      </w:tr>
      <w:tr>
        <w:trPr>
          <w:trHeight w:val="245"/>
        </w:trPr>
        <w:tc>
          <w:tcPr>
            <w:tcW w:w="440" w:type="dxa"/>
            <w:vAlign w:val="bottom"/>
            <w:tcBorders>
              <w:bottom w:val="single" w:sz="8" w:color="002060"/>
            </w:tcBorders>
            <w:shd w:val="clear" w:color="auto" w:fill="E5E5E5"/>
          </w:tcPr>
          <w:p>
            <w:pPr>
              <w:spacing w:after="0"/>
              <w:rPr>
                <w:sz w:val="21"/>
                <w:szCs w:val="21"/>
                <w:color w:val="auto"/>
              </w:rPr>
            </w:pPr>
          </w:p>
        </w:tc>
        <w:tc>
          <w:tcPr>
            <w:tcW w:w="1660" w:type="dxa"/>
            <w:vAlign w:val="bottom"/>
            <w:tcBorders>
              <w:bottom w:val="single" w:sz="8" w:color="002060"/>
            </w:tcBorders>
            <w:shd w:val="clear" w:color="auto" w:fill="E5E5E5"/>
          </w:tcPr>
          <w:p>
            <w:pPr>
              <w:spacing w:after="0"/>
              <w:rPr>
                <w:sz w:val="21"/>
                <w:szCs w:val="21"/>
                <w:color w:val="auto"/>
              </w:rPr>
            </w:pPr>
          </w:p>
        </w:tc>
        <w:tc>
          <w:tcPr>
            <w:tcW w:w="80" w:type="dxa"/>
            <w:vAlign w:val="bottom"/>
            <w:tcBorders>
              <w:bottom w:val="single" w:sz="8" w:color="002060"/>
            </w:tcBorders>
          </w:tcPr>
          <w:p>
            <w:pPr>
              <w:spacing w:after="0"/>
              <w:rPr>
                <w:sz w:val="21"/>
                <w:szCs w:val="21"/>
                <w:color w:val="auto"/>
              </w:rPr>
            </w:pPr>
          </w:p>
        </w:tc>
        <w:tc>
          <w:tcPr>
            <w:tcW w:w="8840" w:type="dxa"/>
            <w:vAlign w:val="bottom"/>
            <w:tcBorders>
              <w:bottom w:val="single" w:sz="8" w:color="002060"/>
            </w:tcBorders>
          </w:tcPr>
          <w:p>
            <w:pPr>
              <w:ind w:left="40"/>
              <w:spacing w:after="0"/>
              <w:rPr>
                <w:sz w:val="20"/>
                <w:szCs w:val="20"/>
                <w:color w:val="auto"/>
              </w:rPr>
            </w:pPr>
            <w:r>
              <w:rPr>
                <w:rFonts w:ascii="Arial" w:cs="Arial" w:eastAsia="Arial" w:hAnsi="Arial"/>
                <w:sz w:val="17"/>
                <w:szCs w:val="17"/>
                <w:color w:val="auto"/>
              </w:rPr>
              <w:t>District of Ohio. Ms. McBride earned a J.D. and a B.A. from The Ohio State University.</w:t>
            </w:r>
          </w:p>
        </w:tc>
      </w:tr>
      <w:tr>
        <w:trPr>
          <w:trHeight w:val="167"/>
        </w:trPr>
        <w:tc>
          <w:tcPr>
            <w:tcW w:w="2100" w:type="dxa"/>
            <w:vAlign w:val="bottom"/>
            <w:gridSpan w:val="2"/>
            <w:shd w:val="clear" w:color="auto" w:fill="E5E5E5"/>
          </w:tcPr>
          <w:p>
            <w:pPr>
              <w:spacing w:after="0" w:line="167" w:lineRule="exact"/>
              <w:rPr>
                <w:sz w:val="20"/>
                <w:szCs w:val="20"/>
                <w:color w:val="auto"/>
              </w:rPr>
            </w:pPr>
            <w:r>
              <w:rPr>
                <w:rFonts w:ascii="Arial" w:cs="Arial" w:eastAsia="Arial" w:hAnsi="Arial"/>
                <w:sz w:val="17"/>
                <w:szCs w:val="17"/>
                <w:b w:val="1"/>
                <w:bCs w:val="1"/>
                <w:color w:val="0070C0"/>
              </w:rPr>
              <w:t>Matthew J. Momper</w:t>
            </w:r>
          </w:p>
        </w:tc>
        <w:tc>
          <w:tcPr>
            <w:tcW w:w="80" w:type="dxa"/>
            <w:vAlign w:val="bottom"/>
          </w:tcPr>
          <w:p>
            <w:pPr>
              <w:spacing w:after="0"/>
              <w:rPr>
                <w:sz w:val="14"/>
                <w:szCs w:val="14"/>
                <w:color w:val="auto"/>
              </w:rPr>
            </w:pPr>
          </w:p>
        </w:tc>
        <w:tc>
          <w:tcPr>
            <w:tcW w:w="8840" w:type="dxa"/>
            <w:vAlign w:val="bottom"/>
          </w:tcPr>
          <w:p>
            <w:pPr>
              <w:ind w:left="40"/>
              <w:spacing w:after="0" w:line="167" w:lineRule="exact"/>
              <w:rPr>
                <w:sz w:val="20"/>
                <w:szCs w:val="20"/>
                <w:color w:val="auto"/>
              </w:rPr>
            </w:pPr>
            <w:r>
              <w:rPr>
                <w:rFonts w:ascii="Arial" w:cs="Arial" w:eastAsia="Arial" w:hAnsi="Arial"/>
                <w:sz w:val="17"/>
                <w:szCs w:val="17"/>
                <w:color w:val="auto"/>
              </w:rPr>
              <w:t>Mr. Momper has been a Regional President since 2008. Since joining us, Mr. Momper has been responsible for the</w:t>
            </w:r>
          </w:p>
        </w:tc>
      </w:tr>
      <w:tr>
        <w:trPr>
          <w:trHeight w:val="189"/>
        </w:trPr>
        <w:tc>
          <w:tcPr>
            <w:tcW w:w="2100" w:type="dxa"/>
            <w:vAlign w:val="bottom"/>
            <w:gridSpan w:val="2"/>
            <w:shd w:val="clear" w:color="auto" w:fill="E5E5E5"/>
          </w:tcPr>
          <w:p>
            <w:pPr>
              <w:spacing w:after="0" w:line="189" w:lineRule="exact"/>
              <w:rPr>
                <w:sz w:val="20"/>
                <w:szCs w:val="20"/>
                <w:color w:val="auto"/>
              </w:rPr>
            </w:pPr>
            <w:r>
              <w:rPr>
                <w:rFonts w:ascii="Arial" w:cs="Arial" w:eastAsia="Arial" w:hAnsi="Arial"/>
                <w:sz w:val="17"/>
                <w:szCs w:val="17"/>
                <w:color w:val="auto"/>
              </w:rPr>
              <w:t>Age 62</w:t>
            </w: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management of operations in several states, including Wisconsin, Indiana, Ohio and Illinois. Prior to joining the</w:t>
            </w:r>
          </w:p>
        </w:tc>
      </w:tr>
      <w:tr>
        <w:trPr>
          <w:trHeight w:val="189"/>
        </w:trPr>
        <w:tc>
          <w:tcPr>
            <w:tcW w:w="2100" w:type="dxa"/>
            <w:vAlign w:val="bottom"/>
            <w:gridSpan w:val="2"/>
            <w:shd w:val="clear" w:color="auto" w:fill="E5E5E5"/>
          </w:tcPr>
          <w:p>
            <w:pPr>
              <w:spacing w:after="0" w:line="189" w:lineRule="exact"/>
              <w:rPr>
                <w:sz w:val="20"/>
                <w:szCs w:val="20"/>
                <w:color w:val="auto"/>
              </w:rPr>
            </w:pPr>
            <w:r>
              <w:rPr>
                <w:rFonts w:ascii="Arial" w:cs="Arial" w:eastAsia="Arial" w:hAnsi="Arial"/>
                <w:sz w:val="17"/>
                <w:szCs w:val="17"/>
                <w:color w:val="auto"/>
              </w:rPr>
              <w:t>Regional President</w:t>
            </w: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Company, he served as President of Momper Insulation Inc., a family business, which he joined in</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1984. Mr. Momper was responsible for significant growth of Momper Insulation Inc., and the strategic decision to join</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that company with us in 1998. He received a B.S. from Ball State University and an M.B.A. from Drake University.</w:t>
            </w:r>
          </w:p>
        </w:tc>
      </w:tr>
      <w:tr>
        <w:trPr>
          <w:trHeight w:val="189"/>
        </w:trPr>
        <w:tc>
          <w:tcPr>
            <w:tcW w:w="440" w:type="dxa"/>
            <w:vAlign w:val="bottom"/>
            <w:shd w:val="clear" w:color="auto" w:fill="E5E5E5"/>
          </w:tcPr>
          <w:p>
            <w:pPr>
              <w:spacing w:after="0"/>
              <w:rPr>
                <w:sz w:val="16"/>
                <w:szCs w:val="16"/>
                <w:color w:val="auto"/>
              </w:rPr>
            </w:pPr>
          </w:p>
        </w:tc>
        <w:tc>
          <w:tcPr>
            <w:tcW w:w="1660" w:type="dxa"/>
            <w:vAlign w:val="bottom"/>
            <w:shd w:val="clear" w:color="auto" w:fill="E5E5E5"/>
          </w:tcPr>
          <w:p>
            <w:pPr>
              <w:spacing w:after="0"/>
              <w:rPr>
                <w:sz w:val="16"/>
                <w:szCs w:val="16"/>
                <w:color w:val="auto"/>
              </w:rPr>
            </w:pPr>
          </w:p>
        </w:tc>
        <w:tc>
          <w:tcPr>
            <w:tcW w:w="80" w:type="dxa"/>
            <w:vAlign w:val="bottom"/>
          </w:tcPr>
          <w:p>
            <w:pPr>
              <w:spacing w:after="0"/>
              <w:rPr>
                <w:sz w:val="16"/>
                <w:szCs w:val="16"/>
                <w:color w:val="auto"/>
              </w:rPr>
            </w:pPr>
          </w:p>
        </w:tc>
        <w:tc>
          <w:tcPr>
            <w:tcW w:w="8840" w:type="dxa"/>
            <w:vAlign w:val="bottom"/>
          </w:tcPr>
          <w:p>
            <w:pPr>
              <w:ind w:left="40"/>
              <w:spacing w:after="0" w:line="189" w:lineRule="exact"/>
              <w:rPr>
                <w:sz w:val="20"/>
                <w:szCs w:val="20"/>
                <w:color w:val="auto"/>
              </w:rPr>
            </w:pPr>
            <w:r>
              <w:rPr>
                <w:rFonts w:ascii="Arial" w:cs="Arial" w:eastAsia="Arial" w:hAnsi="Arial"/>
                <w:sz w:val="17"/>
                <w:szCs w:val="17"/>
                <w:color w:val="auto"/>
              </w:rPr>
              <w:t>Mr. Momper currently serves on the Board of Trustees for Ball State University and the Board for the Allen County</w:t>
            </w:r>
          </w:p>
        </w:tc>
      </w:tr>
      <w:tr>
        <w:trPr>
          <w:trHeight w:val="245"/>
        </w:trPr>
        <w:tc>
          <w:tcPr>
            <w:tcW w:w="440" w:type="dxa"/>
            <w:vAlign w:val="bottom"/>
            <w:tcBorders>
              <w:bottom w:val="single" w:sz="8" w:color="002060"/>
            </w:tcBorders>
            <w:shd w:val="clear" w:color="auto" w:fill="E5E5E5"/>
          </w:tcPr>
          <w:p>
            <w:pPr>
              <w:spacing w:after="0"/>
              <w:rPr>
                <w:sz w:val="21"/>
                <w:szCs w:val="21"/>
                <w:color w:val="auto"/>
              </w:rPr>
            </w:pPr>
          </w:p>
        </w:tc>
        <w:tc>
          <w:tcPr>
            <w:tcW w:w="1660" w:type="dxa"/>
            <w:vAlign w:val="bottom"/>
            <w:tcBorders>
              <w:bottom w:val="single" w:sz="8" w:color="002060"/>
            </w:tcBorders>
            <w:shd w:val="clear" w:color="auto" w:fill="E5E5E5"/>
          </w:tcPr>
          <w:p>
            <w:pPr>
              <w:spacing w:after="0"/>
              <w:rPr>
                <w:sz w:val="21"/>
                <w:szCs w:val="21"/>
                <w:color w:val="auto"/>
              </w:rPr>
            </w:pPr>
          </w:p>
        </w:tc>
        <w:tc>
          <w:tcPr>
            <w:tcW w:w="80" w:type="dxa"/>
            <w:vAlign w:val="bottom"/>
            <w:tcBorders>
              <w:bottom w:val="single" w:sz="8" w:color="002060"/>
            </w:tcBorders>
          </w:tcPr>
          <w:p>
            <w:pPr>
              <w:spacing w:after="0"/>
              <w:rPr>
                <w:sz w:val="21"/>
                <w:szCs w:val="21"/>
                <w:color w:val="auto"/>
              </w:rPr>
            </w:pPr>
          </w:p>
        </w:tc>
        <w:tc>
          <w:tcPr>
            <w:tcW w:w="8840" w:type="dxa"/>
            <w:vAlign w:val="bottom"/>
            <w:tcBorders>
              <w:bottom w:val="single" w:sz="8" w:color="002060"/>
            </w:tcBorders>
          </w:tcPr>
          <w:p>
            <w:pPr>
              <w:ind w:left="40"/>
              <w:spacing w:after="0"/>
              <w:rPr>
                <w:sz w:val="20"/>
                <w:szCs w:val="20"/>
                <w:color w:val="auto"/>
              </w:rPr>
            </w:pPr>
            <w:r>
              <w:rPr>
                <w:rFonts w:ascii="Arial" w:cs="Arial" w:eastAsia="Arial" w:hAnsi="Arial"/>
                <w:sz w:val="17"/>
                <w:szCs w:val="17"/>
                <w:color w:val="auto"/>
              </w:rPr>
              <w:t>Building Department.</w:t>
            </w:r>
          </w:p>
        </w:tc>
      </w:tr>
      <w:tr>
        <w:trPr>
          <w:trHeight w:val="149"/>
        </w:trPr>
        <w:tc>
          <w:tcPr>
            <w:tcW w:w="2180" w:type="dxa"/>
            <w:vAlign w:val="bottom"/>
            <w:gridSpan w:val="3"/>
          </w:tcPr>
          <w:p>
            <w:pPr>
              <w:spacing w:after="0"/>
              <w:rPr>
                <w:sz w:val="12"/>
                <w:szCs w:val="12"/>
                <w:color w:val="auto"/>
              </w:rPr>
            </w:pPr>
          </w:p>
        </w:tc>
        <w:tc>
          <w:tcPr>
            <w:tcW w:w="8840" w:type="dxa"/>
            <w:vAlign w:val="bottom"/>
          </w:tcPr>
          <w:p>
            <w:pPr>
              <w:spacing w:after="0"/>
              <w:rPr>
                <w:sz w:val="12"/>
                <w:szCs w:val="12"/>
                <w:color w:val="auto"/>
              </w:rPr>
            </w:pPr>
          </w:p>
        </w:tc>
      </w:tr>
      <w:tr>
        <w:trPr>
          <w:trHeight w:val="309"/>
        </w:trPr>
        <w:tc>
          <w:tcPr>
            <w:tcW w:w="440" w:type="dxa"/>
            <w:vAlign w:val="bottom"/>
            <w:shd w:val="clear" w:color="auto" w:fill="002060"/>
          </w:tcPr>
          <w:p>
            <w:pPr>
              <w:ind w:left="120"/>
              <w:spacing w:after="0"/>
              <w:rPr>
                <w:sz w:val="20"/>
                <w:szCs w:val="20"/>
                <w:color w:val="auto"/>
              </w:rPr>
            </w:pPr>
            <w:r>
              <w:rPr>
                <w:rFonts w:ascii="Arial" w:cs="Arial" w:eastAsia="Arial" w:hAnsi="Arial"/>
                <w:sz w:val="16"/>
                <w:szCs w:val="16"/>
                <w:color w:val="FFFFFF"/>
              </w:rPr>
              <w:t>48</w:t>
            </w:r>
          </w:p>
        </w:tc>
        <w:tc>
          <w:tcPr>
            <w:tcW w:w="1740" w:type="dxa"/>
            <w:vAlign w:val="bottom"/>
            <w:gridSpan w:val="2"/>
          </w:tcPr>
          <w:p>
            <w:pPr>
              <w:ind w:left="120"/>
              <w:spacing w:after="0"/>
              <w:rPr>
                <w:sz w:val="20"/>
                <w:szCs w:val="20"/>
                <w:color w:val="auto"/>
              </w:rPr>
            </w:pPr>
            <w:r>
              <w:rPr>
                <w:rFonts w:ascii="Arial" w:cs="Arial" w:eastAsia="Arial" w:hAnsi="Arial"/>
                <w:sz w:val="16"/>
                <w:szCs w:val="16"/>
                <w:color w:val="002060"/>
              </w:rPr>
              <w:t>2023 Proxy Statement</w:t>
            </w:r>
          </w:p>
        </w:tc>
        <w:tc>
          <w:tcPr>
            <w:tcW w:w="8840" w:type="dxa"/>
            <w:vAlign w:val="bottom"/>
          </w:tcPr>
          <w:p>
            <w:pPr>
              <w:ind w:left="5000"/>
              <w:spacing w:after="0"/>
              <w:rPr>
                <w:sz w:val="20"/>
                <w:szCs w:val="20"/>
                <w:color w:val="auto"/>
              </w:rPr>
            </w:pPr>
            <w:r>
              <w:rPr>
                <w:rFonts w:ascii="Arial" w:cs="Arial" w:eastAsia="Arial" w:hAnsi="Arial"/>
                <w:sz w:val="16"/>
                <w:szCs w:val="16"/>
                <w:color w:val="002060"/>
              </w:rPr>
              <w:t>Executive Officers and Certain Significant Employees</w:t>
            </w:r>
          </w:p>
        </w:tc>
      </w:tr>
      <w:tr>
        <w:trPr>
          <w:trHeight w:val="110"/>
        </w:trPr>
        <w:tc>
          <w:tcPr>
            <w:tcW w:w="440" w:type="dxa"/>
            <w:vAlign w:val="bottom"/>
            <w:shd w:val="clear" w:color="auto" w:fill="002060"/>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40" w:type="dxa"/>
            <w:vAlign w:val="bottom"/>
          </w:tcPr>
          <w:p>
            <w:pPr>
              <w:spacing w:after="0"/>
              <w:rPr>
                <w:sz w:val="9"/>
                <w:szCs w:val="9"/>
                <w:color w:val="auto"/>
              </w:rPr>
            </w:pPr>
          </w:p>
        </w:tc>
      </w:tr>
    </w:tbl>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2100" w:type="dxa"/>
            <w:vAlign w:val="bottom"/>
            <w:tcBorders>
              <w:top w:val="single" w:sz="8" w:color="002060"/>
            </w:tcBorders>
            <w:shd w:val="clear" w:color="auto" w:fill="E5E5E5"/>
          </w:tcPr>
          <w:p>
            <w:pPr>
              <w:spacing w:after="0" w:line="194" w:lineRule="exact"/>
              <w:rPr>
                <w:sz w:val="20"/>
                <w:szCs w:val="20"/>
                <w:color w:val="auto"/>
              </w:rPr>
            </w:pPr>
            <w:r>
              <w:rPr>
                <w:rFonts w:ascii="Arial" w:cs="Arial" w:eastAsia="Arial" w:hAnsi="Arial"/>
                <w:sz w:val="17"/>
                <w:szCs w:val="17"/>
                <w:b w:val="1"/>
                <w:bCs w:val="1"/>
                <w:color w:val="0070C0"/>
              </w:rPr>
              <w:t>Warren W. Pearce</w:t>
            </w:r>
          </w:p>
        </w:tc>
        <w:tc>
          <w:tcPr>
            <w:tcW w:w="8920" w:type="dxa"/>
            <w:vAlign w:val="bottom"/>
            <w:tcBorders>
              <w:top w:val="single" w:sz="8" w:color="002060"/>
            </w:tcBorders>
            <w:gridSpan w:val="3"/>
          </w:tcPr>
          <w:p>
            <w:pPr>
              <w:ind w:left="120"/>
              <w:spacing w:after="0" w:line="194" w:lineRule="exact"/>
              <w:rPr>
                <w:sz w:val="20"/>
                <w:szCs w:val="20"/>
                <w:color w:val="auto"/>
              </w:rPr>
            </w:pPr>
            <w:r>
              <w:rPr>
                <w:rFonts w:ascii="Arial" w:cs="Arial" w:eastAsia="Arial" w:hAnsi="Arial"/>
                <w:sz w:val="17"/>
                <w:szCs w:val="17"/>
                <w:color w:val="auto"/>
              </w:rPr>
              <w:t>Mr. Pearce has been a Regional President since 2011. Since joining the Company, Mr. Pearce has been responsible</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Age 64</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for the management of operations in several states, including Ohio, North Carolina, Virginia and Maryland. From</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Regional President</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2004 to 2011, he was Vice President of Operations for Masco Corporation, a manufacturer of home products,</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distributor of building products and installer of building products, where he held various other positions beginning in</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1984. Mr. Pearce began his career at Carroll Insulation and later served as branch manager at American Aluminum</w:t>
            </w:r>
          </w:p>
        </w:tc>
      </w:tr>
      <w:tr>
        <w:trPr>
          <w:trHeight w:val="245"/>
        </w:trPr>
        <w:tc>
          <w:tcPr>
            <w:tcW w:w="2100" w:type="dxa"/>
            <w:vAlign w:val="bottom"/>
            <w:tcBorders>
              <w:bottom w:val="single" w:sz="8" w:color="002060"/>
            </w:tcBorders>
            <w:shd w:val="clear" w:color="auto" w:fill="E5E5E5"/>
          </w:tcPr>
          <w:p>
            <w:pPr>
              <w:spacing w:after="0"/>
              <w:rPr>
                <w:sz w:val="21"/>
                <w:szCs w:val="21"/>
                <w:color w:val="auto"/>
              </w:rPr>
            </w:pPr>
          </w:p>
        </w:tc>
        <w:tc>
          <w:tcPr>
            <w:tcW w:w="6540" w:type="dxa"/>
            <w:vAlign w:val="bottom"/>
            <w:tcBorders>
              <w:bottom w:val="single" w:sz="8" w:color="002060"/>
            </w:tcBorders>
          </w:tcPr>
          <w:p>
            <w:pPr>
              <w:ind w:left="120"/>
              <w:spacing w:after="0"/>
              <w:rPr>
                <w:sz w:val="20"/>
                <w:szCs w:val="20"/>
                <w:color w:val="auto"/>
              </w:rPr>
            </w:pPr>
            <w:r>
              <w:rPr>
                <w:rFonts w:ascii="Arial" w:cs="Arial" w:eastAsia="Arial" w:hAnsi="Arial"/>
                <w:sz w:val="17"/>
                <w:szCs w:val="17"/>
                <w:color w:val="auto"/>
              </w:rPr>
              <w:t>Insulation. He received from Kent Votech his Electrical Apprenticeship certification.</w:t>
            </w:r>
          </w:p>
        </w:tc>
        <w:tc>
          <w:tcPr>
            <w:tcW w:w="1920" w:type="dxa"/>
            <w:vAlign w:val="bottom"/>
            <w:tcBorders>
              <w:bottom w:val="single" w:sz="8" w:color="002060"/>
            </w:tcBorders>
          </w:tcPr>
          <w:p>
            <w:pPr>
              <w:spacing w:after="0"/>
              <w:rPr>
                <w:sz w:val="21"/>
                <w:szCs w:val="21"/>
                <w:color w:val="auto"/>
              </w:rPr>
            </w:pPr>
          </w:p>
        </w:tc>
        <w:tc>
          <w:tcPr>
            <w:tcW w:w="460" w:type="dxa"/>
            <w:vAlign w:val="bottom"/>
            <w:tcBorders>
              <w:bottom w:val="single" w:sz="8" w:color="002060"/>
            </w:tcBorders>
          </w:tcPr>
          <w:p>
            <w:pPr>
              <w:spacing w:after="0"/>
              <w:rPr>
                <w:sz w:val="21"/>
                <w:szCs w:val="21"/>
                <w:color w:val="auto"/>
              </w:rPr>
            </w:pPr>
          </w:p>
        </w:tc>
      </w:tr>
      <w:tr>
        <w:trPr>
          <w:trHeight w:val="167"/>
        </w:trPr>
        <w:tc>
          <w:tcPr>
            <w:tcW w:w="2100" w:type="dxa"/>
            <w:vAlign w:val="bottom"/>
            <w:shd w:val="clear" w:color="auto" w:fill="E5E5E5"/>
          </w:tcPr>
          <w:p>
            <w:pPr>
              <w:spacing w:after="0" w:line="167" w:lineRule="exact"/>
              <w:rPr>
                <w:sz w:val="20"/>
                <w:szCs w:val="20"/>
                <w:color w:val="auto"/>
              </w:rPr>
            </w:pPr>
            <w:r>
              <w:rPr>
                <w:rFonts w:ascii="Arial" w:cs="Arial" w:eastAsia="Arial" w:hAnsi="Arial"/>
                <w:sz w:val="17"/>
                <w:szCs w:val="17"/>
                <w:b w:val="1"/>
                <w:bCs w:val="1"/>
                <w:color w:val="0070C0"/>
              </w:rPr>
              <w:t>Vikas Verma</w:t>
            </w:r>
          </w:p>
        </w:tc>
        <w:tc>
          <w:tcPr>
            <w:tcW w:w="8920" w:type="dxa"/>
            <w:vAlign w:val="bottom"/>
            <w:gridSpan w:val="3"/>
          </w:tcPr>
          <w:p>
            <w:pPr>
              <w:ind w:left="120"/>
              <w:spacing w:after="0" w:line="167" w:lineRule="exact"/>
              <w:rPr>
                <w:sz w:val="20"/>
                <w:szCs w:val="20"/>
                <w:color w:val="auto"/>
              </w:rPr>
            </w:pPr>
            <w:r>
              <w:rPr>
                <w:rFonts w:ascii="Arial" w:cs="Arial" w:eastAsia="Arial" w:hAnsi="Arial"/>
                <w:sz w:val="17"/>
                <w:szCs w:val="17"/>
                <w:color w:val="auto"/>
              </w:rPr>
              <w:t>In January 2019, Mr. Verma became our President of Commercial Development. His responsibilities include</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Age 70</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commercial acquisition sourcing, new commercial product development and organic growth of our commercial</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President, Commercial</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business. Mr. Verma founded the Alpha companies, installers of commercial waterproofing, insulation, fireproofing</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Development</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and fire stopping, where he served as the Chief Executive Officer (1982 – 2020) and President (1982 - 2012),</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responsible for business and market development, marketing, finance, insurance and bonding. Mr. Verma was the</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President of Alamo Insulation Co., a residential insulation company with offices in San Antonio and Corpus Christi,</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Texas from 1977 to 1982. Mr. Verma is a member of the boards of directors of the National Association of Minority</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Contractors, and has served on the board of and Cobb Boys and Girls Club and advisory boards for Synovus</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(previously Charter Bank), Owens Corning &amp; Johns Manville. He holds a B.A. in Engineering and an Associate’s</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Degree in International Marketing and Marketing Management from University of Bombay. He also held the position</w:t>
            </w:r>
          </w:p>
        </w:tc>
      </w:tr>
      <w:tr>
        <w:trPr>
          <w:trHeight w:val="245"/>
        </w:trPr>
        <w:tc>
          <w:tcPr>
            <w:tcW w:w="2100" w:type="dxa"/>
            <w:vAlign w:val="bottom"/>
            <w:tcBorders>
              <w:bottom w:val="single" w:sz="8" w:color="002060"/>
            </w:tcBorders>
            <w:shd w:val="clear" w:color="auto" w:fill="E5E5E5"/>
          </w:tcPr>
          <w:p>
            <w:pPr>
              <w:spacing w:after="0"/>
              <w:rPr>
                <w:sz w:val="21"/>
                <w:szCs w:val="21"/>
                <w:color w:val="auto"/>
              </w:rPr>
            </w:pPr>
          </w:p>
        </w:tc>
        <w:tc>
          <w:tcPr>
            <w:tcW w:w="8920" w:type="dxa"/>
            <w:vAlign w:val="bottom"/>
            <w:tcBorders>
              <w:bottom w:val="single" w:sz="8" w:color="002060"/>
            </w:tcBorders>
            <w:gridSpan w:val="3"/>
          </w:tcPr>
          <w:p>
            <w:pPr>
              <w:ind w:left="120"/>
              <w:spacing w:after="0"/>
              <w:rPr>
                <w:sz w:val="20"/>
                <w:szCs w:val="20"/>
                <w:color w:val="auto"/>
              </w:rPr>
            </w:pPr>
            <w:r>
              <w:rPr>
                <w:rFonts w:ascii="Arial" w:cs="Arial" w:eastAsia="Arial" w:hAnsi="Arial"/>
                <w:sz w:val="17"/>
                <w:szCs w:val="17"/>
                <w:color w:val="auto"/>
              </w:rPr>
              <w:t>of President for Georgia Walls &amp; Ceilings Association and is a graduate of Leadership Atlanta.</w:t>
            </w:r>
          </w:p>
        </w:tc>
      </w:tr>
      <w:tr>
        <w:trPr>
          <w:trHeight w:val="167"/>
        </w:trPr>
        <w:tc>
          <w:tcPr>
            <w:tcW w:w="2100" w:type="dxa"/>
            <w:vAlign w:val="bottom"/>
            <w:shd w:val="clear" w:color="auto" w:fill="E5E5E5"/>
          </w:tcPr>
          <w:p>
            <w:pPr>
              <w:spacing w:after="0" w:line="167" w:lineRule="exact"/>
              <w:rPr>
                <w:sz w:val="20"/>
                <w:szCs w:val="20"/>
                <w:color w:val="auto"/>
              </w:rPr>
            </w:pPr>
            <w:r>
              <w:rPr>
                <w:rFonts w:ascii="Arial" w:cs="Arial" w:eastAsia="Arial" w:hAnsi="Arial"/>
                <w:sz w:val="17"/>
                <w:szCs w:val="17"/>
                <w:b w:val="1"/>
                <w:bCs w:val="1"/>
                <w:color w:val="0070C0"/>
              </w:rPr>
              <w:t>Brad A. Wheeler</w:t>
            </w:r>
          </w:p>
        </w:tc>
        <w:tc>
          <w:tcPr>
            <w:tcW w:w="8920" w:type="dxa"/>
            <w:vAlign w:val="bottom"/>
            <w:gridSpan w:val="3"/>
          </w:tcPr>
          <w:p>
            <w:pPr>
              <w:ind w:left="120"/>
              <w:spacing w:after="0" w:line="167" w:lineRule="exact"/>
              <w:rPr>
                <w:sz w:val="20"/>
                <w:szCs w:val="20"/>
                <w:color w:val="auto"/>
              </w:rPr>
            </w:pPr>
            <w:r>
              <w:rPr>
                <w:rFonts w:ascii="Arial" w:cs="Arial" w:eastAsia="Arial" w:hAnsi="Arial"/>
                <w:sz w:val="17"/>
                <w:szCs w:val="17"/>
                <w:color w:val="auto"/>
              </w:rPr>
              <w:t>Mr. Wheeler has been a Regional President since January 2015. He joined the Company in 2010 as Regional</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Age 48</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Manager and was responsible for the management of operations in several states. Since joining the Company,</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Regional President</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Mr. Wheeler has been responsible for the management of operations in several states, including Colorado, Texas,</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Florida and Georgia. In June, 2022, Mr. Wheeler was named President of the Alpha companies. Prior to joining us,</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Mr. Wheeler was a District and Branch Manager for Masco Contractor Services, an installer of building products,</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from 2001 to 2010. From 1996 to 2001, he held various positions at Cary Corporation, which was purchased by</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Masco Contractor Services. He attended Radford University and has been an active member of Vistage</w:t>
            </w:r>
          </w:p>
        </w:tc>
      </w:tr>
      <w:tr>
        <w:trPr>
          <w:trHeight w:val="245"/>
        </w:trPr>
        <w:tc>
          <w:tcPr>
            <w:tcW w:w="2100" w:type="dxa"/>
            <w:vAlign w:val="bottom"/>
            <w:tcBorders>
              <w:bottom w:val="single" w:sz="8" w:color="002060"/>
            </w:tcBorders>
            <w:shd w:val="clear" w:color="auto" w:fill="E5E5E5"/>
          </w:tcPr>
          <w:p>
            <w:pPr>
              <w:spacing w:after="0"/>
              <w:rPr>
                <w:sz w:val="21"/>
                <w:szCs w:val="21"/>
                <w:color w:val="auto"/>
              </w:rPr>
            </w:pPr>
          </w:p>
        </w:tc>
        <w:tc>
          <w:tcPr>
            <w:tcW w:w="6540" w:type="dxa"/>
            <w:vAlign w:val="bottom"/>
            <w:tcBorders>
              <w:bottom w:val="single" w:sz="8" w:color="002060"/>
            </w:tcBorders>
          </w:tcPr>
          <w:p>
            <w:pPr>
              <w:ind w:left="120"/>
              <w:spacing w:after="0"/>
              <w:rPr>
                <w:sz w:val="20"/>
                <w:szCs w:val="20"/>
                <w:color w:val="auto"/>
              </w:rPr>
            </w:pPr>
            <w:r>
              <w:rPr>
                <w:rFonts w:ascii="Arial" w:cs="Arial" w:eastAsia="Arial" w:hAnsi="Arial"/>
                <w:sz w:val="17"/>
                <w:szCs w:val="17"/>
                <w:color w:val="auto"/>
              </w:rPr>
              <w:t>International CEO Organization since 2011.</w:t>
            </w:r>
          </w:p>
        </w:tc>
        <w:tc>
          <w:tcPr>
            <w:tcW w:w="1920" w:type="dxa"/>
            <w:vAlign w:val="bottom"/>
            <w:tcBorders>
              <w:bottom w:val="single" w:sz="8" w:color="002060"/>
            </w:tcBorders>
          </w:tcPr>
          <w:p>
            <w:pPr>
              <w:spacing w:after="0"/>
              <w:rPr>
                <w:sz w:val="21"/>
                <w:szCs w:val="21"/>
                <w:color w:val="auto"/>
              </w:rPr>
            </w:pPr>
          </w:p>
        </w:tc>
        <w:tc>
          <w:tcPr>
            <w:tcW w:w="460" w:type="dxa"/>
            <w:vAlign w:val="bottom"/>
            <w:tcBorders>
              <w:bottom w:val="single" w:sz="8" w:color="002060"/>
            </w:tcBorders>
          </w:tcPr>
          <w:p>
            <w:pPr>
              <w:spacing w:after="0"/>
              <w:rPr>
                <w:sz w:val="21"/>
                <w:szCs w:val="21"/>
                <w:color w:val="auto"/>
              </w:rPr>
            </w:pPr>
          </w:p>
        </w:tc>
      </w:tr>
      <w:tr>
        <w:trPr>
          <w:trHeight w:val="167"/>
        </w:trPr>
        <w:tc>
          <w:tcPr>
            <w:tcW w:w="2100" w:type="dxa"/>
            <w:vAlign w:val="bottom"/>
            <w:shd w:val="clear" w:color="auto" w:fill="E5E5E5"/>
          </w:tcPr>
          <w:p>
            <w:pPr>
              <w:spacing w:after="0" w:line="167" w:lineRule="exact"/>
              <w:rPr>
                <w:sz w:val="20"/>
                <w:szCs w:val="20"/>
                <w:color w:val="auto"/>
              </w:rPr>
            </w:pPr>
            <w:r>
              <w:rPr>
                <w:rFonts w:ascii="Arial" w:cs="Arial" w:eastAsia="Arial" w:hAnsi="Arial"/>
                <w:sz w:val="17"/>
                <w:szCs w:val="17"/>
                <w:b w:val="1"/>
                <w:bCs w:val="1"/>
                <w:color w:val="0070C0"/>
              </w:rPr>
              <w:t>Randall S. Williamson</w:t>
            </w:r>
          </w:p>
        </w:tc>
        <w:tc>
          <w:tcPr>
            <w:tcW w:w="8920" w:type="dxa"/>
            <w:vAlign w:val="bottom"/>
            <w:gridSpan w:val="3"/>
          </w:tcPr>
          <w:p>
            <w:pPr>
              <w:ind w:left="120"/>
              <w:spacing w:after="0" w:line="167" w:lineRule="exact"/>
              <w:rPr>
                <w:sz w:val="20"/>
                <w:szCs w:val="20"/>
                <w:color w:val="auto"/>
              </w:rPr>
            </w:pPr>
            <w:r>
              <w:rPr>
                <w:rFonts w:ascii="Arial" w:cs="Arial" w:eastAsia="Arial" w:hAnsi="Arial"/>
                <w:sz w:val="17"/>
                <w:szCs w:val="17"/>
                <w:color w:val="auto"/>
              </w:rPr>
              <w:t>Mr. Williamson has been a Regional President since 2001. Since joining us, Mr. Williamson has been responsible for</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Age 61</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the management of operations in several states, including Massachusetts, New Jersey, New York and Michigan. He</w:t>
            </w:r>
          </w:p>
        </w:tc>
      </w:tr>
      <w:tr>
        <w:trPr>
          <w:trHeight w:val="189"/>
        </w:trPr>
        <w:tc>
          <w:tcPr>
            <w:tcW w:w="2100" w:type="dxa"/>
            <w:vAlign w:val="bottom"/>
            <w:shd w:val="clear" w:color="auto" w:fill="E5E5E5"/>
          </w:tcPr>
          <w:p>
            <w:pPr>
              <w:spacing w:after="0" w:line="189" w:lineRule="exact"/>
              <w:rPr>
                <w:sz w:val="20"/>
                <w:szCs w:val="20"/>
                <w:color w:val="auto"/>
              </w:rPr>
            </w:pPr>
            <w:r>
              <w:rPr>
                <w:rFonts w:ascii="Arial" w:cs="Arial" w:eastAsia="Arial" w:hAnsi="Arial"/>
                <w:sz w:val="17"/>
                <w:szCs w:val="17"/>
                <w:color w:val="auto"/>
              </w:rPr>
              <w:t>Regional President</w:t>
            </w: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began his career in 1981 at Monroe Insulation and Gutter Company Incorporated, or Monroe, where he progressed</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to become Vice President in 1992. In 1996, Mr. Williamson purchased Monroe and merged it with other companies</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to form American Building Systems, Inc., where he served as President until 2001. American Building Systems, Inc.</w:t>
            </w:r>
          </w:p>
        </w:tc>
      </w:tr>
      <w:tr>
        <w:trPr>
          <w:trHeight w:val="189"/>
        </w:trPr>
        <w:tc>
          <w:tcPr>
            <w:tcW w:w="2100" w:type="dxa"/>
            <w:vAlign w:val="bottom"/>
            <w:shd w:val="clear" w:color="auto" w:fill="E5E5E5"/>
          </w:tcPr>
          <w:p>
            <w:pPr>
              <w:spacing w:after="0"/>
              <w:rPr>
                <w:sz w:val="16"/>
                <w:szCs w:val="16"/>
                <w:color w:val="auto"/>
              </w:rPr>
            </w:pPr>
          </w:p>
        </w:tc>
        <w:tc>
          <w:tcPr>
            <w:tcW w:w="89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merged with us in 2001. He attended Colorado State University and serves on the board of governors for U.S.</w:t>
            </w:r>
          </w:p>
        </w:tc>
      </w:tr>
      <w:tr>
        <w:trPr>
          <w:trHeight w:val="245"/>
        </w:trPr>
        <w:tc>
          <w:tcPr>
            <w:tcW w:w="2100" w:type="dxa"/>
            <w:vAlign w:val="bottom"/>
            <w:tcBorders>
              <w:bottom w:val="single" w:sz="8" w:color="002060"/>
            </w:tcBorders>
            <w:shd w:val="clear" w:color="auto" w:fill="E5E5E5"/>
          </w:tcPr>
          <w:p>
            <w:pPr>
              <w:spacing w:after="0"/>
              <w:rPr>
                <w:sz w:val="21"/>
                <w:szCs w:val="21"/>
                <w:color w:val="auto"/>
              </w:rPr>
            </w:pPr>
          </w:p>
        </w:tc>
        <w:tc>
          <w:tcPr>
            <w:tcW w:w="6540" w:type="dxa"/>
            <w:vAlign w:val="bottom"/>
            <w:tcBorders>
              <w:bottom w:val="single" w:sz="8" w:color="002060"/>
            </w:tcBorders>
          </w:tcPr>
          <w:p>
            <w:pPr>
              <w:ind w:left="120"/>
              <w:spacing w:after="0"/>
              <w:rPr>
                <w:sz w:val="20"/>
                <w:szCs w:val="20"/>
                <w:color w:val="auto"/>
              </w:rPr>
            </w:pPr>
            <w:r>
              <w:rPr>
                <w:rFonts w:ascii="Arial" w:cs="Arial" w:eastAsia="Arial" w:hAnsi="Arial"/>
                <w:sz w:val="17"/>
                <w:szCs w:val="17"/>
                <w:color w:val="auto"/>
              </w:rPr>
              <w:t>Grown Foods.</w:t>
            </w:r>
          </w:p>
        </w:tc>
        <w:tc>
          <w:tcPr>
            <w:tcW w:w="1920" w:type="dxa"/>
            <w:vAlign w:val="bottom"/>
            <w:tcBorders>
              <w:bottom w:val="single" w:sz="8" w:color="002060"/>
            </w:tcBorders>
          </w:tcPr>
          <w:p>
            <w:pPr>
              <w:spacing w:after="0"/>
              <w:rPr>
                <w:sz w:val="21"/>
                <w:szCs w:val="21"/>
                <w:color w:val="auto"/>
              </w:rPr>
            </w:pPr>
          </w:p>
        </w:tc>
        <w:tc>
          <w:tcPr>
            <w:tcW w:w="460" w:type="dxa"/>
            <w:vAlign w:val="bottom"/>
            <w:tcBorders>
              <w:bottom w:val="single" w:sz="8" w:color="002060"/>
            </w:tcBorders>
          </w:tcPr>
          <w:p>
            <w:pPr>
              <w:spacing w:after="0"/>
              <w:rPr>
                <w:sz w:val="21"/>
                <w:szCs w:val="21"/>
                <w:color w:val="auto"/>
              </w:rPr>
            </w:pPr>
          </w:p>
        </w:tc>
      </w:tr>
      <w:tr>
        <w:trPr>
          <w:trHeight w:val="148"/>
        </w:trPr>
        <w:tc>
          <w:tcPr>
            <w:tcW w:w="8640" w:type="dxa"/>
            <w:vAlign w:val="bottom"/>
            <w:gridSpan w:val="2"/>
          </w:tcPr>
          <w:p>
            <w:pPr>
              <w:spacing w:after="0"/>
              <w:rPr>
                <w:sz w:val="12"/>
                <w:szCs w:val="12"/>
                <w:color w:val="auto"/>
              </w:rPr>
            </w:pPr>
          </w:p>
        </w:tc>
        <w:tc>
          <w:tcPr>
            <w:tcW w:w="2380" w:type="dxa"/>
            <w:vAlign w:val="bottom"/>
            <w:gridSpan w:val="2"/>
          </w:tcPr>
          <w:p>
            <w:pPr>
              <w:spacing w:after="0"/>
              <w:rPr>
                <w:sz w:val="12"/>
                <w:szCs w:val="12"/>
                <w:color w:val="auto"/>
              </w:rPr>
            </w:pPr>
          </w:p>
        </w:tc>
      </w:tr>
      <w:tr>
        <w:trPr>
          <w:trHeight w:val="309"/>
        </w:trPr>
        <w:tc>
          <w:tcPr>
            <w:tcW w:w="8640" w:type="dxa"/>
            <w:vAlign w:val="bottom"/>
            <w:gridSpan w:val="2"/>
          </w:tcPr>
          <w:p>
            <w:pPr>
              <w:spacing w:after="0"/>
              <w:rPr>
                <w:sz w:val="20"/>
                <w:szCs w:val="20"/>
                <w:color w:val="auto"/>
              </w:rPr>
            </w:pPr>
            <w:r>
              <w:rPr>
                <w:rFonts w:ascii="Arial" w:cs="Arial" w:eastAsia="Arial" w:hAnsi="Arial"/>
                <w:sz w:val="16"/>
                <w:szCs w:val="16"/>
                <w:color w:val="002060"/>
              </w:rPr>
              <w:t>Executive Officers and Certain Significant Employees</w:t>
            </w:r>
          </w:p>
        </w:tc>
        <w:tc>
          <w:tcPr>
            <w:tcW w:w="1920" w:type="dxa"/>
            <w:vAlign w:val="bottom"/>
          </w:tcPr>
          <w:p>
            <w:pPr>
              <w:ind w:left="200"/>
              <w:spacing w:after="0"/>
              <w:rPr>
                <w:sz w:val="20"/>
                <w:szCs w:val="20"/>
                <w:color w:val="auto"/>
              </w:rPr>
            </w:pPr>
            <w:r>
              <w:rPr>
                <w:rFonts w:ascii="Arial" w:cs="Arial" w:eastAsia="Arial" w:hAnsi="Arial"/>
                <w:sz w:val="16"/>
                <w:szCs w:val="16"/>
                <w:color w:val="002060"/>
              </w:rPr>
              <w:t>2023 Proxy Statement</w:t>
            </w:r>
          </w:p>
        </w:tc>
        <w:tc>
          <w:tcPr>
            <w:tcW w:w="460" w:type="dxa"/>
            <w:vAlign w:val="bottom"/>
            <w:shd w:val="clear" w:color="auto" w:fill="002060"/>
          </w:tcPr>
          <w:p>
            <w:pPr>
              <w:jc w:val="right"/>
              <w:ind w:right="59"/>
              <w:spacing w:after="0"/>
              <w:rPr>
                <w:sz w:val="20"/>
                <w:szCs w:val="20"/>
                <w:color w:val="auto"/>
              </w:rPr>
            </w:pPr>
            <w:r>
              <w:rPr>
                <w:rFonts w:ascii="Arial" w:cs="Arial" w:eastAsia="Arial" w:hAnsi="Arial"/>
                <w:sz w:val="16"/>
                <w:szCs w:val="16"/>
                <w:color w:val="FFFFFF"/>
              </w:rPr>
              <w:t>49</w:t>
            </w:r>
          </w:p>
        </w:tc>
      </w:tr>
      <w:tr>
        <w:trPr>
          <w:trHeight w:val="110"/>
        </w:trPr>
        <w:tc>
          <w:tcPr>
            <w:tcW w:w="210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60" w:type="dxa"/>
            <w:vAlign w:val="bottom"/>
            <w:shd w:val="clear" w:color="auto" w:fill="002060"/>
          </w:tcPr>
          <w:p>
            <w:pPr>
              <w:spacing w:after="0"/>
              <w:rPr>
                <w:sz w:val="9"/>
                <w:szCs w:val="9"/>
                <w:color w:val="auto"/>
              </w:rPr>
            </w:pPr>
          </w:p>
        </w:tc>
      </w:tr>
    </w:tbl>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40"/>
          <w:szCs w:val="40"/>
          <w:b w:val="1"/>
          <w:bCs w:val="1"/>
          <w:color w:val="0070C0"/>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337820</wp:posOffset>
            </wp:positionV>
            <wp:extent cx="6995160" cy="22542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225425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FFFFFF"/>
        </w:rPr>
        <w:t>Compensation and Human Capital Committee Report</w:t>
      </w:r>
    </w:p>
    <w:p>
      <w:pPr>
        <w:spacing w:after="0" w:line="200" w:lineRule="exact"/>
        <w:rPr>
          <w:sz w:val="20"/>
          <w:szCs w:val="20"/>
          <w:color w:val="auto"/>
        </w:rPr>
      </w:pPr>
    </w:p>
    <w:p>
      <w:pPr>
        <w:spacing w:after="0" w:line="245" w:lineRule="exact"/>
        <w:rPr>
          <w:sz w:val="20"/>
          <w:szCs w:val="20"/>
          <w:color w:val="auto"/>
        </w:rPr>
      </w:pPr>
    </w:p>
    <w:p>
      <w:pPr>
        <w:ind w:left="200" w:right="80"/>
        <w:spacing w:after="0" w:line="244" w:lineRule="auto"/>
        <w:rPr>
          <w:sz w:val="20"/>
          <w:szCs w:val="20"/>
          <w:color w:val="auto"/>
        </w:rPr>
      </w:pPr>
      <w:r>
        <w:rPr>
          <w:rFonts w:ascii="Arial" w:cs="Arial" w:eastAsia="Arial" w:hAnsi="Arial"/>
          <w:sz w:val="18"/>
          <w:szCs w:val="18"/>
          <w:color w:val="FFFFFF"/>
        </w:rPr>
        <w:t>The Compensation and Human Capital Committee has reviewed the Compensation Discussion and Analysis (“CD&amp;A”) included in this Proxy Statement and has discussed the CD&amp;A with members of the management team involved in the compensation process. Based on such review and discussions, the Compensation and Human Capital Committee recommended to the Board of Directors that the CD&amp;A be included in this Proxy Statement and incorporated in the Company’s Annual Report on Form 10-K for the year ended December 31, 2022.</w:t>
      </w: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color w:val="FFFFFF"/>
        </w:rPr>
        <w:t>Compensation and Human Capital Committee</w:t>
      </w: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FFFFFF"/>
        </w:rPr>
        <w:t>Janet E. Jackson (Chair)</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FFFFFF"/>
        </w:rPr>
        <w:t>David R. Meuse</w:t>
      </w:r>
    </w:p>
    <w:p>
      <w:pPr>
        <w:ind w:left="200"/>
        <w:spacing w:after="0"/>
        <w:rPr>
          <w:sz w:val="20"/>
          <w:szCs w:val="20"/>
          <w:color w:val="auto"/>
        </w:rPr>
      </w:pPr>
      <w:r>
        <w:rPr>
          <w:rFonts w:ascii="Arial" w:cs="Arial" w:eastAsia="Arial" w:hAnsi="Arial"/>
          <w:sz w:val="18"/>
          <w:szCs w:val="18"/>
          <w:i w:val="1"/>
          <w:iCs w:val="1"/>
          <w:color w:val="FFFFFF"/>
        </w:rPr>
        <w:t>Michael H. Thomas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70C0"/>
        </w:rPr>
        <w:t>CD&amp;A Table of Contents</w:t>
      </w:r>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4740" w:type="dxa"/>
            <w:vAlign w:val="bottom"/>
            <w:gridSpan w:val="18"/>
            <w:shd w:val="clear" w:color="auto" w:fill="C45911"/>
          </w:tcPr>
          <w:p>
            <w:pPr>
              <w:ind w:left="100"/>
              <w:spacing w:after="0"/>
              <w:rPr>
                <w:sz w:val="20"/>
                <w:szCs w:val="20"/>
                <w:color w:val="auto"/>
              </w:rPr>
            </w:pPr>
            <w:r>
              <w:rPr>
                <w:rFonts w:ascii="Arial" w:cs="Arial" w:eastAsia="Arial" w:hAnsi="Arial"/>
                <w:sz w:val="18"/>
                <w:szCs w:val="18"/>
                <w:i w:val="1"/>
                <w:iCs w:val="1"/>
                <w:color w:val="0000EE"/>
              </w:rPr>
              <w:t>Section 1 – Executive Summary</w:t>
            </w:r>
          </w:p>
        </w:tc>
        <w:tc>
          <w:tcPr>
            <w:tcW w:w="880" w:type="dxa"/>
            <w:vAlign w:val="bottom"/>
          </w:tcPr>
          <w:p>
            <w:pPr>
              <w:ind w:left="140"/>
              <w:spacing w:after="0"/>
              <w:rPr>
                <w:sz w:val="20"/>
                <w:szCs w:val="20"/>
                <w:color w:val="auto"/>
              </w:rPr>
            </w:pPr>
            <w:r>
              <w:rPr>
                <w:rFonts w:ascii="Arial" w:cs="Arial" w:eastAsia="Arial" w:hAnsi="Arial"/>
                <w:sz w:val="14"/>
                <w:szCs w:val="14"/>
                <w:color w:val="auto"/>
              </w:rPr>
              <w:t>Page</w:t>
            </w:r>
          </w:p>
        </w:tc>
        <w:tc>
          <w:tcPr>
            <w:tcW w:w="80" w:type="dxa"/>
            <w:vAlign w:val="bottom"/>
          </w:tcPr>
          <w:p>
            <w:pPr>
              <w:spacing w:after="0"/>
              <w:rPr>
                <w:sz w:val="21"/>
                <w:szCs w:val="21"/>
                <w:color w:val="auto"/>
              </w:rPr>
            </w:pPr>
          </w:p>
        </w:tc>
        <w:tc>
          <w:tcPr>
            <w:tcW w:w="4940" w:type="dxa"/>
            <w:vAlign w:val="bottom"/>
            <w:gridSpan w:val="15"/>
          </w:tcPr>
          <w:p>
            <w:pPr>
              <w:ind w:left="10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Advisory Stockholder Vote on Executive Compensation</w:t>
            </w: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75"/>
        </w:trPr>
        <w:tc>
          <w:tcPr>
            <w:tcW w:w="100" w:type="dxa"/>
            <w:vAlign w:val="bottom"/>
            <w:tcBorders>
              <w:top w:val="single" w:sz="8" w:color="C45911"/>
            </w:tcBorders>
            <w:shd w:val="clear" w:color="auto" w:fill="C45911"/>
          </w:tcPr>
          <w:p>
            <w:pPr>
              <w:spacing w:after="0"/>
              <w:rPr>
                <w:sz w:val="6"/>
                <w:szCs w:val="6"/>
                <w:color w:val="auto"/>
              </w:rPr>
            </w:pPr>
          </w:p>
        </w:tc>
        <w:tc>
          <w:tcPr>
            <w:tcW w:w="240" w:type="dxa"/>
            <w:vAlign w:val="bottom"/>
            <w:tcBorders>
              <w:top w:val="single" w:sz="8" w:color="0000EE"/>
            </w:tcBorders>
            <w:shd w:val="clear" w:color="auto" w:fill="C45911"/>
          </w:tcPr>
          <w:p>
            <w:pPr>
              <w:spacing w:after="0"/>
              <w:rPr>
                <w:sz w:val="6"/>
                <w:szCs w:val="6"/>
                <w:color w:val="auto"/>
              </w:rPr>
            </w:pPr>
          </w:p>
        </w:tc>
        <w:tc>
          <w:tcPr>
            <w:tcW w:w="100" w:type="dxa"/>
            <w:vAlign w:val="bottom"/>
            <w:tcBorders>
              <w:top w:val="single" w:sz="8" w:color="0000EE"/>
            </w:tcBorders>
            <w:shd w:val="clear" w:color="auto" w:fill="C45911"/>
          </w:tcPr>
          <w:p>
            <w:pPr>
              <w:spacing w:after="0"/>
              <w:rPr>
                <w:sz w:val="6"/>
                <w:szCs w:val="6"/>
                <w:color w:val="auto"/>
              </w:rPr>
            </w:pPr>
          </w:p>
        </w:tc>
        <w:tc>
          <w:tcPr>
            <w:tcW w:w="320" w:type="dxa"/>
            <w:vAlign w:val="bottom"/>
            <w:tcBorders>
              <w:top w:val="single" w:sz="8" w:color="0000EE"/>
            </w:tcBorders>
            <w:shd w:val="clear" w:color="auto" w:fill="C45911"/>
          </w:tcPr>
          <w:p>
            <w:pPr>
              <w:spacing w:after="0"/>
              <w:rPr>
                <w:sz w:val="6"/>
                <w:szCs w:val="6"/>
                <w:color w:val="auto"/>
              </w:rPr>
            </w:pPr>
          </w:p>
        </w:tc>
        <w:tc>
          <w:tcPr>
            <w:tcW w:w="1240" w:type="dxa"/>
            <w:vAlign w:val="bottom"/>
            <w:tcBorders>
              <w:top w:val="single" w:sz="8" w:color="0000EE"/>
            </w:tcBorders>
            <w:shd w:val="clear" w:color="auto" w:fill="C45911"/>
          </w:tcPr>
          <w:p>
            <w:pPr>
              <w:spacing w:after="0"/>
              <w:rPr>
                <w:sz w:val="6"/>
                <w:szCs w:val="6"/>
                <w:color w:val="auto"/>
              </w:rPr>
            </w:pPr>
          </w:p>
        </w:tc>
        <w:tc>
          <w:tcPr>
            <w:tcW w:w="280" w:type="dxa"/>
            <w:vAlign w:val="bottom"/>
            <w:tcBorders>
              <w:top w:val="single" w:sz="8" w:color="0000EE"/>
              <w:right w:val="single" w:sz="8" w:color="C45911"/>
            </w:tcBorders>
            <w:shd w:val="clear" w:color="auto" w:fill="C45911"/>
          </w:tcPr>
          <w:p>
            <w:pPr>
              <w:spacing w:after="0"/>
              <w:rPr>
                <w:sz w:val="6"/>
                <w:szCs w:val="6"/>
                <w:color w:val="auto"/>
              </w:rPr>
            </w:pPr>
          </w:p>
        </w:tc>
        <w:tc>
          <w:tcPr>
            <w:tcW w:w="80" w:type="dxa"/>
            <w:vAlign w:val="bottom"/>
            <w:tcBorders>
              <w:top w:val="single" w:sz="8" w:color="0000EE"/>
            </w:tcBorders>
            <w:shd w:val="clear" w:color="auto" w:fill="C45911"/>
          </w:tcPr>
          <w:p>
            <w:pPr>
              <w:spacing w:after="0"/>
              <w:rPr>
                <w:sz w:val="6"/>
                <w:szCs w:val="6"/>
                <w:color w:val="auto"/>
              </w:rPr>
            </w:pPr>
          </w:p>
        </w:tc>
        <w:tc>
          <w:tcPr>
            <w:tcW w:w="280" w:type="dxa"/>
            <w:vAlign w:val="bottom"/>
            <w:tcBorders>
              <w:top w:val="single" w:sz="8" w:color="0000EE"/>
            </w:tcBorders>
            <w:shd w:val="clear" w:color="auto" w:fill="C45911"/>
          </w:tcPr>
          <w:p>
            <w:pPr>
              <w:spacing w:after="0"/>
              <w:rPr>
                <w:sz w:val="6"/>
                <w:szCs w:val="6"/>
                <w:color w:val="auto"/>
              </w:rPr>
            </w:pPr>
          </w:p>
        </w:tc>
        <w:tc>
          <w:tcPr>
            <w:tcW w:w="140" w:type="dxa"/>
            <w:vAlign w:val="bottom"/>
            <w:tcBorders>
              <w:top w:val="single" w:sz="8" w:color="C45911"/>
            </w:tcBorders>
            <w:shd w:val="clear" w:color="auto" w:fill="C45911"/>
          </w:tcPr>
          <w:p>
            <w:pPr>
              <w:spacing w:after="0"/>
              <w:rPr>
                <w:sz w:val="6"/>
                <w:szCs w:val="6"/>
                <w:color w:val="auto"/>
              </w:rPr>
            </w:pPr>
          </w:p>
        </w:tc>
        <w:tc>
          <w:tcPr>
            <w:tcW w:w="20" w:type="dxa"/>
            <w:vAlign w:val="bottom"/>
            <w:tcBorders>
              <w:top w:val="single" w:sz="8" w:color="C45911"/>
            </w:tcBorders>
            <w:shd w:val="clear" w:color="auto" w:fill="C45911"/>
          </w:tcPr>
          <w:p>
            <w:pPr>
              <w:spacing w:after="0"/>
              <w:rPr>
                <w:sz w:val="6"/>
                <w:szCs w:val="6"/>
                <w:color w:val="auto"/>
              </w:rPr>
            </w:pPr>
          </w:p>
        </w:tc>
        <w:tc>
          <w:tcPr>
            <w:tcW w:w="80" w:type="dxa"/>
            <w:vAlign w:val="bottom"/>
            <w:tcBorders>
              <w:top w:val="single" w:sz="8" w:color="C45911"/>
              <w:right w:val="single" w:sz="8" w:color="C45911"/>
            </w:tcBorders>
            <w:shd w:val="clear" w:color="auto" w:fill="C45911"/>
          </w:tcPr>
          <w:p>
            <w:pPr>
              <w:spacing w:after="0"/>
              <w:rPr>
                <w:sz w:val="6"/>
                <w:szCs w:val="6"/>
                <w:color w:val="auto"/>
              </w:rPr>
            </w:pPr>
          </w:p>
        </w:tc>
        <w:tc>
          <w:tcPr>
            <w:tcW w:w="80" w:type="dxa"/>
            <w:vAlign w:val="bottom"/>
            <w:tcBorders>
              <w:top w:val="single" w:sz="8" w:color="C45911"/>
              <w:left w:val="single" w:sz="8" w:color="C45911"/>
            </w:tcBorders>
            <w:shd w:val="clear" w:color="auto" w:fill="C45911"/>
          </w:tcPr>
          <w:p>
            <w:pPr>
              <w:spacing w:after="0"/>
              <w:rPr>
                <w:sz w:val="6"/>
                <w:szCs w:val="6"/>
                <w:color w:val="auto"/>
              </w:rPr>
            </w:pPr>
          </w:p>
        </w:tc>
        <w:tc>
          <w:tcPr>
            <w:tcW w:w="360" w:type="dxa"/>
            <w:vAlign w:val="bottom"/>
            <w:tcBorders>
              <w:top w:val="single" w:sz="8" w:color="C45911"/>
            </w:tcBorders>
            <w:shd w:val="clear" w:color="auto" w:fill="C45911"/>
          </w:tcPr>
          <w:p>
            <w:pPr>
              <w:spacing w:after="0"/>
              <w:rPr>
                <w:sz w:val="6"/>
                <w:szCs w:val="6"/>
                <w:color w:val="auto"/>
              </w:rPr>
            </w:pPr>
          </w:p>
        </w:tc>
        <w:tc>
          <w:tcPr>
            <w:tcW w:w="60" w:type="dxa"/>
            <w:vAlign w:val="bottom"/>
            <w:tcBorders>
              <w:top w:val="single" w:sz="8" w:color="C45911"/>
            </w:tcBorders>
            <w:shd w:val="clear" w:color="auto" w:fill="C45911"/>
          </w:tcPr>
          <w:p>
            <w:pPr>
              <w:spacing w:after="0"/>
              <w:rPr>
                <w:sz w:val="6"/>
                <w:szCs w:val="6"/>
                <w:color w:val="auto"/>
              </w:rPr>
            </w:pPr>
          </w:p>
        </w:tc>
        <w:tc>
          <w:tcPr>
            <w:tcW w:w="380" w:type="dxa"/>
            <w:vAlign w:val="bottom"/>
            <w:tcBorders>
              <w:top w:val="single" w:sz="8" w:color="C45911"/>
            </w:tcBorders>
            <w:shd w:val="clear" w:color="auto" w:fill="C45911"/>
          </w:tcPr>
          <w:p>
            <w:pPr>
              <w:spacing w:after="0"/>
              <w:rPr>
                <w:sz w:val="6"/>
                <w:szCs w:val="6"/>
                <w:color w:val="auto"/>
              </w:rPr>
            </w:pPr>
          </w:p>
        </w:tc>
        <w:tc>
          <w:tcPr>
            <w:tcW w:w="80" w:type="dxa"/>
            <w:vAlign w:val="bottom"/>
            <w:tcBorders>
              <w:top w:val="single" w:sz="8" w:color="C45911"/>
            </w:tcBorders>
            <w:shd w:val="clear" w:color="auto" w:fill="C45911"/>
          </w:tcPr>
          <w:p>
            <w:pPr>
              <w:spacing w:after="0"/>
              <w:rPr>
                <w:sz w:val="6"/>
                <w:szCs w:val="6"/>
                <w:color w:val="auto"/>
              </w:rPr>
            </w:pPr>
          </w:p>
        </w:tc>
        <w:tc>
          <w:tcPr>
            <w:tcW w:w="640" w:type="dxa"/>
            <w:vAlign w:val="bottom"/>
            <w:tcBorders>
              <w:top w:val="single" w:sz="8" w:color="C45911"/>
            </w:tcBorders>
            <w:shd w:val="clear" w:color="auto" w:fill="C45911"/>
          </w:tcPr>
          <w:p>
            <w:pPr>
              <w:spacing w:after="0"/>
              <w:rPr>
                <w:sz w:val="6"/>
                <w:szCs w:val="6"/>
                <w:color w:val="auto"/>
              </w:rPr>
            </w:pPr>
          </w:p>
        </w:tc>
        <w:tc>
          <w:tcPr>
            <w:tcW w:w="260" w:type="dxa"/>
            <w:vAlign w:val="bottom"/>
            <w:tcBorders>
              <w:top w:val="single" w:sz="8" w:color="C45911"/>
            </w:tcBorders>
            <w:shd w:val="clear" w:color="auto" w:fill="C45911"/>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640" w:type="dxa"/>
            <w:vAlign w:val="bottom"/>
            <w:gridSpan w:val="17"/>
          </w:tcPr>
          <w:p>
            <w:pPr>
              <w:ind w:left="8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Our Growth Strategy</w:t>
            </w:r>
          </w:p>
        </w:tc>
        <w:tc>
          <w:tcPr>
            <w:tcW w:w="880" w:type="dxa"/>
            <w:vAlign w:val="bottom"/>
          </w:tcPr>
          <w:p>
            <w:pPr>
              <w:ind w:left="1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4940" w:type="dxa"/>
            <w:vAlign w:val="bottom"/>
            <w:gridSpan w:val="15"/>
          </w:tcPr>
          <w:p>
            <w:pPr>
              <w:ind w:left="10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Risk Assessment and Management</w:t>
            </w: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00" w:type="dxa"/>
            <w:vAlign w:val="bottom"/>
          </w:tcPr>
          <w:p>
            <w:pPr>
              <w:spacing w:after="0"/>
              <w:rPr>
                <w:sz w:val="6"/>
                <w:szCs w:val="6"/>
                <w:color w:val="auto"/>
              </w:rPr>
            </w:pPr>
          </w:p>
        </w:tc>
        <w:tc>
          <w:tcPr>
            <w:tcW w:w="4640" w:type="dxa"/>
            <w:vAlign w:val="bottom"/>
            <w:gridSpan w:val="17"/>
            <w:vMerge w:val="restart"/>
          </w:tcPr>
          <w:p>
            <w:pPr>
              <w:ind w:left="8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Our Capital Allocation Strategy</w:t>
            </w:r>
          </w:p>
        </w:tc>
        <w:tc>
          <w:tcPr>
            <w:tcW w:w="880" w:type="dxa"/>
            <w:vAlign w:val="bottom"/>
            <w:vMerge w:val="restart"/>
          </w:tcPr>
          <w:p>
            <w:pPr>
              <w:ind w:left="1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640" w:type="dxa"/>
            <w:vAlign w:val="bottom"/>
            <w:gridSpan w:val="17"/>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5020" w:type="dxa"/>
            <w:vAlign w:val="bottom"/>
            <w:gridSpan w:val="16"/>
            <w:shd w:val="clear" w:color="auto" w:fill="C45911"/>
          </w:tcPr>
          <w:p>
            <w:pPr>
              <w:ind w:left="80"/>
              <w:spacing w:after="0"/>
              <w:rPr>
                <w:sz w:val="20"/>
                <w:szCs w:val="20"/>
                <w:color w:val="auto"/>
              </w:rPr>
            </w:pPr>
            <w:r>
              <w:rPr>
                <w:rFonts w:ascii="Arial" w:cs="Arial" w:eastAsia="Arial" w:hAnsi="Arial"/>
                <w:sz w:val="18"/>
                <w:szCs w:val="18"/>
                <w:i w:val="1"/>
                <w:iCs w:val="1"/>
                <w:color w:val="0000EE"/>
              </w:rPr>
              <w:t>Section 3 – Elements of our Compensation Program</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60" w:type="dxa"/>
            <w:vAlign w:val="bottom"/>
            <w:tcBorders>
              <w:top w:val="single" w:sz="8" w:color="0000EE"/>
            </w:tcBorders>
            <w:gridSpan w:val="8"/>
          </w:tcPr>
          <w:p>
            <w:pPr>
              <w:spacing w:after="0"/>
              <w:rPr>
                <w:sz w:val="6"/>
                <w:szCs w:val="6"/>
                <w:color w:val="auto"/>
              </w:rPr>
            </w:pPr>
          </w:p>
        </w:tc>
        <w:tc>
          <w:tcPr>
            <w:tcW w:w="1940" w:type="dxa"/>
            <w:vAlign w:val="bottom"/>
            <w:gridSpan w:val="8"/>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C45911"/>
            </w:tcBorders>
            <w:shd w:val="clear" w:color="auto" w:fill="C45911"/>
          </w:tcPr>
          <w:p>
            <w:pPr>
              <w:spacing w:after="0"/>
              <w:rPr>
                <w:sz w:val="6"/>
                <w:szCs w:val="6"/>
                <w:color w:val="auto"/>
              </w:rPr>
            </w:pPr>
          </w:p>
        </w:tc>
        <w:tc>
          <w:tcPr>
            <w:tcW w:w="260" w:type="dxa"/>
            <w:vAlign w:val="bottom"/>
            <w:tcBorders>
              <w:top w:val="single" w:sz="8" w:color="0000EE"/>
            </w:tcBorders>
            <w:shd w:val="clear" w:color="auto" w:fill="C45911"/>
          </w:tcPr>
          <w:p>
            <w:pPr>
              <w:spacing w:after="0"/>
              <w:rPr>
                <w:sz w:val="6"/>
                <w:szCs w:val="6"/>
                <w:color w:val="auto"/>
              </w:rPr>
            </w:pPr>
          </w:p>
        </w:tc>
        <w:tc>
          <w:tcPr>
            <w:tcW w:w="1320" w:type="dxa"/>
            <w:vAlign w:val="bottom"/>
            <w:tcBorders>
              <w:top w:val="single" w:sz="8" w:color="0000EE"/>
            </w:tcBorders>
            <w:shd w:val="clear" w:color="auto" w:fill="C45911"/>
          </w:tcPr>
          <w:p>
            <w:pPr>
              <w:spacing w:after="0"/>
              <w:rPr>
                <w:sz w:val="6"/>
                <w:szCs w:val="6"/>
                <w:color w:val="auto"/>
              </w:rPr>
            </w:pPr>
          </w:p>
        </w:tc>
        <w:tc>
          <w:tcPr>
            <w:tcW w:w="100" w:type="dxa"/>
            <w:vAlign w:val="bottom"/>
            <w:tcBorders>
              <w:top w:val="single" w:sz="8" w:color="0000EE"/>
            </w:tcBorders>
            <w:shd w:val="clear" w:color="auto" w:fill="C45911"/>
          </w:tcPr>
          <w:p>
            <w:pPr>
              <w:spacing w:after="0"/>
              <w:rPr>
                <w:sz w:val="6"/>
                <w:szCs w:val="6"/>
                <w:color w:val="auto"/>
              </w:rPr>
            </w:pPr>
          </w:p>
        </w:tc>
        <w:tc>
          <w:tcPr>
            <w:tcW w:w="380" w:type="dxa"/>
            <w:vAlign w:val="bottom"/>
            <w:tcBorders>
              <w:top w:val="single" w:sz="8" w:color="0000EE"/>
            </w:tcBorders>
            <w:shd w:val="clear" w:color="auto" w:fill="C45911"/>
          </w:tcPr>
          <w:p>
            <w:pPr>
              <w:spacing w:after="0"/>
              <w:rPr>
                <w:sz w:val="6"/>
                <w:szCs w:val="6"/>
                <w:color w:val="auto"/>
              </w:rPr>
            </w:pPr>
          </w:p>
        </w:tc>
        <w:tc>
          <w:tcPr>
            <w:tcW w:w="440" w:type="dxa"/>
            <w:vAlign w:val="bottom"/>
            <w:tcBorders>
              <w:top w:val="single" w:sz="8" w:color="0000EE"/>
            </w:tcBorders>
            <w:shd w:val="clear" w:color="auto" w:fill="C45911"/>
          </w:tcPr>
          <w:p>
            <w:pPr>
              <w:spacing w:after="0"/>
              <w:rPr>
                <w:sz w:val="6"/>
                <w:szCs w:val="6"/>
                <w:color w:val="auto"/>
              </w:rPr>
            </w:pPr>
          </w:p>
        </w:tc>
        <w:tc>
          <w:tcPr>
            <w:tcW w:w="200" w:type="dxa"/>
            <w:vAlign w:val="bottom"/>
            <w:tcBorders>
              <w:top w:val="single" w:sz="8" w:color="0000EE"/>
              <w:left w:val="single" w:sz="8" w:color="C45911"/>
            </w:tcBorders>
            <w:shd w:val="clear" w:color="auto" w:fill="C45911"/>
          </w:tcPr>
          <w:p>
            <w:pPr>
              <w:spacing w:after="0"/>
              <w:rPr>
                <w:sz w:val="6"/>
                <w:szCs w:val="6"/>
                <w:color w:val="auto"/>
              </w:rPr>
            </w:pPr>
          </w:p>
        </w:tc>
        <w:tc>
          <w:tcPr>
            <w:tcW w:w="120" w:type="dxa"/>
            <w:vAlign w:val="bottom"/>
            <w:tcBorders>
              <w:top w:val="single" w:sz="8" w:color="0000EE"/>
            </w:tcBorders>
            <w:shd w:val="clear" w:color="auto" w:fill="C45911"/>
          </w:tcPr>
          <w:p>
            <w:pPr>
              <w:spacing w:after="0"/>
              <w:rPr>
                <w:sz w:val="6"/>
                <w:szCs w:val="6"/>
                <w:color w:val="auto"/>
              </w:rPr>
            </w:pPr>
          </w:p>
        </w:tc>
        <w:tc>
          <w:tcPr>
            <w:tcW w:w="220" w:type="dxa"/>
            <w:vAlign w:val="bottom"/>
            <w:tcBorders>
              <w:top w:val="single" w:sz="8" w:color="0000EE"/>
            </w:tcBorders>
            <w:shd w:val="clear" w:color="auto" w:fill="C45911"/>
          </w:tcPr>
          <w:p>
            <w:pPr>
              <w:spacing w:after="0"/>
              <w:rPr>
                <w:sz w:val="6"/>
                <w:szCs w:val="6"/>
                <w:color w:val="auto"/>
              </w:rPr>
            </w:pPr>
          </w:p>
        </w:tc>
        <w:tc>
          <w:tcPr>
            <w:tcW w:w="380" w:type="dxa"/>
            <w:vAlign w:val="bottom"/>
            <w:tcBorders>
              <w:top w:val="single" w:sz="8" w:color="0000EE"/>
              <w:left w:val="single" w:sz="8" w:color="C45911"/>
            </w:tcBorders>
            <w:shd w:val="clear" w:color="auto" w:fill="C45911"/>
          </w:tcPr>
          <w:p>
            <w:pPr>
              <w:spacing w:after="0"/>
              <w:rPr>
                <w:sz w:val="6"/>
                <w:szCs w:val="6"/>
                <w:color w:val="auto"/>
              </w:rPr>
            </w:pPr>
          </w:p>
        </w:tc>
        <w:tc>
          <w:tcPr>
            <w:tcW w:w="120" w:type="dxa"/>
            <w:vAlign w:val="bottom"/>
            <w:tcBorders>
              <w:top w:val="single" w:sz="8" w:color="0000EE"/>
            </w:tcBorders>
            <w:shd w:val="clear" w:color="auto" w:fill="C45911"/>
          </w:tcPr>
          <w:p>
            <w:pPr>
              <w:spacing w:after="0"/>
              <w:rPr>
                <w:sz w:val="6"/>
                <w:szCs w:val="6"/>
                <w:color w:val="auto"/>
              </w:rPr>
            </w:pPr>
          </w:p>
        </w:tc>
        <w:tc>
          <w:tcPr>
            <w:tcW w:w="100" w:type="dxa"/>
            <w:vAlign w:val="bottom"/>
            <w:tcBorders>
              <w:top w:val="single" w:sz="8" w:color="0000EE"/>
            </w:tcBorders>
            <w:shd w:val="clear" w:color="auto" w:fill="C45911"/>
          </w:tcPr>
          <w:p>
            <w:pPr>
              <w:spacing w:after="0"/>
              <w:rPr>
                <w:sz w:val="6"/>
                <w:szCs w:val="6"/>
                <w:color w:val="auto"/>
              </w:rPr>
            </w:pPr>
          </w:p>
        </w:tc>
        <w:tc>
          <w:tcPr>
            <w:tcW w:w="560" w:type="dxa"/>
            <w:vAlign w:val="bottom"/>
            <w:tcBorders>
              <w:top w:val="single" w:sz="8" w:color="0000EE"/>
              <w:right w:val="single" w:sz="8" w:color="C45911"/>
            </w:tcBorders>
            <w:shd w:val="clear" w:color="auto" w:fill="C45911"/>
          </w:tcPr>
          <w:p>
            <w:pPr>
              <w:spacing w:after="0"/>
              <w:rPr>
                <w:sz w:val="6"/>
                <w:szCs w:val="6"/>
                <w:color w:val="auto"/>
              </w:rPr>
            </w:pPr>
          </w:p>
        </w:tc>
        <w:tc>
          <w:tcPr>
            <w:tcW w:w="80" w:type="dxa"/>
            <w:vAlign w:val="bottom"/>
            <w:tcBorders>
              <w:top w:val="single" w:sz="8" w:color="C45911"/>
              <w:left w:val="single" w:sz="8" w:color="C45911"/>
            </w:tcBorders>
            <w:shd w:val="clear" w:color="auto" w:fill="C45911"/>
          </w:tcPr>
          <w:p>
            <w:pPr>
              <w:spacing w:after="0"/>
              <w:rPr>
                <w:sz w:val="6"/>
                <w:szCs w:val="6"/>
                <w:color w:val="auto"/>
              </w:rPr>
            </w:pPr>
          </w:p>
        </w:tc>
        <w:tc>
          <w:tcPr>
            <w:tcW w:w="380" w:type="dxa"/>
            <w:vAlign w:val="bottom"/>
            <w:tcBorders>
              <w:top w:val="single" w:sz="8" w:color="C45911"/>
            </w:tcBorders>
            <w:shd w:val="clear" w:color="auto" w:fill="C45911"/>
          </w:tcPr>
          <w:p>
            <w:pPr>
              <w:spacing w:after="0"/>
              <w:rPr>
                <w:sz w:val="6"/>
                <w:szCs w:val="6"/>
                <w:color w:val="auto"/>
              </w:rPr>
            </w:pPr>
          </w:p>
        </w:tc>
        <w:tc>
          <w:tcPr>
            <w:tcW w:w="280" w:type="dxa"/>
            <w:vAlign w:val="bottom"/>
            <w:tcBorders>
              <w:top w:val="single" w:sz="8" w:color="C45911"/>
            </w:tcBorders>
            <w:shd w:val="clear" w:color="auto" w:fill="C45911"/>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640" w:type="dxa"/>
            <w:vAlign w:val="bottom"/>
            <w:gridSpan w:val="17"/>
          </w:tcPr>
          <w:p>
            <w:pPr>
              <w:ind w:left="8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Our Acquisition Strategy</w:t>
            </w:r>
          </w:p>
        </w:tc>
        <w:tc>
          <w:tcPr>
            <w:tcW w:w="880" w:type="dxa"/>
            <w:vAlign w:val="bottom"/>
          </w:tcPr>
          <w:p>
            <w:pPr>
              <w:ind w:lef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1"/>
                <w:szCs w:val="21"/>
                <w:color w:val="auto"/>
              </w:rPr>
            </w:pPr>
          </w:p>
        </w:tc>
        <w:tc>
          <w:tcPr>
            <w:tcW w:w="4940" w:type="dxa"/>
            <w:vAlign w:val="bottom"/>
            <w:gridSpan w:val="15"/>
          </w:tcPr>
          <w:p>
            <w:pPr>
              <w:ind w:left="10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Compensation Components</w:t>
            </w: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00" w:type="dxa"/>
            <w:vAlign w:val="bottom"/>
          </w:tcPr>
          <w:p>
            <w:pPr>
              <w:spacing w:after="0"/>
              <w:rPr>
                <w:sz w:val="6"/>
                <w:szCs w:val="6"/>
                <w:color w:val="auto"/>
              </w:rPr>
            </w:pPr>
          </w:p>
        </w:tc>
        <w:tc>
          <w:tcPr>
            <w:tcW w:w="4640" w:type="dxa"/>
            <w:vAlign w:val="bottom"/>
            <w:gridSpan w:val="17"/>
            <w:vMerge w:val="restart"/>
          </w:tcPr>
          <w:p>
            <w:pPr>
              <w:ind w:left="8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2022 Financial Highlights</w:t>
            </w:r>
          </w:p>
        </w:tc>
        <w:tc>
          <w:tcPr>
            <w:tcW w:w="880" w:type="dxa"/>
            <w:vAlign w:val="bottom"/>
            <w:vMerge w:val="restart"/>
          </w:tcPr>
          <w:p>
            <w:pPr>
              <w:ind w:lef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640" w:type="dxa"/>
            <w:vAlign w:val="bottom"/>
            <w:gridSpan w:val="17"/>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5020" w:type="dxa"/>
            <w:vAlign w:val="bottom"/>
            <w:gridSpan w:val="16"/>
            <w:shd w:val="clear" w:color="auto" w:fill="C45911"/>
          </w:tcPr>
          <w:p>
            <w:pPr>
              <w:ind w:left="80"/>
              <w:spacing w:after="0"/>
              <w:rPr>
                <w:sz w:val="20"/>
                <w:szCs w:val="20"/>
                <w:color w:val="auto"/>
              </w:rPr>
            </w:pPr>
            <w:r>
              <w:rPr>
                <w:rFonts w:ascii="Arial" w:cs="Arial" w:eastAsia="Arial" w:hAnsi="Arial"/>
                <w:sz w:val="18"/>
                <w:szCs w:val="18"/>
                <w:i w:val="1"/>
                <w:iCs w:val="1"/>
                <w:color w:val="0000EE"/>
              </w:rPr>
              <w:t>Section 4 – What we Paid in 2022</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20" w:type="dxa"/>
            <w:vAlign w:val="bottom"/>
            <w:tcBorders>
              <w:top w:val="single" w:sz="8" w:color="0000EE"/>
            </w:tcBorders>
            <w:gridSpan w:val="5"/>
          </w:tcPr>
          <w:p>
            <w:pPr>
              <w:spacing w:after="0"/>
              <w:rPr>
                <w:sz w:val="6"/>
                <w:szCs w:val="6"/>
                <w:color w:val="auto"/>
              </w:rPr>
            </w:pPr>
          </w:p>
        </w:tc>
        <w:tc>
          <w:tcPr>
            <w:tcW w:w="2380" w:type="dxa"/>
            <w:vAlign w:val="bottom"/>
            <w:gridSpan w:val="11"/>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C45911"/>
            </w:tcBorders>
            <w:shd w:val="clear" w:color="auto" w:fill="C45911"/>
          </w:tcPr>
          <w:p>
            <w:pPr>
              <w:spacing w:after="0"/>
              <w:rPr>
                <w:sz w:val="6"/>
                <w:szCs w:val="6"/>
                <w:color w:val="auto"/>
              </w:rPr>
            </w:pPr>
          </w:p>
        </w:tc>
        <w:tc>
          <w:tcPr>
            <w:tcW w:w="260" w:type="dxa"/>
            <w:vAlign w:val="bottom"/>
            <w:tcBorders>
              <w:top w:val="single" w:sz="8" w:color="0000EE"/>
            </w:tcBorders>
            <w:shd w:val="clear" w:color="auto" w:fill="C45911"/>
          </w:tcPr>
          <w:p>
            <w:pPr>
              <w:spacing w:after="0"/>
              <w:rPr>
                <w:sz w:val="6"/>
                <w:szCs w:val="6"/>
                <w:color w:val="auto"/>
              </w:rPr>
            </w:pPr>
          </w:p>
        </w:tc>
        <w:tc>
          <w:tcPr>
            <w:tcW w:w="1320" w:type="dxa"/>
            <w:vAlign w:val="bottom"/>
            <w:tcBorders>
              <w:top w:val="single" w:sz="8" w:color="0000EE"/>
            </w:tcBorders>
            <w:shd w:val="clear" w:color="auto" w:fill="C45911"/>
          </w:tcPr>
          <w:p>
            <w:pPr>
              <w:spacing w:after="0"/>
              <w:rPr>
                <w:sz w:val="6"/>
                <w:szCs w:val="6"/>
                <w:color w:val="auto"/>
              </w:rPr>
            </w:pPr>
          </w:p>
        </w:tc>
        <w:tc>
          <w:tcPr>
            <w:tcW w:w="100" w:type="dxa"/>
            <w:vAlign w:val="bottom"/>
            <w:tcBorders>
              <w:top w:val="single" w:sz="8" w:color="0000EE"/>
            </w:tcBorders>
            <w:shd w:val="clear" w:color="auto" w:fill="C45911"/>
          </w:tcPr>
          <w:p>
            <w:pPr>
              <w:spacing w:after="0"/>
              <w:rPr>
                <w:sz w:val="6"/>
                <w:szCs w:val="6"/>
                <w:color w:val="auto"/>
              </w:rPr>
            </w:pPr>
          </w:p>
        </w:tc>
        <w:tc>
          <w:tcPr>
            <w:tcW w:w="380" w:type="dxa"/>
            <w:vAlign w:val="bottom"/>
            <w:tcBorders>
              <w:top w:val="single" w:sz="8" w:color="0000EE"/>
            </w:tcBorders>
            <w:shd w:val="clear" w:color="auto" w:fill="C45911"/>
          </w:tcPr>
          <w:p>
            <w:pPr>
              <w:spacing w:after="0"/>
              <w:rPr>
                <w:sz w:val="6"/>
                <w:szCs w:val="6"/>
                <w:color w:val="auto"/>
              </w:rPr>
            </w:pPr>
          </w:p>
        </w:tc>
        <w:tc>
          <w:tcPr>
            <w:tcW w:w="440" w:type="dxa"/>
            <w:vAlign w:val="bottom"/>
            <w:tcBorders>
              <w:top w:val="single" w:sz="8" w:color="0000EE"/>
            </w:tcBorders>
            <w:shd w:val="clear" w:color="auto" w:fill="C45911"/>
          </w:tcPr>
          <w:p>
            <w:pPr>
              <w:spacing w:after="0"/>
              <w:rPr>
                <w:sz w:val="6"/>
                <w:szCs w:val="6"/>
                <w:color w:val="auto"/>
              </w:rPr>
            </w:pPr>
          </w:p>
        </w:tc>
        <w:tc>
          <w:tcPr>
            <w:tcW w:w="200" w:type="dxa"/>
            <w:vAlign w:val="bottom"/>
            <w:tcBorders>
              <w:top w:val="single" w:sz="8" w:color="0000EE"/>
              <w:left w:val="single" w:sz="8" w:color="C45911"/>
            </w:tcBorders>
            <w:shd w:val="clear" w:color="auto" w:fill="C45911"/>
          </w:tcPr>
          <w:p>
            <w:pPr>
              <w:spacing w:after="0"/>
              <w:rPr>
                <w:sz w:val="6"/>
                <w:szCs w:val="6"/>
                <w:color w:val="auto"/>
              </w:rPr>
            </w:pPr>
          </w:p>
        </w:tc>
        <w:tc>
          <w:tcPr>
            <w:tcW w:w="120" w:type="dxa"/>
            <w:vAlign w:val="bottom"/>
            <w:tcBorders>
              <w:top w:val="single" w:sz="8" w:color="C45911"/>
            </w:tcBorders>
            <w:shd w:val="clear" w:color="auto" w:fill="C45911"/>
          </w:tcPr>
          <w:p>
            <w:pPr>
              <w:spacing w:after="0"/>
              <w:rPr>
                <w:sz w:val="6"/>
                <w:szCs w:val="6"/>
                <w:color w:val="auto"/>
              </w:rPr>
            </w:pPr>
          </w:p>
        </w:tc>
        <w:tc>
          <w:tcPr>
            <w:tcW w:w="220" w:type="dxa"/>
            <w:vAlign w:val="bottom"/>
            <w:tcBorders>
              <w:top w:val="single" w:sz="8" w:color="C45911"/>
            </w:tcBorders>
            <w:shd w:val="clear" w:color="auto" w:fill="C45911"/>
          </w:tcPr>
          <w:p>
            <w:pPr>
              <w:spacing w:after="0"/>
              <w:rPr>
                <w:sz w:val="6"/>
                <w:szCs w:val="6"/>
                <w:color w:val="auto"/>
              </w:rPr>
            </w:pPr>
          </w:p>
        </w:tc>
        <w:tc>
          <w:tcPr>
            <w:tcW w:w="380" w:type="dxa"/>
            <w:vAlign w:val="bottom"/>
            <w:tcBorders>
              <w:top w:val="single" w:sz="8" w:color="C45911"/>
              <w:left w:val="single" w:sz="8" w:color="C45911"/>
            </w:tcBorders>
            <w:shd w:val="clear" w:color="auto" w:fill="C45911"/>
          </w:tcPr>
          <w:p>
            <w:pPr>
              <w:spacing w:after="0"/>
              <w:rPr>
                <w:sz w:val="6"/>
                <w:szCs w:val="6"/>
                <w:color w:val="auto"/>
              </w:rPr>
            </w:pPr>
          </w:p>
        </w:tc>
        <w:tc>
          <w:tcPr>
            <w:tcW w:w="120" w:type="dxa"/>
            <w:vAlign w:val="bottom"/>
            <w:tcBorders>
              <w:top w:val="single" w:sz="8" w:color="C45911"/>
            </w:tcBorders>
            <w:shd w:val="clear" w:color="auto" w:fill="C45911"/>
          </w:tcPr>
          <w:p>
            <w:pPr>
              <w:spacing w:after="0"/>
              <w:rPr>
                <w:sz w:val="6"/>
                <w:szCs w:val="6"/>
                <w:color w:val="auto"/>
              </w:rPr>
            </w:pPr>
          </w:p>
        </w:tc>
        <w:tc>
          <w:tcPr>
            <w:tcW w:w="100" w:type="dxa"/>
            <w:vAlign w:val="bottom"/>
            <w:tcBorders>
              <w:top w:val="single" w:sz="8" w:color="C45911"/>
            </w:tcBorders>
            <w:shd w:val="clear" w:color="auto" w:fill="C45911"/>
          </w:tcPr>
          <w:p>
            <w:pPr>
              <w:spacing w:after="0"/>
              <w:rPr>
                <w:sz w:val="6"/>
                <w:szCs w:val="6"/>
                <w:color w:val="auto"/>
              </w:rPr>
            </w:pPr>
          </w:p>
        </w:tc>
        <w:tc>
          <w:tcPr>
            <w:tcW w:w="560" w:type="dxa"/>
            <w:vAlign w:val="bottom"/>
            <w:tcBorders>
              <w:top w:val="single" w:sz="8" w:color="C45911"/>
              <w:right w:val="single" w:sz="8" w:color="C45911"/>
            </w:tcBorders>
            <w:shd w:val="clear" w:color="auto" w:fill="C45911"/>
          </w:tcPr>
          <w:p>
            <w:pPr>
              <w:spacing w:after="0"/>
              <w:rPr>
                <w:sz w:val="6"/>
                <w:szCs w:val="6"/>
                <w:color w:val="auto"/>
              </w:rPr>
            </w:pPr>
          </w:p>
        </w:tc>
        <w:tc>
          <w:tcPr>
            <w:tcW w:w="80" w:type="dxa"/>
            <w:vAlign w:val="bottom"/>
            <w:tcBorders>
              <w:top w:val="single" w:sz="8" w:color="C45911"/>
              <w:left w:val="single" w:sz="8" w:color="C45911"/>
            </w:tcBorders>
            <w:shd w:val="clear" w:color="auto" w:fill="C45911"/>
          </w:tcPr>
          <w:p>
            <w:pPr>
              <w:spacing w:after="0"/>
              <w:rPr>
                <w:sz w:val="6"/>
                <w:szCs w:val="6"/>
                <w:color w:val="auto"/>
              </w:rPr>
            </w:pPr>
          </w:p>
        </w:tc>
        <w:tc>
          <w:tcPr>
            <w:tcW w:w="380" w:type="dxa"/>
            <w:vAlign w:val="bottom"/>
            <w:tcBorders>
              <w:top w:val="single" w:sz="8" w:color="C45911"/>
            </w:tcBorders>
            <w:shd w:val="clear" w:color="auto" w:fill="C45911"/>
          </w:tcPr>
          <w:p>
            <w:pPr>
              <w:spacing w:after="0"/>
              <w:rPr>
                <w:sz w:val="6"/>
                <w:szCs w:val="6"/>
                <w:color w:val="auto"/>
              </w:rPr>
            </w:pPr>
          </w:p>
        </w:tc>
        <w:tc>
          <w:tcPr>
            <w:tcW w:w="280" w:type="dxa"/>
            <w:vAlign w:val="bottom"/>
            <w:tcBorders>
              <w:top w:val="single" w:sz="8" w:color="C45911"/>
            </w:tcBorders>
            <w:shd w:val="clear" w:color="auto" w:fill="C45911"/>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640" w:type="dxa"/>
            <w:vAlign w:val="bottom"/>
            <w:gridSpan w:val="17"/>
          </w:tcPr>
          <w:p>
            <w:pPr>
              <w:ind w:left="8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Pay for Performance</w:t>
            </w:r>
          </w:p>
        </w:tc>
        <w:tc>
          <w:tcPr>
            <w:tcW w:w="880" w:type="dxa"/>
            <w:vAlign w:val="bottom"/>
          </w:tcPr>
          <w:p>
            <w:pPr>
              <w:ind w:lef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1"/>
                <w:szCs w:val="21"/>
                <w:color w:val="auto"/>
              </w:rPr>
            </w:pPr>
          </w:p>
        </w:tc>
        <w:tc>
          <w:tcPr>
            <w:tcW w:w="4940" w:type="dxa"/>
            <w:vAlign w:val="bottom"/>
            <w:gridSpan w:val="15"/>
          </w:tcPr>
          <w:p>
            <w:pPr>
              <w:ind w:left="10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2022 Base Salary</w:t>
            </w: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660" w:type="dxa"/>
            <w:vAlign w:val="bottom"/>
            <w:gridSpan w:val="3"/>
          </w:tcPr>
          <w:p>
            <w:pPr>
              <w:ind w:left="80"/>
              <w:spacing w:after="0"/>
              <w:rPr>
                <w:sz w:val="20"/>
                <w:szCs w:val="20"/>
                <w:color w:val="auto"/>
              </w:rPr>
            </w:pPr>
            <w:r>
              <w:rPr>
                <w:rFonts w:ascii="Arial" w:cs="Arial" w:eastAsia="Arial" w:hAnsi="Arial"/>
                <w:sz w:val="18"/>
                <w:szCs w:val="18"/>
                <w:color w:val="0070C0"/>
                <w:w w:val="91"/>
              </w:rPr>
              <w:t>•</w:t>
            </w:r>
            <w:r>
              <w:rPr>
                <w:rFonts w:ascii="Arial" w:cs="Arial" w:eastAsia="Arial" w:hAnsi="Arial"/>
                <w:sz w:val="18"/>
                <w:szCs w:val="18"/>
                <w:color w:val="000000"/>
                <w:w w:val="91"/>
              </w:rPr>
              <w:t xml:space="preserve">   </w:t>
            </w:r>
            <w:r>
              <w:rPr>
                <w:rFonts w:ascii="Arial" w:cs="Arial" w:eastAsia="Arial" w:hAnsi="Arial"/>
                <w:sz w:val="18"/>
                <w:szCs w:val="18"/>
                <w:color w:val="0000EE"/>
                <w:w w:val="91"/>
              </w:rPr>
              <w:t>2022</w:t>
            </w:r>
          </w:p>
        </w:tc>
        <w:tc>
          <w:tcPr>
            <w:tcW w:w="3980" w:type="dxa"/>
            <w:vAlign w:val="bottom"/>
            <w:gridSpan w:val="14"/>
          </w:tcPr>
          <w:p>
            <w:pPr>
              <w:ind w:left="40"/>
              <w:spacing w:after="0"/>
              <w:rPr>
                <w:sz w:val="20"/>
                <w:szCs w:val="20"/>
                <w:color w:val="auto"/>
              </w:rPr>
            </w:pPr>
            <w:r>
              <w:rPr>
                <w:rFonts w:ascii="Arial" w:cs="Arial" w:eastAsia="Arial" w:hAnsi="Arial"/>
                <w:sz w:val="18"/>
                <w:szCs w:val="18"/>
                <w:color w:val="0000EE"/>
              </w:rPr>
              <w:t>Say-on-Pay Voting Results</w:t>
            </w:r>
          </w:p>
        </w:tc>
        <w:tc>
          <w:tcPr>
            <w:tcW w:w="880" w:type="dxa"/>
            <w:vAlign w:val="bottom"/>
          </w:tcPr>
          <w:p>
            <w:pPr>
              <w:ind w:left="1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4"/>
                <w:szCs w:val="24"/>
                <w:color w:val="auto"/>
              </w:rPr>
            </w:pPr>
          </w:p>
        </w:tc>
        <w:tc>
          <w:tcPr>
            <w:tcW w:w="4940" w:type="dxa"/>
            <w:vAlign w:val="bottom"/>
            <w:gridSpan w:val="15"/>
          </w:tcPr>
          <w:p>
            <w:pPr>
              <w:ind w:left="10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2022 Performance-Based Incentive Cash Awards</w:t>
            </w: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52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660" w:type="dxa"/>
            <w:vAlign w:val="bottom"/>
            <w:gridSpan w:val="3"/>
          </w:tcPr>
          <w:p>
            <w:pPr>
              <w:ind w:left="80"/>
              <w:spacing w:after="0"/>
              <w:rPr>
                <w:sz w:val="20"/>
                <w:szCs w:val="20"/>
                <w:color w:val="auto"/>
              </w:rPr>
            </w:pPr>
            <w:r>
              <w:rPr>
                <w:rFonts w:ascii="Arial" w:cs="Arial" w:eastAsia="Arial" w:hAnsi="Arial"/>
                <w:sz w:val="18"/>
                <w:szCs w:val="18"/>
                <w:color w:val="0070C0"/>
                <w:w w:val="91"/>
              </w:rPr>
              <w:t>•</w:t>
            </w:r>
            <w:r>
              <w:rPr>
                <w:rFonts w:ascii="Arial" w:cs="Arial" w:eastAsia="Arial" w:hAnsi="Arial"/>
                <w:sz w:val="18"/>
                <w:szCs w:val="18"/>
                <w:color w:val="000000"/>
                <w:w w:val="91"/>
              </w:rPr>
              <w:t xml:space="preserve">   </w:t>
            </w:r>
            <w:r>
              <w:rPr>
                <w:rFonts w:ascii="Arial" w:cs="Arial" w:eastAsia="Arial" w:hAnsi="Arial"/>
                <w:sz w:val="18"/>
                <w:szCs w:val="18"/>
                <w:color w:val="0000EE"/>
                <w:w w:val="91"/>
              </w:rPr>
              <w:t>2022</w:t>
            </w:r>
          </w:p>
        </w:tc>
        <w:tc>
          <w:tcPr>
            <w:tcW w:w="3980" w:type="dxa"/>
            <w:vAlign w:val="bottom"/>
            <w:gridSpan w:val="14"/>
          </w:tcPr>
          <w:p>
            <w:pPr>
              <w:ind w:left="40"/>
              <w:spacing w:after="0"/>
              <w:rPr>
                <w:sz w:val="20"/>
                <w:szCs w:val="20"/>
                <w:color w:val="auto"/>
              </w:rPr>
            </w:pPr>
            <w:r>
              <w:rPr>
                <w:rFonts w:ascii="Arial" w:cs="Arial" w:eastAsia="Arial" w:hAnsi="Arial"/>
                <w:sz w:val="18"/>
                <w:szCs w:val="18"/>
                <w:color w:val="0000EE"/>
              </w:rPr>
              <w:t>Named Executive Officers</w:t>
            </w:r>
          </w:p>
        </w:tc>
        <w:tc>
          <w:tcPr>
            <w:tcW w:w="880" w:type="dxa"/>
            <w:vAlign w:val="bottom"/>
          </w:tcPr>
          <w:p>
            <w:pPr>
              <w:ind w:left="1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4"/>
                <w:szCs w:val="24"/>
                <w:color w:val="auto"/>
              </w:rPr>
            </w:pPr>
          </w:p>
        </w:tc>
        <w:tc>
          <w:tcPr>
            <w:tcW w:w="4940" w:type="dxa"/>
            <w:vAlign w:val="bottom"/>
            <w:gridSpan w:val="15"/>
          </w:tcPr>
          <w:p>
            <w:pPr>
              <w:ind w:left="10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2022 Performance-Based Incentive Equity Awards</w:t>
            </w: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52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660" w:type="dxa"/>
            <w:vAlign w:val="bottom"/>
            <w:gridSpan w:val="3"/>
          </w:tcPr>
          <w:p>
            <w:pPr>
              <w:ind w:left="80"/>
              <w:spacing w:after="0"/>
              <w:rPr>
                <w:sz w:val="20"/>
                <w:szCs w:val="20"/>
                <w:color w:val="auto"/>
              </w:rPr>
            </w:pPr>
            <w:r>
              <w:rPr>
                <w:rFonts w:ascii="Arial" w:cs="Arial" w:eastAsia="Arial" w:hAnsi="Arial"/>
                <w:sz w:val="18"/>
                <w:szCs w:val="18"/>
                <w:color w:val="0070C0"/>
                <w:w w:val="91"/>
              </w:rPr>
              <w:t>•</w:t>
            </w:r>
            <w:r>
              <w:rPr>
                <w:rFonts w:ascii="Arial" w:cs="Arial" w:eastAsia="Arial" w:hAnsi="Arial"/>
                <w:sz w:val="18"/>
                <w:szCs w:val="18"/>
                <w:color w:val="000000"/>
                <w:w w:val="91"/>
              </w:rPr>
              <w:t xml:space="preserve">   </w:t>
            </w:r>
            <w:r>
              <w:rPr>
                <w:rFonts w:ascii="Arial" w:cs="Arial" w:eastAsia="Arial" w:hAnsi="Arial"/>
                <w:sz w:val="18"/>
                <w:szCs w:val="18"/>
                <w:color w:val="0000EE"/>
                <w:w w:val="91"/>
              </w:rPr>
              <w:t>2022</w:t>
            </w:r>
          </w:p>
        </w:tc>
        <w:tc>
          <w:tcPr>
            <w:tcW w:w="3980" w:type="dxa"/>
            <w:vAlign w:val="bottom"/>
            <w:gridSpan w:val="14"/>
          </w:tcPr>
          <w:p>
            <w:pPr>
              <w:ind w:left="40"/>
              <w:spacing w:after="0"/>
              <w:rPr>
                <w:sz w:val="20"/>
                <w:szCs w:val="20"/>
                <w:color w:val="auto"/>
              </w:rPr>
            </w:pPr>
            <w:r>
              <w:rPr>
                <w:rFonts w:ascii="Arial" w:cs="Arial" w:eastAsia="Arial" w:hAnsi="Arial"/>
                <w:sz w:val="18"/>
                <w:szCs w:val="18"/>
                <w:color w:val="0000EE"/>
              </w:rPr>
              <w:t>Executive Compensation at a Glance</w:t>
            </w:r>
          </w:p>
        </w:tc>
        <w:tc>
          <w:tcPr>
            <w:tcW w:w="880" w:type="dxa"/>
            <w:vAlign w:val="bottom"/>
          </w:tcPr>
          <w:p>
            <w:pPr>
              <w:ind w:left="1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4"/>
                <w:szCs w:val="24"/>
                <w:color w:val="auto"/>
              </w:rPr>
            </w:pPr>
          </w:p>
        </w:tc>
        <w:tc>
          <w:tcPr>
            <w:tcW w:w="4940" w:type="dxa"/>
            <w:vAlign w:val="bottom"/>
            <w:gridSpan w:val="15"/>
          </w:tcPr>
          <w:p>
            <w:pPr>
              <w:ind w:left="10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Compensation Changes after December 31, 2022</w:t>
            </w:r>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52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00" w:type="dxa"/>
            <w:vAlign w:val="bottom"/>
          </w:tcPr>
          <w:p>
            <w:pPr>
              <w:spacing w:after="0"/>
              <w:rPr>
                <w:sz w:val="6"/>
                <w:szCs w:val="6"/>
                <w:color w:val="auto"/>
              </w:rPr>
            </w:pPr>
          </w:p>
        </w:tc>
        <w:tc>
          <w:tcPr>
            <w:tcW w:w="660" w:type="dxa"/>
            <w:vAlign w:val="bottom"/>
            <w:gridSpan w:val="3"/>
            <w:vMerge w:val="restart"/>
          </w:tcPr>
          <w:p>
            <w:pPr>
              <w:ind w:left="80"/>
              <w:spacing w:after="0"/>
              <w:rPr>
                <w:sz w:val="20"/>
                <w:szCs w:val="20"/>
                <w:color w:val="auto"/>
              </w:rPr>
            </w:pPr>
            <w:r>
              <w:rPr>
                <w:rFonts w:ascii="Arial" w:cs="Arial" w:eastAsia="Arial" w:hAnsi="Arial"/>
                <w:sz w:val="18"/>
                <w:szCs w:val="18"/>
                <w:color w:val="0070C0"/>
                <w:w w:val="91"/>
              </w:rPr>
              <w:t>•</w:t>
            </w:r>
            <w:r>
              <w:rPr>
                <w:rFonts w:ascii="Arial" w:cs="Arial" w:eastAsia="Arial" w:hAnsi="Arial"/>
                <w:sz w:val="18"/>
                <w:szCs w:val="18"/>
                <w:color w:val="000000"/>
                <w:w w:val="91"/>
              </w:rPr>
              <w:t xml:space="preserve">   </w:t>
            </w:r>
            <w:r>
              <w:rPr>
                <w:rFonts w:ascii="Arial" w:cs="Arial" w:eastAsia="Arial" w:hAnsi="Arial"/>
                <w:sz w:val="18"/>
                <w:szCs w:val="18"/>
                <w:color w:val="0000EE"/>
                <w:w w:val="91"/>
              </w:rPr>
              <w:t>2022</w:t>
            </w:r>
          </w:p>
        </w:tc>
        <w:tc>
          <w:tcPr>
            <w:tcW w:w="3980" w:type="dxa"/>
            <w:vAlign w:val="bottom"/>
            <w:gridSpan w:val="14"/>
            <w:vMerge w:val="restart"/>
          </w:tcPr>
          <w:p>
            <w:pPr>
              <w:ind w:left="40"/>
              <w:spacing w:after="0"/>
              <w:rPr>
                <w:sz w:val="20"/>
                <w:szCs w:val="20"/>
                <w:color w:val="auto"/>
              </w:rPr>
            </w:pPr>
            <w:r>
              <w:rPr>
                <w:rFonts w:ascii="Arial" w:cs="Arial" w:eastAsia="Arial" w:hAnsi="Arial"/>
                <w:sz w:val="18"/>
                <w:szCs w:val="18"/>
                <w:color w:val="0000EE"/>
              </w:rPr>
              <w:t>Target Compensation Mix</w:t>
            </w:r>
          </w:p>
        </w:tc>
        <w:tc>
          <w:tcPr>
            <w:tcW w:w="880" w:type="dxa"/>
            <w:vAlign w:val="bottom"/>
            <w:vMerge w:val="restart"/>
          </w:tcPr>
          <w:p>
            <w:pPr>
              <w:ind w:left="1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60" w:type="dxa"/>
            <w:vAlign w:val="bottom"/>
            <w:gridSpan w:val="3"/>
            <w:vMerge w:val="continue"/>
          </w:tcPr>
          <w:p>
            <w:pPr>
              <w:spacing w:after="0"/>
              <w:rPr>
                <w:sz w:val="21"/>
                <w:szCs w:val="21"/>
                <w:color w:val="auto"/>
              </w:rPr>
            </w:pPr>
          </w:p>
        </w:tc>
        <w:tc>
          <w:tcPr>
            <w:tcW w:w="3980" w:type="dxa"/>
            <w:vAlign w:val="bottom"/>
            <w:gridSpan w:val="14"/>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5020" w:type="dxa"/>
            <w:vAlign w:val="bottom"/>
            <w:gridSpan w:val="16"/>
            <w:shd w:val="clear" w:color="auto" w:fill="C45911"/>
          </w:tcPr>
          <w:p>
            <w:pPr>
              <w:ind w:left="80"/>
              <w:spacing w:after="0"/>
              <w:rPr>
                <w:sz w:val="20"/>
                <w:szCs w:val="20"/>
                <w:color w:val="auto"/>
              </w:rPr>
            </w:pPr>
            <w:r>
              <w:rPr>
                <w:rFonts w:ascii="Arial" w:cs="Arial" w:eastAsia="Arial" w:hAnsi="Arial"/>
                <w:sz w:val="18"/>
                <w:szCs w:val="18"/>
                <w:i w:val="1"/>
                <w:iCs w:val="1"/>
                <w:color w:val="0000EE"/>
              </w:rPr>
              <w:t>Section 5 – Other Compensation and Policies</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540" w:type="dxa"/>
            <w:vAlign w:val="bottom"/>
            <w:tcBorders>
              <w:top w:val="single" w:sz="8" w:color="0000EE"/>
            </w:tcBorders>
            <w:gridSpan w:val="9"/>
          </w:tcPr>
          <w:p>
            <w:pPr>
              <w:spacing w:after="0"/>
              <w:rPr>
                <w:sz w:val="6"/>
                <w:szCs w:val="6"/>
                <w:color w:val="auto"/>
              </w:rPr>
            </w:pPr>
          </w:p>
        </w:tc>
        <w:tc>
          <w:tcPr>
            <w:tcW w:w="1860" w:type="dxa"/>
            <w:vAlign w:val="bottom"/>
            <w:gridSpan w:val="7"/>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C45911"/>
            </w:tcBorders>
            <w:shd w:val="clear" w:color="auto" w:fill="C45911"/>
          </w:tcPr>
          <w:p>
            <w:pPr>
              <w:spacing w:after="0"/>
              <w:rPr>
                <w:sz w:val="6"/>
                <w:szCs w:val="6"/>
                <w:color w:val="auto"/>
              </w:rPr>
            </w:pPr>
          </w:p>
        </w:tc>
        <w:tc>
          <w:tcPr>
            <w:tcW w:w="260" w:type="dxa"/>
            <w:vAlign w:val="bottom"/>
            <w:tcBorders>
              <w:top w:val="single" w:sz="8" w:color="0000EE"/>
            </w:tcBorders>
            <w:shd w:val="clear" w:color="auto" w:fill="C45911"/>
          </w:tcPr>
          <w:p>
            <w:pPr>
              <w:spacing w:after="0"/>
              <w:rPr>
                <w:sz w:val="6"/>
                <w:szCs w:val="6"/>
                <w:color w:val="auto"/>
              </w:rPr>
            </w:pPr>
          </w:p>
        </w:tc>
        <w:tc>
          <w:tcPr>
            <w:tcW w:w="1320" w:type="dxa"/>
            <w:vAlign w:val="bottom"/>
            <w:tcBorders>
              <w:top w:val="single" w:sz="8" w:color="0000EE"/>
            </w:tcBorders>
            <w:shd w:val="clear" w:color="auto" w:fill="C45911"/>
          </w:tcPr>
          <w:p>
            <w:pPr>
              <w:spacing w:after="0"/>
              <w:rPr>
                <w:sz w:val="6"/>
                <w:szCs w:val="6"/>
                <w:color w:val="auto"/>
              </w:rPr>
            </w:pPr>
          </w:p>
        </w:tc>
        <w:tc>
          <w:tcPr>
            <w:tcW w:w="100" w:type="dxa"/>
            <w:vAlign w:val="bottom"/>
            <w:tcBorders>
              <w:top w:val="single" w:sz="8" w:color="0000EE"/>
            </w:tcBorders>
            <w:shd w:val="clear" w:color="auto" w:fill="C45911"/>
          </w:tcPr>
          <w:p>
            <w:pPr>
              <w:spacing w:after="0"/>
              <w:rPr>
                <w:sz w:val="6"/>
                <w:szCs w:val="6"/>
                <w:color w:val="auto"/>
              </w:rPr>
            </w:pPr>
          </w:p>
        </w:tc>
        <w:tc>
          <w:tcPr>
            <w:tcW w:w="380" w:type="dxa"/>
            <w:vAlign w:val="bottom"/>
            <w:tcBorders>
              <w:top w:val="single" w:sz="8" w:color="0000EE"/>
            </w:tcBorders>
            <w:shd w:val="clear" w:color="auto" w:fill="C45911"/>
          </w:tcPr>
          <w:p>
            <w:pPr>
              <w:spacing w:after="0"/>
              <w:rPr>
                <w:sz w:val="6"/>
                <w:szCs w:val="6"/>
                <w:color w:val="auto"/>
              </w:rPr>
            </w:pPr>
          </w:p>
        </w:tc>
        <w:tc>
          <w:tcPr>
            <w:tcW w:w="440" w:type="dxa"/>
            <w:vAlign w:val="bottom"/>
            <w:tcBorders>
              <w:top w:val="single" w:sz="8" w:color="0000EE"/>
            </w:tcBorders>
            <w:shd w:val="clear" w:color="auto" w:fill="C45911"/>
          </w:tcPr>
          <w:p>
            <w:pPr>
              <w:spacing w:after="0"/>
              <w:rPr>
                <w:sz w:val="6"/>
                <w:szCs w:val="6"/>
                <w:color w:val="auto"/>
              </w:rPr>
            </w:pPr>
          </w:p>
        </w:tc>
        <w:tc>
          <w:tcPr>
            <w:tcW w:w="200" w:type="dxa"/>
            <w:vAlign w:val="bottom"/>
            <w:tcBorders>
              <w:top w:val="single" w:sz="8" w:color="0000EE"/>
              <w:left w:val="single" w:sz="8" w:color="C45911"/>
            </w:tcBorders>
            <w:shd w:val="clear" w:color="auto" w:fill="C45911"/>
          </w:tcPr>
          <w:p>
            <w:pPr>
              <w:spacing w:after="0"/>
              <w:rPr>
                <w:sz w:val="6"/>
                <w:szCs w:val="6"/>
                <w:color w:val="auto"/>
              </w:rPr>
            </w:pPr>
          </w:p>
        </w:tc>
        <w:tc>
          <w:tcPr>
            <w:tcW w:w="120" w:type="dxa"/>
            <w:vAlign w:val="bottom"/>
            <w:tcBorders>
              <w:top w:val="single" w:sz="8" w:color="0000EE"/>
            </w:tcBorders>
            <w:shd w:val="clear" w:color="auto" w:fill="C45911"/>
          </w:tcPr>
          <w:p>
            <w:pPr>
              <w:spacing w:after="0"/>
              <w:rPr>
                <w:sz w:val="6"/>
                <w:szCs w:val="6"/>
                <w:color w:val="auto"/>
              </w:rPr>
            </w:pPr>
          </w:p>
        </w:tc>
        <w:tc>
          <w:tcPr>
            <w:tcW w:w="220" w:type="dxa"/>
            <w:vAlign w:val="bottom"/>
            <w:tcBorders>
              <w:top w:val="single" w:sz="8" w:color="0000EE"/>
            </w:tcBorders>
            <w:shd w:val="clear" w:color="auto" w:fill="C45911"/>
          </w:tcPr>
          <w:p>
            <w:pPr>
              <w:spacing w:after="0"/>
              <w:rPr>
                <w:sz w:val="6"/>
                <w:szCs w:val="6"/>
                <w:color w:val="auto"/>
              </w:rPr>
            </w:pPr>
          </w:p>
        </w:tc>
        <w:tc>
          <w:tcPr>
            <w:tcW w:w="380" w:type="dxa"/>
            <w:vAlign w:val="bottom"/>
            <w:tcBorders>
              <w:top w:val="single" w:sz="8" w:color="0000EE"/>
              <w:left w:val="single" w:sz="8" w:color="C45911"/>
            </w:tcBorders>
            <w:shd w:val="clear" w:color="auto" w:fill="C45911"/>
          </w:tcPr>
          <w:p>
            <w:pPr>
              <w:spacing w:after="0"/>
              <w:rPr>
                <w:sz w:val="6"/>
                <w:szCs w:val="6"/>
                <w:color w:val="auto"/>
              </w:rPr>
            </w:pPr>
          </w:p>
        </w:tc>
        <w:tc>
          <w:tcPr>
            <w:tcW w:w="120" w:type="dxa"/>
            <w:vAlign w:val="bottom"/>
            <w:tcBorders>
              <w:top w:val="single" w:sz="8" w:color="0000EE"/>
            </w:tcBorders>
            <w:shd w:val="clear" w:color="auto" w:fill="C45911"/>
          </w:tcPr>
          <w:p>
            <w:pPr>
              <w:spacing w:after="0"/>
              <w:rPr>
                <w:sz w:val="6"/>
                <w:szCs w:val="6"/>
                <w:color w:val="auto"/>
              </w:rPr>
            </w:pPr>
          </w:p>
        </w:tc>
        <w:tc>
          <w:tcPr>
            <w:tcW w:w="100" w:type="dxa"/>
            <w:vAlign w:val="bottom"/>
            <w:tcBorders>
              <w:top w:val="single" w:sz="8" w:color="0000EE"/>
            </w:tcBorders>
            <w:shd w:val="clear" w:color="auto" w:fill="C45911"/>
          </w:tcPr>
          <w:p>
            <w:pPr>
              <w:spacing w:after="0"/>
              <w:rPr>
                <w:sz w:val="6"/>
                <w:szCs w:val="6"/>
                <w:color w:val="auto"/>
              </w:rPr>
            </w:pPr>
          </w:p>
        </w:tc>
        <w:tc>
          <w:tcPr>
            <w:tcW w:w="560" w:type="dxa"/>
            <w:vAlign w:val="bottom"/>
            <w:tcBorders>
              <w:top w:val="single" w:sz="8" w:color="C45911"/>
              <w:right w:val="single" w:sz="8" w:color="C45911"/>
            </w:tcBorders>
            <w:shd w:val="clear" w:color="auto" w:fill="C45911"/>
          </w:tcPr>
          <w:p>
            <w:pPr>
              <w:spacing w:after="0"/>
              <w:rPr>
                <w:sz w:val="6"/>
                <w:szCs w:val="6"/>
                <w:color w:val="auto"/>
              </w:rPr>
            </w:pPr>
          </w:p>
        </w:tc>
        <w:tc>
          <w:tcPr>
            <w:tcW w:w="80" w:type="dxa"/>
            <w:vAlign w:val="bottom"/>
            <w:tcBorders>
              <w:top w:val="single" w:sz="8" w:color="C45911"/>
              <w:left w:val="single" w:sz="8" w:color="C45911"/>
            </w:tcBorders>
            <w:shd w:val="clear" w:color="auto" w:fill="C45911"/>
          </w:tcPr>
          <w:p>
            <w:pPr>
              <w:spacing w:after="0"/>
              <w:rPr>
                <w:sz w:val="6"/>
                <w:szCs w:val="6"/>
                <w:color w:val="auto"/>
              </w:rPr>
            </w:pPr>
          </w:p>
        </w:tc>
        <w:tc>
          <w:tcPr>
            <w:tcW w:w="380" w:type="dxa"/>
            <w:vAlign w:val="bottom"/>
            <w:tcBorders>
              <w:top w:val="single" w:sz="8" w:color="C45911"/>
            </w:tcBorders>
            <w:shd w:val="clear" w:color="auto" w:fill="C45911"/>
          </w:tcPr>
          <w:p>
            <w:pPr>
              <w:spacing w:after="0"/>
              <w:rPr>
                <w:sz w:val="6"/>
                <w:szCs w:val="6"/>
                <w:color w:val="auto"/>
              </w:rPr>
            </w:pPr>
          </w:p>
        </w:tc>
        <w:tc>
          <w:tcPr>
            <w:tcW w:w="280" w:type="dxa"/>
            <w:vAlign w:val="bottom"/>
            <w:tcBorders>
              <w:top w:val="single" w:sz="8" w:color="C45911"/>
            </w:tcBorders>
            <w:shd w:val="clear" w:color="auto" w:fill="C45911"/>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640" w:type="dxa"/>
            <w:vAlign w:val="bottom"/>
            <w:gridSpan w:val="17"/>
          </w:tcPr>
          <w:p>
            <w:pPr>
              <w:ind w:left="8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Key Compensation Practices for Executives</w:t>
            </w:r>
          </w:p>
        </w:tc>
        <w:tc>
          <w:tcPr>
            <w:tcW w:w="880" w:type="dxa"/>
            <w:vAlign w:val="bottom"/>
          </w:tcPr>
          <w:p>
            <w:pPr>
              <w:ind w:lef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1"/>
                <w:szCs w:val="21"/>
                <w:color w:val="auto"/>
              </w:rPr>
            </w:pPr>
          </w:p>
        </w:tc>
        <w:tc>
          <w:tcPr>
            <w:tcW w:w="4940" w:type="dxa"/>
            <w:vAlign w:val="bottom"/>
            <w:gridSpan w:val="15"/>
          </w:tcPr>
          <w:p>
            <w:pPr>
              <w:ind w:left="10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Executive Benefits and Perquisites</w:t>
            </w: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4940" w:type="dxa"/>
            <w:vAlign w:val="bottom"/>
            <w:gridSpan w:val="15"/>
            <w:vMerge w:val="restart"/>
          </w:tcPr>
          <w:p>
            <w:pPr>
              <w:ind w:left="10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Post-Termination Compensation</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740" w:type="dxa"/>
            <w:vAlign w:val="bottom"/>
            <w:gridSpan w:val="18"/>
            <w:shd w:val="clear" w:color="auto" w:fill="C45911"/>
          </w:tcPr>
          <w:p>
            <w:pPr>
              <w:ind w:left="100"/>
              <w:spacing w:after="0"/>
              <w:rPr>
                <w:sz w:val="20"/>
                <w:szCs w:val="20"/>
                <w:color w:val="auto"/>
              </w:rPr>
            </w:pPr>
            <w:r>
              <w:rPr>
                <w:rFonts w:ascii="Arial" w:cs="Arial" w:eastAsia="Arial" w:hAnsi="Arial"/>
                <w:sz w:val="18"/>
                <w:szCs w:val="18"/>
                <w:i w:val="1"/>
                <w:iCs w:val="1"/>
                <w:color w:val="0000EE"/>
              </w:rPr>
              <w:t>Section 2 – How We Determine Pay</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940" w:type="dxa"/>
            <w:vAlign w:val="bottom"/>
            <w:gridSpan w:val="15"/>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100" w:type="dxa"/>
            <w:vAlign w:val="bottom"/>
            <w:tcBorders>
              <w:top w:val="single" w:sz="8" w:color="C45911"/>
            </w:tcBorders>
            <w:shd w:val="clear" w:color="auto" w:fill="C45911"/>
          </w:tcPr>
          <w:p>
            <w:pPr>
              <w:spacing w:after="0"/>
              <w:rPr>
                <w:sz w:val="6"/>
                <w:szCs w:val="6"/>
                <w:color w:val="auto"/>
              </w:rPr>
            </w:pPr>
          </w:p>
        </w:tc>
        <w:tc>
          <w:tcPr>
            <w:tcW w:w="240" w:type="dxa"/>
            <w:vAlign w:val="bottom"/>
            <w:tcBorders>
              <w:top w:val="single" w:sz="8" w:color="0000EE"/>
            </w:tcBorders>
            <w:shd w:val="clear" w:color="auto" w:fill="C45911"/>
          </w:tcPr>
          <w:p>
            <w:pPr>
              <w:spacing w:after="0"/>
              <w:rPr>
                <w:sz w:val="6"/>
                <w:szCs w:val="6"/>
                <w:color w:val="auto"/>
              </w:rPr>
            </w:pPr>
          </w:p>
        </w:tc>
        <w:tc>
          <w:tcPr>
            <w:tcW w:w="100" w:type="dxa"/>
            <w:vAlign w:val="bottom"/>
            <w:tcBorders>
              <w:top w:val="single" w:sz="8" w:color="0000EE"/>
            </w:tcBorders>
            <w:shd w:val="clear" w:color="auto" w:fill="C45911"/>
          </w:tcPr>
          <w:p>
            <w:pPr>
              <w:spacing w:after="0"/>
              <w:rPr>
                <w:sz w:val="6"/>
                <w:szCs w:val="6"/>
                <w:color w:val="auto"/>
              </w:rPr>
            </w:pPr>
          </w:p>
        </w:tc>
        <w:tc>
          <w:tcPr>
            <w:tcW w:w="320" w:type="dxa"/>
            <w:vAlign w:val="bottom"/>
            <w:tcBorders>
              <w:top w:val="single" w:sz="8" w:color="0000EE"/>
            </w:tcBorders>
            <w:shd w:val="clear" w:color="auto" w:fill="C45911"/>
          </w:tcPr>
          <w:p>
            <w:pPr>
              <w:spacing w:after="0"/>
              <w:rPr>
                <w:sz w:val="6"/>
                <w:szCs w:val="6"/>
                <w:color w:val="auto"/>
              </w:rPr>
            </w:pPr>
          </w:p>
        </w:tc>
        <w:tc>
          <w:tcPr>
            <w:tcW w:w="1240" w:type="dxa"/>
            <w:vAlign w:val="bottom"/>
            <w:tcBorders>
              <w:top w:val="single" w:sz="8" w:color="0000EE"/>
            </w:tcBorders>
            <w:shd w:val="clear" w:color="auto" w:fill="C45911"/>
          </w:tcPr>
          <w:p>
            <w:pPr>
              <w:spacing w:after="0"/>
              <w:rPr>
                <w:sz w:val="6"/>
                <w:szCs w:val="6"/>
                <w:color w:val="auto"/>
              </w:rPr>
            </w:pPr>
          </w:p>
        </w:tc>
        <w:tc>
          <w:tcPr>
            <w:tcW w:w="280" w:type="dxa"/>
            <w:vAlign w:val="bottom"/>
            <w:tcBorders>
              <w:top w:val="single" w:sz="8" w:color="0000EE"/>
              <w:right w:val="single" w:sz="8" w:color="C45911"/>
            </w:tcBorders>
            <w:shd w:val="clear" w:color="auto" w:fill="C45911"/>
          </w:tcPr>
          <w:p>
            <w:pPr>
              <w:spacing w:after="0"/>
              <w:rPr>
                <w:sz w:val="6"/>
                <w:szCs w:val="6"/>
                <w:color w:val="auto"/>
              </w:rPr>
            </w:pPr>
          </w:p>
        </w:tc>
        <w:tc>
          <w:tcPr>
            <w:tcW w:w="80" w:type="dxa"/>
            <w:vAlign w:val="bottom"/>
            <w:tcBorders>
              <w:top w:val="single" w:sz="8" w:color="0000EE"/>
            </w:tcBorders>
            <w:shd w:val="clear" w:color="auto" w:fill="C45911"/>
          </w:tcPr>
          <w:p>
            <w:pPr>
              <w:spacing w:after="0"/>
              <w:rPr>
                <w:sz w:val="6"/>
                <w:szCs w:val="6"/>
                <w:color w:val="auto"/>
              </w:rPr>
            </w:pPr>
          </w:p>
        </w:tc>
        <w:tc>
          <w:tcPr>
            <w:tcW w:w="280" w:type="dxa"/>
            <w:vAlign w:val="bottom"/>
            <w:tcBorders>
              <w:top w:val="single" w:sz="8" w:color="0000EE"/>
            </w:tcBorders>
            <w:shd w:val="clear" w:color="auto" w:fill="C45911"/>
          </w:tcPr>
          <w:p>
            <w:pPr>
              <w:spacing w:after="0"/>
              <w:rPr>
                <w:sz w:val="6"/>
                <w:szCs w:val="6"/>
                <w:color w:val="auto"/>
              </w:rPr>
            </w:pPr>
          </w:p>
        </w:tc>
        <w:tc>
          <w:tcPr>
            <w:tcW w:w="140" w:type="dxa"/>
            <w:vAlign w:val="bottom"/>
            <w:tcBorders>
              <w:top w:val="single" w:sz="8" w:color="0000EE"/>
            </w:tcBorders>
            <w:shd w:val="clear" w:color="auto" w:fill="C45911"/>
          </w:tcPr>
          <w:p>
            <w:pPr>
              <w:spacing w:after="0"/>
              <w:rPr>
                <w:sz w:val="6"/>
                <w:szCs w:val="6"/>
                <w:color w:val="auto"/>
              </w:rPr>
            </w:pPr>
          </w:p>
        </w:tc>
        <w:tc>
          <w:tcPr>
            <w:tcW w:w="20" w:type="dxa"/>
            <w:vAlign w:val="bottom"/>
            <w:tcBorders>
              <w:top w:val="single" w:sz="8" w:color="0000EE"/>
            </w:tcBorders>
            <w:shd w:val="clear" w:color="auto" w:fill="C45911"/>
          </w:tcPr>
          <w:p>
            <w:pPr>
              <w:spacing w:after="0"/>
              <w:rPr>
                <w:sz w:val="6"/>
                <w:szCs w:val="6"/>
                <w:color w:val="auto"/>
              </w:rPr>
            </w:pPr>
          </w:p>
        </w:tc>
        <w:tc>
          <w:tcPr>
            <w:tcW w:w="80" w:type="dxa"/>
            <w:vAlign w:val="bottom"/>
            <w:tcBorders>
              <w:top w:val="single" w:sz="8" w:color="0000EE"/>
              <w:right w:val="single" w:sz="8" w:color="C45911"/>
            </w:tcBorders>
            <w:shd w:val="clear" w:color="auto" w:fill="C45911"/>
          </w:tcPr>
          <w:p>
            <w:pPr>
              <w:spacing w:after="0"/>
              <w:rPr>
                <w:sz w:val="6"/>
                <w:szCs w:val="6"/>
                <w:color w:val="auto"/>
              </w:rPr>
            </w:pPr>
          </w:p>
        </w:tc>
        <w:tc>
          <w:tcPr>
            <w:tcW w:w="80" w:type="dxa"/>
            <w:vAlign w:val="bottom"/>
            <w:tcBorders>
              <w:top w:val="single" w:sz="8" w:color="0000EE"/>
              <w:left w:val="single" w:sz="8" w:color="C45911"/>
            </w:tcBorders>
            <w:shd w:val="clear" w:color="auto" w:fill="C45911"/>
          </w:tcPr>
          <w:p>
            <w:pPr>
              <w:spacing w:after="0"/>
              <w:rPr>
                <w:sz w:val="6"/>
                <w:szCs w:val="6"/>
                <w:color w:val="auto"/>
              </w:rPr>
            </w:pPr>
          </w:p>
        </w:tc>
        <w:tc>
          <w:tcPr>
            <w:tcW w:w="360" w:type="dxa"/>
            <w:vAlign w:val="bottom"/>
            <w:tcBorders>
              <w:top w:val="single" w:sz="8" w:color="C45911"/>
            </w:tcBorders>
            <w:shd w:val="clear" w:color="auto" w:fill="C45911"/>
          </w:tcPr>
          <w:p>
            <w:pPr>
              <w:spacing w:after="0"/>
              <w:rPr>
                <w:sz w:val="6"/>
                <w:szCs w:val="6"/>
                <w:color w:val="auto"/>
              </w:rPr>
            </w:pPr>
          </w:p>
        </w:tc>
        <w:tc>
          <w:tcPr>
            <w:tcW w:w="60" w:type="dxa"/>
            <w:vAlign w:val="bottom"/>
            <w:tcBorders>
              <w:top w:val="single" w:sz="8" w:color="C45911"/>
            </w:tcBorders>
            <w:shd w:val="clear" w:color="auto" w:fill="C45911"/>
          </w:tcPr>
          <w:p>
            <w:pPr>
              <w:spacing w:after="0"/>
              <w:rPr>
                <w:sz w:val="6"/>
                <w:szCs w:val="6"/>
                <w:color w:val="auto"/>
              </w:rPr>
            </w:pPr>
          </w:p>
        </w:tc>
        <w:tc>
          <w:tcPr>
            <w:tcW w:w="380" w:type="dxa"/>
            <w:vAlign w:val="bottom"/>
            <w:tcBorders>
              <w:top w:val="single" w:sz="8" w:color="C45911"/>
            </w:tcBorders>
            <w:shd w:val="clear" w:color="auto" w:fill="C45911"/>
          </w:tcPr>
          <w:p>
            <w:pPr>
              <w:spacing w:after="0"/>
              <w:rPr>
                <w:sz w:val="6"/>
                <w:szCs w:val="6"/>
                <w:color w:val="auto"/>
              </w:rPr>
            </w:pPr>
          </w:p>
        </w:tc>
        <w:tc>
          <w:tcPr>
            <w:tcW w:w="80" w:type="dxa"/>
            <w:vAlign w:val="bottom"/>
            <w:tcBorders>
              <w:top w:val="single" w:sz="8" w:color="C45911"/>
            </w:tcBorders>
            <w:shd w:val="clear" w:color="auto" w:fill="C45911"/>
          </w:tcPr>
          <w:p>
            <w:pPr>
              <w:spacing w:after="0"/>
              <w:rPr>
                <w:sz w:val="6"/>
                <w:szCs w:val="6"/>
                <w:color w:val="auto"/>
              </w:rPr>
            </w:pPr>
          </w:p>
        </w:tc>
        <w:tc>
          <w:tcPr>
            <w:tcW w:w="640" w:type="dxa"/>
            <w:vAlign w:val="bottom"/>
            <w:tcBorders>
              <w:top w:val="single" w:sz="8" w:color="C45911"/>
            </w:tcBorders>
            <w:shd w:val="clear" w:color="auto" w:fill="C45911"/>
          </w:tcPr>
          <w:p>
            <w:pPr>
              <w:spacing w:after="0"/>
              <w:rPr>
                <w:sz w:val="6"/>
                <w:szCs w:val="6"/>
                <w:color w:val="auto"/>
              </w:rPr>
            </w:pPr>
          </w:p>
        </w:tc>
        <w:tc>
          <w:tcPr>
            <w:tcW w:w="260" w:type="dxa"/>
            <w:vAlign w:val="bottom"/>
            <w:tcBorders>
              <w:top w:val="single" w:sz="8" w:color="C45911"/>
            </w:tcBorders>
            <w:shd w:val="clear" w:color="auto" w:fill="C45911"/>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4640" w:type="dxa"/>
            <w:vAlign w:val="bottom"/>
            <w:gridSpan w:val="17"/>
          </w:tcPr>
          <w:p>
            <w:pPr>
              <w:ind w:left="8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Our Compensation Philosophy</w:t>
            </w:r>
          </w:p>
        </w:tc>
        <w:tc>
          <w:tcPr>
            <w:tcW w:w="880" w:type="dxa"/>
            <w:vAlign w:val="bottom"/>
          </w:tcPr>
          <w:p>
            <w:pPr>
              <w:ind w:lef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1"/>
                <w:szCs w:val="21"/>
                <w:color w:val="auto"/>
              </w:rPr>
            </w:pPr>
          </w:p>
        </w:tc>
        <w:tc>
          <w:tcPr>
            <w:tcW w:w="4940" w:type="dxa"/>
            <w:vAlign w:val="bottom"/>
            <w:gridSpan w:val="15"/>
          </w:tcPr>
          <w:p>
            <w:pPr>
              <w:ind w:left="10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Retirement / Post-Employment Benefits</w:t>
            </w: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4640" w:type="dxa"/>
            <w:vAlign w:val="bottom"/>
            <w:gridSpan w:val="17"/>
          </w:tcPr>
          <w:p>
            <w:pPr>
              <w:ind w:left="8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Goals of Our Compensation Program</w:t>
            </w:r>
          </w:p>
        </w:tc>
        <w:tc>
          <w:tcPr>
            <w:tcW w:w="880" w:type="dxa"/>
            <w:vAlign w:val="bottom"/>
          </w:tcPr>
          <w:p>
            <w:pPr>
              <w:ind w:left="14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4"/>
                <w:szCs w:val="24"/>
                <w:color w:val="auto"/>
              </w:rPr>
            </w:pPr>
          </w:p>
        </w:tc>
        <w:tc>
          <w:tcPr>
            <w:tcW w:w="4940" w:type="dxa"/>
            <w:vAlign w:val="bottom"/>
            <w:gridSpan w:val="15"/>
          </w:tcPr>
          <w:p>
            <w:pPr>
              <w:ind w:left="10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Equity Grant Practices</w:t>
            </w: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Borders>
              <w:right w:val="single" w:sz="8" w:color="0000EE"/>
            </w:tcBorders>
            <w:gridSpan w:val="4"/>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 w:type="dxa"/>
            <w:vAlign w:val="bottom"/>
          </w:tcPr>
          <w:p>
            <w:pPr>
              <w:spacing w:after="0"/>
              <w:rPr>
                <w:sz w:val="24"/>
                <w:szCs w:val="24"/>
                <w:color w:val="auto"/>
              </w:rPr>
            </w:pPr>
          </w:p>
        </w:tc>
        <w:tc>
          <w:tcPr>
            <w:tcW w:w="4640" w:type="dxa"/>
            <w:vAlign w:val="bottom"/>
            <w:gridSpan w:val="17"/>
          </w:tcPr>
          <w:p>
            <w:pPr>
              <w:ind w:left="8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Guiding Principles of Our Compensation Philosophy</w:t>
            </w:r>
          </w:p>
        </w:tc>
        <w:tc>
          <w:tcPr>
            <w:tcW w:w="880" w:type="dxa"/>
            <w:vAlign w:val="bottom"/>
          </w:tcPr>
          <w:p>
            <w:pPr>
              <w:ind w:left="14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4"/>
                <w:szCs w:val="24"/>
                <w:color w:val="auto"/>
              </w:rPr>
            </w:pPr>
          </w:p>
        </w:tc>
        <w:tc>
          <w:tcPr>
            <w:tcW w:w="4940" w:type="dxa"/>
            <w:vAlign w:val="bottom"/>
            <w:gridSpan w:val="15"/>
          </w:tcPr>
          <w:p>
            <w:pPr>
              <w:ind w:left="10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Tax Gross Ups and Other Considerations</w:t>
            </w: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Borders>
              <w:right w:val="single" w:sz="8" w:color="0000EE"/>
            </w:tcBorders>
            <w:gridSpan w:val="4"/>
            <w:shd w:val="clear" w:color="auto" w:fill="0000EE"/>
          </w:tcPr>
          <w:p>
            <w:pPr>
              <w:spacing w:after="0" w:line="20" w:lineRule="exact"/>
              <w:rPr>
                <w:sz w:val="1"/>
                <w:szCs w:val="1"/>
                <w:color w:val="auto"/>
              </w:rPr>
            </w:pPr>
          </w:p>
        </w:tc>
        <w:tc>
          <w:tcPr>
            <w:tcW w:w="1100" w:type="dxa"/>
            <w:vAlign w:val="bottom"/>
            <w:gridSpan w:val="8"/>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4640" w:type="dxa"/>
            <w:vAlign w:val="bottom"/>
            <w:gridSpan w:val="17"/>
          </w:tcPr>
          <w:p>
            <w:pPr>
              <w:ind w:left="8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Our Executive Compensation Process</w:t>
            </w:r>
          </w:p>
        </w:tc>
        <w:tc>
          <w:tcPr>
            <w:tcW w:w="880" w:type="dxa"/>
            <w:vAlign w:val="bottom"/>
          </w:tcPr>
          <w:p>
            <w:pPr>
              <w:ind w:left="14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4"/>
                <w:szCs w:val="24"/>
                <w:color w:val="auto"/>
              </w:rPr>
            </w:pPr>
          </w:p>
        </w:tc>
        <w:tc>
          <w:tcPr>
            <w:tcW w:w="4940" w:type="dxa"/>
            <w:vAlign w:val="bottom"/>
            <w:gridSpan w:val="15"/>
          </w:tcPr>
          <w:p>
            <w:pPr>
              <w:ind w:left="10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Stock Ownership Guidelines</w:t>
            </w: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Borders>
              <w:right w:val="single" w:sz="8" w:color="0000EE"/>
            </w:tcBorders>
            <w:gridSpan w:val="4"/>
            <w:shd w:val="clear" w:color="auto" w:fill="0000EE"/>
          </w:tcPr>
          <w:p>
            <w:pPr>
              <w:spacing w:after="0" w:line="20" w:lineRule="exact"/>
              <w:rPr>
                <w:sz w:val="1"/>
                <w:szCs w:val="1"/>
                <w:color w:val="auto"/>
              </w:rPr>
            </w:pPr>
          </w:p>
        </w:tc>
        <w:tc>
          <w:tcPr>
            <w:tcW w:w="1100" w:type="dxa"/>
            <w:vAlign w:val="bottom"/>
            <w:gridSpan w:val="8"/>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4640" w:type="dxa"/>
            <w:vAlign w:val="bottom"/>
            <w:gridSpan w:val="17"/>
          </w:tcPr>
          <w:p>
            <w:pPr>
              <w:ind w:left="8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Competitive Positioning</w:t>
            </w:r>
          </w:p>
        </w:tc>
        <w:tc>
          <w:tcPr>
            <w:tcW w:w="880" w:type="dxa"/>
            <w:vAlign w:val="bottom"/>
          </w:tcPr>
          <w:p>
            <w:pPr>
              <w:ind w:left="14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4"/>
                <w:szCs w:val="24"/>
                <w:color w:val="auto"/>
              </w:rPr>
            </w:pPr>
          </w:p>
        </w:tc>
        <w:tc>
          <w:tcPr>
            <w:tcW w:w="4940" w:type="dxa"/>
            <w:vAlign w:val="bottom"/>
            <w:gridSpan w:val="15"/>
          </w:tcPr>
          <w:p>
            <w:pPr>
              <w:ind w:left="100"/>
              <w:spacing w:after="0"/>
              <w:rPr>
                <w:sz w:val="20"/>
                <w:szCs w:val="20"/>
                <w:color w:val="auto"/>
              </w:rPr>
            </w:pPr>
            <w:r>
              <w:rPr>
                <w:rFonts w:ascii="Arial" w:cs="Arial" w:eastAsia="Arial" w:hAnsi="Arial"/>
                <w:sz w:val="18"/>
                <w:szCs w:val="18"/>
                <w:color w:val="0070C0"/>
              </w:rPr>
              <w:t>•</w:t>
            </w:r>
            <w:r>
              <w:rPr>
                <w:rFonts w:ascii="Arial" w:cs="Arial" w:eastAsia="Arial" w:hAnsi="Arial"/>
                <w:sz w:val="18"/>
                <w:szCs w:val="18"/>
                <w:color w:val="000000"/>
              </w:rPr>
              <w:t xml:space="preserve">   </w:t>
            </w:r>
            <w:r>
              <w:rPr>
                <w:rFonts w:ascii="Arial" w:cs="Arial" w:eastAsia="Arial" w:hAnsi="Arial"/>
                <w:sz w:val="18"/>
                <w:szCs w:val="18"/>
                <w:color w:val="0000EE"/>
              </w:rPr>
              <w:t>Clawback Policy</w:t>
            </w: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71"/>
        </w:trPr>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40" w:type="dxa"/>
            <w:vAlign w:val="bottom"/>
            <w:gridSpan w:val="2"/>
            <w:shd w:val="clear" w:color="auto" w:fill="002060"/>
          </w:tcPr>
          <w:p>
            <w:pPr>
              <w:jc w:val="right"/>
              <w:spacing w:after="0"/>
              <w:rPr>
                <w:sz w:val="20"/>
                <w:szCs w:val="20"/>
                <w:color w:val="auto"/>
              </w:rPr>
            </w:pPr>
            <w:r>
              <w:rPr>
                <w:rFonts w:ascii="Arial" w:cs="Arial" w:eastAsia="Arial" w:hAnsi="Arial"/>
                <w:sz w:val="16"/>
                <w:szCs w:val="16"/>
                <w:color w:val="FFFFFF"/>
              </w:rPr>
              <w:t>50</w:t>
            </w:r>
          </w:p>
        </w:tc>
        <w:tc>
          <w:tcPr>
            <w:tcW w:w="100" w:type="dxa"/>
            <w:vAlign w:val="bottom"/>
            <w:shd w:val="clear" w:color="auto" w:fill="002060"/>
          </w:tcPr>
          <w:p>
            <w:pPr>
              <w:spacing w:after="0"/>
              <w:rPr>
                <w:sz w:val="24"/>
                <w:szCs w:val="24"/>
                <w:color w:val="auto"/>
              </w:rPr>
            </w:pPr>
          </w:p>
        </w:tc>
        <w:tc>
          <w:tcPr>
            <w:tcW w:w="4300" w:type="dxa"/>
            <w:vAlign w:val="bottom"/>
            <w:gridSpan w:val="15"/>
          </w:tcPr>
          <w:p>
            <w:pPr>
              <w:ind w:left="120"/>
              <w:spacing w:after="0"/>
              <w:rPr>
                <w:sz w:val="20"/>
                <w:szCs w:val="20"/>
                <w:color w:val="auto"/>
              </w:rPr>
            </w:pPr>
            <w:r>
              <w:rPr>
                <w:rFonts w:ascii="Arial" w:cs="Arial" w:eastAsia="Arial" w:hAnsi="Arial"/>
                <w:sz w:val="16"/>
                <w:szCs w:val="16"/>
                <w:color w:val="002060"/>
              </w:rPr>
              <w:t>2023 Proxy Statement</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60" w:type="dxa"/>
            <w:vAlign w:val="bottom"/>
            <w:gridSpan w:val="12"/>
          </w:tcPr>
          <w:p>
            <w:pPr>
              <w:jc w:val="right"/>
              <w:spacing w:after="0"/>
              <w:rPr>
                <w:sz w:val="20"/>
                <w:szCs w:val="20"/>
                <w:color w:val="auto"/>
              </w:rPr>
            </w:pPr>
            <w:r>
              <w:rPr>
                <w:rFonts w:ascii="Arial" w:cs="Arial" w:eastAsia="Arial" w:hAnsi="Arial"/>
                <w:sz w:val="16"/>
                <w:szCs w:val="16"/>
                <w:color w:val="002060"/>
              </w:rPr>
              <w:t>Compensation Discussion and Analysis</w:t>
            </w:r>
          </w:p>
        </w:tc>
        <w:tc>
          <w:tcPr>
            <w:tcW w:w="0" w:type="dxa"/>
            <w:vAlign w:val="bottom"/>
          </w:tcPr>
          <w:p>
            <w:pPr>
              <w:spacing w:after="0"/>
              <w:rPr>
                <w:sz w:val="1"/>
                <w:szCs w:val="1"/>
                <w:color w:val="auto"/>
              </w:rPr>
            </w:pPr>
          </w:p>
        </w:tc>
      </w:tr>
      <w:tr>
        <w:trPr>
          <w:trHeight w:val="110"/>
        </w:trPr>
        <w:tc>
          <w:tcPr>
            <w:tcW w:w="100" w:type="dxa"/>
            <w:vAlign w:val="bottom"/>
            <w:shd w:val="clear" w:color="auto" w:fill="002060"/>
          </w:tcPr>
          <w:p>
            <w:pPr>
              <w:spacing w:after="0"/>
              <w:rPr>
                <w:sz w:val="9"/>
                <w:szCs w:val="9"/>
                <w:color w:val="auto"/>
              </w:rPr>
            </w:pPr>
          </w:p>
        </w:tc>
        <w:tc>
          <w:tcPr>
            <w:tcW w:w="240" w:type="dxa"/>
            <w:vAlign w:val="bottom"/>
            <w:shd w:val="clear" w:color="auto" w:fill="002060"/>
          </w:tcPr>
          <w:p>
            <w:pPr>
              <w:spacing w:after="0"/>
              <w:rPr>
                <w:sz w:val="9"/>
                <w:szCs w:val="9"/>
                <w:color w:val="auto"/>
              </w:rPr>
            </w:pPr>
          </w:p>
        </w:tc>
        <w:tc>
          <w:tcPr>
            <w:tcW w:w="100" w:type="dxa"/>
            <w:vAlign w:val="bottom"/>
            <w:shd w:val="clear" w:color="auto" w:fill="002060"/>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Section 1 – Executive Summary</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Our Growth Strategy</w:t>
      </w:r>
    </w:p>
    <w:p>
      <w:pPr>
        <w:spacing w:after="0" w:line="212" w:lineRule="exact"/>
        <w:rPr>
          <w:sz w:val="20"/>
          <w:szCs w:val="20"/>
          <w:color w:val="auto"/>
        </w:rPr>
      </w:pPr>
    </w:p>
    <w:p>
      <w:pPr>
        <w:ind w:left="120" w:right="260"/>
        <w:spacing w:after="0" w:line="247" w:lineRule="auto"/>
        <w:rPr>
          <w:sz w:val="20"/>
          <w:szCs w:val="20"/>
          <w:color w:val="auto"/>
        </w:rPr>
      </w:pPr>
      <w:r>
        <w:rPr>
          <w:rFonts w:ascii="Arial" w:cs="Arial" w:eastAsia="Arial" w:hAnsi="Arial"/>
          <w:sz w:val="18"/>
          <w:szCs w:val="18"/>
          <w:color w:val="auto"/>
        </w:rPr>
        <w:t>We are continually focused on expanding our geographic footprint, diversifying our products and services and expanding our mix of end markets. Our growth strategy includes acquisition of residential and commercial installers in new markets, acquisitions of businesses offering complementary products, introduction of new product offerings in existing markets, pursuit of new product categories in commercial markets, and leveraging our multi-family sales growth in existing branches.</w:t>
      </w:r>
    </w:p>
    <w:p>
      <w:pPr>
        <w:spacing w:after="0" w:line="174"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8"/>
          <w:szCs w:val="18"/>
          <w:color w:val="auto"/>
        </w:rPr>
        <w:t>Revenue from insulation services represented approximately 66% of total revenues in 2018 compared to 61% in 2022, demonstrating our continued success in revenue growth from diversified products. We have decreased our residential new construction end market exposure approximately 3%, from 77% in 2018 compared to 74% in 2022. We have added 55 new branch locations since 2018.</w:t>
      </w:r>
    </w:p>
    <w:p>
      <w:pPr>
        <w:spacing w:after="0" w:line="191"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6240" w:type="dxa"/>
            <w:vAlign w:val="bottom"/>
          </w:tcPr>
          <w:p>
            <w:pPr>
              <w:spacing w:after="0"/>
              <w:rPr>
                <w:sz w:val="17"/>
                <w:szCs w:val="17"/>
                <w:color w:val="auto"/>
              </w:rPr>
            </w:pPr>
          </w:p>
        </w:tc>
        <w:tc>
          <w:tcPr>
            <w:tcW w:w="102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1F4E79"/>
              </w:rPr>
              <w:t>2022</w:t>
            </w:r>
          </w:p>
        </w:tc>
        <w:tc>
          <w:tcPr>
            <w:tcW w:w="68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1F4E79"/>
              </w:rPr>
              <w:t>2022</w:t>
            </w:r>
          </w:p>
        </w:tc>
        <w:tc>
          <w:tcPr>
            <w:tcW w:w="40" w:type="dxa"/>
            <w:vAlign w:val="bottom"/>
            <w:shd w:val="clear" w:color="auto" w:fill="E5E5E5"/>
          </w:tcPr>
          <w:p>
            <w:pPr>
              <w:spacing w:after="0"/>
              <w:rPr>
                <w:sz w:val="17"/>
                <w:szCs w:val="17"/>
                <w:color w:val="auto"/>
              </w:rPr>
            </w:pPr>
          </w:p>
        </w:tc>
        <w:tc>
          <w:tcPr>
            <w:tcW w:w="1060" w:type="dxa"/>
            <w:vAlign w:val="bottom"/>
            <w:shd w:val="clear" w:color="auto" w:fill="E5E5E5"/>
          </w:tcPr>
          <w:p>
            <w:pPr>
              <w:jc w:val="right"/>
              <w:ind w:right="230"/>
              <w:spacing w:after="0"/>
              <w:rPr>
                <w:sz w:val="20"/>
                <w:szCs w:val="20"/>
                <w:color w:val="auto"/>
              </w:rPr>
            </w:pPr>
            <w:r>
              <w:rPr>
                <w:rFonts w:ascii="Arial" w:cs="Arial" w:eastAsia="Arial" w:hAnsi="Arial"/>
                <w:sz w:val="18"/>
                <w:szCs w:val="18"/>
                <w:b w:val="1"/>
                <w:bCs w:val="1"/>
                <w:color w:val="1F4E79"/>
              </w:rPr>
              <w:t>2018</w:t>
            </w:r>
          </w:p>
        </w:tc>
        <w:tc>
          <w:tcPr>
            <w:tcW w:w="66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1F4E79"/>
              </w:rPr>
              <w:t>2018</w:t>
            </w:r>
          </w:p>
        </w:tc>
      </w:tr>
      <w:tr>
        <w:trPr>
          <w:trHeight w:val="269"/>
        </w:trPr>
        <w:tc>
          <w:tcPr>
            <w:tcW w:w="6240" w:type="dxa"/>
            <w:vAlign w:val="bottom"/>
            <w:tcBorders>
              <w:bottom w:val="single" w:sz="8" w:color="002060"/>
            </w:tcBorders>
          </w:tcPr>
          <w:p>
            <w:pPr>
              <w:spacing w:after="0"/>
              <w:rPr>
                <w:sz w:val="23"/>
                <w:szCs w:val="23"/>
                <w:color w:val="auto"/>
              </w:rPr>
            </w:pPr>
          </w:p>
        </w:tc>
        <w:tc>
          <w:tcPr>
            <w:tcW w:w="1020" w:type="dxa"/>
            <w:vAlign w:val="bottom"/>
            <w:tcBorders>
              <w:bottom w:val="single" w:sz="8" w:color="002060"/>
            </w:tcBorders>
            <w:shd w:val="clear" w:color="auto" w:fill="E5E5E5"/>
          </w:tcPr>
          <w:p>
            <w:pPr>
              <w:jc w:val="right"/>
              <w:ind w:right="290"/>
              <w:spacing w:after="0"/>
              <w:rPr>
                <w:sz w:val="20"/>
                <w:szCs w:val="20"/>
                <w:color w:val="auto"/>
              </w:rPr>
            </w:pPr>
            <w:r>
              <w:rPr>
                <w:rFonts w:ascii="Arial" w:cs="Arial" w:eastAsia="Arial" w:hAnsi="Arial"/>
                <w:sz w:val="18"/>
                <w:szCs w:val="18"/>
                <w:b w:val="1"/>
                <w:bCs w:val="1"/>
                <w:color w:val="1F4E79"/>
              </w:rPr>
              <w:t>($)</w:t>
            </w:r>
          </w:p>
        </w:tc>
        <w:tc>
          <w:tcPr>
            <w:tcW w:w="680" w:type="dxa"/>
            <w:vAlign w:val="bottom"/>
            <w:tcBorders>
              <w:bottom w:val="single" w:sz="8" w:color="002060"/>
            </w:tcBorders>
            <w:shd w:val="clear" w:color="auto" w:fill="E5E5E5"/>
          </w:tcPr>
          <w:p>
            <w:pPr>
              <w:jc w:val="right"/>
              <w:ind w:right="130"/>
              <w:spacing w:after="0"/>
              <w:rPr>
                <w:sz w:val="20"/>
                <w:szCs w:val="20"/>
                <w:color w:val="auto"/>
              </w:rPr>
            </w:pPr>
            <w:r>
              <w:rPr>
                <w:rFonts w:ascii="Arial" w:cs="Arial" w:eastAsia="Arial" w:hAnsi="Arial"/>
                <w:sz w:val="18"/>
                <w:szCs w:val="18"/>
                <w:b w:val="1"/>
                <w:bCs w:val="1"/>
                <w:color w:val="1F4E79"/>
              </w:rPr>
              <w:t>(%)</w:t>
            </w:r>
          </w:p>
        </w:tc>
        <w:tc>
          <w:tcPr>
            <w:tcW w:w="40" w:type="dxa"/>
            <w:vAlign w:val="bottom"/>
            <w:tcBorders>
              <w:bottom w:val="single" w:sz="8" w:color="E5E5E5"/>
            </w:tcBorders>
            <w:shd w:val="clear" w:color="auto" w:fill="E5E5E5"/>
          </w:tcPr>
          <w:p>
            <w:pPr>
              <w:spacing w:after="0"/>
              <w:rPr>
                <w:sz w:val="23"/>
                <w:szCs w:val="23"/>
                <w:color w:val="auto"/>
              </w:rPr>
            </w:pPr>
          </w:p>
        </w:tc>
        <w:tc>
          <w:tcPr>
            <w:tcW w:w="1060" w:type="dxa"/>
            <w:vAlign w:val="bottom"/>
            <w:tcBorders>
              <w:bottom w:val="single" w:sz="8" w:color="002060"/>
            </w:tcBorders>
            <w:shd w:val="clear" w:color="auto" w:fill="E5E5E5"/>
          </w:tcPr>
          <w:p>
            <w:pPr>
              <w:jc w:val="right"/>
              <w:ind w:right="310"/>
              <w:spacing w:after="0"/>
              <w:rPr>
                <w:sz w:val="20"/>
                <w:szCs w:val="20"/>
                <w:color w:val="auto"/>
              </w:rPr>
            </w:pPr>
            <w:r>
              <w:rPr>
                <w:rFonts w:ascii="Arial" w:cs="Arial" w:eastAsia="Arial" w:hAnsi="Arial"/>
                <w:sz w:val="18"/>
                <w:szCs w:val="18"/>
                <w:b w:val="1"/>
                <w:bCs w:val="1"/>
                <w:color w:val="1F4E79"/>
              </w:rPr>
              <w:t>($)</w:t>
            </w:r>
          </w:p>
        </w:tc>
        <w:tc>
          <w:tcPr>
            <w:tcW w:w="660" w:type="dxa"/>
            <w:vAlign w:val="bottom"/>
            <w:tcBorders>
              <w:bottom w:val="single" w:sz="8" w:color="002060"/>
            </w:tcBorders>
            <w:shd w:val="clear" w:color="auto" w:fill="E5E5E5"/>
          </w:tcPr>
          <w:p>
            <w:pPr>
              <w:jc w:val="right"/>
              <w:ind w:right="130"/>
              <w:spacing w:after="0"/>
              <w:rPr>
                <w:sz w:val="20"/>
                <w:szCs w:val="20"/>
                <w:color w:val="auto"/>
              </w:rPr>
            </w:pPr>
            <w:r>
              <w:rPr>
                <w:rFonts w:ascii="Arial" w:cs="Arial" w:eastAsia="Arial" w:hAnsi="Arial"/>
                <w:sz w:val="18"/>
                <w:szCs w:val="18"/>
                <w:b w:val="1"/>
                <w:bCs w:val="1"/>
                <w:color w:val="1F4E79"/>
              </w:rPr>
              <w:t>(%)</w:t>
            </w:r>
          </w:p>
        </w:tc>
      </w:tr>
      <w:tr>
        <w:trPr>
          <w:trHeight w:val="241"/>
        </w:trPr>
        <w:tc>
          <w:tcPr>
            <w:tcW w:w="624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Insulation</w:t>
            </w:r>
          </w:p>
        </w:tc>
        <w:tc>
          <w:tcPr>
            <w:tcW w:w="102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1,611,037</w:t>
            </w:r>
          </w:p>
        </w:tc>
        <w:tc>
          <w:tcPr>
            <w:tcW w:w="68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61</w:t>
            </w:r>
          </w:p>
        </w:tc>
        <w:tc>
          <w:tcPr>
            <w:tcW w:w="4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876,118</w:t>
            </w:r>
          </w:p>
        </w:tc>
        <w:tc>
          <w:tcPr>
            <w:tcW w:w="66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66</w:t>
            </w:r>
          </w:p>
        </w:tc>
      </w:tr>
      <w:tr>
        <w:trPr>
          <w:trHeight w:val="236"/>
        </w:trPr>
        <w:tc>
          <w:tcPr>
            <w:tcW w:w="624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Shower doors, shelving and mirrors</w:t>
            </w:r>
          </w:p>
        </w:tc>
        <w:tc>
          <w:tcPr>
            <w:tcW w:w="102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172,979</w:t>
            </w:r>
          </w:p>
        </w:tc>
        <w:tc>
          <w:tcPr>
            <w:tcW w:w="68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90,352</w:t>
            </w:r>
          </w:p>
        </w:tc>
        <w:tc>
          <w:tcPr>
            <w:tcW w:w="66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7</w:t>
            </w:r>
          </w:p>
        </w:tc>
      </w:tr>
      <w:tr>
        <w:trPr>
          <w:trHeight w:val="236"/>
        </w:trPr>
        <w:tc>
          <w:tcPr>
            <w:tcW w:w="624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Garage doors</w:t>
            </w:r>
          </w:p>
        </w:tc>
        <w:tc>
          <w:tcPr>
            <w:tcW w:w="102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168,800</w:t>
            </w:r>
          </w:p>
        </w:tc>
        <w:tc>
          <w:tcPr>
            <w:tcW w:w="68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79,539</w:t>
            </w:r>
          </w:p>
        </w:tc>
        <w:tc>
          <w:tcPr>
            <w:tcW w:w="66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6</w:t>
            </w:r>
          </w:p>
        </w:tc>
      </w:tr>
      <w:tr>
        <w:trPr>
          <w:trHeight w:val="237"/>
        </w:trPr>
        <w:tc>
          <w:tcPr>
            <w:tcW w:w="624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Waterproofing</w:t>
            </w:r>
          </w:p>
        </w:tc>
        <w:tc>
          <w:tcPr>
            <w:tcW w:w="102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124,808</w:t>
            </w:r>
          </w:p>
        </w:tc>
        <w:tc>
          <w:tcPr>
            <w:tcW w:w="68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97,683</w:t>
            </w:r>
          </w:p>
        </w:tc>
        <w:tc>
          <w:tcPr>
            <w:tcW w:w="66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7</w:t>
            </w:r>
          </w:p>
        </w:tc>
      </w:tr>
      <w:tr>
        <w:trPr>
          <w:trHeight w:val="237"/>
        </w:trPr>
        <w:tc>
          <w:tcPr>
            <w:tcW w:w="624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Rain gutters</w:t>
            </w:r>
          </w:p>
        </w:tc>
        <w:tc>
          <w:tcPr>
            <w:tcW w:w="102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114,022</w:t>
            </w:r>
          </w:p>
        </w:tc>
        <w:tc>
          <w:tcPr>
            <w:tcW w:w="68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44,203</w:t>
            </w:r>
          </w:p>
        </w:tc>
        <w:tc>
          <w:tcPr>
            <w:tcW w:w="66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3</w:t>
            </w:r>
          </w:p>
        </w:tc>
      </w:tr>
      <w:tr>
        <w:trPr>
          <w:trHeight w:val="236"/>
        </w:trPr>
        <w:tc>
          <w:tcPr>
            <w:tcW w:w="624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Fireproofing / firestopping</w:t>
            </w:r>
          </w:p>
        </w:tc>
        <w:tc>
          <w:tcPr>
            <w:tcW w:w="102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63,498</w:t>
            </w:r>
          </w:p>
        </w:tc>
        <w:tc>
          <w:tcPr>
            <w:tcW w:w="68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624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Window blinds</w:t>
            </w:r>
          </w:p>
        </w:tc>
        <w:tc>
          <w:tcPr>
            <w:tcW w:w="102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61,295</w:t>
            </w:r>
          </w:p>
        </w:tc>
        <w:tc>
          <w:tcPr>
            <w:tcW w:w="68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28,981</w:t>
            </w:r>
          </w:p>
        </w:tc>
        <w:tc>
          <w:tcPr>
            <w:tcW w:w="66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2</w:t>
            </w:r>
          </w:p>
        </w:tc>
      </w:tr>
      <w:tr>
        <w:trPr>
          <w:trHeight w:val="236"/>
        </w:trPr>
        <w:tc>
          <w:tcPr>
            <w:tcW w:w="624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Other building products</w:t>
            </w:r>
          </w:p>
        </w:tc>
        <w:tc>
          <w:tcPr>
            <w:tcW w:w="102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197,118</w:t>
            </w:r>
          </w:p>
        </w:tc>
        <w:tc>
          <w:tcPr>
            <w:tcW w:w="68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9</w:t>
            </w:r>
          </w:p>
        </w:tc>
      </w:tr>
      <w:tr>
        <w:trPr>
          <w:trHeight w:val="236"/>
        </w:trPr>
        <w:tc>
          <w:tcPr>
            <w:tcW w:w="6240" w:type="dxa"/>
            <w:vAlign w:val="bottom"/>
            <w:tcBorders>
              <w:bottom w:val="single" w:sz="8" w:color="002060"/>
            </w:tcBorders>
          </w:tcPr>
          <w:p>
            <w:pPr>
              <w:ind w:left="360"/>
              <w:spacing w:after="0"/>
              <w:rPr>
                <w:sz w:val="20"/>
                <w:szCs w:val="20"/>
                <w:color w:val="auto"/>
              </w:rPr>
            </w:pPr>
            <w:r>
              <w:rPr>
                <w:rFonts w:ascii="Arial" w:cs="Arial" w:eastAsia="Arial" w:hAnsi="Arial"/>
                <w:sz w:val="18"/>
                <w:szCs w:val="18"/>
                <w:color w:val="auto"/>
              </w:rPr>
              <w:t>Net revenues, installation</w:t>
            </w:r>
          </w:p>
        </w:tc>
        <w:tc>
          <w:tcPr>
            <w:tcW w:w="102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2,513,557</w:t>
            </w:r>
          </w:p>
        </w:tc>
        <w:tc>
          <w:tcPr>
            <w:tcW w:w="68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94</w:t>
            </w:r>
          </w:p>
        </w:tc>
        <w:tc>
          <w:tcPr>
            <w:tcW w:w="4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1,336,432</w:t>
            </w:r>
          </w:p>
        </w:tc>
        <w:tc>
          <w:tcPr>
            <w:tcW w:w="66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100</w:t>
            </w:r>
          </w:p>
        </w:tc>
      </w:tr>
      <w:tr>
        <w:trPr>
          <w:trHeight w:val="237"/>
        </w:trPr>
        <w:tc>
          <w:tcPr>
            <w:tcW w:w="624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156,287</w:t>
            </w:r>
          </w:p>
        </w:tc>
        <w:tc>
          <w:tcPr>
            <w:tcW w:w="68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002060"/>
            </w:tcBorders>
            <w:shd w:val="clear" w:color="auto" w:fill="E5E5E5"/>
          </w:tcPr>
          <w:p>
            <w:pPr>
              <w:jc w:val="right"/>
              <w:ind w:right="70"/>
              <w:spacing w:after="0"/>
              <w:rPr>
                <w:sz w:val="20"/>
                <w:szCs w:val="20"/>
                <w:color w:val="auto"/>
              </w:rPr>
            </w:pPr>
            <w:r>
              <w:rPr>
                <w:rFonts w:ascii="Arial" w:cs="Arial" w:eastAsia="Arial" w:hAnsi="Arial"/>
                <w:sz w:val="18"/>
                <w:szCs w:val="18"/>
                <w:color w:val="auto"/>
              </w:rPr>
              <w:t>-</w:t>
            </w:r>
          </w:p>
        </w:tc>
      </w:tr>
      <w:tr>
        <w:trPr>
          <w:trHeight w:val="239"/>
        </w:trPr>
        <w:tc>
          <w:tcPr>
            <w:tcW w:w="6240" w:type="dxa"/>
            <w:vAlign w:val="bottom"/>
          </w:tcPr>
          <w:p>
            <w:pPr>
              <w:ind w:left="360"/>
              <w:spacing w:after="0"/>
              <w:rPr>
                <w:sz w:val="20"/>
                <w:szCs w:val="20"/>
                <w:color w:val="auto"/>
              </w:rPr>
            </w:pPr>
            <w:r>
              <w:rPr>
                <w:rFonts w:ascii="Arial" w:cs="Arial" w:eastAsia="Arial" w:hAnsi="Arial"/>
                <w:sz w:val="18"/>
                <w:szCs w:val="18"/>
                <w:color w:val="auto"/>
              </w:rPr>
              <w:t>Net revenues</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2,669,844</w:t>
            </w:r>
          </w:p>
        </w:tc>
        <w:tc>
          <w:tcPr>
            <w:tcW w:w="6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E5E5E5"/>
          </w:tcPr>
          <w:p>
            <w:pPr>
              <w:spacing w:after="0"/>
              <w:rPr>
                <w:sz w:val="20"/>
                <w:szCs w:val="20"/>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1,336,432</w:t>
            </w:r>
          </w:p>
        </w:tc>
        <w:tc>
          <w:tcPr>
            <w:tcW w:w="6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rPr>
              <w:t>100</w:t>
            </w:r>
          </w:p>
        </w:tc>
      </w:tr>
      <w:tr>
        <w:trPr>
          <w:trHeight w:val="20"/>
        </w:trPr>
        <w:tc>
          <w:tcPr>
            <w:tcW w:w="6240" w:type="dxa"/>
            <w:vAlign w:val="bottom"/>
            <w:tcBorders>
              <w:bottom w:val="single" w:sz="8" w:color="002060"/>
            </w:tcBorders>
          </w:tcPr>
          <w:p>
            <w:pPr>
              <w:spacing w:after="0" w:line="20" w:lineRule="exact"/>
              <w:rPr>
                <w:sz w:val="1"/>
                <w:szCs w:val="1"/>
                <w:color w:val="auto"/>
              </w:rPr>
            </w:pPr>
          </w:p>
        </w:tc>
        <w:tc>
          <w:tcPr>
            <w:tcW w:w="1020" w:type="dxa"/>
            <w:vAlign w:val="bottom"/>
            <w:tcBorders>
              <w:bottom w:val="single" w:sz="8" w:color="002060"/>
            </w:tcBorders>
          </w:tcPr>
          <w:p>
            <w:pPr>
              <w:spacing w:after="0" w:line="20" w:lineRule="exact"/>
              <w:rPr>
                <w:sz w:val="1"/>
                <w:szCs w:val="1"/>
                <w:color w:val="auto"/>
              </w:rPr>
            </w:pPr>
          </w:p>
        </w:tc>
        <w:tc>
          <w:tcPr>
            <w:tcW w:w="680" w:type="dxa"/>
            <w:vAlign w:val="bottom"/>
            <w:tcBorders>
              <w:bottom w:val="single" w:sz="8" w:color="002060"/>
            </w:tcBorders>
          </w:tcPr>
          <w:p>
            <w:pPr>
              <w:spacing w:after="0" w:line="20" w:lineRule="exact"/>
              <w:rPr>
                <w:sz w:val="1"/>
                <w:szCs w:val="1"/>
                <w:color w:val="auto"/>
              </w:rPr>
            </w:pPr>
          </w:p>
        </w:tc>
        <w:tc>
          <w:tcPr>
            <w:tcW w:w="40" w:type="dxa"/>
            <w:vAlign w:val="bottom"/>
            <w:tcBorders>
              <w:bottom w:val="single" w:sz="8" w:color="002060"/>
            </w:tcBorders>
          </w:tcPr>
          <w:p>
            <w:pPr>
              <w:spacing w:after="0" w:line="20" w:lineRule="exact"/>
              <w:rPr>
                <w:sz w:val="1"/>
                <w:szCs w:val="1"/>
                <w:color w:val="auto"/>
              </w:rPr>
            </w:pPr>
          </w:p>
        </w:tc>
        <w:tc>
          <w:tcPr>
            <w:tcW w:w="1060" w:type="dxa"/>
            <w:vAlign w:val="bottom"/>
            <w:tcBorders>
              <w:bottom w:val="single" w:sz="8" w:color="002060"/>
            </w:tcBorders>
          </w:tcPr>
          <w:p>
            <w:pPr>
              <w:spacing w:after="0" w:line="20" w:lineRule="exact"/>
              <w:rPr>
                <w:sz w:val="1"/>
                <w:szCs w:val="1"/>
                <w:color w:val="auto"/>
              </w:rPr>
            </w:pPr>
          </w:p>
        </w:tc>
        <w:tc>
          <w:tcPr>
            <w:tcW w:w="660" w:type="dxa"/>
            <w:vAlign w:val="bottom"/>
            <w:tcBorders>
              <w:bottom w:val="single" w:sz="8" w:color="00206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-2108200</wp:posOffset>
            </wp:positionV>
            <wp:extent cx="34290" cy="20828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2082800"/>
                    </a:xfrm>
                    <a:prstGeom prst="rect">
                      <a:avLst/>
                    </a:prstGeom>
                    <a:noFill/>
                  </pic:spPr>
                </pic:pic>
              </a:graphicData>
            </a:graphic>
          </wp:anchor>
        </w:drawing>
      </w:r>
    </w:p>
    <w:p>
      <w:pPr>
        <w:spacing w:after="0" w:line="5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Net revenue for manufacturing operations are included in the “Other”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240665</wp:posOffset>
            </wp:positionV>
            <wp:extent cx="3848735" cy="9429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4873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Our Capital Allocation Strategy</w:t>
      </w:r>
    </w:p>
    <w:p>
      <w:pPr>
        <w:spacing w:after="0" w:line="212"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color w:val="auto"/>
        </w:rPr>
        <w:t>Our primary use of capital is acquisitions, which typically contribute to profitability in the first year and assist in achieving product diversification. Our asset-light model generates substantial operating cash flow, which supports acquisition growth.</w:t>
      </w:r>
    </w:p>
    <w:p>
      <w:pPr>
        <w:spacing w:after="0" w:line="154" w:lineRule="exact"/>
        <w:rPr>
          <w:sz w:val="20"/>
          <w:szCs w:val="20"/>
          <w:color w:val="auto"/>
        </w:rPr>
      </w:pPr>
    </w:p>
    <w:p>
      <w:pPr>
        <w:ind w:left="120" w:right="840"/>
        <w:spacing w:after="0" w:line="271" w:lineRule="auto"/>
        <w:rPr>
          <w:sz w:val="20"/>
          <w:szCs w:val="20"/>
          <w:color w:val="auto"/>
        </w:rPr>
      </w:pPr>
      <w:r>
        <w:rPr>
          <w:rFonts w:ascii="Arial" w:cs="Arial" w:eastAsia="Arial" w:hAnsi="Arial"/>
          <w:sz w:val="18"/>
          <w:szCs w:val="18"/>
          <w:color w:val="auto"/>
        </w:rPr>
        <w:t>In 2022, we returned $200.3 million of cash to stockholders, including quarterly and variable dividends of $62.7 million and stock repurchases totaling $137.6 million.</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34"/>
        </w:trPr>
        <w:tc>
          <w:tcPr>
            <w:tcW w:w="2940" w:type="dxa"/>
            <w:vAlign w:val="bottom"/>
            <w:vMerge w:val="restart"/>
          </w:tcPr>
          <w:p>
            <w:pPr>
              <w:ind w:left="880"/>
              <w:spacing w:after="0"/>
              <w:rPr>
                <w:sz w:val="20"/>
                <w:szCs w:val="20"/>
                <w:color w:val="auto"/>
              </w:rPr>
            </w:pPr>
            <w:r>
              <w:rPr>
                <w:rFonts w:ascii="Arial" w:cs="Arial" w:eastAsia="Arial" w:hAnsi="Arial"/>
                <w:sz w:val="29"/>
                <w:szCs w:val="29"/>
                <w:b w:val="1"/>
                <w:bCs w:val="1"/>
                <w:color w:val="0070C0"/>
              </w:rPr>
              <w:t>2022 Cash</w:t>
            </w:r>
          </w:p>
        </w:tc>
        <w:tc>
          <w:tcPr>
            <w:tcW w:w="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20" w:type="dxa"/>
            <w:vAlign w:val="bottom"/>
            <w:vMerge w:val="restart"/>
          </w:tcPr>
          <w:p>
            <w:pPr>
              <w:jc w:val="center"/>
              <w:spacing w:after="0"/>
              <w:rPr>
                <w:sz w:val="20"/>
                <w:szCs w:val="20"/>
                <w:color w:val="auto"/>
              </w:rPr>
            </w:pPr>
            <w:r>
              <w:rPr>
                <w:rFonts w:ascii="Arial" w:cs="Arial" w:eastAsia="Arial" w:hAnsi="Arial"/>
                <w:sz w:val="29"/>
                <w:szCs w:val="29"/>
                <w:b w:val="1"/>
                <w:bCs w:val="1"/>
                <w:color w:val="0070C0"/>
                <w:w w:val="98"/>
              </w:rPr>
              <w:t>2022 Stock</w:t>
            </w:r>
          </w:p>
        </w:tc>
        <w:tc>
          <w:tcPr>
            <w:tcW w:w="7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3"/>
        </w:trPr>
        <w:tc>
          <w:tcPr>
            <w:tcW w:w="2940" w:type="dxa"/>
            <w:vAlign w:val="bottom"/>
            <w:vMerge w:val="continue"/>
          </w:tcPr>
          <w:p>
            <w:pPr>
              <w:spacing w:after="0"/>
              <w:rPr>
                <w:sz w:val="24"/>
                <w:szCs w:val="24"/>
                <w:color w:val="auto"/>
              </w:rPr>
            </w:pPr>
          </w:p>
        </w:tc>
        <w:tc>
          <w:tcPr>
            <w:tcW w:w="600" w:type="dxa"/>
            <w:vAlign w:val="bottom"/>
            <w:vMerge w:val="restart"/>
          </w:tcPr>
          <w:p>
            <w:pPr>
              <w:jc w:val="right"/>
              <w:ind w:right="196"/>
              <w:spacing w:after="0"/>
              <w:rPr>
                <w:sz w:val="20"/>
                <w:szCs w:val="20"/>
                <w:color w:val="auto"/>
              </w:rPr>
            </w:pPr>
            <w:r>
              <w:rPr>
                <w:rFonts w:ascii="Arial" w:cs="Arial" w:eastAsia="Arial" w:hAnsi="Arial"/>
                <w:sz w:val="29"/>
                <w:szCs w:val="29"/>
                <w:b w:val="1"/>
                <w:bCs w:val="1"/>
                <w:color w:val="0070C0"/>
              </w:rPr>
              <w:t>=</w:t>
            </w:r>
          </w:p>
        </w:tc>
        <w:tc>
          <w:tcPr>
            <w:tcW w:w="1680" w:type="dxa"/>
            <w:vAlign w:val="bottom"/>
            <w:vMerge w:val="restart"/>
            <w:shd w:val="clear" w:color="auto" w:fill="0070C0"/>
          </w:tcPr>
          <w:p>
            <w:pPr>
              <w:ind w:left="400"/>
              <w:spacing w:after="0"/>
              <w:rPr>
                <w:sz w:val="20"/>
                <w:szCs w:val="20"/>
                <w:color w:val="auto"/>
              </w:rPr>
            </w:pPr>
            <w:r>
              <w:rPr>
                <w:rFonts w:ascii="Arial" w:cs="Arial" w:eastAsia="Arial" w:hAnsi="Arial"/>
                <w:sz w:val="29"/>
                <w:szCs w:val="29"/>
                <w:b w:val="1"/>
                <w:bCs w:val="1"/>
                <w:color w:val="FFFFFF"/>
              </w:rPr>
              <w:t>$62.7M</w:t>
            </w:r>
          </w:p>
        </w:tc>
        <w:tc>
          <w:tcPr>
            <w:tcW w:w="2220" w:type="dxa"/>
            <w:vAlign w:val="bottom"/>
            <w:vMerge w:val="continue"/>
          </w:tcPr>
          <w:p>
            <w:pPr>
              <w:spacing w:after="0"/>
              <w:rPr>
                <w:sz w:val="24"/>
                <w:szCs w:val="24"/>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29"/>
                <w:szCs w:val="29"/>
                <w:b w:val="1"/>
                <w:bCs w:val="1"/>
                <w:color w:val="0070C0"/>
              </w:rPr>
              <w:t>=</w:t>
            </w:r>
          </w:p>
        </w:tc>
        <w:tc>
          <w:tcPr>
            <w:tcW w:w="1940" w:type="dxa"/>
            <w:vAlign w:val="bottom"/>
            <w:vMerge w:val="restart"/>
            <w:shd w:val="clear" w:color="auto" w:fill="0070C0"/>
          </w:tcPr>
          <w:p>
            <w:pPr>
              <w:ind w:left="480"/>
              <w:spacing w:after="0"/>
              <w:rPr>
                <w:sz w:val="20"/>
                <w:szCs w:val="20"/>
                <w:color w:val="auto"/>
              </w:rPr>
            </w:pPr>
            <w:r>
              <w:rPr>
                <w:rFonts w:ascii="Arial" w:cs="Arial" w:eastAsia="Arial" w:hAnsi="Arial"/>
                <w:sz w:val="29"/>
                <w:szCs w:val="29"/>
                <w:b w:val="1"/>
                <w:bCs w:val="1"/>
                <w:color w:val="FFFFFF"/>
              </w:rPr>
              <w:t>$137.6M</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940" w:type="dxa"/>
            <w:vAlign w:val="bottom"/>
            <w:vMerge w:val="restart"/>
          </w:tcPr>
          <w:p>
            <w:pPr>
              <w:ind w:left="880"/>
              <w:spacing w:after="0"/>
              <w:rPr>
                <w:sz w:val="20"/>
                <w:szCs w:val="20"/>
                <w:color w:val="auto"/>
              </w:rPr>
            </w:pPr>
            <w:r>
              <w:rPr>
                <w:rFonts w:ascii="Arial" w:cs="Arial" w:eastAsia="Arial" w:hAnsi="Arial"/>
                <w:sz w:val="29"/>
                <w:szCs w:val="29"/>
                <w:b w:val="1"/>
                <w:bCs w:val="1"/>
                <w:color w:val="0070C0"/>
              </w:rPr>
              <w:t>Dividends</w:t>
            </w:r>
          </w:p>
        </w:tc>
        <w:tc>
          <w:tcPr>
            <w:tcW w:w="600" w:type="dxa"/>
            <w:vAlign w:val="bottom"/>
            <w:vMerge w:val="continue"/>
          </w:tcPr>
          <w:p>
            <w:pPr>
              <w:spacing w:after="0"/>
              <w:rPr>
                <w:sz w:val="19"/>
                <w:szCs w:val="19"/>
                <w:color w:val="auto"/>
              </w:rPr>
            </w:pPr>
          </w:p>
        </w:tc>
        <w:tc>
          <w:tcPr>
            <w:tcW w:w="1680" w:type="dxa"/>
            <w:vAlign w:val="bottom"/>
            <w:vMerge w:val="continue"/>
            <w:shd w:val="clear" w:color="auto" w:fill="0070C0"/>
          </w:tcPr>
          <w:p>
            <w:pPr>
              <w:spacing w:after="0"/>
              <w:rPr>
                <w:sz w:val="19"/>
                <w:szCs w:val="19"/>
                <w:color w:val="auto"/>
              </w:rPr>
            </w:pPr>
          </w:p>
        </w:tc>
        <w:tc>
          <w:tcPr>
            <w:tcW w:w="2220" w:type="dxa"/>
            <w:vAlign w:val="bottom"/>
            <w:vMerge w:val="restart"/>
          </w:tcPr>
          <w:p>
            <w:pPr>
              <w:jc w:val="center"/>
              <w:spacing w:after="0"/>
              <w:rPr>
                <w:sz w:val="20"/>
                <w:szCs w:val="20"/>
                <w:color w:val="auto"/>
              </w:rPr>
            </w:pPr>
            <w:r>
              <w:rPr>
                <w:rFonts w:ascii="Arial" w:cs="Arial" w:eastAsia="Arial" w:hAnsi="Arial"/>
                <w:sz w:val="29"/>
                <w:szCs w:val="29"/>
                <w:b w:val="1"/>
                <w:bCs w:val="1"/>
                <w:color w:val="0070C0"/>
                <w:w w:val="99"/>
              </w:rPr>
              <w:t>Repurchases</w:t>
            </w:r>
          </w:p>
        </w:tc>
        <w:tc>
          <w:tcPr>
            <w:tcW w:w="760" w:type="dxa"/>
            <w:vAlign w:val="bottom"/>
            <w:vMerge w:val="continue"/>
          </w:tcPr>
          <w:p>
            <w:pPr>
              <w:spacing w:after="0"/>
              <w:rPr>
                <w:sz w:val="19"/>
                <w:szCs w:val="19"/>
                <w:color w:val="auto"/>
              </w:rPr>
            </w:pPr>
          </w:p>
        </w:tc>
        <w:tc>
          <w:tcPr>
            <w:tcW w:w="1940" w:type="dxa"/>
            <w:vAlign w:val="bottom"/>
            <w:vMerge w:val="continue"/>
            <w:shd w:val="clear" w:color="auto" w:fill="0070C0"/>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9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680" w:type="dxa"/>
            <w:vAlign w:val="bottom"/>
            <w:shd w:val="clear" w:color="auto" w:fill="0070C0"/>
          </w:tcPr>
          <w:p>
            <w:pPr>
              <w:spacing w:after="0"/>
              <w:rPr>
                <w:sz w:val="13"/>
                <w:szCs w:val="13"/>
                <w:color w:val="auto"/>
              </w:rPr>
            </w:pPr>
          </w:p>
        </w:tc>
        <w:tc>
          <w:tcPr>
            <w:tcW w:w="22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940" w:type="dxa"/>
            <w:vAlign w:val="bottom"/>
            <w:shd w:val="clear" w:color="auto" w:fill="0070C0"/>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940" w:type="dxa"/>
            <w:vAlign w:val="bottom"/>
          </w:tcPr>
          <w:p>
            <w:pPr>
              <w:spacing w:after="0"/>
              <w:rPr>
                <w:sz w:val="20"/>
                <w:szCs w:val="20"/>
                <w:color w:val="auto"/>
              </w:rPr>
            </w:pPr>
            <w:r>
              <w:rPr>
                <w:rFonts w:ascii="Arial" w:cs="Arial" w:eastAsia="Arial" w:hAnsi="Arial"/>
                <w:sz w:val="16"/>
                <w:szCs w:val="16"/>
                <w:color w:val="002060"/>
              </w:rPr>
              <w:t>Compensation Discussion and Analysis</w:t>
            </w: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60" w:type="dxa"/>
            <w:vAlign w:val="bottom"/>
            <w:gridSpan w:val="2"/>
          </w:tcPr>
          <w:p>
            <w:pPr>
              <w:ind w:left="640"/>
              <w:spacing w:after="0"/>
              <w:rPr>
                <w:sz w:val="20"/>
                <w:szCs w:val="20"/>
                <w:color w:val="auto"/>
              </w:rPr>
            </w:pPr>
            <w:r>
              <w:rPr>
                <w:rFonts w:ascii="Arial" w:cs="Arial" w:eastAsia="Arial" w:hAnsi="Arial"/>
                <w:sz w:val="16"/>
                <w:szCs w:val="16"/>
                <w:color w:val="002060"/>
              </w:rPr>
              <w:t>2023 Proxy Statement</w:t>
            </w:r>
          </w:p>
        </w:tc>
        <w:tc>
          <w:tcPr>
            <w:tcW w:w="460" w:type="dxa"/>
            <w:vAlign w:val="bottom"/>
            <w:shd w:val="clear" w:color="auto" w:fill="002060"/>
          </w:tcPr>
          <w:p>
            <w:pPr>
              <w:jc w:val="right"/>
              <w:ind w:right="59"/>
              <w:spacing w:after="0"/>
              <w:rPr>
                <w:sz w:val="20"/>
                <w:szCs w:val="20"/>
                <w:color w:val="auto"/>
              </w:rPr>
            </w:pPr>
            <w:r>
              <w:rPr>
                <w:rFonts w:ascii="Arial" w:cs="Arial" w:eastAsia="Arial" w:hAnsi="Arial"/>
                <w:sz w:val="16"/>
                <w:szCs w:val="16"/>
                <w:color w:val="FFFFFF"/>
              </w:rPr>
              <w:t>51</w:t>
            </w:r>
          </w:p>
        </w:tc>
        <w:tc>
          <w:tcPr>
            <w:tcW w:w="0" w:type="dxa"/>
            <w:vAlign w:val="bottom"/>
          </w:tcPr>
          <w:p>
            <w:pPr>
              <w:spacing w:after="0"/>
              <w:rPr>
                <w:sz w:val="1"/>
                <w:szCs w:val="1"/>
                <w:color w:val="auto"/>
              </w:rPr>
            </w:pPr>
          </w:p>
        </w:tc>
      </w:tr>
      <w:tr>
        <w:trPr>
          <w:trHeight w:val="110"/>
        </w:trPr>
        <w:tc>
          <w:tcPr>
            <w:tcW w:w="2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shd w:val="clear" w:color="auto" w:fill="002060"/>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Our Acquisition Strategy</w:t>
      </w:r>
    </w:p>
    <w:p>
      <w:pPr>
        <w:spacing w:after="0" w:line="104" w:lineRule="exact"/>
        <w:rPr>
          <w:sz w:val="20"/>
          <w:szCs w:val="20"/>
          <w:color w:val="auto"/>
        </w:rPr>
      </w:pPr>
    </w:p>
    <w:p>
      <w:pPr>
        <w:ind w:left="120" w:right="360"/>
        <w:spacing w:after="0" w:line="247" w:lineRule="auto"/>
        <w:rPr>
          <w:sz w:val="20"/>
          <w:szCs w:val="20"/>
          <w:color w:val="auto"/>
        </w:rPr>
      </w:pPr>
      <w:r>
        <w:rPr>
          <w:rFonts w:ascii="Arial" w:cs="Arial" w:eastAsia="Arial" w:hAnsi="Arial"/>
          <w:sz w:val="18"/>
          <w:szCs w:val="18"/>
          <w:color w:val="auto"/>
        </w:rPr>
        <w:t>In the 1990s, we began an acquisition strategy with the goal of creating a national platform and have since grown, by our estimate, to become one of the nation’s largest installers of insulation in the residential new construction market. Since 1999, we have successfully completed and integrated over 180 acquisitions. In 2022, we successfully acquired and integrated eight businesses representing approximately $109 million in annual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139700</wp:posOffset>
            </wp:positionV>
            <wp:extent cx="2734310" cy="1543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734310" cy="1543050"/>
                    </a:xfrm>
                    <a:prstGeom prst="rect">
                      <a:avLst/>
                    </a:prstGeom>
                    <a:noFill/>
                  </pic:spPr>
                </pic:pic>
              </a:graphicData>
            </a:graphic>
          </wp:anchor>
        </w:drawing>
      </w: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Acquisition rationale</w:t>
      </w:r>
    </w:p>
    <w:p>
      <w:pPr>
        <w:spacing w:after="0" w:line="27" w:lineRule="exact"/>
        <w:rPr>
          <w:sz w:val="20"/>
          <w:szCs w:val="20"/>
          <w:color w:val="auto"/>
        </w:rPr>
      </w:pPr>
    </w:p>
    <w:p>
      <w:pPr>
        <w:ind w:left="1200" w:right="5840" w:hanging="269"/>
        <w:spacing w:after="0" w:line="248" w:lineRule="auto"/>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Expand geographic footprint, product diversification,</w:t>
      </w:r>
      <w:r>
        <w:rPr>
          <w:rFonts w:ascii="Arial" w:cs="Arial" w:eastAsia="Arial" w:hAnsi="Arial"/>
          <w:sz w:val="13"/>
          <w:szCs w:val="13"/>
          <w:color w:val="auto"/>
        </w:rPr>
        <w:t xml:space="preserve"> </w:t>
      </w:r>
      <w:r>
        <w:rPr>
          <w:rFonts w:ascii="Arial" w:cs="Arial" w:eastAsia="Arial" w:hAnsi="Arial"/>
          <w:sz w:val="17"/>
          <w:szCs w:val="17"/>
          <w:color w:val="auto"/>
        </w:rPr>
        <w:t>and market presence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Keys to our approach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Target profitable markets</w:t>
      </w:r>
    </w:p>
    <w:p>
      <w:pPr>
        <w:spacing w:after="0" w:line="7" w:lineRule="exact"/>
        <w:rPr>
          <w:sz w:val="20"/>
          <w:szCs w:val="20"/>
          <w:color w:val="auto"/>
        </w:rPr>
      </w:pPr>
    </w:p>
    <w:p>
      <w:pPr>
        <w:ind w:left="1200" w:right="5580" w:hanging="269"/>
        <w:spacing w:after="0" w:line="248" w:lineRule="auto"/>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Acquire operations with strong reputation and customer</w:t>
      </w:r>
      <w:r>
        <w:rPr>
          <w:rFonts w:ascii="Arial" w:cs="Arial" w:eastAsia="Arial" w:hAnsi="Arial"/>
          <w:sz w:val="13"/>
          <w:szCs w:val="13"/>
          <w:color w:val="auto"/>
        </w:rPr>
        <w:t xml:space="preserve"> </w:t>
      </w:r>
      <w:r>
        <w:rPr>
          <w:rFonts w:ascii="Arial" w:cs="Arial" w:eastAsia="Arial" w:hAnsi="Arial"/>
          <w:sz w:val="17"/>
          <w:szCs w:val="17"/>
          <w:color w:val="auto"/>
        </w:rPr>
        <w:t>base</w:t>
      </w:r>
    </w:p>
    <w:p>
      <w:pPr>
        <w:spacing w:after="0" w:line="1" w:lineRule="exact"/>
        <w:rPr>
          <w:sz w:val="20"/>
          <w:szCs w:val="20"/>
          <w:color w:val="auto"/>
        </w:rPr>
      </w:pPr>
    </w:p>
    <w:p>
      <w:pPr>
        <w:ind w:left="1200" w:right="5580" w:hanging="269"/>
        <w:spacing w:after="0" w:line="248" w:lineRule="auto"/>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Corporate support allows more local focus on customer</w:t>
      </w:r>
      <w:r>
        <w:rPr>
          <w:rFonts w:ascii="Arial" w:cs="Arial" w:eastAsia="Arial" w:hAnsi="Arial"/>
          <w:sz w:val="13"/>
          <w:szCs w:val="13"/>
          <w:color w:val="auto"/>
        </w:rPr>
        <w:t xml:space="preserve"> </w:t>
      </w:r>
      <w:r>
        <w:rPr>
          <w:rFonts w:ascii="Arial" w:cs="Arial" w:eastAsia="Arial" w:hAnsi="Arial"/>
          <w:sz w:val="17"/>
          <w:szCs w:val="17"/>
          <w:color w:val="auto"/>
        </w:rPr>
        <w:t>service</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Leverage national buying power</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Leverage relationships with national homebuilders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2022 Financial Highlights</w:t>
      </w:r>
    </w:p>
    <w:p>
      <w:pPr>
        <w:spacing w:after="0" w:line="212"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Our record 2022 financial and operating results reflect the continued success of our key business strategies outlined above. Our 2022 results produced record operating cash flow, which supported our acquisition and capital allocation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126365</wp:posOffset>
            </wp:positionV>
            <wp:extent cx="5786755" cy="12433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8675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right="800"/>
        <w:spacing w:after="0" w:line="27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Additional Information – Use of Non-GAAP Financial Measures</w:t>
      </w:r>
      <w:r>
        <w:rPr>
          <w:rFonts w:ascii="Arial" w:cs="Arial" w:eastAsia="Arial" w:hAnsi="Arial"/>
          <w:sz w:val="18"/>
          <w:szCs w:val="18"/>
          <w:color w:val="auto"/>
        </w:rPr>
        <w:t>” for a reconciliation of Adjusted EBITDA to the most directly comparable GAAP measure.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Pay for Performance</w:t>
      </w:r>
    </w:p>
    <w:p>
      <w:pPr>
        <w:spacing w:after="0" w:line="212"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Our executive compensation philosophy is to provide a competitive compensation package weighted toward Company performance and aligned with our stockholders’ long-term interests. A significant percentage of our executive compensation is in the form of performance-based awards. The Compensation and Human Capital Committee believes that our executive compensation program drives performance and increases stockholder value.</w:t>
      </w:r>
    </w:p>
    <w:p>
      <w:pPr>
        <w:spacing w:after="0" w:line="174"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Compensation and Human Capital Committee believes that total compensation for the Company’s named executive officers should align with the Company’s financial and strategic objectives and sustained growth, as well as individual performance, level of responsibility and experience. Consistent with that philosophy, in 2022 approximately 83.3% of our Chief Executive Officer’s and an average of 67.1% of our other named executive officers’ total target compensation reflected our continued emphasis on variable at-risk compensation linked with the Company’s operational and financial performance. Any performance-based cash or restricted stock award earned by our NEOs depends upon the Company’s achieved Adjusted EBITDA during the performance period as compared against the target set by the Compensation and Human Capital Committee. The value of the performance-based restricted stock awards actually received by our NEOs can differ substantially from the grant date values reported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282575" cy="2654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205" w:lineRule="exact"/>
        <w:rPr>
          <w:sz w:val="20"/>
          <w:szCs w:val="20"/>
          <w:color w:val="auto"/>
        </w:rPr>
      </w:pPr>
    </w:p>
    <w:p>
      <w:pPr>
        <w:ind w:left="240"/>
        <w:spacing w:after="0"/>
        <w:tabs>
          <w:tab w:leader="none" w:pos="660" w:val="left"/>
          <w:tab w:leader="none" w:pos="8280" w:val="left"/>
        </w:tabs>
        <w:rPr>
          <w:sz w:val="20"/>
          <w:szCs w:val="20"/>
          <w:color w:val="auto"/>
        </w:rPr>
      </w:pPr>
      <w:r>
        <w:rPr>
          <w:rFonts w:ascii="Arial" w:cs="Arial" w:eastAsia="Arial" w:hAnsi="Arial"/>
          <w:sz w:val="16"/>
          <w:szCs w:val="16"/>
          <w:color w:val="FFFFFF"/>
        </w:rPr>
        <w:t>52</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Compensation Discussion and Analysis</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because performance-based restricted stock is awarded as a number of shares rather than a fixed dollar</w:t>
      </w:r>
      <w:r>
        <w:rPr>
          <w:rFonts w:ascii="Arial" w:cs="Arial" w:eastAsia="Arial" w:hAnsi="Arial"/>
          <w:sz w:val="18"/>
          <w:szCs w:val="18"/>
          <w:i w:val="1"/>
          <w:iCs w:val="1"/>
          <w:color w:val="auto"/>
        </w:rPr>
        <w:t xml:space="preserve"> </w:t>
      </w:r>
      <w:r>
        <w:rPr>
          <w:rFonts w:ascii="Arial" w:cs="Arial" w:eastAsia="Arial" w:hAnsi="Arial"/>
          <w:sz w:val="18"/>
          <w:szCs w:val="18"/>
          <w:color w:val="auto"/>
        </w:rPr>
        <w:t>amount, so the value of the restricted stock award fluctuates with our stock price during the performance period and the additional two year vesting period.</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2022 Say-on-Pay Voting Results</w:t>
      </w:r>
    </w:p>
    <w:p>
      <w:pPr>
        <w:spacing w:after="0" w:line="239" w:lineRule="exact"/>
        <w:rPr>
          <w:sz w:val="20"/>
          <w:szCs w:val="20"/>
          <w:color w:val="auto"/>
        </w:rPr>
      </w:pPr>
    </w:p>
    <w:p>
      <w:pPr>
        <w:ind w:left="120" w:right="4620"/>
        <w:spacing w:after="0" w:line="242" w:lineRule="auto"/>
        <w:rPr>
          <w:sz w:val="20"/>
          <w:szCs w:val="20"/>
          <w:color w:val="auto"/>
        </w:rPr>
      </w:pPr>
      <w:r>
        <w:rPr>
          <w:rFonts w:ascii="Arial" w:cs="Arial" w:eastAsia="Arial" w:hAnsi="Arial"/>
          <w:sz w:val="18"/>
          <w:szCs w:val="18"/>
          <w:color w:val="auto"/>
        </w:rPr>
        <w:t>Our executive compensation program received strong support from our stockholders in 2022, with 95% of the votes cast at the 2022 annual meeting voting in favor. The Compensation and Human Capital Committee believes that this level of support is indicative of our stockholders’ strong support of our compensation philosophy and goals, and influenced its decision to retain the core elements of our executive compensation program, policies and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-782320</wp:posOffset>
            </wp:positionV>
            <wp:extent cx="2322830" cy="9772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322830" cy="97726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2022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163195</wp:posOffset>
            </wp:positionV>
            <wp:extent cx="899795" cy="11226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99795" cy="112268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163195</wp:posOffset>
            </wp:positionV>
            <wp:extent cx="865505" cy="11226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65505" cy="112268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163195</wp:posOffset>
            </wp:positionV>
            <wp:extent cx="3360420" cy="11226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042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2460" w:type="dxa"/>
            <w:vAlign w:val="bottom"/>
            <w:gridSpan w:val="2"/>
          </w:tcPr>
          <w:p>
            <w:pPr>
              <w:jc w:val="center"/>
              <w:spacing w:after="0"/>
              <w:rPr>
                <w:sz w:val="20"/>
                <w:szCs w:val="20"/>
                <w:color w:val="auto"/>
              </w:rPr>
            </w:pPr>
            <w:r>
              <w:rPr>
                <w:rFonts w:ascii="Arial" w:cs="Arial" w:eastAsia="Arial" w:hAnsi="Arial"/>
                <w:sz w:val="16"/>
                <w:szCs w:val="16"/>
                <w:color w:val="002060"/>
              </w:rPr>
              <w:t>Jeffrey W. Edwards</w:t>
            </w:r>
          </w:p>
        </w:tc>
        <w:tc>
          <w:tcPr>
            <w:tcW w:w="600" w:type="dxa"/>
            <w:vAlign w:val="bottom"/>
          </w:tcPr>
          <w:p>
            <w:pPr>
              <w:spacing w:after="0"/>
              <w:rPr>
                <w:sz w:val="17"/>
                <w:szCs w:val="17"/>
                <w:color w:val="auto"/>
              </w:rPr>
            </w:pPr>
          </w:p>
        </w:tc>
        <w:tc>
          <w:tcPr>
            <w:tcW w:w="1780" w:type="dxa"/>
            <w:vAlign w:val="bottom"/>
            <w:gridSpan w:val="3"/>
          </w:tcPr>
          <w:p>
            <w:pPr>
              <w:jc w:val="center"/>
              <w:ind w:right="450"/>
              <w:spacing w:after="0"/>
              <w:rPr>
                <w:sz w:val="20"/>
                <w:szCs w:val="20"/>
                <w:color w:val="auto"/>
              </w:rPr>
            </w:pPr>
            <w:r>
              <w:rPr>
                <w:rFonts w:ascii="Arial" w:cs="Arial" w:eastAsia="Arial" w:hAnsi="Arial"/>
                <w:sz w:val="16"/>
                <w:szCs w:val="16"/>
                <w:color w:val="002060"/>
                <w:w w:val="99"/>
              </w:rPr>
              <w:t>Michael T. Miller</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Pr>
          <w:p>
            <w:pPr>
              <w:jc w:val="right"/>
              <w:ind w:right="375"/>
              <w:spacing w:after="0"/>
              <w:rPr>
                <w:sz w:val="20"/>
                <w:szCs w:val="20"/>
                <w:color w:val="auto"/>
              </w:rPr>
            </w:pPr>
            <w:r>
              <w:rPr>
                <w:rFonts w:ascii="Arial" w:cs="Arial" w:eastAsia="Arial" w:hAnsi="Arial"/>
                <w:sz w:val="16"/>
                <w:szCs w:val="16"/>
                <w:color w:val="002060"/>
              </w:rPr>
              <w:t>Jay P. Elliott</w:t>
            </w:r>
          </w:p>
        </w:tc>
        <w:tc>
          <w:tcPr>
            <w:tcW w:w="2100" w:type="dxa"/>
            <w:vAlign w:val="bottom"/>
            <w:gridSpan w:val="3"/>
          </w:tcPr>
          <w:p>
            <w:pPr>
              <w:jc w:val="center"/>
              <w:ind w:left="312"/>
              <w:spacing w:after="0"/>
              <w:rPr>
                <w:sz w:val="20"/>
                <w:szCs w:val="20"/>
                <w:color w:val="auto"/>
              </w:rPr>
            </w:pPr>
            <w:r>
              <w:rPr>
                <w:rFonts w:ascii="Arial" w:cs="Arial" w:eastAsia="Arial" w:hAnsi="Arial"/>
                <w:sz w:val="16"/>
                <w:szCs w:val="16"/>
                <w:color w:val="002060"/>
              </w:rPr>
              <w:t>W. Jeffrey Hire</w:t>
            </w:r>
          </w:p>
        </w:tc>
        <w:tc>
          <w:tcPr>
            <w:tcW w:w="1820" w:type="dxa"/>
            <w:vAlign w:val="bottom"/>
            <w:gridSpan w:val="2"/>
          </w:tcPr>
          <w:p>
            <w:pPr>
              <w:jc w:val="center"/>
              <w:ind w:left="155"/>
              <w:spacing w:after="0"/>
              <w:rPr>
                <w:sz w:val="20"/>
                <w:szCs w:val="20"/>
                <w:color w:val="auto"/>
              </w:rPr>
            </w:pPr>
            <w:r>
              <w:rPr>
                <w:rFonts w:ascii="Arial" w:cs="Arial" w:eastAsia="Arial" w:hAnsi="Arial"/>
                <w:sz w:val="16"/>
                <w:szCs w:val="16"/>
                <w:color w:val="002060"/>
              </w:rPr>
              <w:t>Jason R. Niswonger</w:t>
            </w:r>
          </w:p>
        </w:tc>
      </w:tr>
      <w:tr>
        <w:trPr>
          <w:trHeight w:val="162"/>
        </w:trPr>
        <w:tc>
          <w:tcPr>
            <w:tcW w:w="2460" w:type="dxa"/>
            <w:vAlign w:val="bottom"/>
            <w:gridSpan w:val="2"/>
          </w:tcPr>
          <w:p>
            <w:pPr>
              <w:jc w:val="center"/>
              <w:spacing w:after="0"/>
              <w:rPr>
                <w:sz w:val="20"/>
                <w:szCs w:val="20"/>
                <w:color w:val="auto"/>
              </w:rPr>
            </w:pPr>
            <w:r>
              <w:rPr>
                <w:rFonts w:ascii="Arial" w:cs="Arial" w:eastAsia="Arial" w:hAnsi="Arial"/>
                <w:sz w:val="14"/>
                <w:szCs w:val="14"/>
                <w:i w:val="1"/>
                <w:iCs w:val="1"/>
                <w:color w:val="auto"/>
              </w:rPr>
              <w:t>President, Chief Executive Officer</w:t>
            </w:r>
          </w:p>
        </w:tc>
        <w:tc>
          <w:tcPr>
            <w:tcW w:w="2380" w:type="dxa"/>
            <w:vAlign w:val="bottom"/>
            <w:gridSpan w:val="4"/>
          </w:tcPr>
          <w:p>
            <w:pPr>
              <w:jc w:val="center"/>
              <w:spacing w:after="0"/>
              <w:rPr>
                <w:sz w:val="20"/>
                <w:szCs w:val="20"/>
                <w:color w:val="auto"/>
              </w:rPr>
            </w:pPr>
            <w:r>
              <w:rPr>
                <w:rFonts w:ascii="Arial" w:cs="Arial" w:eastAsia="Arial" w:hAnsi="Arial"/>
                <w:sz w:val="14"/>
                <w:szCs w:val="14"/>
                <w:i w:val="1"/>
                <w:iCs w:val="1"/>
                <w:color w:val="auto"/>
              </w:rPr>
              <w:t>Executive Vice President and Chief</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tcPr>
          <w:p>
            <w:pPr>
              <w:jc w:val="right"/>
              <w:ind w:right="75"/>
              <w:spacing w:after="0"/>
              <w:rPr>
                <w:sz w:val="20"/>
                <w:szCs w:val="20"/>
                <w:color w:val="auto"/>
              </w:rPr>
            </w:pPr>
            <w:r>
              <w:rPr>
                <w:rFonts w:ascii="Arial" w:cs="Arial" w:eastAsia="Arial" w:hAnsi="Arial"/>
                <w:sz w:val="14"/>
                <w:szCs w:val="14"/>
                <w:i w:val="1"/>
                <w:iCs w:val="1"/>
                <w:color w:val="auto"/>
              </w:rPr>
              <w:t>Chief Operating Officer</w:t>
            </w:r>
          </w:p>
        </w:tc>
        <w:tc>
          <w:tcPr>
            <w:tcW w:w="2100" w:type="dxa"/>
            <w:vAlign w:val="bottom"/>
            <w:gridSpan w:val="3"/>
          </w:tcPr>
          <w:p>
            <w:pPr>
              <w:jc w:val="center"/>
              <w:ind w:left="312"/>
              <w:spacing w:after="0"/>
              <w:rPr>
                <w:sz w:val="20"/>
                <w:szCs w:val="20"/>
                <w:color w:val="auto"/>
              </w:rPr>
            </w:pPr>
            <w:r>
              <w:rPr>
                <w:rFonts w:ascii="Arial" w:cs="Arial" w:eastAsia="Arial" w:hAnsi="Arial"/>
                <w:sz w:val="14"/>
                <w:szCs w:val="14"/>
                <w:i w:val="1"/>
                <w:iCs w:val="1"/>
                <w:color w:val="auto"/>
              </w:rPr>
              <w:t>President, External Affairs</w:t>
            </w:r>
          </w:p>
        </w:tc>
        <w:tc>
          <w:tcPr>
            <w:tcW w:w="1820" w:type="dxa"/>
            <w:vAlign w:val="bottom"/>
            <w:gridSpan w:val="2"/>
          </w:tcPr>
          <w:p>
            <w:pPr>
              <w:jc w:val="center"/>
              <w:ind w:left="175"/>
              <w:spacing w:after="0"/>
              <w:rPr>
                <w:sz w:val="20"/>
                <w:szCs w:val="20"/>
                <w:color w:val="auto"/>
              </w:rPr>
            </w:pPr>
            <w:r>
              <w:rPr>
                <w:rFonts w:ascii="Arial" w:cs="Arial" w:eastAsia="Arial" w:hAnsi="Arial"/>
                <w:sz w:val="14"/>
                <w:szCs w:val="14"/>
                <w:i w:val="1"/>
                <w:iCs w:val="1"/>
                <w:color w:val="auto"/>
              </w:rPr>
              <w:t>Chief Administrative and</w:t>
            </w:r>
          </w:p>
        </w:tc>
      </w:tr>
      <w:tr>
        <w:trPr>
          <w:trHeight w:val="188"/>
        </w:trPr>
        <w:tc>
          <w:tcPr>
            <w:tcW w:w="660" w:type="dxa"/>
            <w:vAlign w:val="bottom"/>
          </w:tcPr>
          <w:p>
            <w:pPr>
              <w:spacing w:after="0"/>
              <w:rPr>
                <w:sz w:val="16"/>
                <w:szCs w:val="16"/>
                <w:color w:val="auto"/>
              </w:rPr>
            </w:pPr>
          </w:p>
        </w:tc>
        <w:tc>
          <w:tcPr>
            <w:tcW w:w="1800" w:type="dxa"/>
            <w:vAlign w:val="bottom"/>
          </w:tcPr>
          <w:p>
            <w:pPr>
              <w:ind w:left="100"/>
              <w:spacing w:after="0"/>
              <w:rPr>
                <w:sz w:val="20"/>
                <w:szCs w:val="20"/>
                <w:color w:val="auto"/>
              </w:rPr>
            </w:pPr>
            <w:r>
              <w:rPr>
                <w:rFonts w:ascii="Arial" w:cs="Arial" w:eastAsia="Arial" w:hAnsi="Arial"/>
                <w:sz w:val="14"/>
                <w:szCs w:val="14"/>
                <w:i w:val="1"/>
                <w:iCs w:val="1"/>
                <w:color w:val="auto"/>
              </w:rPr>
              <w:t>and Chairman</w:t>
            </w:r>
          </w:p>
        </w:tc>
        <w:tc>
          <w:tcPr>
            <w:tcW w:w="600" w:type="dxa"/>
            <w:vAlign w:val="bottom"/>
          </w:tcPr>
          <w:p>
            <w:pPr>
              <w:spacing w:after="0"/>
              <w:rPr>
                <w:sz w:val="16"/>
                <w:szCs w:val="16"/>
                <w:color w:val="auto"/>
              </w:rPr>
            </w:pPr>
          </w:p>
        </w:tc>
        <w:tc>
          <w:tcPr>
            <w:tcW w:w="1780" w:type="dxa"/>
            <w:vAlign w:val="bottom"/>
            <w:gridSpan w:val="3"/>
          </w:tcPr>
          <w:p>
            <w:pPr>
              <w:jc w:val="center"/>
              <w:ind w:right="450"/>
              <w:spacing w:after="0"/>
              <w:rPr>
                <w:sz w:val="20"/>
                <w:szCs w:val="20"/>
                <w:color w:val="auto"/>
              </w:rPr>
            </w:pPr>
            <w:r>
              <w:rPr>
                <w:rFonts w:ascii="Arial" w:cs="Arial" w:eastAsia="Arial" w:hAnsi="Arial"/>
                <w:sz w:val="14"/>
                <w:szCs w:val="14"/>
                <w:i w:val="1"/>
                <w:iCs w:val="1"/>
                <w:color w:val="auto"/>
              </w:rPr>
              <w:t>Financial Officer</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gridSpan w:val="2"/>
          </w:tcPr>
          <w:p>
            <w:pPr>
              <w:jc w:val="center"/>
              <w:ind w:left="175"/>
              <w:spacing w:after="0"/>
              <w:rPr>
                <w:sz w:val="20"/>
                <w:szCs w:val="20"/>
                <w:color w:val="auto"/>
              </w:rPr>
            </w:pPr>
            <w:r>
              <w:rPr>
                <w:rFonts w:ascii="Arial" w:cs="Arial" w:eastAsia="Arial" w:hAnsi="Arial"/>
                <w:sz w:val="14"/>
                <w:szCs w:val="14"/>
                <w:i w:val="1"/>
                <w:iCs w:val="1"/>
                <w:color w:val="auto"/>
              </w:rPr>
              <w:t>Sustainability Officer</w:t>
            </w:r>
          </w:p>
        </w:tc>
      </w:tr>
      <w:tr>
        <w:trPr>
          <w:trHeight w:val="525"/>
        </w:trPr>
        <w:tc>
          <w:tcPr>
            <w:tcW w:w="4840" w:type="dxa"/>
            <w:vAlign w:val="bottom"/>
            <w:gridSpan w:val="6"/>
          </w:tcPr>
          <w:p>
            <w:pPr>
              <w:spacing w:after="0"/>
              <w:rPr>
                <w:sz w:val="20"/>
                <w:szCs w:val="20"/>
                <w:color w:val="auto"/>
              </w:rPr>
            </w:pPr>
            <w:r>
              <w:rPr>
                <w:rFonts w:ascii="Arial" w:cs="Arial" w:eastAsia="Arial" w:hAnsi="Arial"/>
                <w:sz w:val="18"/>
                <w:szCs w:val="18"/>
                <w:color w:val="0070C0"/>
              </w:rPr>
              <w:t>2022 Executive Compensation at a Glance</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4"/>
        </w:trPr>
        <w:tc>
          <w:tcPr>
            <w:tcW w:w="6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84"/>
        </w:trPr>
        <w:tc>
          <w:tcPr>
            <w:tcW w:w="6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5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60" w:type="dxa"/>
            <w:vAlign w:val="bottom"/>
            <w:shd w:val="clear" w:color="auto" w:fill="E5E5E5"/>
          </w:tcPr>
          <w:p>
            <w:pPr>
              <w:spacing w:after="0"/>
              <w:rPr>
                <w:sz w:val="15"/>
                <w:szCs w:val="15"/>
                <w:color w:val="auto"/>
              </w:rPr>
            </w:pPr>
          </w:p>
        </w:tc>
        <w:tc>
          <w:tcPr>
            <w:tcW w:w="1880" w:type="dxa"/>
            <w:vAlign w:val="bottom"/>
            <w:shd w:val="clear" w:color="auto" w:fill="E5E5E5"/>
          </w:tcPr>
          <w:p>
            <w:pPr>
              <w:spacing w:after="0"/>
              <w:rPr>
                <w:sz w:val="15"/>
                <w:szCs w:val="15"/>
                <w:color w:val="auto"/>
              </w:rPr>
            </w:pPr>
          </w:p>
        </w:tc>
        <w:tc>
          <w:tcPr>
            <w:tcW w:w="2100" w:type="dxa"/>
            <w:vAlign w:val="bottom"/>
            <w:gridSpan w:val="3"/>
            <w:shd w:val="clear" w:color="auto" w:fill="E5E5E5"/>
          </w:tcPr>
          <w:p>
            <w:pPr>
              <w:jc w:val="center"/>
              <w:ind w:right="260"/>
              <w:spacing w:after="0" w:line="183" w:lineRule="exact"/>
              <w:rPr>
                <w:sz w:val="20"/>
                <w:szCs w:val="20"/>
                <w:color w:val="auto"/>
              </w:rPr>
            </w:pPr>
            <w:r>
              <w:rPr>
                <w:rFonts w:ascii="Arial" w:cs="Arial" w:eastAsia="Arial" w:hAnsi="Arial"/>
                <w:sz w:val="18"/>
                <w:szCs w:val="18"/>
                <w:b w:val="1"/>
                <w:bCs w:val="1"/>
                <w:color w:val="1F4E79"/>
                <w:w w:val="99"/>
              </w:rPr>
              <w:t>Performance-</w:t>
            </w:r>
          </w:p>
        </w:tc>
        <w:tc>
          <w:tcPr>
            <w:tcW w:w="1260" w:type="dxa"/>
            <w:vAlign w:val="bottom"/>
            <w:shd w:val="clear" w:color="auto" w:fill="E5E5E5"/>
          </w:tcPr>
          <w:p>
            <w:pPr>
              <w:spacing w:after="0"/>
              <w:rPr>
                <w:sz w:val="15"/>
                <w:szCs w:val="15"/>
                <w:color w:val="auto"/>
              </w:rPr>
            </w:pPr>
          </w:p>
        </w:tc>
        <w:tc>
          <w:tcPr>
            <w:tcW w:w="560" w:type="dxa"/>
            <w:vAlign w:val="bottom"/>
          </w:tcPr>
          <w:p>
            <w:pPr>
              <w:spacing w:after="0"/>
              <w:rPr>
                <w:sz w:val="15"/>
                <w:szCs w:val="15"/>
                <w:color w:val="auto"/>
              </w:rPr>
            </w:pPr>
          </w:p>
        </w:tc>
      </w:tr>
      <w:tr>
        <w:trPr>
          <w:trHeight w:val="203"/>
        </w:trPr>
        <w:tc>
          <w:tcPr>
            <w:tcW w:w="6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5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880" w:type="dxa"/>
            <w:vAlign w:val="bottom"/>
            <w:shd w:val="clear" w:color="auto" w:fill="E5E5E5"/>
          </w:tcPr>
          <w:p>
            <w:pPr>
              <w:jc w:val="center"/>
              <w:ind w:right="195"/>
              <w:spacing w:after="0" w:line="202" w:lineRule="exact"/>
              <w:rPr>
                <w:sz w:val="20"/>
                <w:szCs w:val="20"/>
                <w:color w:val="auto"/>
              </w:rPr>
            </w:pPr>
            <w:r>
              <w:rPr>
                <w:rFonts w:ascii="Arial" w:cs="Arial" w:eastAsia="Arial" w:hAnsi="Arial"/>
                <w:sz w:val="18"/>
                <w:szCs w:val="18"/>
                <w:b w:val="1"/>
                <w:bCs w:val="1"/>
                <w:color w:val="1F4E79"/>
                <w:w w:val="99"/>
              </w:rPr>
              <w:t>Performance-</w:t>
            </w:r>
          </w:p>
        </w:tc>
        <w:tc>
          <w:tcPr>
            <w:tcW w:w="2100" w:type="dxa"/>
            <w:vAlign w:val="bottom"/>
            <w:gridSpan w:val="3"/>
            <w:shd w:val="clear" w:color="auto" w:fill="E5E5E5"/>
          </w:tcPr>
          <w:p>
            <w:pPr>
              <w:jc w:val="center"/>
              <w:ind w:right="280"/>
              <w:spacing w:after="0" w:line="202" w:lineRule="exact"/>
              <w:rPr>
                <w:sz w:val="20"/>
                <w:szCs w:val="20"/>
                <w:color w:val="auto"/>
              </w:rPr>
            </w:pPr>
            <w:r>
              <w:rPr>
                <w:rFonts w:ascii="Arial" w:cs="Arial" w:eastAsia="Arial" w:hAnsi="Arial"/>
                <w:sz w:val="18"/>
                <w:szCs w:val="18"/>
                <w:b w:val="1"/>
                <w:bCs w:val="1"/>
                <w:color w:val="1F4E79"/>
                <w:w w:val="99"/>
              </w:rPr>
              <w:t>Based Restricted</w:t>
            </w:r>
          </w:p>
        </w:tc>
        <w:tc>
          <w:tcPr>
            <w:tcW w:w="1260" w:type="dxa"/>
            <w:vAlign w:val="bottom"/>
            <w:shd w:val="clear" w:color="auto" w:fill="E5E5E5"/>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6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520" w:type="dxa"/>
            <w:vAlign w:val="bottom"/>
            <w:shd w:val="clear" w:color="auto" w:fill="E5E5E5"/>
          </w:tcPr>
          <w:p>
            <w:pPr>
              <w:ind w:left="520"/>
              <w:spacing w:after="0" w:line="202" w:lineRule="exact"/>
              <w:rPr>
                <w:sz w:val="20"/>
                <w:szCs w:val="20"/>
                <w:color w:val="auto"/>
              </w:rPr>
            </w:pPr>
            <w:r>
              <w:rPr>
                <w:rFonts w:ascii="Arial" w:cs="Arial" w:eastAsia="Arial" w:hAnsi="Arial"/>
                <w:sz w:val="18"/>
                <w:szCs w:val="18"/>
                <w:b w:val="1"/>
                <w:bCs w:val="1"/>
                <w:color w:val="1F4E79"/>
              </w:rPr>
              <w:t>Base</w:t>
            </w:r>
          </w:p>
        </w:tc>
        <w:tc>
          <w:tcPr>
            <w:tcW w:w="2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880" w:type="dxa"/>
            <w:vAlign w:val="bottom"/>
            <w:shd w:val="clear" w:color="auto" w:fill="E5E5E5"/>
          </w:tcPr>
          <w:p>
            <w:pPr>
              <w:jc w:val="center"/>
              <w:ind w:right="195"/>
              <w:spacing w:after="0" w:line="202" w:lineRule="exact"/>
              <w:rPr>
                <w:sz w:val="20"/>
                <w:szCs w:val="20"/>
                <w:color w:val="auto"/>
              </w:rPr>
            </w:pPr>
            <w:r>
              <w:rPr>
                <w:rFonts w:ascii="Arial" w:cs="Arial" w:eastAsia="Arial" w:hAnsi="Arial"/>
                <w:sz w:val="18"/>
                <w:szCs w:val="18"/>
                <w:b w:val="1"/>
                <w:bCs w:val="1"/>
                <w:color w:val="1F4E79"/>
              </w:rPr>
              <w:t>Based Cash</w:t>
            </w:r>
          </w:p>
        </w:tc>
        <w:tc>
          <w:tcPr>
            <w:tcW w:w="2100" w:type="dxa"/>
            <w:vAlign w:val="bottom"/>
            <w:gridSpan w:val="3"/>
            <w:shd w:val="clear" w:color="auto" w:fill="E5E5E5"/>
          </w:tcPr>
          <w:p>
            <w:pPr>
              <w:jc w:val="center"/>
              <w:ind w:right="280"/>
              <w:spacing w:after="0" w:line="202" w:lineRule="exact"/>
              <w:rPr>
                <w:sz w:val="20"/>
                <w:szCs w:val="20"/>
                <w:color w:val="auto"/>
              </w:rPr>
            </w:pPr>
            <w:r>
              <w:rPr>
                <w:rFonts w:ascii="Arial" w:cs="Arial" w:eastAsia="Arial" w:hAnsi="Arial"/>
                <w:sz w:val="18"/>
                <w:szCs w:val="18"/>
                <w:b w:val="1"/>
                <w:bCs w:val="1"/>
                <w:color w:val="1F4E79"/>
                <w:w w:val="99"/>
              </w:rPr>
              <w:t>Stock Award at Grant</w:t>
            </w:r>
          </w:p>
        </w:tc>
        <w:tc>
          <w:tcPr>
            <w:tcW w:w="1260" w:type="dxa"/>
            <w:vAlign w:val="bottom"/>
            <w:shd w:val="clear" w:color="auto" w:fill="E5E5E5"/>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6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520" w:type="dxa"/>
            <w:vAlign w:val="bottom"/>
            <w:shd w:val="clear" w:color="auto" w:fill="E5E5E5"/>
          </w:tcPr>
          <w:p>
            <w:pPr>
              <w:ind w:left="460"/>
              <w:spacing w:after="0" w:line="202" w:lineRule="exact"/>
              <w:rPr>
                <w:sz w:val="20"/>
                <w:szCs w:val="20"/>
                <w:color w:val="auto"/>
              </w:rPr>
            </w:pPr>
            <w:r>
              <w:rPr>
                <w:rFonts w:ascii="Arial" w:cs="Arial" w:eastAsia="Arial" w:hAnsi="Arial"/>
                <w:sz w:val="18"/>
                <w:szCs w:val="18"/>
                <w:b w:val="1"/>
                <w:bCs w:val="1"/>
                <w:color w:val="1F4E79"/>
              </w:rPr>
              <w:t>Salary</w:t>
            </w:r>
          </w:p>
        </w:tc>
        <w:tc>
          <w:tcPr>
            <w:tcW w:w="2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880" w:type="dxa"/>
            <w:vAlign w:val="bottom"/>
            <w:shd w:val="clear" w:color="auto" w:fill="E5E5E5"/>
          </w:tcPr>
          <w:p>
            <w:pPr>
              <w:jc w:val="center"/>
              <w:ind w:right="195"/>
              <w:spacing w:after="0" w:line="202" w:lineRule="exact"/>
              <w:rPr>
                <w:sz w:val="20"/>
                <w:szCs w:val="20"/>
                <w:color w:val="auto"/>
              </w:rPr>
            </w:pPr>
            <w:r>
              <w:rPr>
                <w:rFonts w:ascii="Arial" w:cs="Arial" w:eastAsia="Arial" w:hAnsi="Arial"/>
                <w:sz w:val="18"/>
                <w:szCs w:val="18"/>
                <w:b w:val="1"/>
                <w:bCs w:val="1"/>
                <w:color w:val="1F4E79"/>
                <w:w w:val="99"/>
              </w:rPr>
              <w:t>Award Earned</w:t>
            </w:r>
          </w:p>
        </w:tc>
        <w:tc>
          <w:tcPr>
            <w:tcW w:w="2100" w:type="dxa"/>
            <w:vAlign w:val="bottom"/>
            <w:gridSpan w:val="3"/>
            <w:shd w:val="clear" w:color="auto" w:fill="E5E5E5"/>
          </w:tcPr>
          <w:p>
            <w:pPr>
              <w:jc w:val="center"/>
              <w:ind w:right="280"/>
              <w:spacing w:after="0" w:line="202" w:lineRule="exact"/>
              <w:rPr>
                <w:sz w:val="20"/>
                <w:szCs w:val="20"/>
                <w:color w:val="auto"/>
              </w:rPr>
            </w:pPr>
            <w:r>
              <w:rPr>
                <w:rFonts w:ascii="Arial" w:cs="Arial" w:eastAsia="Arial" w:hAnsi="Arial"/>
                <w:sz w:val="18"/>
                <w:szCs w:val="18"/>
                <w:b w:val="1"/>
                <w:bCs w:val="1"/>
                <w:color w:val="1F4E79"/>
                <w:w w:val="99"/>
              </w:rPr>
              <w:t>Date Fair Value</w:t>
            </w:r>
          </w:p>
        </w:tc>
        <w:tc>
          <w:tcPr>
            <w:tcW w:w="1260" w:type="dxa"/>
            <w:vAlign w:val="bottom"/>
            <w:shd w:val="clear" w:color="auto" w:fill="E5E5E5"/>
          </w:tcPr>
          <w:p>
            <w:pPr>
              <w:jc w:val="right"/>
              <w:ind w:right="375"/>
              <w:spacing w:after="0" w:line="202" w:lineRule="exact"/>
              <w:rPr>
                <w:sz w:val="20"/>
                <w:szCs w:val="20"/>
                <w:color w:val="auto"/>
              </w:rPr>
            </w:pPr>
            <w:r>
              <w:rPr>
                <w:rFonts w:ascii="Arial" w:cs="Arial" w:eastAsia="Arial" w:hAnsi="Arial"/>
                <w:sz w:val="18"/>
                <w:szCs w:val="18"/>
                <w:b w:val="1"/>
                <w:bCs w:val="1"/>
                <w:color w:val="1F4E79"/>
              </w:rPr>
              <w:t>Total</w:t>
            </w:r>
          </w:p>
        </w:tc>
        <w:tc>
          <w:tcPr>
            <w:tcW w:w="560" w:type="dxa"/>
            <w:vAlign w:val="bottom"/>
          </w:tcPr>
          <w:p>
            <w:pPr>
              <w:spacing w:after="0"/>
              <w:rPr>
                <w:sz w:val="17"/>
                <w:szCs w:val="17"/>
                <w:color w:val="auto"/>
              </w:rPr>
            </w:pPr>
          </w:p>
        </w:tc>
      </w:tr>
      <w:tr>
        <w:trPr>
          <w:trHeight w:val="255"/>
        </w:trPr>
        <w:tc>
          <w:tcPr>
            <w:tcW w:w="2460" w:type="dxa"/>
            <w:vAlign w:val="bottom"/>
            <w:gridSpan w:val="2"/>
          </w:tcPr>
          <w:p>
            <w:pPr>
              <w:ind w:left="660"/>
              <w:spacing w:after="0"/>
              <w:rPr>
                <w:sz w:val="20"/>
                <w:szCs w:val="20"/>
                <w:color w:val="auto"/>
              </w:rPr>
            </w:pPr>
            <w:r>
              <w:rPr>
                <w:rFonts w:ascii="Arial" w:cs="Arial" w:eastAsia="Arial" w:hAnsi="Arial"/>
                <w:sz w:val="18"/>
                <w:szCs w:val="18"/>
                <w:b w:val="1"/>
                <w:bCs w:val="1"/>
                <w:color w:val="1F4E79"/>
              </w:rPr>
              <w:t>Name</w:t>
            </w:r>
          </w:p>
        </w:tc>
        <w:tc>
          <w:tcPr>
            <w:tcW w:w="600" w:type="dxa"/>
            <w:vAlign w:val="bottom"/>
          </w:tcPr>
          <w:p>
            <w:pPr>
              <w:spacing w:after="0"/>
              <w:rPr>
                <w:sz w:val="22"/>
                <w:szCs w:val="22"/>
                <w:color w:val="auto"/>
              </w:rPr>
            </w:pPr>
          </w:p>
        </w:tc>
        <w:tc>
          <w:tcPr>
            <w:tcW w:w="1780" w:type="dxa"/>
            <w:vAlign w:val="bottom"/>
            <w:gridSpan w:val="3"/>
            <w:shd w:val="clear" w:color="auto" w:fill="E5E5E5"/>
          </w:tcPr>
          <w:p>
            <w:pPr>
              <w:ind w:left="780"/>
              <w:spacing w:after="0"/>
              <w:rPr>
                <w:sz w:val="20"/>
                <w:szCs w:val="20"/>
                <w:color w:val="auto"/>
              </w:rPr>
            </w:pPr>
            <w:r>
              <w:rPr>
                <w:rFonts w:ascii="Arial" w:cs="Arial" w:eastAsia="Arial" w:hAnsi="Arial"/>
                <w:sz w:val="18"/>
                <w:szCs w:val="18"/>
                <w:b w:val="1"/>
                <w:bCs w:val="1"/>
                <w:color w:val="1F4E79"/>
              </w:rPr>
              <w:t>($)(1)</w:t>
            </w:r>
          </w:p>
        </w:tc>
        <w:tc>
          <w:tcPr>
            <w:tcW w:w="2160" w:type="dxa"/>
            <w:vAlign w:val="bottom"/>
            <w:gridSpan w:val="3"/>
            <w:shd w:val="clear" w:color="auto" w:fill="E5E5E5"/>
          </w:tcPr>
          <w:p>
            <w:pPr>
              <w:jc w:val="center"/>
              <w:spacing w:after="0"/>
              <w:rPr>
                <w:sz w:val="20"/>
                <w:szCs w:val="20"/>
                <w:color w:val="auto"/>
              </w:rPr>
            </w:pPr>
            <w:r>
              <w:rPr>
                <w:rFonts w:ascii="Arial" w:cs="Arial" w:eastAsia="Arial" w:hAnsi="Arial"/>
                <w:sz w:val="18"/>
                <w:szCs w:val="18"/>
                <w:b w:val="1"/>
                <w:bCs w:val="1"/>
                <w:color w:val="1F4E79"/>
                <w:w w:val="99"/>
              </w:rPr>
              <w:t>($)</w:t>
            </w:r>
          </w:p>
        </w:tc>
        <w:tc>
          <w:tcPr>
            <w:tcW w:w="2040" w:type="dxa"/>
            <w:vAlign w:val="bottom"/>
            <w:gridSpan w:val="2"/>
            <w:shd w:val="clear" w:color="auto" w:fill="E5E5E5"/>
          </w:tcPr>
          <w:p>
            <w:pPr>
              <w:jc w:val="center"/>
              <w:ind w:right="220"/>
              <w:spacing w:after="0"/>
              <w:rPr>
                <w:sz w:val="20"/>
                <w:szCs w:val="20"/>
                <w:color w:val="auto"/>
              </w:rPr>
            </w:pPr>
            <w:r>
              <w:rPr>
                <w:rFonts w:ascii="Arial" w:cs="Arial" w:eastAsia="Arial" w:hAnsi="Arial"/>
                <w:sz w:val="18"/>
                <w:szCs w:val="18"/>
                <w:b w:val="1"/>
                <w:bCs w:val="1"/>
                <w:color w:val="1F4E79"/>
                <w:w w:val="99"/>
              </w:rPr>
              <w:t>($)</w:t>
            </w:r>
          </w:p>
        </w:tc>
        <w:tc>
          <w:tcPr>
            <w:tcW w:w="60" w:type="dxa"/>
            <w:vAlign w:val="bottom"/>
            <w:shd w:val="clear" w:color="auto" w:fill="E5E5E5"/>
          </w:tcPr>
          <w:p>
            <w:pPr>
              <w:spacing w:after="0"/>
              <w:rPr>
                <w:sz w:val="22"/>
                <w:szCs w:val="22"/>
                <w:color w:val="auto"/>
              </w:rPr>
            </w:pPr>
          </w:p>
        </w:tc>
        <w:tc>
          <w:tcPr>
            <w:tcW w:w="1260" w:type="dxa"/>
            <w:vAlign w:val="bottom"/>
            <w:shd w:val="clear" w:color="auto" w:fill="E5E5E5"/>
          </w:tcPr>
          <w:p>
            <w:pPr>
              <w:jc w:val="right"/>
              <w:ind w:right="475"/>
              <w:spacing w:after="0"/>
              <w:rPr>
                <w:sz w:val="20"/>
                <w:szCs w:val="20"/>
                <w:color w:val="auto"/>
              </w:rPr>
            </w:pPr>
            <w:r>
              <w:rPr>
                <w:rFonts w:ascii="Arial" w:cs="Arial" w:eastAsia="Arial" w:hAnsi="Arial"/>
                <w:sz w:val="18"/>
                <w:szCs w:val="18"/>
                <w:b w:val="1"/>
                <w:bCs w:val="1"/>
                <w:color w:val="1F4E79"/>
              </w:rPr>
              <w:t>($)</w:t>
            </w:r>
          </w:p>
        </w:tc>
        <w:tc>
          <w:tcPr>
            <w:tcW w:w="560" w:type="dxa"/>
            <w:vAlign w:val="bottom"/>
          </w:tcPr>
          <w:p>
            <w:pPr>
              <w:spacing w:after="0"/>
              <w:rPr>
                <w:sz w:val="22"/>
                <w:szCs w:val="22"/>
                <w:color w:val="auto"/>
              </w:rPr>
            </w:pPr>
          </w:p>
        </w:tc>
      </w:tr>
      <w:tr>
        <w:trPr>
          <w:trHeight w:val="265"/>
        </w:trPr>
        <w:tc>
          <w:tcPr>
            <w:tcW w:w="660" w:type="dxa"/>
            <w:vAlign w:val="bottom"/>
          </w:tcPr>
          <w:p>
            <w:pPr>
              <w:spacing w:after="0"/>
              <w:rPr>
                <w:sz w:val="23"/>
                <w:szCs w:val="23"/>
                <w:color w:val="auto"/>
              </w:rPr>
            </w:pPr>
          </w:p>
        </w:tc>
        <w:tc>
          <w:tcPr>
            <w:tcW w:w="1800" w:type="dxa"/>
            <w:vAlign w:val="bottom"/>
            <w:tcBorders>
              <w:top w:val="single" w:sz="8" w:color="002060"/>
              <w:bottom w:val="single" w:sz="8" w:color="002060"/>
            </w:tcBorders>
          </w:tcPr>
          <w:p>
            <w:pPr>
              <w:ind w:left="80"/>
              <w:spacing w:after="0"/>
              <w:rPr>
                <w:sz w:val="20"/>
                <w:szCs w:val="20"/>
                <w:color w:val="auto"/>
              </w:rPr>
            </w:pPr>
            <w:r>
              <w:rPr>
                <w:rFonts w:ascii="Arial" w:cs="Arial" w:eastAsia="Arial" w:hAnsi="Arial"/>
                <w:sz w:val="18"/>
                <w:szCs w:val="18"/>
                <w:color w:val="auto"/>
              </w:rPr>
              <w:t>Jeffrey W. Edwards</w:t>
            </w:r>
          </w:p>
        </w:tc>
        <w:tc>
          <w:tcPr>
            <w:tcW w:w="600" w:type="dxa"/>
            <w:vAlign w:val="bottom"/>
            <w:tcBorders>
              <w:top w:val="single" w:sz="8" w:color="002060"/>
              <w:bottom w:val="single" w:sz="8" w:color="002060"/>
            </w:tcBorders>
          </w:tcPr>
          <w:p>
            <w:pPr>
              <w:spacing w:after="0"/>
              <w:rPr>
                <w:sz w:val="23"/>
                <w:szCs w:val="23"/>
                <w:color w:val="auto"/>
              </w:rPr>
            </w:pPr>
          </w:p>
        </w:tc>
        <w:tc>
          <w:tcPr>
            <w:tcW w:w="1780" w:type="dxa"/>
            <w:vAlign w:val="bottom"/>
            <w:tcBorders>
              <w:top w:val="single" w:sz="8" w:color="002060"/>
              <w:bottom w:val="single" w:sz="8" w:color="002060"/>
            </w:tcBorders>
            <w:gridSpan w:val="3"/>
            <w:shd w:val="clear" w:color="auto" w:fill="E5E5E5"/>
          </w:tcPr>
          <w:p>
            <w:pPr>
              <w:ind w:left="720"/>
              <w:spacing w:after="0"/>
              <w:rPr>
                <w:sz w:val="20"/>
                <w:szCs w:val="20"/>
                <w:color w:val="auto"/>
              </w:rPr>
            </w:pPr>
            <w:r>
              <w:rPr>
                <w:rFonts w:ascii="Arial" w:cs="Arial" w:eastAsia="Arial" w:hAnsi="Arial"/>
                <w:sz w:val="18"/>
                <w:szCs w:val="18"/>
                <w:color w:val="auto"/>
              </w:rPr>
              <w:t>800,000</w:t>
            </w:r>
          </w:p>
        </w:tc>
        <w:tc>
          <w:tcPr>
            <w:tcW w:w="2160" w:type="dxa"/>
            <w:vAlign w:val="bottom"/>
            <w:tcBorders>
              <w:top w:val="single" w:sz="8" w:color="002060"/>
              <w:bottom w:val="single" w:sz="8" w:color="002060"/>
            </w:tcBorders>
            <w:gridSpan w:val="3"/>
            <w:shd w:val="clear" w:color="auto" w:fill="E5E5E5"/>
          </w:tcPr>
          <w:p>
            <w:pPr>
              <w:jc w:val="right"/>
              <w:ind w:right="535"/>
              <w:spacing w:after="0"/>
              <w:rPr>
                <w:sz w:val="20"/>
                <w:szCs w:val="20"/>
                <w:color w:val="auto"/>
              </w:rPr>
            </w:pPr>
            <w:r>
              <w:rPr>
                <w:rFonts w:ascii="Arial" w:cs="Arial" w:eastAsia="Arial" w:hAnsi="Arial"/>
                <w:sz w:val="18"/>
                <w:szCs w:val="18"/>
                <w:color w:val="auto"/>
              </w:rPr>
              <w:t>1,126,000</w:t>
            </w:r>
          </w:p>
        </w:tc>
        <w:tc>
          <w:tcPr>
            <w:tcW w:w="2040" w:type="dxa"/>
            <w:vAlign w:val="bottom"/>
            <w:tcBorders>
              <w:top w:val="single" w:sz="8" w:color="002060"/>
              <w:bottom w:val="single" w:sz="8" w:color="002060"/>
            </w:tcBorders>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3,377,950</w:t>
            </w:r>
          </w:p>
        </w:tc>
        <w:tc>
          <w:tcPr>
            <w:tcW w:w="60" w:type="dxa"/>
            <w:vAlign w:val="bottom"/>
            <w:tcBorders>
              <w:top w:val="single" w:sz="8" w:color="002060"/>
              <w:bottom w:val="single" w:sz="8" w:color="002060"/>
            </w:tcBorders>
            <w:shd w:val="clear" w:color="auto" w:fill="E5E5E5"/>
          </w:tcPr>
          <w:p>
            <w:pPr>
              <w:spacing w:after="0"/>
              <w:rPr>
                <w:sz w:val="23"/>
                <w:szCs w:val="23"/>
                <w:color w:val="auto"/>
              </w:rPr>
            </w:pPr>
          </w:p>
        </w:tc>
        <w:tc>
          <w:tcPr>
            <w:tcW w:w="1260" w:type="dxa"/>
            <w:vAlign w:val="bottom"/>
            <w:tcBorders>
              <w:top w:val="single" w:sz="8" w:color="002060"/>
              <w:bottom w:val="single" w:sz="8" w:color="002060"/>
            </w:tcBorders>
            <w:shd w:val="clear" w:color="auto" w:fill="E5E5E5"/>
          </w:tcPr>
          <w:p>
            <w:pPr>
              <w:jc w:val="right"/>
              <w:ind w:right="115"/>
              <w:spacing w:after="0"/>
              <w:rPr>
                <w:sz w:val="20"/>
                <w:szCs w:val="20"/>
                <w:color w:val="auto"/>
              </w:rPr>
            </w:pPr>
            <w:r>
              <w:rPr>
                <w:rFonts w:ascii="Arial" w:cs="Arial" w:eastAsia="Arial" w:hAnsi="Arial"/>
                <w:sz w:val="18"/>
                <w:szCs w:val="18"/>
                <w:color w:val="auto"/>
              </w:rPr>
              <w:t>5,303,950</w:t>
            </w:r>
          </w:p>
        </w:tc>
        <w:tc>
          <w:tcPr>
            <w:tcW w:w="560" w:type="dxa"/>
            <w:vAlign w:val="bottom"/>
          </w:tcPr>
          <w:p>
            <w:pPr>
              <w:spacing w:after="0"/>
              <w:rPr>
                <w:sz w:val="23"/>
                <w:szCs w:val="23"/>
                <w:color w:val="auto"/>
              </w:rPr>
            </w:pPr>
          </w:p>
        </w:tc>
      </w:tr>
      <w:tr>
        <w:trPr>
          <w:trHeight w:val="239"/>
        </w:trPr>
        <w:tc>
          <w:tcPr>
            <w:tcW w:w="660" w:type="dxa"/>
            <w:vAlign w:val="bottom"/>
          </w:tcPr>
          <w:p>
            <w:pPr>
              <w:spacing w:after="0"/>
              <w:rPr>
                <w:sz w:val="20"/>
                <w:szCs w:val="20"/>
                <w:color w:val="auto"/>
              </w:rPr>
            </w:pPr>
          </w:p>
        </w:tc>
        <w:tc>
          <w:tcPr>
            <w:tcW w:w="180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Michael T. Miller</w:t>
            </w:r>
          </w:p>
        </w:tc>
        <w:tc>
          <w:tcPr>
            <w:tcW w:w="600" w:type="dxa"/>
            <w:vAlign w:val="bottom"/>
            <w:tcBorders>
              <w:bottom w:val="single" w:sz="8" w:color="002060"/>
            </w:tcBorders>
          </w:tcPr>
          <w:p>
            <w:pPr>
              <w:spacing w:after="0"/>
              <w:rPr>
                <w:sz w:val="20"/>
                <w:szCs w:val="20"/>
                <w:color w:val="auto"/>
              </w:rPr>
            </w:pPr>
          </w:p>
        </w:tc>
        <w:tc>
          <w:tcPr>
            <w:tcW w:w="1780" w:type="dxa"/>
            <w:vAlign w:val="bottom"/>
            <w:tcBorders>
              <w:bottom w:val="single" w:sz="8" w:color="002060"/>
            </w:tcBorders>
            <w:gridSpan w:val="3"/>
            <w:shd w:val="clear" w:color="auto" w:fill="E5E5E5"/>
          </w:tcPr>
          <w:p>
            <w:pPr>
              <w:ind w:left="720"/>
              <w:spacing w:after="0"/>
              <w:rPr>
                <w:sz w:val="20"/>
                <w:szCs w:val="20"/>
                <w:color w:val="auto"/>
              </w:rPr>
            </w:pPr>
            <w:r>
              <w:rPr>
                <w:rFonts w:ascii="Arial" w:cs="Arial" w:eastAsia="Arial" w:hAnsi="Arial"/>
                <w:sz w:val="18"/>
                <w:szCs w:val="18"/>
                <w:color w:val="auto"/>
              </w:rPr>
              <w:t>425,000</w:t>
            </w:r>
          </w:p>
        </w:tc>
        <w:tc>
          <w:tcPr>
            <w:tcW w:w="2160" w:type="dxa"/>
            <w:vAlign w:val="bottom"/>
            <w:tcBorders>
              <w:bottom w:val="single" w:sz="8" w:color="002060"/>
            </w:tcBorders>
            <w:gridSpan w:val="3"/>
            <w:shd w:val="clear" w:color="auto" w:fill="E5E5E5"/>
          </w:tcPr>
          <w:p>
            <w:pPr>
              <w:jc w:val="right"/>
              <w:ind w:right="535"/>
              <w:spacing w:after="0"/>
              <w:rPr>
                <w:sz w:val="20"/>
                <w:szCs w:val="20"/>
                <w:color w:val="auto"/>
              </w:rPr>
            </w:pPr>
            <w:r>
              <w:rPr>
                <w:rFonts w:ascii="Arial" w:cs="Arial" w:eastAsia="Arial" w:hAnsi="Arial"/>
                <w:sz w:val="18"/>
                <w:szCs w:val="18"/>
                <w:color w:val="auto"/>
              </w:rPr>
              <w:t>427,880</w:t>
            </w:r>
          </w:p>
        </w:tc>
        <w:tc>
          <w:tcPr>
            <w:tcW w:w="2040" w:type="dxa"/>
            <w:vAlign w:val="bottom"/>
            <w:tcBorders>
              <w:bottom w:val="single" w:sz="8" w:color="002060"/>
            </w:tcBorders>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1,086,542</w:t>
            </w:r>
          </w:p>
        </w:tc>
        <w:tc>
          <w:tcPr>
            <w:tcW w:w="60" w:type="dxa"/>
            <w:vAlign w:val="bottom"/>
            <w:tcBorders>
              <w:bottom w:val="single" w:sz="8" w:color="002060"/>
            </w:tcBorders>
            <w:shd w:val="clear" w:color="auto" w:fill="E5E5E5"/>
          </w:tcPr>
          <w:p>
            <w:pPr>
              <w:spacing w:after="0"/>
              <w:rPr>
                <w:sz w:val="20"/>
                <w:szCs w:val="20"/>
                <w:color w:val="auto"/>
              </w:rPr>
            </w:pPr>
          </w:p>
        </w:tc>
        <w:tc>
          <w:tcPr>
            <w:tcW w:w="1260" w:type="dxa"/>
            <w:vAlign w:val="bottom"/>
            <w:tcBorders>
              <w:bottom w:val="single" w:sz="8" w:color="002060"/>
            </w:tcBorders>
            <w:shd w:val="clear" w:color="auto" w:fill="E5E5E5"/>
          </w:tcPr>
          <w:p>
            <w:pPr>
              <w:jc w:val="right"/>
              <w:ind w:right="115"/>
              <w:spacing w:after="0"/>
              <w:rPr>
                <w:sz w:val="20"/>
                <w:szCs w:val="20"/>
                <w:color w:val="auto"/>
              </w:rPr>
            </w:pPr>
            <w:r>
              <w:rPr>
                <w:rFonts w:ascii="Arial" w:cs="Arial" w:eastAsia="Arial" w:hAnsi="Arial"/>
                <w:sz w:val="18"/>
                <w:szCs w:val="18"/>
                <w:color w:val="auto"/>
              </w:rPr>
              <w:t>1,939,422</w:t>
            </w:r>
          </w:p>
        </w:tc>
        <w:tc>
          <w:tcPr>
            <w:tcW w:w="56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80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Jay P. Elliott</w:t>
            </w:r>
          </w:p>
        </w:tc>
        <w:tc>
          <w:tcPr>
            <w:tcW w:w="600" w:type="dxa"/>
            <w:vAlign w:val="bottom"/>
            <w:tcBorders>
              <w:bottom w:val="single" w:sz="8" w:color="002060"/>
            </w:tcBorders>
          </w:tcPr>
          <w:p>
            <w:pPr>
              <w:spacing w:after="0"/>
              <w:rPr>
                <w:sz w:val="20"/>
                <w:szCs w:val="20"/>
                <w:color w:val="auto"/>
              </w:rPr>
            </w:pPr>
          </w:p>
        </w:tc>
        <w:tc>
          <w:tcPr>
            <w:tcW w:w="1780" w:type="dxa"/>
            <w:vAlign w:val="bottom"/>
            <w:tcBorders>
              <w:bottom w:val="single" w:sz="8" w:color="002060"/>
            </w:tcBorders>
            <w:gridSpan w:val="3"/>
            <w:shd w:val="clear" w:color="auto" w:fill="E5E5E5"/>
          </w:tcPr>
          <w:p>
            <w:pPr>
              <w:ind w:left="720"/>
              <w:spacing w:after="0"/>
              <w:rPr>
                <w:sz w:val="20"/>
                <w:szCs w:val="20"/>
                <w:color w:val="auto"/>
              </w:rPr>
            </w:pPr>
            <w:r>
              <w:rPr>
                <w:rFonts w:ascii="Arial" w:cs="Arial" w:eastAsia="Arial" w:hAnsi="Arial"/>
                <w:sz w:val="18"/>
                <w:szCs w:val="18"/>
                <w:color w:val="auto"/>
              </w:rPr>
              <w:t>462,000</w:t>
            </w:r>
          </w:p>
        </w:tc>
        <w:tc>
          <w:tcPr>
            <w:tcW w:w="2160" w:type="dxa"/>
            <w:vAlign w:val="bottom"/>
            <w:tcBorders>
              <w:bottom w:val="single" w:sz="8" w:color="002060"/>
            </w:tcBorders>
            <w:gridSpan w:val="3"/>
            <w:shd w:val="clear" w:color="auto" w:fill="E5E5E5"/>
          </w:tcPr>
          <w:p>
            <w:pPr>
              <w:jc w:val="right"/>
              <w:ind w:right="535"/>
              <w:spacing w:after="0"/>
              <w:rPr>
                <w:sz w:val="20"/>
                <w:szCs w:val="20"/>
                <w:color w:val="auto"/>
              </w:rPr>
            </w:pPr>
            <w:r>
              <w:rPr>
                <w:rFonts w:ascii="Arial" w:cs="Arial" w:eastAsia="Arial" w:hAnsi="Arial"/>
                <w:sz w:val="18"/>
                <w:szCs w:val="18"/>
                <w:color w:val="auto"/>
              </w:rPr>
              <w:t>315,280</w:t>
            </w:r>
          </w:p>
        </w:tc>
        <w:tc>
          <w:tcPr>
            <w:tcW w:w="2040" w:type="dxa"/>
            <w:vAlign w:val="bottom"/>
            <w:tcBorders>
              <w:bottom w:val="single" w:sz="8" w:color="002060"/>
            </w:tcBorders>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1,125,880</w:t>
            </w:r>
          </w:p>
        </w:tc>
        <w:tc>
          <w:tcPr>
            <w:tcW w:w="60" w:type="dxa"/>
            <w:vAlign w:val="bottom"/>
            <w:tcBorders>
              <w:bottom w:val="single" w:sz="8" w:color="002060"/>
            </w:tcBorders>
            <w:shd w:val="clear" w:color="auto" w:fill="E5E5E5"/>
          </w:tcPr>
          <w:p>
            <w:pPr>
              <w:spacing w:after="0"/>
              <w:rPr>
                <w:sz w:val="20"/>
                <w:szCs w:val="20"/>
                <w:color w:val="auto"/>
              </w:rPr>
            </w:pPr>
          </w:p>
        </w:tc>
        <w:tc>
          <w:tcPr>
            <w:tcW w:w="1260" w:type="dxa"/>
            <w:vAlign w:val="bottom"/>
            <w:tcBorders>
              <w:bottom w:val="single" w:sz="8" w:color="002060"/>
            </w:tcBorders>
            <w:shd w:val="clear" w:color="auto" w:fill="E5E5E5"/>
          </w:tcPr>
          <w:p>
            <w:pPr>
              <w:jc w:val="right"/>
              <w:ind w:right="115"/>
              <w:spacing w:after="0"/>
              <w:rPr>
                <w:sz w:val="20"/>
                <w:szCs w:val="20"/>
                <w:color w:val="auto"/>
              </w:rPr>
            </w:pPr>
            <w:r>
              <w:rPr>
                <w:rFonts w:ascii="Arial" w:cs="Arial" w:eastAsia="Arial" w:hAnsi="Arial"/>
                <w:sz w:val="18"/>
                <w:szCs w:val="18"/>
                <w:color w:val="auto"/>
              </w:rPr>
              <w:t>1,903,160</w:t>
            </w:r>
          </w:p>
        </w:tc>
        <w:tc>
          <w:tcPr>
            <w:tcW w:w="560" w:type="dxa"/>
            <w:vAlign w:val="bottom"/>
          </w:tcPr>
          <w:p>
            <w:pPr>
              <w:spacing w:after="0"/>
              <w:rPr>
                <w:sz w:val="20"/>
                <w:szCs w:val="20"/>
                <w:color w:val="auto"/>
              </w:rPr>
            </w:pPr>
          </w:p>
        </w:tc>
      </w:tr>
      <w:tr>
        <w:trPr>
          <w:trHeight w:val="236"/>
        </w:trPr>
        <w:tc>
          <w:tcPr>
            <w:tcW w:w="660" w:type="dxa"/>
            <w:vAlign w:val="bottom"/>
          </w:tcPr>
          <w:p>
            <w:pPr>
              <w:spacing w:after="0"/>
              <w:rPr>
                <w:sz w:val="20"/>
                <w:szCs w:val="20"/>
                <w:color w:val="auto"/>
              </w:rPr>
            </w:pPr>
          </w:p>
        </w:tc>
        <w:tc>
          <w:tcPr>
            <w:tcW w:w="180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W. Jeffrey Hire</w:t>
            </w:r>
          </w:p>
        </w:tc>
        <w:tc>
          <w:tcPr>
            <w:tcW w:w="600" w:type="dxa"/>
            <w:vAlign w:val="bottom"/>
            <w:tcBorders>
              <w:bottom w:val="single" w:sz="8" w:color="002060"/>
            </w:tcBorders>
          </w:tcPr>
          <w:p>
            <w:pPr>
              <w:spacing w:after="0"/>
              <w:rPr>
                <w:sz w:val="20"/>
                <w:szCs w:val="20"/>
                <w:color w:val="auto"/>
              </w:rPr>
            </w:pPr>
          </w:p>
        </w:tc>
        <w:tc>
          <w:tcPr>
            <w:tcW w:w="1780" w:type="dxa"/>
            <w:vAlign w:val="bottom"/>
            <w:tcBorders>
              <w:bottom w:val="single" w:sz="8" w:color="002060"/>
            </w:tcBorders>
            <w:gridSpan w:val="3"/>
            <w:shd w:val="clear" w:color="auto" w:fill="E5E5E5"/>
          </w:tcPr>
          <w:p>
            <w:pPr>
              <w:ind w:left="720"/>
              <w:spacing w:after="0"/>
              <w:rPr>
                <w:sz w:val="20"/>
                <w:szCs w:val="20"/>
                <w:color w:val="auto"/>
              </w:rPr>
            </w:pPr>
            <w:r>
              <w:rPr>
                <w:rFonts w:ascii="Arial" w:cs="Arial" w:eastAsia="Arial" w:hAnsi="Arial"/>
                <w:sz w:val="18"/>
                <w:szCs w:val="18"/>
                <w:color w:val="auto"/>
              </w:rPr>
              <w:t>400,000</w:t>
            </w:r>
          </w:p>
        </w:tc>
        <w:tc>
          <w:tcPr>
            <w:tcW w:w="2160" w:type="dxa"/>
            <w:vAlign w:val="bottom"/>
            <w:tcBorders>
              <w:bottom w:val="single" w:sz="8" w:color="002060"/>
            </w:tcBorders>
            <w:gridSpan w:val="3"/>
            <w:shd w:val="clear" w:color="auto" w:fill="E5E5E5"/>
          </w:tcPr>
          <w:p>
            <w:pPr>
              <w:jc w:val="right"/>
              <w:ind w:right="535"/>
              <w:spacing w:after="0"/>
              <w:rPr>
                <w:sz w:val="20"/>
                <w:szCs w:val="20"/>
                <w:color w:val="auto"/>
              </w:rPr>
            </w:pPr>
            <w:r>
              <w:rPr>
                <w:rFonts w:ascii="Arial" w:cs="Arial" w:eastAsia="Arial" w:hAnsi="Arial"/>
                <w:sz w:val="18"/>
                <w:szCs w:val="18"/>
                <w:color w:val="auto"/>
              </w:rPr>
              <w:t>168,900</w:t>
            </w:r>
          </w:p>
        </w:tc>
        <w:tc>
          <w:tcPr>
            <w:tcW w:w="2040" w:type="dxa"/>
            <w:vAlign w:val="bottom"/>
            <w:tcBorders>
              <w:bottom w:val="single" w:sz="8" w:color="002060"/>
            </w:tcBorders>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225,217</w:t>
            </w:r>
          </w:p>
        </w:tc>
        <w:tc>
          <w:tcPr>
            <w:tcW w:w="60" w:type="dxa"/>
            <w:vAlign w:val="bottom"/>
            <w:tcBorders>
              <w:bottom w:val="single" w:sz="8" w:color="002060"/>
            </w:tcBorders>
            <w:shd w:val="clear" w:color="auto" w:fill="E5E5E5"/>
          </w:tcPr>
          <w:p>
            <w:pPr>
              <w:spacing w:after="0"/>
              <w:rPr>
                <w:sz w:val="20"/>
                <w:szCs w:val="20"/>
                <w:color w:val="auto"/>
              </w:rPr>
            </w:pPr>
          </w:p>
        </w:tc>
        <w:tc>
          <w:tcPr>
            <w:tcW w:w="1260" w:type="dxa"/>
            <w:vAlign w:val="bottom"/>
            <w:tcBorders>
              <w:bottom w:val="single" w:sz="8" w:color="002060"/>
            </w:tcBorders>
            <w:shd w:val="clear" w:color="auto" w:fill="E5E5E5"/>
          </w:tcPr>
          <w:p>
            <w:pPr>
              <w:jc w:val="right"/>
              <w:ind w:right="115"/>
              <w:spacing w:after="0"/>
              <w:rPr>
                <w:sz w:val="20"/>
                <w:szCs w:val="20"/>
                <w:color w:val="auto"/>
              </w:rPr>
            </w:pPr>
            <w:r>
              <w:rPr>
                <w:rFonts w:ascii="Arial" w:cs="Arial" w:eastAsia="Arial" w:hAnsi="Arial"/>
                <w:sz w:val="18"/>
                <w:szCs w:val="18"/>
                <w:color w:val="auto"/>
              </w:rPr>
              <w:t>794,117</w:t>
            </w:r>
          </w:p>
        </w:tc>
        <w:tc>
          <w:tcPr>
            <w:tcW w:w="560" w:type="dxa"/>
            <w:vAlign w:val="bottom"/>
          </w:tcPr>
          <w:p>
            <w:pPr>
              <w:spacing w:after="0"/>
              <w:rPr>
                <w:sz w:val="20"/>
                <w:szCs w:val="20"/>
                <w:color w:val="auto"/>
              </w:rPr>
            </w:pPr>
          </w:p>
        </w:tc>
      </w:tr>
      <w:tr>
        <w:trPr>
          <w:trHeight w:val="239"/>
        </w:trPr>
        <w:tc>
          <w:tcPr>
            <w:tcW w:w="660" w:type="dxa"/>
            <w:vAlign w:val="bottom"/>
          </w:tcPr>
          <w:p>
            <w:pPr>
              <w:spacing w:after="0"/>
              <w:rPr>
                <w:sz w:val="20"/>
                <w:szCs w:val="20"/>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rPr>
              <w:t>Jason R. Niswonger</w:t>
            </w:r>
          </w:p>
        </w:tc>
        <w:tc>
          <w:tcPr>
            <w:tcW w:w="600" w:type="dxa"/>
            <w:vAlign w:val="bottom"/>
          </w:tcPr>
          <w:p>
            <w:pPr>
              <w:spacing w:after="0"/>
              <w:rPr>
                <w:sz w:val="20"/>
                <w:szCs w:val="20"/>
                <w:color w:val="auto"/>
              </w:rPr>
            </w:pPr>
          </w:p>
        </w:tc>
        <w:tc>
          <w:tcPr>
            <w:tcW w:w="1780" w:type="dxa"/>
            <w:vAlign w:val="bottom"/>
            <w:tcBorders>
              <w:bottom w:val="single" w:sz="8" w:color="E5E5E5"/>
            </w:tcBorders>
            <w:gridSpan w:val="3"/>
            <w:shd w:val="clear" w:color="auto" w:fill="E5E5E5"/>
          </w:tcPr>
          <w:p>
            <w:pPr>
              <w:ind w:left="720"/>
              <w:spacing w:after="0"/>
              <w:rPr>
                <w:sz w:val="20"/>
                <w:szCs w:val="20"/>
                <w:color w:val="auto"/>
              </w:rPr>
            </w:pPr>
            <w:r>
              <w:rPr>
                <w:rFonts w:ascii="Arial" w:cs="Arial" w:eastAsia="Arial" w:hAnsi="Arial"/>
                <w:sz w:val="18"/>
                <w:szCs w:val="18"/>
                <w:color w:val="auto"/>
              </w:rPr>
              <w:t>395,000</w:t>
            </w:r>
          </w:p>
        </w:tc>
        <w:tc>
          <w:tcPr>
            <w:tcW w:w="2160" w:type="dxa"/>
            <w:vAlign w:val="bottom"/>
            <w:tcBorders>
              <w:bottom w:val="single" w:sz="8" w:color="E5E5E5"/>
            </w:tcBorders>
            <w:gridSpan w:val="3"/>
            <w:shd w:val="clear" w:color="auto" w:fill="E5E5E5"/>
          </w:tcPr>
          <w:p>
            <w:pPr>
              <w:jc w:val="right"/>
              <w:ind w:right="535"/>
              <w:spacing w:after="0"/>
              <w:rPr>
                <w:sz w:val="20"/>
                <w:szCs w:val="20"/>
                <w:color w:val="auto"/>
              </w:rPr>
            </w:pPr>
            <w:r>
              <w:rPr>
                <w:rFonts w:ascii="Arial" w:cs="Arial" w:eastAsia="Arial" w:hAnsi="Arial"/>
                <w:sz w:val="18"/>
                <w:szCs w:val="18"/>
                <w:color w:val="auto"/>
              </w:rPr>
              <w:t>197,050</w:t>
            </w:r>
          </w:p>
        </w:tc>
        <w:tc>
          <w:tcPr>
            <w:tcW w:w="2040" w:type="dxa"/>
            <w:vAlign w:val="bottom"/>
            <w:tcBorders>
              <w:bottom w:val="single" w:sz="8" w:color="E5E5E5"/>
            </w:tcBorders>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315,119</w:t>
            </w:r>
          </w:p>
        </w:tc>
        <w:tc>
          <w:tcPr>
            <w:tcW w:w="60" w:type="dxa"/>
            <w:vAlign w:val="bottom"/>
            <w:tcBorders>
              <w:bottom w:val="single" w:sz="8" w:color="E5E5E5"/>
            </w:tcBorders>
            <w:shd w:val="clear" w:color="auto" w:fill="E5E5E5"/>
          </w:tcPr>
          <w:p>
            <w:pPr>
              <w:spacing w:after="0"/>
              <w:rPr>
                <w:sz w:val="20"/>
                <w:szCs w:val="20"/>
                <w:color w:val="auto"/>
              </w:rPr>
            </w:pPr>
          </w:p>
        </w:tc>
        <w:tc>
          <w:tcPr>
            <w:tcW w:w="1260" w:type="dxa"/>
            <w:vAlign w:val="bottom"/>
            <w:tcBorders>
              <w:bottom w:val="single" w:sz="8" w:color="E5E5E5"/>
            </w:tcBorders>
            <w:shd w:val="clear" w:color="auto" w:fill="E5E5E5"/>
          </w:tcPr>
          <w:p>
            <w:pPr>
              <w:jc w:val="right"/>
              <w:ind w:right="115"/>
              <w:spacing w:after="0"/>
              <w:rPr>
                <w:sz w:val="20"/>
                <w:szCs w:val="20"/>
                <w:color w:val="auto"/>
              </w:rPr>
            </w:pPr>
            <w:r>
              <w:rPr>
                <w:rFonts w:ascii="Arial" w:cs="Arial" w:eastAsia="Arial" w:hAnsi="Arial"/>
                <w:sz w:val="18"/>
                <w:szCs w:val="18"/>
                <w:color w:val="auto"/>
              </w:rPr>
              <w:t>907,169</w:t>
            </w:r>
          </w:p>
        </w:tc>
        <w:tc>
          <w:tcPr>
            <w:tcW w:w="56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1800" w:type="dxa"/>
            <w:vAlign w:val="bottom"/>
            <w:shd w:val="clear" w:color="auto" w:fill="002060"/>
          </w:tcPr>
          <w:p>
            <w:pPr>
              <w:spacing w:after="0" w:line="20" w:lineRule="exact"/>
              <w:rPr>
                <w:sz w:val="1"/>
                <w:szCs w:val="1"/>
                <w:color w:val="auto"/>
              </w:rPr>
            </w:pPr>
          </w:p>
        </w:tc>
        <w:tc>
          <w:tcPr>
            <w:tcW w:w="600" w:type="dxa"/>
            <w:vAlign w:val="bottom"/>
            <w:shd w:val="clear" w:color="auto" w:fill="002060"/>
          </w:tcPr>
          <w:p>
            <w:pPr>
              <w:spacing w:after="0" w:line="20" w:lineRule="exact"/>
              <w:rPr>
                <w:sz w:val="1"/>
                <w:szCs w:val="1"/>
                <w:color w:val="auto"/>
              </w:rPr>
            </w:pPr>
          </w:p>
        </w:tc>
        <w:tc>
          <w:tcPr>
            <w:tcW w:w="200" w:type="dxa"/>
            <w:vAlign w:val="bottom"/>
            <w:shd w:val="clear" w:color="auto" w:fill="002060"/>
          </w:tcPr>
          <w:p>
            <w:pPr>
              <w:spacing w:after="0" w:line="20" w:lineRule="exact"/>
              <w:rPr>
                <w:sz w:val="1"/>
                <w:szCs w:val="1"/>
                <w:color w:val="auto"/>
              </w:rPr>
            </w:pPr>
          </w:p>
        </w:tc>
        <w:tc>
          <w:tcPr>
            <w:tcW w:w="60" w:type="dxa"/>
            <w:vAlign w:val="bottom"/>
            <w:shd w:val="clear" w:color="auto" w:fill="002060"/>
          </w:tcPr>
          <w:p>
            <w:pPr>
              <w:spacing w:after="0" w:line="20" w:lineRule="exact"/>
              <w:rPr>
                <w:sz w:val="1"/>
                <w:szCs w:val="1"/>
                <w:color w:val="auto"/>
              </w:rPr>
            </w:pPr>
          </w:p>
        </w:tc>
        <w:tc>
          <w:tcPr>
            <w:tcW w:w="1520" w:type="dxa"/>
            <w:vAlign w:val="bottom"/>
            <w:shd w:val="clear" w:color="auto" w:fill="002060"/>
          </w:tcPr>
          <w:p>
            <w:pPr>
              <w:spacing w:after="0" w:line="20" w:lineRule="exact"/>
              <w:rPr>
                <w:sz w:val="1"/>
                <w:szCs w:val="1"/>
                <w:color w:val="auto"/>
              </w:rPr>
            </w:pPr>
          </w:p>
        </w:tc>
        <w:tc>
          <w:tcPr>
            <w:tcW w:w="220" w:type="dxa"/>
            <w:vAlign w:val="bottom"/>
            <w:shd w:val="clear" w:color="auto" w:fill="002060"/>
          </w:tcPr>
          <w:p>
            <w:pPr>
              <w:spacing w:after="0" w:line="20" w:lineRule="exact"/>
              <w:rPr>
                <w:sz w:val="1"/>
                <w:szCs w:val="1"/>
                <w:color w:val="auto"/>
              </w:rPr>
            </w:pPr>
          </w:p>
        </w:tc>
        <w:tc>
          <w:tcPr>
            <w:tcW w:w="60" w:type="dxa"/>
            <w:vAlign w:val="bottom"/>
            <w:shd w:val="clear" w:color="auto" w:fill="002060"/>
          </w:tcPr>
          <w:p>
            <w:pPr>
              <w:spacing w:after="0" w:line="20" w:lineRule="exact"/>
              <w:rPr>
                <w:sz w:val="1"/>
                <w:szCs w:val="1"/>
                <w:color w:val="auto"/>
              </w:rPr>
            </w:pPr>
          </w:p>
        </w:tc>
        <w:tc>
          <w:tcPr>
            <w:tcW w:w="1880" w:type="dxa"/>
            <w:vAlign w:val="bottom"/>
            <w:shd w:val="clear" w:color="auto" w:fill="002060"/>
          </w:tcPr>
          <w:p>
            <w:pPr>
              <w:spacing w:after="0" w:line="20" w:lineRule="exact"/>
              <w:rPr>
                <w:sz w:val="1"/>
                <w:szCs w:val="1"/>
                <w:color w:val="auto"/>
              </w:rPr>
            </w:pPr>
          </w:p>
        </w:tc>
        <w:tc>
          <w:tcPr>
            <w:tcW w:w="780" w:type="dxa"/>
            <w:vAlign w:val="bottom"/>
            <w:shd w:val="clear" w:color="auto" w:fill="002060"/>
          </w:tcPr>
          <w:p>
            <w:pPr>
              <w:spacing w:after="0" w:line="20" w:lineRule="exact"/>
              <w:rPr>
                <w:sz w:val="1"/>
                <w:szCs w:val="1"/>
                <w:color w:val="auto"/>
              </w:rPr>
            </w:pPr>
          </w:p>
        </w:tc>
        <w:tc>
          <w:tcPr>
            <w:tcW w:w="1260" w:type="dxa"/>
            <w:vAlign w:val="bottom"/>
            <w:shd w:val="clear" w:color="auto" w:fill="002060"/>
          </w:tcPr>
          <w:p>
            <w:pPr>
              <w:spacing w:after="0" w:line="20" w:lineRule="exact"/>
              <w:rPr>
                <w:sz w:val="1"/>
                <w:szCs w:val="1"/>
                <w:color w:val="auto"/>
              </w:rPr>
            </w:pPr>
          </w:p>
        </w:tc>
        <w:tc>
          <w:tcPr>
            <w:tcW w:w="60" w:type="dxa"/>
            <w:vAlign w:val="bottom"/>
            <w:shd w:val="clear" w:color="auto" w:fill="002060"/>
          </w:tcPr>
          <w:p>
            <w:pPr>
              <w:spacing w:after="0" w:line="20" w:lineRule="exact"/>
              <w:rPr>
                <w:sz w:val="1"/>
                <w:szCs w:val="1"/>
                <w:color w:val="auto"/>
              </w:rPr>
            </w:pPr>
          </w:p>
        </w:tc>
        <w:tc>
          <w:tcPr>
            <w:tcW w:w="1260" w:type="dxa"/>
            <w:vAlign w:val="bottom"/>
            <w:shd w:val="clear" w:color="auto" w:fill="00206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-847725</wp:posOffset>
            </wp:positionV>
            <wp:extent cx="8890" cy="8312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312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-847725</wp:posOffset>
            </wp:positionV>
            <wp:extent cx="8890" cy="8312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3121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-847725</wp:posOffset>
            </wp:positionV>
            <wp:extent cx="8255" cy="8312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31215"/>
                    </a:xfrm>
                    <a:prstGeom prst="rect">
                      <a:avLst/>
                    </a:prstGeom>
                    <a:noFill/>
                  </pic:spPr>
                </pic:pic>
              </a:graphicData>
            </a:graphic>
          </wp:anchor>
        </w:drawing>
      </w:r>
    </w:p>
    <w:p>
      <w:pPr>
        <w:spacing w:after="0" w:line="56" w:lineRule="exact"/>
        <w:rPr>
          <w:sz w:val="20"/>
          <w:szCs w:val="20"/>
          <w:color w:val="auto"/>
        </w:rPr>
      </w:pPr>
    </w:p>
    <w:p>
      <w:pPr>
        <w:ind w:left="120" w:right="7180" w:firstLine="748"/>
        <w:spacing w:after="0" w:line="500" w:lineRule="auto"/>
        <w:tabs>
          <w:tab w:leader="none" w:pos="11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Base salary effective April 1, 2022 </w:t>
      </w:r>
      <w:r>
        <w:rPr>
          <w:rFonts w:ascii="Arial" w:cs="Arial" w:eastAsia="Arial" w:hAnsi="Arial"/>
          <w:sz w:val="18"/>
          <w:szCs w:val="18"/>
          <w:color w:val="0070C0"/>
        </w:rPr>
        <w:t>2022 Target Compensation Mix</w:t>
      </w:r>
    </w:p>
    <w:p>
      <w:pPr>
        <w:spacing w:after="0" w:line="2" w:lineRule="exact"/>
        <w:rPr>
          <w:sz w:val="20"/>
          <w:szCs w:val="20"/>
          <w:color w:val="auto"/>
        </w:rPr>
      </w:pPr>
    </w:p>
    <w:p>
      <w:pPr>
        <w:jc w:val="both"/>
        <w:ind w:left="120" w:right="640"/>
        <w:spacing w:after="0" w:line="253" w:lineRule="auto"/>
        <w:rPr>
          <w:sz w:val="20"/>
          <w:szCs w:val="20"/>
          <w:color w:val="auto"/>
        </w:rPr>
      </w:pPr>
      <w:r>
        <w:rPr>
          <w:rFonts w:ascii="Arial" w:cs="Arial" w:eastAsia="Arial" w:hAnsi="Arial"/>
          <w:sz w:val="18"/>
          <w:szCs w:val="18"/>
          <w:color w:val="auto"/>
        </w:rPr>
        <w:t>Our executive compensation program for 2022 consisted of three components: base salary, performance-based cash awards and performance-based restricted stock awards. The illustration below reflects the mix of target executive compensation for 2022 and highlights the at-risk portion of total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76200</wp:posOffset>
            </wp:positionV>
            <wp:extent cx="291465" cy="2660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91465" cy="266065"/>
                    </a:xfrm>
                    <a:prstGeom prst="rect">
                      <a:avLst/>
                    </a:prstGeom>
                    <a:noFill/>
                  </pic:spPr>
                </pic:pic>
              </a:graphicData>
            </a:graphic>
          </wp:anchor>
        </w:drawing>
      </w:r>
    </w:p>
    <w:p>
      <w:pPr>
        <w:spacing w:after="0" w:line="194"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Compensation Discussion and Analysis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53</w:t>
      </w:r>
    </w:p>
    <w:p>
      <w:pPr>
        <w:sectPr>
          <w:pgSz w:w="11900" w:h="16838" w:orient="portrait"/>
          <w:cols w:equalWidth="0" w:num="1">
            <w:col w:w="11040"/>
          </w:cols>
          <w:pgMar w:left="320" w:top="482" w:right="5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583680" cy="23742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58368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Key Compensation Practices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6995160" cy="2228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pacing w:after="0" w:line="255" w:lineRule="exact"/>
        <w:rPr>
          <w:sz w:val="20"/>
          <w:szCs w:val="20"/>
          <w:color w:val="auto"/>
        </w:rPr>
      </w:pPr>
    </w:p>
    <w:p>
      <w:pPr>
        <w:jc w:val="right"/>
        <w:ind w:right="1840"/>
        <w:spacing w:after="0" w:line="197" w:lineRule="exact"/>
        <w:tabs>
          <w:tab w:leader="none" w:pos="1600" w:val="left"/>
        </w:tabs>
        <w:rPr>
          <w:sz w:val="20"/>
          <w:szCs w:val="20"/>
          <w:color w:val="auto"/>
        </w:rPr>
      </w:pPr>
      <w:r>
        <w:rPr>
          <w:rFonts w:ascii="MS PGothic" w:cs="MS PGothic" w:eastAsia="MS PGothic" w:hAnsi="MS PGothic"/>
          <w:sz w:val="17"/>
          <w:szCs w:val="17"/>
          <w:color w:val="000000"/>
          <w:highlight w:val="white"/>
        </w:rPr>
        <w:t>✓</w:t>
      </w:r>
      <w:r>
        <w:rPr>
          <w:rFonts w:ascii="Arial" w:cs="Arial" w:eastAsia="Arial" w:hAnsi="Arial"/>
          <w:sz w:val="17"/>
          <w:szCs w:val="17"/>
          <w:b w:val="1"/>
          <w:bCs w:val="1"/>
          <w:color w:val="FFFFFF"/>
        </w:rPr>
        <w:t xml:space="preserve"> What We Do</w:t>
      </w:r>
      <w:r>
        <w:rPr>
          <w:sz w:val="20"/>
          <w:szCs w:val="20"/>
          <w:color w:val="auto"/>
        </w:rPr>
        <w:tab/>
      </w:r>
      <w:r>
        <w:rPr>
          <w:rFonts w:ascii="Times New Roman" w:cs="Times New Roman" w:eastAsia="Times New Roman" w:hAnsi="Times New Roman"/>
          <w:sz w:val="17"/>
          <w:szCs w:val="17"/>
          <w:b w:val="1"/>
          <w:bCs w:val="1"/>
          <w:i w:val="1"/>
          <w:iCs w:val="1"/>
          <w:color w:val="FFFFFF"/>
        </w:rPr>
        <w:t xml:space="preserve">× </w:t>
      </w:r>
      <w:r>
        <w:rPr>
          <w:rFonts w:ascii="Arial" w:cs="Arial" w:eastAsia="Arial" w:hAnsi="Arial"/>
          <w:sz w:val="17"/>
          <w:szCs w:val="17"/>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33775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337756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69" w:lineRule="exact"/>
        <w:rPr>
          <w:sz w:val="20"/>
          <w:szCs w:val="20"/>
          <w:color w:val="auto"/>
        </w:rPr>
      </w:pPr>
    </w:p>
    <w:p>
      <w:pPr>
        <w:ind w:left="160"/>
        <w:spacing w:after="0" w:line="249" w:lineRule="auto"/>
        <w:rPr>
          <w:sz w:val="20"/>
          <w:szCs w:val="20"/>
          <w:color w:val="auto"/>
        </w:rPr>
      </w:pPr>
      <w:r>
        <w:rPr>
          <w:rFonts w:ascii="Arial" w:cs="Arial" w:eastAsia="Arial" w:hAnsi="Arial"/>
          <w:sz w:val="17"/>
          <w:szCs w:val="17"/>
          <w:b w:val="1"/>
          <w:bCs w:val="1"/>
          <w:color w:val="FFFFFF"/>
        </w:rPr>
        <w:t xml:space="preserve">Pay for Performance </w:t>
      </w:r>
      <w:r>
        <w:rPr>
          <w:rFonts w:ascii="Arial" w:cs="Arial" w:eastAsia="Arial" w:hAnsi="Arial"/>
          <w:sz w:val="17"/>
          <w:szCs w:val="17"/>
          <w:color w:val="FFFFFF"/>
        </w:rPr>
        <w:t>– A substantial percentage of executive</w:t>
      </w:r>
      <w:r>
        <w:rPr>
          <w:rFonts w:ascii="Arial" w:cs="Arial" w:eastAsia="Arial" w:hAnsi="Arial"/>
          <w:sz w:val="17"/>
          <w:szCs w:val="17"/>
          <w:b w:val="1"/>
          <w:bCs w:val="1"/>
          <w:color w:val="FFFFFF"/>
        </w:rPr>
        <w:t xml:space="preserve"> </w:t>
      </w:r>
      <w:r>
        <w:rPr>
          <w:rFonts w:ascii="Arial" w:cs="Arial" w:eastAsia="Arial" w:hAnsi="Arial"/>
          <w:sz w:val="17"/>
          <w:szCs w:val="17"/>
          <w:color w:val="FFFFFF"/>
        </w:rPr>
        <w:t>compensation is based on achievement of objective pre-established performance metrics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640"/>
        <w:spacing w:after="0" w:line="267" w:lineRule="auto"/>
        <w:rPr>
          <w:sz w:val="20"/>
          <w:szCs w:val="20"/>
          <w:color w:val="auto"/>
        </w:rPr>
      </w:pPr>
      <w:r>
        <w:rPr>
          <w:rFonts w:ascii="Arial" w:cs="Arial" w:eastAsia="Arial" w:hAnsi="Arial"/>
          <w:sz w:val="17"/>
          <w:szCs w:val="17"/>
          <w:b w:val="1"/>
          <w:bCs w:val="1"/>
          <w:color w:val="auto"/>
        </w:rPr>
        <w:t xml:space="preserve">No Tax Gross-Ups </w:t>
      </w:r>
      <w:r>
        <w:rPr>
          <w:rFonts w:ascii="Arial" w:cs="Arial" w:eastAsia="Arial" w:hAnsi="Arial"/>
          <w:sz w:val="17"/>
          <w:szCs w:val="17"/>
          <w:color w:val="auto"/>
        </w:rPr>
        <w:t>– We do not provide for tax gross-ups for</w:t>
      </w:r>
      <w:r>
        <w:rPr>
          <w:rFonts w:ascii="Arial" w:cs="Arial" w:eastAsia="Arial" w:hAnsi="Arial"/>
          <w:sz w:val="17"/>
          <w:szCs w:val="17"/>
          <w:b w:val="1"/>
          <w:bCs w:val="1"/>
          <w:color w:val="auto"/>
        </w:rPr>
        <w:t xml:space="preserve"> </w:t>
      </w:r>
      <w:r>
        <w:rPr>
          <w:rFonts w:ascii="Arial" w:cs="Arial" w:eastAsia="Arial" w:hAnsi="Arial"/>
          <w:sz w:val="17"/>
          <w:szCs w:val="17"/>
          <w:color w:val="auto"/>
        </w:rPr>
        <w:t>perquisites or for excise taxes on golden parachute payments</w:t>
      </w:r>
    </w:p>
    <w:p>
      <w:pPr>
        <w:spacing w:after="0" w:line="260" w:lineRule="exact"/>
        <w:rPr>
          <w:sz w:val="20"/>
          <w:szCs w:val="20"/>
          <w:color w:val="auto"/>
        </w:rPr>
      </w:pPr>
    </w:p>
    <w:p>
      <w:pPr>
        <w:sectPr>
          <w:pgSz w:w="11900" w:h="16838" w:orient="portrait"/>
          <w:cols w:equalWidth="0" w:num="2">
            <w:col w:w="5280" w:space="580"/>
            <w:col w:w="5280"/>
          </w:cols>
          <w:pgMar w:left="320" w:top="482" w:right="439" w:bottom="1440" w:gutter="0" w:footer="0" w:header="0"/>
          <w:type w:val="continuous"/>
        </w:sectPr>
      </w:pPr>
    </w:p>
    <w:tbl>
      <w:tblPr>
        <w:tblLayout w:type="fixed"/>
        <w:tblInd w:w="160" w:type="dxa"/>
        <w:tblCellMar>
          <w:top w:w="0" w:type="dxa"/>
          <w:left w:w="0" w:type="dxa"/>
          <w:bottom w:w="0" w:type="dxa"/>
          <w:right w:w="0" w:type="dxa"/>
        </w:tblCellMar>
      </w:tblPr>
      <w:tr>
        <w:trPr>
          <w:trHeight w:val="195"/>
        </w:trPr>
        <w:tc>
          <w:tcPr>
            <w:tcW w:w="5560" w:type="dxa"/>
            <w:vAlign w:val="bottom"/>
          </w:tcPr>
          <w:p>
            <w:pPr>
              <w:spacing w:after="0"/>
              <w:rPr>
                <w:sz w:val="20"/>
                <w:szCs w:val="20"/>
                <w:color w:val="auto"/>
              </w:rPr>
            </w:pPr>
            <w:r>
              <w:rPr>
                <w:rFonts w:ascii="Arial" w:cs="Arial" w:eastAsia="Arial" w:hAnsi="Arial"/>
                <w:sz w:val="17"/>
                <w:szCs w:val="17"/>
                <w:b w:val="1"/>
                <w:bCs w:val="1"/>
                <w:color w:val="FFFFFF"/>
              </w:rPr>
              <w:t xml:space="preserve">Balanced Compensation Mix </w:t>
            </w:r>
            <w:r>
              <w:rPr>
                <w:rFonts w:ascii="Arial" w:cs="Arial" w:eastAsia="Arial" w:hAnsi="Arial"/>
                <w:sz w:val="17"/>
                <w:szCs w:val="17"/>
                <w:color w:val="FFFFFF"/>
              </w:rPr>
              <w:t>– NEOs receive a mix of salary and</w:t>
            </w:r>
          </w:p>
        </w:tc>
        <w:tc>
          <w:tcPr>
            <w:tcW w:w="5360" w:type="dxa"/>
            <w:vAlign w:val="bottom"/>
          </w:tcPr>
          <w:p>
            <w:pPr>
              <w:ind w:left="140"/>
              <w:spacing w:after="0"/>
              <w:rPr>
                <w:sz w:val="20"/>
                <w:szCs w:val="20"/>
                <w:color w:val="auto"/>
              </w:rPr>
            </w:pPr>
            <w:r>
              <w:rPr>
                <w:rFonts w:ascii="Arial" w:cs="Arial" w:eastAsia="Arial" w:hAnsi="Arial"/>
                <w:sz w:val="17"/>
                <w:szCs w:val="17"/>
                <w:b w:val="1"/>
                <w:bCs w:val="1"/>
                <w:color w:val="auto"/>
              </w:rPr>
              <w:t xml:space="preserve">No Pension Plans </w:t>
            </w:r>
            <w:r>
              <w:rPr>
                <w:rFonts w:ascii="Arial" w:cs="Arial" w:eastAsia="Arial" w:hAnsi="Arial"/>
                <w:sz w:val="17"/>
                <w:szCs w:val="17"/>
                <w:color w:val="auto"/>
              </w:rPr>
              <w:t>– We do not have pension plans or retirement</w:t>
            </w:r>
          </w:p>
        </w:tc>
      </w:tr>
      <w:tr>
        <w:trPr>
          <w:trHeight w:val="225"/>
        </w:trPr>
        <w:tc>
          <w:tcPr>
            <w:tcW w:w="5560" w:type="dxa"/>
            <w:vAlign w:val="bottom"/>
          </w:tcPr>
          <w:p>
            <w:pPr>
              <w:spacing w:after="0"/>
              <w:rPr>
                <w:sz w:val="20"/>
                <w:szCs w:val="20"/>
                <w:color w:val="auto"/>
              </w:rPr>
            </w:pPr>
            <w:r>
              <w:rPr>
                <w:rFonts w:ascii="Arial" w:cs="Arial" w:eastAsia="Arial" w:hAnsi="Arial"/>
                <w:sz w:val="17"/>
                <w:szCs w:val="17"/>
                <w:color w:val="FFFFFF"/>
              </w:rPr>
              <w:t>performance-based cash bonuses and restricted stock awards</w:t>
            </w:r>
          </w:p>
        </w:tc>
        <w:tc>
          <w:tcPr>
            <w:tcW w:w="5360" w:type="dxa"/>
            <w:vAlign w:val="bottom"/>
          </w:tcPr>
          <w:p>
            <w:pPr>
              <w:ind w:left="140"/>
              <w:spacing w:after="0"/>
              <w:rPr>
                <w:sz w:val="20"/>
                <w:szCs w:val="20"/>
                <w:color w:val="auto"/>
              </w:rPr>
            </w:pPr>
            <w:r>
              <w:rPr>
                <w:rFonts w:ascii="Arial" w:cs="Arial" w:eastAsia="Arial" w:hAnsi="Arial"/>
                <w:sz w:val="17"/>
                <w:szCs w:val="17"/>
                <w:color w:val="auto"/>
              </w:rPr>
              <w:t>benefits for executives that are unavailable to other employees</w:t>
            </w:r>
          </w:p>
        </w:tc>
      </w:tr>
      <w:tr>
        <w:trPr>
          <w:trHeight w:val="288"/>
        </w:trPr>
        <w:tc>
          <w:tcPr>
            <w:tcW w:w="5560" w:type="dxa"/>
            <w:vAlign w:val="bottom"/>
          </w:tcPr>
          <w:p>
            <w:pPr>
              <w:spacing w:after="0"/>
              <w:rPr>
                <w:sz w:val="20"/>
                <w:szCs w:val="20"/>
                <w:color w:val="auto"/>
              </w:rPr>
            </w:pPr>
            <w:r>
              <w:rPr>
                <w:rFonts w:ascii="Arial" w:cs="Arial" w:eastAsia="Arial" w:hAnsi="Arial"/>
                <w:sz w:val="17"/>
                <w:szCs w:val="17"/>
                <w:b w:val="1"/>
                <w:bCs w:val="1"/>
                <w:color w:val="FFFFFF"/>
              </w:rPr>
              <w:t xml:space="preserve">Multi-year Vesting of Equity Awards </w:t>
            </w:r>
            <w:r>
              <w:rPr>
                <w:rFonts w:ascii="Arial" w:cs="Arial" w:eastAsia="Arial" w:hAnsi="Arial"/>
                <w:sz w:val="17"/>
                <w:szCs w:val="17"/>
                <w:color w:val="FFFFFF"/>
              </w:rPr>
              <w:t>– Earned restricted stock vests</w:t>
            </w:r>
          </w:p>
        </w:tc>
        <w:tc>
          <w:tcPr>
            <w:tcW w:w="5360" w:type="dxa"/>
            <w:vAlign w:val="bottom"/>
          </w:tcPr>
          <w:p>
            <w:pPr>
              <w:ind w:left="140"/>
              <w:spacing w:after="0"/>
              <w:rPr>
                <w:sz w:val="20"/>
                <w:szCs w:val="20"/>
                <w:color w:val="auto"/>
              </w:rPr>
            </w:pPr>
            <w:r>
              <w:rPr>
                <w:rFonts w:ascii="Arial" w:cs="Arial" w:eastAsia="Arial" w:hAnsi="Arial"/>
                <w:sz w:val="17"/>
                <w:szCs w:val="17"/>
                <w:b w:val="1"/>
                <w:bCs w:val="1"/>
                <w:color w:val="auto"/>
                <w:w w:val="99"/>
              </w:rPr>
              <w:t xml:space="preserve">No Hedging – </w:t>
            </w:r>
            <w:r>
              <w:rPr>
                <w:rFonts w:ascii="Arial" w:cs="Arial" w:eastAsia="Arial" w:hAnsi="Arial"/>
                <w:sz w:val="17"/>
                <w:szCs w:val="17"/>
                <w:color w:val="auto"/>
                <w:w w:val="99"/>
              </w:rPr>
              <w:t>Our Insider Trading Policy prohibits hedging and other</w:t>
            </w:r>
          </w:p>
        </w:tc>
      </w:tr>
      <w:tr>
        <w:trPr>
          <w:trHeight w:val="189"/>
        </w:trPr>
        <w:tc>
          <w:tcPr>
            <w:tcW w:w="5560" w:type="dxa"/>
            <w:vAlign w:val="bottom"/>
          </w:tcPr>
          <w:p>
            <w:pPr>
              <w:spacing w:after="0" w:line="189" w:lineRule="exact"/>
              <w:rPr>
                <w:sz w:val="20"/>
                <w:szCs w:val="20"/>
                <w:color w:val="auto"/>
              </w:rPr>
            </w:pPr>
            <w:r>
              <w:rPr>
                <w:rFonts w:ascii="Arial" w:cs="Arial" w:eastAsia="Arial" w:hAnsi="Arial"/>
                <w:sz w:val="17"/>
                <w:szCs w:val="17"/>
                <w:color w:val="FFFFFF"/>
              </w:rPr>
              <w:t>over two years after achievement of the performance target, promoting</w:t>
            </w:r>
          </w:p>
        </w:tc>
        <w:tc>
          <w:tcPr>
            <w:tcW w:w="5360" w:type="dxa"/>
            <w:vAlign w:val="bottom"/>
          </w:tcPr>
          <w:p>
            <w:pPr>
              <w:ind w:left="140"/>
              <w:spacing w:after="0" w:line="189" w:lineRule="exact"/>
              <w:rPr>
                <w:sz w:val="20"/>
                <w:szCs w:val="20"/>
                <w:color w:val="auto"/>
              </w:rPr>
            </w:pPr>
            <w:r>
              <w:rPr>
                <w:rFonts w:ascii="Arial" w:cs="Arial" w:eastAsia="Arial" w:hAnsi="Arial"/>
                <w:sz w:val="17"/>
                <w:szCs w:val="17"/>
                <w:color w:val="auto"/>
              </w:rPr>
              <w:t>monetization transactions involving Company securities</w:t>
            </w:r>
          </w:p>
        </w:tc>
      </w:tr>
      <w:tr>
        <w:trPr>
          <w:trHeight w:val="225"/>
        </w:trPr>
        <w:tc>
          <w:tcPr>
            <w:tcW w:w="5560" w:type="dxa"/>
            <w:vAlign w:val="bottom"/>
          </w:tcPr>
          <w:p>
            <w:pPr>
              <w:spacing w:after="0"/>
              <w:rPr>
                <w:sz w:val="20"/>
                <w:szCs w:val="20"/>
                <w:color w:val="auto"/>
              </w:rPr>
            </w:pPr>
            <w:r>
              <w:rPr>
                <w:rFonts w:ascii="Arial" w:cs="Arial" w:eastAsia="Arial" w:hAnsi="Arial"/>
                <w:sz w:val="17"/>
                <w:szCs w:val="17"/>
                <w:color w:val="FFFFFF"/>
              </w:rPr>
              <w:t>retention and enforcing a culture of long-term success</w:t>
            </w:r>
          </w:p>
        </w:tc>
        <w:tc>
          <w:tcPr>
            <w:tcW w:w="5360" w:type="dxa"/>
            <w:vAlign w:val="bottom"/>
          </w:tcPr>
          <w:p>
            <w:pPr>
              <w:spacing w:after="0"/>
              <w:rPr>
                <w:sz w:val="19"/>
                <w:szCs w:val="19"/>
                <w:color w:val="auto"/>
              </w:rPr>
            </w:pPr>
          </w:p>
        </w:tc>
      </w:tr>
      <w:tr>
        <w:trPr>
          <w:trHeight w:val="288"/>
        </w:trPr>
        <w:tc>
          <w:tcPr>
            <w:tcW w:w="5560" w:type="dxa"/>
            <w:vAlign w:val="bottom"/>
          </w:tcPr>
          <w:p>
            <w:pPr>
              <w:spacing w:after="0"/>
              <w:rPr>
                <w:sz w:val="20"/>
                <w:szCs w:val="20"/>
                <w:color w:val="auto"/>
              </w:rPr>
            </w:pPr>
            <w:r>
              <w:rPr>
                <w:rFonts w:ascii="Arial" w:cs="Arial" w:eastAsia="Arial" w:hAnsi="Arial"/>
                <w:sz w:val="17"/>
                <w:szCs w:val="17"/>
                <w:b w:val="1"/>
                <w:bCs w:val="1"/>
                <w:color w:val="FFFFFF"/>
              </w:rPr>
              <w:t xml:space="preserve">Limited Perquisites – </w:t>
            </w:r>
            <w:r>
              <w:rPr>
                <w:rFonts w:ascii="Arial" w:cs="Arial" w:eastAsia="Arial" w:hAnsi="Arial"/>
                <w:sz w:val="17"/>
                <w:szCs w:val="17"/>
                <w:color w:val="FFFFFF"/>
              </w:rPr>
              <w:t>NEOs receive minimal perquisites that are</w:t>
            </w:r>
          </w:p>
        </w:tc>
        <w:tc>
          <w:tcPr>
            <w:tcW w:w="5360" w:type="dxa"/>
            <w:vAlign w:val="bottom"/>
          </w:tcPr>
          <w:p>
            <w:pPr>
              <w:ind w:left="140"/>
              <w:spacing w:after="0"/>
              <w:rPr>
                <w:sz w:val="20"/>
                <w:szCs w:val="20"/>
                <w:color w:val="auto"/>
              </w:rPr>
            </w:pPr>
            <w:r>
              <w:rPr>
                <w:rFonts w:ascii="Arial" w:cs="Arial" w:eastAsia="Arial" w:hAnsi="Arial"/>
                <w:sz w:val="17"/>
                <w:szCs w:val="17"/>
                <w:b w:val="1"/>
                <w:bCs w:val="1"/>
                <w:color w:val="auto"/>
              </w:rPr>
              <w:t xml:space="preserve">No Short Sales </w:t>
            </w:r>
            <w:r>
              <w:rPr>
                <w:rFonts w:ascii="Arial" w:cs="Arial" w:eastAsia="Arial" w:hAnsi="Arial"/>
                <w:sz w:val="17"/>
                <w:szCs w:val="17"/>
                <w:color w:val="auto"/>
              </w:rPr>
              <w:t>– We do not permit short sales or other speculative</w:t>
            </w:r>
          </w:p>
        </w:tc>
      </w:tr>
      <w:tr>
        <w:trPr>
          <w:trHeight w:val="225"/>
        </w:trPr>
        <w:tc>
          <w:tcPr>
            <w:tcW w:w="5560" w:type="dxa"/>
            <w:vAlign w:val="bottom"/>
          </w:tcPr>
          <w:p>
            <w:pPr>
              <w:spacing w:after="0"/>
              <w:rPr>
                <w:sz w:val="20"/>
                <w:szCs w:val="20"/>
                <w:color w:val="auto"/>
              </w:rPr>
            </w:pPr>
            <w:r>
              <w:rPr>
                <w:rFonts w:ascii="Arial" w:cs="Arial" w:eastAsia="Arial" w:hAnsi="Arial"/>
                <w:sz w:val="17"/>
                <w:szCs w:val="17"/>
                <w:color w:val="FFFFFF"/>
              </w:rPr>
              <w:t>unavailable to salaried employees</w:t>
            </w:r>
          </w:p>
        </w:tc>
        <w:tc>
          <w:tcPr>
            <w:tcW w:w="5360" w:type="dxa"/>
            <w:vAlign w:val="bottom"/>
          </w:tcPr>
          <w:p>
            <w:pPr>
              <w:ind w:left="140"/>
              <w:spacing w:after="0"/>
              <w:rPr>
                <w:sz w:val="20"/>
                <w:szCs w:val="20"/>
                <w:color w:val="auto"/>
              </w:rPr>
            </w:pPr>
            <w:r>
              <w:rPr>
                <w:rFonts w:ascii="Arial" w:cs="Arial" w:eastAsia="Arial" w:hAnsi="Arial"/>
                <w:sz w:val="17"/>
                <w:szCs w:val="17"/>
                <w:color w:val="auto"/>
              </w:rPr>
              <w:t>transactions in Company securities</w:t>
            </w:r>
          </w:p>
        </w:tc>
      </w:tr>
      <w:tr>
        <w:trPr>
          <w:trHeight w:val="288"/>
        </w:trPr>
        <w:tc>
          <w:tcPr>
            <w:tcW w:w="5560" w:type="dxa"/>
            <w:vAlign w:val="bottom"/>
          </w:tcPr>
          <w:p>
            <w:pPr>
              <w:spacing w:after="0"/>
              <w:rPr>
                <w:sz w:val="20"/>
                <w:szCs w:val="20"/>
                <w:color w:val="auto"/>
              </w:rPr>
            </w:pPr>
            <w:r>
              <w:rPr>
                <w:rFonts w:ascii="Arial" w:cs="Arial" w:eastAsia="Arial" w:hAnsi="Arial"/>
                <w:sz w:val="17"/>
                <w:szCs w:val="17"/>
                <w:b w:val="1"/>
                <w:bCs w:val="1"/>
                <w:color w:val="FFFFFF"/>
              </w:rPr>
              <w:t xml:space="preserve">Competitive Pay – </w:t>
            </w:r>
            <w:r>
              <w:rPr>
                <w:rFonts w:ascii="Arial" w:cs="Arial" w:eastAsia="Arial" w:hAnsi="Arial"/>
                <w:sz w:val="17"/>
                <w:szCs w:val="17"/>
                <w:color w:val="FFFFFF"/>
              </w:rPr>
              <w:t>An independent consultant provides market data to</w:t>
            </w:r>
          </w:p>
        </w:tc>
        <w:tc>
          <w:tcPr>
            <w:tcW w:w="5360" w:type="dxa"/>
            <w:vAlign w:val="bottom"/>
          </w:tcPr>
          <w:p>
            <w:pPr>
              <w:ind w:left="140"/>
              <w:spacing w:after="0"/>
              <w:rPr>
                <w:sz w:val="20"/>
                <w:szCs w:val="20"/>
                <w:color w:val="auto"/>
              </w:rPr>
            </w:pPr>
            <w:r>
              <w:rPr>
                <w:rFonts w:ascii="Arial" w:cs="Arial" w:eastAsia="Arial" w:hAnsi="Arial"/>
                <w:sz w:val="17"/>
                <w:szCs w:val="17"/>
                <w:b w:val="1"/>
                <w:bCs w:val="1"/>
                <w:color w:val="auto"/>
              </w:rPr>
              <w:t xml:space="preserve">No Option Repricing </w:t>
            </w:r>
            <w:r>
              <w:rPr>
                <w:rFonts w:ascii="Arial" w:cs="Arial" w:eastAsia="Arial" w:hAnsi="Arial"/>
                <w:sz w:val="17"/>
                <w:szCs w:val="17"/>
                <w:color w:val="auto"/>
              </w:rPr>
              <w:t>– Our Omnibus Incentive Plan prohibits</w:t>
            </w:r>
          </w:p>
        </w:tc>
      </w:tr>
      <w:tr>
        <w:trPr>
          <w:trHeight w:val="189"/>
        </w:trPr>
        <w:tc>
          <w:tcPr>
            <w:tcW w:w="5560" w:type="dxa"/>
            <w:vAlign w:val="bottom"/>
          </w:tcPr>
          <w:p>
            <w:pPr>
              <w:spacing w:after="0" w:line="189" w:lineRule="exact"/>
              <w:rPr>
                <w:sz w:val="20"/>
                <w:szCs w:val="20"/>
                <w:color w:val="auto"/>
              </w:rPr>
            </w:pPr>
            <w:r>
              <w:rPr>
                <w:rFonts w:ascii="Arial" w:cs="Arial" w:eastAsia="Arial" w:hAnsi="Arial"/>
                <w:sz w:val="17"/>
                <w:szCs w:val="17"/>
                <w:color w:val="FFFFFF"/>
              </w:rPr>
              <w:t>assess program competitiveness and compensation is targeted near the</w:t>
            </w:r>
          </w:p>
        </w:tc>
        <w:tc>
          <w:tcPr>
            <w:tcW w:w="5360" w:type="dxa"/>
            <w:vAlign w:val="bottom"/>
          </w:tcPr>
          <w:p>
            <w:pPr>
              <w:ind w:left="140"/>
              <w:spacing w:after="0" w:line="189" w:lineRule="exact"/>
              <w:rPr>
                <w:sz w:val="20"/>
                <w:szCs w:val="20"/>
                <w:color w:val="auto"/>
              </w:rPr>
            </w:pPr>
            <w:r>
              <w:rPr>
                <w:rFonts w:ascii="Arial" w:cs="Arial" w:eastAsia="Arial" w:hAnsi="Arial"/>
                <w:sz w:val="17"/>
                <w:szCs w:val="17"/>
                <w:color w:val="auto"/>
              </w:rPr>
              <w:t>repricing underwater stock options without stockholder approval</w:t>
            </w:r>
          </w:p>
        </w:tc>
      </w:tr>
      <w:tr>
        <w:trPr>
          <w:trHeight w:val="225"/>
        </w:trPr>
        <w:tc>
          <w:tcPr>
            <w:tcW w:w="5560" w:type="dxa"/>
            <w:vAlign w:val="bottom"/>
          </w:tcPr>
          <w:p>
            <w:pPr>
              <w:spacing w:after="0"/>
              <w:rPr>
                <w:sz w:val="20"/>
                <w:szCs w:val="20"/>
                <w:color w:val="auto"/>
              </w:rPr>
            </w:pPr>
            <w:r>
              <w:rPr>
                <w:rFonts w:ascii="Arial" w:cs="Arial" w:eastAsia="Arial" w:hAnsi="Arial"/>
                <w:sz w:val="17"/>
                <w:szCs w:val="17"/>
                <w:color w:val="FFFFFF"/>
              </w:rPr>
              <w:t>median of the peer group</w:t>
            </w:r>
          </w:p>
        </w:tc>
        <w:tc>
          <w:tcPr>
            <w:tcW w:w="5360" w:type="dxa"/>
            <w:vAlign w:val="bottom"/>
          </w:tcPr>
          <w:p>
            <w:pPr>
              <w:spacing w:after="0"/>
              <w:rPr>
                <w:sz w:val="19"/>
                <w:szCs w:val="19"/>
                <w:color w:val="auto"/>
              </w:rPr>
            </w:pPr>
          </w:p>
        </w:tc>
      </w:tr>
    </w:tbl>
    <w:p>
      <w:pPr>
        <w:spacing w:after="0" w:line="99" w:lineRule="exact"/>
        <w:rPr>
          <w:sz w:val="20"/>
          <w:szCs w:val="20"/>
          <w:color w:val="auto"/>
        </w:rPr>
      </w:pPr>
    </w:p>
    <w:p>
      <w:pPr>
        <w:sectPr>
          <w:pgSz w:w="11900" w:h="16838" w:orient="portrait"/>
          <w:cols w:equalWidth="0" w:num="1">
            <w:col w:w="11140"/>
          </w:cols>
          <w:pgMar w:left="320" w:top="482" w:right="439" w:bottom="1440" w:gutter="0" w:footer="0" w:header="0"/>
          <w:type w:val="continuous"/>
        </w:sectPr>
      </w:pPr>
    </w:p>
    <w:p>
      <w:pPr>
        <w:ind w:left="160"/>
        <w:spacing w:after="0" w:line="267" w:lineRule="auto"/>
        <w:rPr>
          <w:sz w:val="20"/>
          <w:szCs w:val="20"/>
          <w:color w:val="auto"/>
        </w:rPr>
      </w:pPr>
      <w:r>
        <w:rPr>
          <w:rFonts w:ascii="Arial" w:cs="Arial" w:eastAsia="Arial" w:hAnsi="Arial"/>
          <w:sz w:val="17"/>
          <w:szCs w:val="17"/>
          <w:b w:val="1"/>
          <w:bCs w:val="1"/>
          <w:color w:val="FFFFFF"/>
        </w:rPr>
        <w:t xml:space="preserve">Robust Clawback Policy – </w:t>
      </w:r>
      <w:r>
        <w:rPr>
          <w:rFonts w:ascii="Arial" w:cs="Arial" w:eastAsia="Arial" w:hAnsi="Arial"/>
          <w:sz w:val="17"/>
          <w:szCs w:val="17"/>
          <w:color w:val="FFFFFF"/>
        </w:rPr>
        <w:t>Our clawback policy allows recovery of</w:t>
      </w:r>
      <w:r>
        <w:rPr>
          <w:rFonts w:ascii="Arial" w:cs="Arial" w:eastAsia="Arial" w:hAnsi="Arial"/>
          <w:sz w:val="17"/>
          <w:szCs w:val="17"/>
          <w:b w:val="1"/>
          <w:bCs w:val="1"/>
          <w:color w:val="FFFFFF"/>
        </w:rPr>
        <w:t xml:space="preserve"> </w:t>
      </w:r>
      <w:r>
        <w:rPr>
          <w:rFonts w:ascii="Arial" w:cs="Arial" w:eastAsia="Arial" w:hAnsi="Arial"/>
          <w:sz w:val="17"/>
          <w:szCs w:val="17"/>
          <w:color w:val="FFFFFF"/>
        </w:rPr>
        <w:t>incentive and other compensation under specified circumstances</w:t>
      </w:r>
    </w:p>
    <w:p>
      <w:pPr>
        <w:spacing w:after="0" w:line="20" w:lineRule="exact"/>
        <w:rPr>
          <w:sz w:val="20"/>
          <w:szCs w:val="20"/>
          <w:color w:val="auto"/>
        </w:rPr>
      </w:pPr>
      <w:r>
        <w:rPr>
          <w:sz w:val="20"/>
          <w:szCs w:val="20"/>
          <w:color w:val="auto"/>
        </w:rPr>
        <w:br w:type="column"/>
      </w:r>
    </w:p>
    <w:p>
      <w:pPr>
        <w:ind w:right="180"/>
        <w:spacing w:after="0" w:line="249" w:lineRule="auto"/>
        <w:rPr>
          <w:sz w:val="20"/>
          <w:szCs w:val="20"/>
          <w:color w:val="auto"/>
        </w:rPr>
      </w:pPr>
      <w:r>
        <w:rPr>
          <w:rFonts w:ascii="Arial" w:cs="Arial" w:eastAsia="Arial" w:hAnsi="Arial"/>
          <w:sz w:val="17"/>
          <w:szCs w:val="17"/>
          <w:b w:val="1"/>
          <w:bCs w:val="1"/>
          <w:color w:val="auto"/>
        </w:rPr>
        <w:t>No Single Trigger on a Change in Control</w:t>
      </w:r>
      <w:r>
        <w:rPr>
          <w:rFonts w:ascii="Arial" w:cs="Arial" w:eastAsia="Arial" w:hAnsi="Arial"/>
          <w:sz w:val="17"/>
          <w:szCs w:val="17"/>
          <w:color w:val="auto"/>
        </w:rPr>
        <w:t>– We do not</w:t>
      </w:r>
      <w:r>
        <w:rPr>
          <w:rFonts w:ascii="Arial" w:cs="Arial" w:eastAsia="Arial" w:hAnsi="Arial"/>
          <w:sz w:val="17"/>
          <w:szCs w:val="17"/>
          <w:b w:val="1"/>
          <w:bCs w:val="1"/>
          <w:color w:val="auto"/>
        </w:rPr>
        <w:t xml:space="preserve"> </w:t>
      </w:r>
      <w:r>
        <w:rPr>
          <w:rFonts w:ascii="Arial" w:cs="Arial" w:eastAsia="Arial" w:hAnsi="Arial"/>
          <w:sz w:val="17"/>
          <w:szCs w:val="17"/>
          <w:color w:val="auto"/>
        </w:rPr>
        <w:t>automatically accelerate vesting of incentive awards upon a change in control without a qualifying loss of employment</w:t>
      </w:r>
    </w:p>
    <w:p>
      <w:pPr>
        <w:spacing w:after="0" w:line="94" w:lineRule="exact"/>
        <w:rPr>
          <w:sz w:val="20"/>
          <w:szCs w:val="20"/>
          <w:color w:val="auto"/>
        </w:rPr>
      </w:pPr>
    </w:p>
    <w:p>
      <w:pPr>
        <w:sectPr>
          <w:pgSz w:w="11900" w:h="16838" w:orient="portrait"/>
          <w:cols w:equalWidth="0" w:num="2">
            <w:col w:w="5260" w:space="600"/>
            <w:col w:w="5280"/>
          </w:cols>
          <w:pgMar w:left="320" w:top="482" w:right="439" w:bottom="1440" w:gutter="0" w:footer="0" w:header="0"/>
          <w:type w:val="continuous"/>
        </w:sectPr>
      </w:pPr>
    </w:p>
    <w:p>
      <w:pPr>
        <w:ind w:left="160"/>
        <w:spacing w:after="0" w:line="267" w:lineRule="auto"/>
        <w:rPr>
          <w:sz w:val="20"/>
          <w:szCs w:val="20"/>
          <w:color w:val="auto"/>
        </w:rPr>
      </w:pPr>
      <w:r>
        <w:rPr>
          <w:rFonts w:ascii="Arial" w:cs="Arial" w:eastAsia="Arial" w:hAnsi="Arial"/>
          <w:sz w:val="17"/>
          <w:szCs w:val="17"/>
          <w:b w:val="1"/>
          <w:bCs w:val="1"/>
          <w:color w:val="FFFFFF"/>
        </w:rPr>
        <w:t xml:space="preserve">Stock Ownership Requirements – </w:t>
      </w:r>
      <w:r>
        <w:rPr>
          <w:rFonts w:ascii="Arial" w:cs="Arial" w:eastAsia="Arial" w:hAnsi="Arial"/>
          <w:sz w:val="17"/>
          <w:szCs w:val="17"/>
          <w:color w:val="FFFFFF"/>
        </w:rPr>
        <w:t>NEOs are required to hold Company</w:t>
      </w:r>
      <w:r>
        <w:rPr>
          <w:rFonts w:ascii="Arial" w:cs="Arial" w:eastAsia="Arial" w:hAnsi="Arial"/>
          <w:sz w:val="17"/>
          <w:szCs w:val="17"/>
          <w:b w:val="1"/>
          <w:bCs w:val="1"/>
          <w:color w:val="FFFFFF"/>
        </w:rPr>
        <w:t xml:space="preserve"> </w:t>
      </w:r>
      <w:r>
        <w:rPr>
          <w:rFonts w:ascii="Arial" w:cs="Arial" w:eastAsia="Arial" w:hAnsi="Arial"/>
          <w:sz w:val="17"/>
          <w:szCs w:val="17"/>
          <w:color w:val="FFFFFF"/>
        </w:rPr>
        <w:t>stock in multiples of base salary, aligning their interests with stockholders</w:t>
      </w:r>
    </w:p>
    <w:p>
      <w:pPr>
        <w:spacing w:after="0" w:line="20" w:lineRule="exact"/>
        <w:rPr>
          <w:sz w:val="20"/>
          <w:szCs w:val="20"/>
          <w:color w:val="auto"/>
        </w:rPr>
      </w:pPr>
      <w:r>
        <w:rPr>
          <w:sz w:val="20"/>
          <w:szCs w:val="20"/>
          <w:color w:val="auto"/>
        </w:rPr>
        <w:br w:type="column"/>
      </w:r>
    </w:p>
    <w:p>
      <w:pPr>
        <w:ind w:right="440"/>
        <w:spacing w:after="0" w:line="249" w:lineRule="auto"/>
        <w:rPr>
          <w:sz w:val="20"/>
          <w:szCs w:val="20"/>
          <w:color w:val="auto"/>
        </w:rPr>
      </w:pPr>
      <w:r>
        <w:rPr>
          <w:rFonts w:ascii="Arial" w:cs="Arial" w:eastAsia="Arial" w:hAnsi="Arial"/>
          <w:sz w:val="17"/>
          <w:szCs w:val="17"/>
          <w:b w:val="1"/>
          <w:bCs w:val="1"/>
          <w:color w:val="auto"/>
        </w:rPr>
        <w:t xml:space="preserve">No Pledging </w:t>
      </w:r>
      <w:r>
        <w:rPr>
          <w:rFonts w:ascii="Arial" w:cs="Arial" w:eastAsia="Arial" w:hAnsi="Arial"/>
          <w:sz w:val="17"/>
          <w:szCs w:val="17"/>
          <w:color w:val="auto"/>
        </w:rPr>
        <w:t>– Our Insider Trading Policy prohibits pledging our</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as collateral and holding our common stock as collateral or in a margin account</w:t>
      </w:r>
    </w:p>
    <w:p>
      <w:pPr>
        <w:spacing w:after="0" w:line="94" w:lineRule="exact"/>
        <w:rPr>
          <w:sz w:val="20"/>
          <w:szCs w:val="20"/>
          <w:color w:val="auto"/>
        </w:rPr>
      </w:pPr>
    </w:p>
    <w:p>
      <w:pPr>
        <w:sectPr>
          <w:pgSz w:w="11900" w:h="16838" w:orient="portrait"/>
          <w:cols w:equalWidth="0" w:num="2">
            <w:col w:w="5680" w:space="180"/>
            <w:col w:w="5280"/>
          </w:cols>
          <w:pgMar w:left="320" w:top="482" w:right="439" w:bottom="1440" w:gutter="0" w:footer="0" w:header="0"/>
          <w:type w:val="continuous"/>
        </w:sectPr>
      </w:pPr>
    </w:p>
    <w:p>
      <w:pPr>
        <w:ind w:left="160"/>
        <w:spacing w:after="0" w:line="267" w:lineRule="auto"/>
        <w:rPr>
          <w:sz w:val="20"/>
          <w:szCs w:val="20"/>
          <w:color w:val="auto"/>
        </w:rPr>
      </w:pPr>
      <w:r>
        <w:rPr>
          <w:rFonts w:ascii="Arial" w:cs="Arial" w:eastAsia="Arial" w:hAnsi="Arial"/>
          <w:sz w:val="17"/>
          <w:szCs w:val="17"/>
          <w:b w:val="1"/>
          <w:bCs w:val="1"/>
          <w:color w:val="FFFFFF"/>
        </w:rPr>
        <w:t xml:space="preserve">Annual Say-on-Pay Vote – </w:t>
      </w:r>
      <w:r>
        <w:rPr>
          <w:rFonts w:ascii="Arial" w:cs="Arial" w:eastAsia="Arial" w:hAnsi="Arial"/>
          <w:sz w:val="17"/>
          <w:szCs w:val="17"/>
          <w:color w:val="FFFFFF"/>
        </w:rPr>
        <w:t>We value stockholder input and seek an</w:t>
      </w:r>
      <w:r>
        <w:rPr>
          <w:rFonts w:ascii="Arial" w:cs="Arial" w:eastAsia="Arial" w:hAnsi="Arial"/>
          <w:sz w:val="17"/>
          <w:szCs w:val="17"/>
          <w:b w:val="1"/>
          <w:bCs w:val="1"/>
          <w:color w:val="FFFFFF"/>
        </w:rPr>
        <w:t xml:space="preserve"> </w:t>
      </w:r>
      <w:r>
        <w:rPr>
          <w:rFonts w:ascii="Arial" w:cs="Arial" w:eastAsia="Arial" w:hAnsi="Arial"/>
          <w:sz w:val="17"/>
          <w:szCs w:val="17"/>
          <w:color w:val="FFFFFF"/>
        </w:rPr>
        <w:t>annual advisory vote on executive compensation</w:t>
      </w:r>
    </w:p>
    <w:p>
      <w:pPr>
        <w:spacing w:after="0" w:line="20" w:lineRule="exact"/>
        <w:rPr>
          <w:sz w:val="20"/>
          <w:szCs w:val="20"/>
          <w:color w:val="auto"/>
        </w:rPr>
      </w:pPr>
      <w:r>
        <w:rPr>
          <w:sz w:val="20"/>
          <w:szCs w:val="20"/>
          <w:color w:val="auto"/>
        </w:rPr>
        <w:br w:type="column"/>
      </w:r>
    </w:p>
    <w:p>
      <w:pPr>
        <w:ind w:right="280"/>
        <w:spacing w:after="0" w:line="267" w:lineRule="auto"/>
        <w:rPr>
          <w:sz w:val="20"/>
          <w:szCs w:val="20"/>
          <w:color w:val="auto"/>
        </w:rPr>
      </w:pPr>
      <w:r>
        <w:rPr>
          <w:rFonts w:ascii="Arial" w:cs="Arial" w:eastAsia="Arial" w:hAnsi="Arial"/>
          <w:sz w:val="17"/>
          <w:szCs w:val="17"/>
          <w:b w:val="1"/>
          <w:bCs w:val="1"/>
          <w:color w:val="auto"/>
        </w:rPr>
        <w:t xml:space="preserve">No Employment Agreements – </w:t>
      </w:r>
      <w:r>
        <w:rPr>
          <w:rFonts w:ascii="Arial" w:cs="Arial" w:eastAsia="Arial" w:hAnsi="Arial"/>
          <w:sz w:val="17"/>
          <w:szCs w:val="17"/>
          <w:color w:val="auto"/>
        </w:rPr>
        <w:t>We do not have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with executives other than our Chief Executive Officer</w:t>
      </w:r>
    </w:p>
    <w:p>
      <w:pPr>
        <w:spacing w:after="0" w:line="200" w:lineRule="exact"/>
        <w:rPr>
          <w:sz w:val="20"/>
          <w:szCs w:val="20"/>
          <w:color w:val="auto"/>
        </w:rPr>
      </w:pPr>
    </w:p>
    <w:p>
      <w:pPr>
        <w:sectPr>
          <w:pgSz w:w="11900" w:h="16838" w:orient="portrait"/>
          <w:cols w:equalWidth="0" w:num="2">
            <w:col w:w="5340" w:space="520"/>
            <w:col w:w="5280"/>
          </w:cols>
          <w:pgMar w:left="320" w:top="482" w:right="439" w:bottom="1440" w:gutter="0" w:footer="0" w:header="0"/>
          <w:type w:val="continuous"/>
        </w:sectPr>
      </w:pPr>
    </w:p>
    <w:p>
      <w:pPr>
        <w:spacing w:after="0" w:line="115" w:lineRule="exact"/>
        <w:rPr>
          <w:sz w:val="20"/>
          <w:szCs w:val="20"/>
          <w:color w:val="auto"/>
        </w:rPr>
      </w:pPr>
    </w:p>
    <w:p>
      <w:pPr>
        <w:ind w:left="120"/>
        <w:spacing w:after="0"/>
        <w:rPr>
          <w:sz w:val="20"/>
          <w:szCs w:val="20"/>
          <w:color w:val="auto"/>
        </w:rPr>
      </w:pPr>
      <w:r>
        <w:rPr>
          <w:rFonts w:ascii="Arial" w:cs="Arial" w:eastAsia="Arial" w:hAnsi="Arial"/>
          <w:sz w:val="22"/>
          <w:szCs w:val="22"/>
          <w:b w:val="1"/>
          <w:bCs w:val="1"/>
          <w:u w:val="single" w:color="auto"/>
          <w:color w:val="002060"/>
        </w:rPr>
        <w:t>Section 2 – How We Determine Pay</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Our Compensation Philosophy</w:t>
      </w:r>
    </w:p>
    <w:p>
      <w:pPr>
        <w:spacing w:after="0" w:line="117"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Our executive compensation philosophy is to provide a competitive compensation package weighted toward Company performance and aligned with our stockholders’ long-term interests. Our executive compensation program is both reflective of the strategic value of the individual’s position and designed to ensure long-term retention and motivation.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282575" cy="2660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194" w:lineRule="exact"/>
        <w:rPr>
          <w:sz w:val="20"/>
          <w:szCs w:val="20"/>
          <w:color w:val="auto"/>
        </w:rPr>
      </w:pPr>
    </w:p>
    <w:p>
      <w:pPr>
        <w:ind w:left="240"/>
        <w:spacing w:after="0"/>
        <w:tabs>
          <w:tab w:leader="none" w:pos="660" w:val="left"/>
          <w:tab w:leader="none" w:pos="8280" w:val="left"/>
        </w:tabs>
        <w:rPr>
          <w:sz w:val="20"/>
          <w:szCs w:val="20"/>
          <w:color w:val="auto"/>
        </w:rPr>
      </w:pPr>
      <w:r>
        <w:rPr>
          <w:rFonts w:ascii="Arial" w:cs="Arial" w:eastAsia="Arial" w:hAnsi="Arial"/>
          <w:sz w:val="16"/>
          <w:szCs w:val="16"/>
          <w:color w:val="FFFFFF"/>
        </w:rPr>
        <w:t>54</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Compensation Discussion and Analysis</w:t>
      </w:r>
    </w:p>
    <w:p>
      <w:pPr>
        <w:sectPr>
          <w:pgSz w:w="11900" w:h="16838" w:orient="portrait"/>
          <w:cols w:equalWidth="0" w:num="1">
            <w:col w:w="11140"/>
          </w:cols>
          <w:pgMar w:left="320" w:top="482" w:right="4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Goals of Our Compensation Program</w:t>
      </w:r>
    </w:p>
    <w:p>
      <w:pPr>
        <w:spacing w:after="0" w:line="107" w:lineRule="exact"/>
        <w:rPr>
          <w:sz w:val="20"/>
          <w:szCs w:val="20"/>
          <w:color w:val="auto"/>
        </w:rPr>
      </w:pPr>
    </w:p>
    <w:p>
      <w:pPr>
        <w:ind w:left="780" w:right="180"/>
        <w:spacing w:after="0" w:line="250" w:lineRule="auto"/>
        <w:rPr>
          <w:sz w:val="20"/>
          <w:szCs w:val="20"/>
          <w:color w:val="auto"/>
        </w:rPr>
      </w:pPr>
      <w:r>
        <w:rPr>
          <w:rFonts w:ascii="Arial" w:cs="Arial" w:eastAsia="Arial" w:hAnsi="Arial"/>
          <w:sz w:val="18"/>
          <w:szCs w:val="18"/>
          <w:color w:val="auto"/>
        </w:rPr>
        <w:t>To attract, motivate and retain exceptional executives who are critical to successful execution of the Company’s growth strategy, long-term Company performance and the creation of stockholder value.</w:t>
      </w:r>
    </w:p>
    <w:p>
      <w:pPr>
        <w:spacing w:after="0" w:line="123" w:lineRule="exact"/>
        <w:rPr>
          <w:sz w:val="20"/>
          <w:szCs w:val="20"/>
          <w:color w:val="auto"/>
        </w:rPr>
      </w:pPr>
    </w:p>
    <w:p>
      <w:pPr>
        <w:ind w:left="780"/>
        <w:spacing w:after="0" w:line="234" w:lineRule="auto"/>
        <w:rPr>
          <w:sz w:val="20"/>
          <w:szCs w:val="20"/>
          <w:color w:val="auto"/>
        </w:rPr>
      </w:pPr>
      <w:r>
        <w:rPr>
          <w:rFonts w:ascii="Arial" w:cs="Arial" w:eastAsia="Arial" w:hAnsi="Arial"/>
          <w:sz w:val="18"/>
          <w:szCs w:val="18"/>
          <w:color w:val="auto"/>
        </w:rPr>
        <w:t>To align the interests of our executives with those of our stockholders by tying a significant amount of executive compensation to the achievement of performance metrics related to our short and long-term business strategy and financial performance and to the price of the Company’s stock.</w:t>
      </w:r>
    </w:p>
    <w:p>
      <w:pPr>
        <w:spacing w:after="0" w:line="2" w:lineRule="exact"/>
        <w:rPr>
          <w:sz w:val="20"/>
          <w:szCs w:val="20"/>
          <w:color w:val="auto"/>
        </w:rPr>
      </w:pPr>
    </w:p>
    <w:p>
      <w:pPr>
        <w:ind w:left="780"/>
        <w:spacing w:after="0" w:line="242" w:lineRule="auto"/>
        <w:rPr>
          <w:sz w:val="20"/>
          <w:szCs w:val="20"/>
          <w:color w:val="auto"/>
        </w:rPr>
      </w:pPr>
      <w:r>
        <w:rPr>
          <w:rFonts w:ascii="Arial" w:cs="Arial" w:eastAsia="Arial" w:hAnsi="Arial"/>
          <w:sz w:val="18"/>
          <w:szCs w:val="18"/>
          <w:color w:val="auto"/>
        </w:rPr>
        <w:t>To motivate our executives to perform at the highest level, to achieve our financial, operational and strategic goals and to reinforce our commitment to high-quality service, which is primarily responsible for the strength of our long-standing relationships with our customers and suppliers.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Guiding Principles of Our Compensation Philosophy</w:t>
      </w:r>
    </w:p>
    <w:p>
      <w:pPr>
        <w:spacing w:after="0" w:line="239" w:lineRule="exact"/>
        <w:rPr>
          <w:sz w:val="20"/>
          <w:szCs w:val="20"/>
          <w:color w:val="auto"/>
        </w:rPr>
      </w:pPr>
    </w:p>
    <w:p>
      <w:pPr>
        <w:jc w:val="both"/>
        <w:ind w:left="780" w:right="40"/>
        <w:spacing w:after="0" w:line="243" w:lineRule="auto"/>
        <w:rPr>
          <w:sz w:val="20"/>
          <w:szCs w:val="20"/>
          <w:color w:val="auto"/>
        </w:rPr>
      </w:pPr>
      <w:r>
        <w:rPr>
          <w:rFonts w:ascii="Arial" w:cs="Arial" w:eastAsia="Arial" w:hAnsi="Arial"/>
          <w:sz w:val="18"/>
          <w:szCs w:val="18"/>
          <w:u w:val="single" w:color="auto"/>
          <w:color w:val="auto"/>
        </w:rPr>
        <w:t>Pay for Performance</w:t>
      </w:r>
      <w:r>
        <w:rPr>
          <w:rFonts w:ascii="Arial" w:cs="Arial" w:eastAsia="Arial" w:hAnsi="Arial"/>
          <w:sz w:val="18"/>
          <w:szCs w:val="18"/>
          <w:color w:val="auto"/>
        </w:rPr>
        <w:t>. We reward our executives’ achievements by linking a significant portion of their compensation to the Company’s financial and operational performance. Our incentive compensation program is subject to a pre-established objective performance metric that reflects strategic and operational objectives. Incentive compensation varies based on the extent to which the objective is met - if the target is not achieved at a level of at least 80%, then no incentive compensation is payable, while if the target is exceeded, executives have an opportunity to earn above-target incentive compensation.</w:t>
      </w:r>
    </w:p>
    <w:p>
      <w:pPr>
        <w:spacing w:after="0" w:line="1" w:lineRule="exact"/>
        <w:rPr>
          <w:sz w:val="20"/>
          <w:szCs w:val="20"/>
          <w:color w:val="auto"/>
        </w:rPr>
      </w:pPr>
    </w:p>
    <w:p>
      <w:pPr>
        <w:ind w:left="780" w:right="180"/>
        <w:spacing w:after="0" w:line="271" w:lineRule="auto"/>
        <w:rPr>
          <w:sz w:val="20"/>
          <w:szCs w:val="20"/>
          <w:color w:val="auto"/>
        </w:rPr>
      </w:pPr>
      <w:r>
        <w:rPr>
          <w:rFonts w:ascii="Arial" w:cs="Arial" w:eastAsia="Arial" w:hAnsi="Arial"/>
          <w:sz w:val="18"/>
          <w:szCs w:val="18"/>
          <w:u w:val="single" w:color="auto"/>
          <w:color w:val="auto"/>
        </w:rPr>
        <w:t>Competitive Pay</w:t>
      </w:r>
      <w:r>
        <w:rPr>
          <w:rFonts w:ascii="Arial" w:cs="Arial" w:eastAsia="Arial" w:hAnsi="Arial"/>
          <w:sz w:val="18"/>
          <w:szCs w:val="18"/>
          <w:color w:val="auto"/>
        </w:rPr>
        <w:t>. Our compensation program is designed to attract, retain, motivate and reward top talent through pay elements that are flexible and competitive with our peers.</w:t>
      </w:r>
    </w:p>
    <w:p>
      <w:pPr>
        <w:spacing w:after="0" w:line="144" w:lineRule="exact"/>
        <w:rPr>
          <w:sz w:val="20"/>
          <w:szCs w:val="20"/>
          <w:color w:val="auto"/>
        </w:rPr>
      </w:pPr>
    </w:p>
    <w:p>
      <w:pPr>
        <w:ind w:left="780" w:right="20"/>
        <w:spacing w:after="0" w:line="253" w:lineRule="auto"/>
        <w:rPr>
          <w:sz w:val="20"/>
          <w:szCs w:val="20"/>
          <w:color w:val="auto"/>
        </w:rPr>
      </w:pPr>
      <w:r>
        <w:rPr>
          <w:rFonts w:ascii="Arial" w:cs="Arial" w:eastAsia="Arial" w:hAnsi="Arial"/>
          <w:sz w:val="18"/>
          <w:szCs w:val="18"/>
          <w:u w:val="single" w:color="auto"/>
          <w:color w:val="auto"/>
        </w:rPr>
        <w:t>Internal Pay Equity</w:t>
      </w:r>
      <w:r>
        <w:rPr>
          <w:rFonts w:ascii="Arial" w:cs="Arial" w:eastAsia="Arial" w:hAnsi="Arial"/>
          <w:sz w:val="18"/>
          <w:szCs w:val="18"/>
          <w:color w:val="auto"/>
        </w:rPr>
        <w:t>. We believe that internal pay equity is an important factor in ensuring fairness and encouraging a collaborative environment among our executive team. The Compensation and Human Capital Committee reviews each NEO’s pay components and levels relative to other NEOs, considering experience, leadership role, seniority and level of responsibility.</w:t>
      </w:r>
    </w:p>
    <w:p>
      <w:pPr>
        <w:spacing w:after="0" w:line="74" w:lineRule="exact"/>
        <w:rPr>
          <w:sz w:val="20"/>
          <w:szCs w:val="20"/>
          <w:color w:val="auto"/>
        </w:rPr>
      </w:pPr>
    </w:p>
    <w:p>
      <w:pPr>
        <w:ind w:left="780"/>
        <w:spacing w:after="0" w:line="242" w:lineRule="auto"/>
        <w:rPr>
          <w:sz w:val="20"/>
          <w:szCs w:val="20"/>
          <w:color w:val="auto"/>
        </w:rPr>
      </w:pPr>
      <w:r>
        <w:rPr>
          <w:rFonts w:ascii="Arial" w:cs="Arial" w:eastAsia="Arial" w:hAnsi="Arial"/>
          <w:sz w:val="18"/>
          <w:szCs w:val="18"/>
          <w:u w:val="single" w:color="auto"/>
          <w:color w:val="auto"/>
        </w:rPr>
        <w:t>Aligned with Stockholders</w:t>
      </w:r>
      <w:r>
        <w:rPr>
          <w:rFonts w:ascii="Arial" w:cs="Arial" w:eastAsia="Arial" w:hAnsi="Arial"/>
          <w:sz w:val="18"/>
          <w:szCs w:val="18"/>
          <w:color w:val="auto"/>
        </w:rPr>
        <w:t>. A significant portion of our executives’ compensation is in the form of at-risk performance-based cash awards and performance-based equity awards that, if earned, vest over an additional two years after the end of the performance period. We award restricted stock based on a number of shares, rather than a dollar value, so the value of an executive’s equity-based award fluctuates with the price of our common stock during the performance period and the vesting period, which aligns the long-term interests of our executives and our stockholders. In furtherance of this principle, our NEOs are required to maintain levels of ownership of our common stock based upon a multiple of their salaries.</w:t>
      </w:r>
    </w:p>
    <w:p>
      <w:pPr>
        <w:spacing w:after="0" w:line="179"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The Compensation and Human Capital Committee considers the overall mix of cash and equity compensation, annual and long-term incentives and fixed and variable pay in determining our executive compensation program. The Compensation and Human Capital Committee does not follow any pre-established policies, guidelines or formulas for allocating compensation mix, instead retaining flexibility by determining annually what it believes is the appropriate mix of compensation elements.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Our Executive Compensation Process</w:t>
      </w:r>
    </w:p>
    <w:p>
      <w:pPr>
        <w:spacing w:after="0" w:line="212"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i w:val="1"/>
          <w:iCs w:val="1"/>
          <w:u w:val="single" w:color="auto"/>
          <w:color w:val="auto"/>
        </w:rPr>
        <w:t>Role of the Compensation and Human Capital Committee</w:t>
      </w:r>
      <w:r>
        <w:rPr>
          <w:rFonts w:ascii="Arial" w:cs="Arial" w:eastAsia="Arial" w:hAnsi="Arial"/>
          <w:sz w:val="18"/>
          <w:szCs w:val="18"/>
          <w:color w:val="auto"/>
        </w:rPr>
        <w:t>. Our Compensation and Human Capital Committee, comprised solely of</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directors, is responsible for the oversight, establishment, implementation and administration of our executive compensation program. During its regular first quarter meeting, the Compensation and Human Capital Committee, in consultation with our Chief Executive Officer and Chief Financial Officer, determines incentive compensation earned by our NEOs based on the prior year’s performance and finalizes performance metrics and target incentive compensation levels for the current year. Later in the year, the committee reviews materials relating to peer group composition and other information that forms the basis for future decisions. The Compensation and Human Capital Committee sets compensation consistent with our compensation philosophy and competitive with our peers, considering a balance of information, among other things, the experience, leadership, level of responsibility and performance of the executive team, retention, internal equity considerations and industry competitiveness. While the Compensation and Human Capital Committee consults with management and its independent compensation consultant in determining our compensation program, final authority for our program and performance objectives rests solely with the committee. For more information regarding the Compensation and Human Capital Committee, see “</w:t>
      </w:r>
      <w:r>
        <w:rPr>
          <w:rFonts w:ascii="Arial" w:cs="Arial" w:eastAsia="Arial" w:hAnsi="Arial"/>
          <w:sz w:val="18"/>
          <w:szCs w:val="18"/>
          <w:i w:val="1"/>
          <w:iCs w:val="1"/>
          <w:color w:val="auto"/>
        </w:rPr>
        <w:t>Corporate Governance – Board Committees – Compensation and Human Capital Committee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85090</wp:posOffset>
            </wp:positionV>
            <wp:extent cx="291465" cy="2654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208"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Compensation Discussion and Analysis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55</w:t>
      </w:r>
    </w:p>
    <w:p>
      <w:pPr>
        <w:sectPr>
          <w:pgSz w:w="11900" w:h="16838" w:orient="portrait"/>
          <w:cols w:equalWidth="0" w:num="1">
            <w:col w:w="11120"/>
          </w:cols>
          <w:pgMar w:left="320" w:top="482"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i w:val="1"/>
          <w:iCs w:val="1"/>
          <w:u w:val="single" w:color="auto"/>
          <w:color w:val="auto"/>
        </w:rPr>
        <w:t>Role of Executives</w:t>
      </w:r>
      <w:r>
        <w:rPr>
          <w:rFonts w:ascii="Arial" w:cs="Arial" w:eastAsia="Arial" w:hAnsi="Arial"/>
          <w:sz w:val="18"/>
          <w:szCs w:val="18"/>
          <w:color w:val="auto"/>
        </w:rPr>
        <w:t>. In the course of determining executive compensation, the Compensation and Human Capital Committee solicits input</w:t>
      </w:r>
      <w:r>
        <w:rPr>
          <w:rFonts w:ascii="Arial" w:cs="Arial" w:eastAsia="Arial" w:hAnsi="Arial"/>
          <w:sz w:val="18"/>
          <w:szCs w:val="18"/>
          <w:i w:val="1"/>
          <w:iCs w:val="1"/>
          <w:color w:val="auto"/>
        </w:rPr>
        <w:t xml:space="preserve"> </w:t>
      </w:r>
      <w:r>
        <w:rPr>
          <w:rFonts w:ascii="Arial" w:cs="Arial" w:eastAsia="Arial" w:hAnsi="Arial"/>
          <w:sz w:val="18"/>
          <w:szCs w:val="18"/>
          <w:color w:val="auto"/>
        </w:rPr>
        <w:t>from management. The committee believes this input is valuable because of the Chief Executive Officer’s and Chief Financial Officer’s comprehensive knowledge of our business, operations and financial and strategic goals. Our Chief Executive Officer and Chief Financial Officer (i) provide data, analysis and recommendations to the Compensation and Human Capital Committee regarding the Company’s executive compensation programs, (ii) annually evaluate the performance of our named executive officers (“NEOs”) (other than themselves) based on each individual’s performance, length of service, experience, level of responsibility and achievement of Company strategic goals, and (iii) propose to the committee the performance metrics to be used to determine target awards under our performance-based incentive programs based on the budget approved by the Board. The Compensation and Human Capital Committee retains sole authority to determine all elements of executive compensation, but from time to time delegates certain administrative duties to management and the human resources department.</w:t>
      </w:r>
    </w:p>
    <w:p>
      <w:pPr>
        <w:spacing w:after="0" w:line="15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i w:val="1"/>
          <w:iCs w:val="1"/>
          <w:u w:val="single" w:color="auto"/>
          <w:color w:val="auto"/>
        </w:rPr>
        <w:t>Role of Compensation Consultants</w:t>
      </w:r>
      <w:r>
        <w:rPr>
          <w:rFonts w:ascii="Arial" w:cs="Arial" w:eastAsia="Arial" w:hAnsi="Arial"/>
          <w:sz w:val="18"/>
          <w:szCs w:val="18"/>
          <w:color w:val="auto"/>
        </w:rPr>
        <w:t>. The Compensation and Human Capital Committee engages Meridian Compensation Partners, LLC,</w:t>
      </w:r>
      <w:r>
        <w:rPr>
          <w:rFonts w:ascii="Arial" w:cs="Arial" w:eastAsia="Arial" w:hAnsi="Arial"/>
          <w:sz w:val="18"/>
          <w:szCs w:val="18"/>
          <w:i w:val="1"/>
          <w:iCs w:val="1"/>
          <w:color w:val="auto"/>
        </w:rPr>
        <w:t xml:space="preserve"> </w:t>
      </w:r>
      <w:r>
        <w:rPr>
          <w:rFonts w:ascii="Arial" w:cs="Arial" w:eastAsia="Arial" w:hAnsi="Arial"/>
          <w:sz w:val="18"/>
          <w:szCs w:val="18"/>
          <w:color w:val="auto"/>
        </w:rPr>
        <w:t>(“Meridian”), to provide market data with respect to publicly-traded companies similar in size and industry in connection with executive and non-employee director compensation. Meridian reports directly to the committee. In January and October 2022, the Compensation and Human Capital Committee engaged Meridian to perform a review of our executive compensation program and to conduct market comparisons to assist the committee in its responsibilities. The Compensation and Human Capital Committee and management worked with Meridian to develop an appropriate peer group and Meridian provided an independent review of the executive compensation practices in our peer group, including an analysis of overall competitiveness to market. The committee considered Meridian’s advice in structuring our compensation program. The Compensation and Human Capital Committee intends to engage Meridian to update its review of our executive compensation and non-employee director compensation programs at least biannually. In connection with the engagement of Meridian, the committee considered and assessed all relevant factors, including those set forth in applicable SEC and NYSE rules, that could give rise to a potential conflict of interest with respect to Meridian. Based upon this review, the Compensation and Human Capital Committee determined that engaging Meridian did not raise any conflict of interest.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Competitive Positioning</w:t>
      </w:r>
    </w:p>
    <w:p>
      <w:pPr>
        <w:spacing w:after="0" w:line="104" w:lineRule="exact"/>
        <w:rPr>
          <w:sz w:val="20"/>
          <w:szCs w:val="20"/>
          <w:color w:val="auto"/>
        </w:rPr>
      </w:pPr>
    </w:p>
    <w:p>
      <w:pPr>
        <w:ind w:left="120" w:right="360"/>
        <w:spacing w:after="0" w:line="247" w:lineRule="auto"/>
        <w:rPr>
          <w:sz w:val="20"/>
          <w:szCs w:val="20"/>
          <w:color w:val="auto"/>
        </w:rPr>
      </w:pPr>
      <w:r>
        <w:rPr>
          <w:rFonts w:ascii="Arial" w:cs="Arial" w:eastAsia="Arial" w:hAnsi="Arial"/>
          <w:sz w:val="18"/>
          <w:szCs w:val="18"/>
          <w:color w:val="auto"/>
        </w:rPr>
        <w:t>Meridian, in consultation with our management and Compensation and Human Capital Committee, compiles a report of compensation data for executive officers and non-employee directors in our peer group. The data includes base salary, target cash incentive compensation, long-term incentive awards, target total compensation and variable pay mix. Meridian compiles this data from the proxy disclosures of the peer group and from published surveys.</w:t>
      </w:r>
    </w:p>
    <w:p>
      <w:pPr>
        <w:spacing w:after="0" w:line="133"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Compensation and Human Capital Committee reviews Meridian’s report summarizing the target total cash compensation (base salary plus target annual incentive) and target total compensation (base salary plus target annual incentive plus long-term incentive) for each of our NEOs against benchmarks at the 25th, median and 75th percentiles of the market for positions comparable to those held by each of our NEOs. For retention, motivation and competitive considerations, the Compensation and Human Capital Committee targets each NEO’s total cash compensation and total direct compensation levels at approximately the median of the peer group.</w:t>
      </w:r>
    </w:p>
    <w:p>
      <w:pPr>
        <w:spacing w:after="0" w:line="149"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Using the information provided by Meridian, the Compensation and Human Capital Committee reviews executive compensation data at peer companies to gauge the reasonableness and competitiveness of our executive compensation program. Comparison to our peer group is one of several factors considered by the committee, but is not determinative. While the Compensation and Human Capital Committee does not establish executive pay based solely on peer group data, it believes that our pay levels and practices should be within a range of competitiveness.</w:t>
      </w:r>
    </w:p>
    <w:p>
      <w:pPr>
        <w:spacing w:after="0" w:line="136"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In determining our peer group, Meridian recommended that the Compensation and Human Capital Committee consider a number of factors for each potential peer company, including industry classification and business-specific characteristics (scope and products and services), size (revenue and market capitalization) and frequency of inclusion in the peer groups of other peers of the Company. The committee believes our selected peer group includes an appropriate representation of industry competitors and companies with which we compete for executive talent.</w:t>
      </w:r>
    </w:p>
    <w:p>
      <w:pPr>
        <w:spacing w:after="0" w:line="136" w:lineRule="exact"/>
        <w:rPr>
          <w:sz w:val="20"/>
          <w:szCs w:val="20"/>
          <w:color w:val="auto"/>
        </w:rPr>
      </w:pPr>
    </w:p>
    <w:p>
      <w:pPr>
        <w:jc w:val="both"/>
        <w:ind w:left="120" w:right="340"/>
        <w:spacing w:after="0" w:line="253" w:lineRule="auto"/>
        <w:rPr>
          <w:sz w:val="20"/>
          <w:szCs w:val="20"/>
          <w:color w:val="auto"/>
        </w:rPr>
      </w:pPr>
      <w:r>
        <w:rPr>
          <w:rFonts w:ascii="Arial" w:cs="Arial" w:eastAsia="Arial" w:hAnsi="Arial"/>
          <w:sz w:val="18"/>
          <w:szCs w:val="18"/>
          <w:color w:val="auto"/>
        </w:rPr>
        <w:t>For 2022, the Compensation and Human Capital Committee selected the following 16 companies as our peer group. Certain peers are periodically replaced or eliminated due to acquisition or size changes to maintain a balance of appropriate size, revenues, industry and presence as a competitor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282575" cy="2654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194" w:lineRule="exact"/>
        <w:rPr>
          <w:sz w:val="20"/>
          <w:szCs w:val="20"/>
          <w:color w:val="auto"/>
        </w:rPr>
      </w:pPr>
    </w:p>
    <w:p>
      <w:pPr>
        <w:ind w:left="240"/>
        <w:spacing w:after="0"/>
        <w:tabs>
          <w:tab w:leader="none" w:pos="660" w:val="left"/>
          <w:tab w:leader="none" w:pos="8280" w:val="left"/>
        </w:tabs>
        <w:rPr>
          <w:sz w:val="20"/>
          <w:szCs w:val="20"/>
          <w:color w:val="auto"/>
        </w:rPr>
      </w:pPr>
      <w:r>
        <w:rPr>
          <w:rFonts w:ascii="Arial" w:cs="Arial" w:eastAsia="Arial" w:hAnsi="Arial"/>
          <w:sz w:val="16"/>
          <w:szCs w:val="16"/>
          <w:color w:val="FFFFFF"/>
        </w:rPr>
        <w:t>56</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Compensation Discussion and Analysis</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b w:val="1"/>
                <w:bCs w:val="1"/>
                <w:color w:val="002060"/>
                <w:w w:val="99"/>
              </w:rPr>
              <w:t>Market</w:t>
            </w:r>
          </w:p>
        </w:tc>
        <w:tc>
          <w:tcPr>
            <w:tcW w:w="47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002060"/>
                <w:w w:val="91"/>
              </w:rPr>
              <w:t>LTM</w:t>
            </w:r>
          </w:p>
        </w:tc>
      </w:tr>
      <w:tr>
        <w:trPr>
          <w:trHeight w:val="203"/>
        </w:trPr>
        <w:tc>
          <w:tcPr>
            <w:tcW w:w="3740" w:type="dxa"/>
            <w:vAlign w:val="bottom"/>
          </w:tcPr>
          <w:p>
            <w:pPr>
              <w:spacing w:after="0"/>
              <w:rPr>
                <w:sz w:val="17"/>
                <w:szCs w:val="17"/>
                <w:color w:val="auto"/>
              </w:rPr>
            </w:pPr>
          </w:p>
        </w:tc>
        <w:tc>
          <w:tcPr>
            <w:tcW w:w="1260" w:type="dxa"/>
            <w:vAlign w:val="bottom"/>
          </w:tcPr>
          <w:p>
            <w:pPr>
              <w:jc w:val="center"/>
              <w:ind w:left="10"/>
              <w:spacing w:after="0" w:line="202" w:lineRule="exact"/>
              <w:rPr>
                <w:sz w:val="20"/>
                <w:szCs w:val="20"/>
                <w:color w:val="auto"/>
              </w:rPr>
            </w:pPr>
            <w:r>
              <w:rPr>
                <w:rFonts w:ascii="Arial" w:cs="Arial" w:eastAsia="Arial" w:hAnsi="Arial"/>
                <w:sz w:val="18"/>
                <w:szCs w:val="18"/>
                <w:b w:val="1"/>
                <w:bCs w:val="1"/>
                <w:color w:val="002060"/>
                <w:w w:val="99"/>
              </w:rPr>
              <w:t>Cap(1)</w:t>
            </w:r>
          </w:p>
        </w:tc>
        <w:tc>
          <w:tcPr>
            <w:tcW w:w="476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002060"/>
              </w:rPr>
              <w:t>Revenue(1)</w:t>
            </w:r>
          </w:p>
        </w:tc>
      </w:tr>
      <w:tr>
        <w:trPr>
          <w:trHeight w:val="235"/>
        </w:trPr>
        <w:tc>
          <w:tcPr>
            <w:tcW w:w="3740" w:type="dxa"/>
            <w:vAlign w:val="bottom"/>
            <w:tcBorders>
              <w:bottom w:val="single" w:sz="8" w:color="002060"/>
            </w:tcBorders>
          </w:tcPr>
          <w:p>
            <w:pPr>
              <w:ind w:left="1380"/>
              <w:spacing w:after="0"/>
              <w:rPr>
                <w:sz w:val="20"/>
                <w:szCs w:val="20"/>
                <w:color w:val="auto"/>
              </w:rPr>
            </w:pPr>
            <w:r>
              <w:rPr>
                <w:rFonts w:ascii="Arial" w:cs="Arial" w:eastAsia="Arial" w:hAnsi="Arial"/>
                <w:sz w:val="18"/>
                <w:szCs w:val="18"/>
                <w:b w:val="1"/>
                <w:bCs w:val="1"/>
                <w:color w:val="002060"/>
              </w:rPr>
              <w:t>Peer Group</w:t>
            </w:r>
          </w:p>
        </w:tc>
        <w:tc>
          <w:tcPr>
            <w:tcW w:w="1260" w:type="dxa"/>
            <w:vAlign w:val="bottom"/>
            <w:tcBorders>
              <w:bottom w:val="single" w:sz="8" w:color="002060"/>
            </w:tcBorders>
          </w:tcPr>
          <w:p>
            <w:pPr>
              <w:jc w:val="center"/>
              <w:ind w:left="10"/>
              <w:spacing w:after="0"/>
              <w:rPr>
                <w:sz w:val="20"/>
                <w:szCs w:val="20"/>
                <w:color w:val="auto"/>
              </w:rPr>
            </w:pPr>
            <w:r>
              <w:rPr>
                <w:rFonts w:ascii="Arial" w:cs="Arial" w:eastAsia="Arial" w:hAnsi="Arial"/>
                <w:sz w:val="18"/>
                <w:szCs w:val="18"/>
                <w:b w:val="1"/>
                <w:bCs w:val="1"/>
                <w:color w:val="002060"/>
              </w:rPr>
              <w:t>($ in Millions)</w:t>
            </w:r>
          </w:p>
        </w:tc>
        <w:tc>
          <w:tcPr>
            <w:tcW w:w="4760" w:type="dxa"/>
            <w:vAlign w:val="bottom"/>
            <w:tcBorders>
              <w:bottom w:val="single" w:sz="8" w:color="002060"/>
            </w:tcBorders>
          </w:tcPr>
          <w:p>
            <w:pPr>
              <w:ind w:left="2100"/>
              <w:spacing w:after="0"/>
              <w:rPr>
                <w:sz w:val="20"/>
                <w:szCs w:val="20"/>
                <w:color w:val="auto"/>
              </w:rPr>
            </w:pPr>
            <w:r>
              <w:rPr>
                <w:rFonts w:ascii="Arial" w:cs="Arial" w:eastAsia="Arial" w:hAnsi="Arial"/>
                <w:sz w:val="18"/>
                <w:szCs w:val="18"/>
                <w:b w:val="1"/>
                <w:bCs w:val="1"/>
                <w:color w:val="002060"/>
              </w:rPr>
              <w:t>Peer Group</w:t>
            </w:r>
          </w:p>
        </w:tc>
        <w:tc>
          <w:tcPr>
            <w:tcW w:w="1260" w:type="dxa"/>
            <w:vAlign w:val="bottom"/>
            <w:tcBorders>
              <w:bottom w:val="single" w:sz="8" w:color="002060"/>
            </w:tcBorders>
          </w:tcPr>
          <w:p>
            <w:pPr>
              <w:jc w:val="center"/>
              <w:spacing w:after="0"/>
              <w:rPr>
                <w:sz w:val="20"/>
                <w:szCs w:val="20"/>
                <w:color w:val="auto"/>
              </w:rPr>
            </w:pPr>
            <w:r>
              <w:rPr>
                <w:rFonts w:ascii="Arial" w:cs="Arial" w:eastAsia="Arial" w:hAnsi="Arial"/>
                <w:sz w:val="18"/>
                <w:szCs w:val="18"/>
                <w:b w:val="1"/>
                <w:bCs w:val="1"/>
                <w:color w:val="002060"/>
                <w:w w:val="99"/>
              </w:rPr>
              <w:t>($ in Millions)</w:t>
            </w:r>
          </w:p>
        </w:tc>
      </w:tr>
      <w:tr>
        <w:trPr>
          <w:trHeight w:val="196"/>
        </w:trPr>
        <w:tc>
          <w:tcPr>
            <w:tcW w:w="3740" w:type="dxa"/>
            <w:vAlign w:val="bottom"/>
            <w:tcBorders>
              <w:bottom w:val="single" w:sz="8" w:color="0070C0"/>
            </w:tcBorders>
          </w:tcPr>
          <w:p>
            <w:pPr>
              <w:spacing w:after="0" w:line="196" w:lineRule="exact"/>
              <w:rPr>
                <w:sz w:val="20"/>
                <w:szCs w:val="20"/>
                <w:color w:val="auto"/>
              </w:rPr>
            </w:pPr>
            <w:r>
              <w:rPr>
                <w:rFonts w:ascii="Arial" w:cs="Arial" w:eastAsia="Arial" w:hAnsi="Arial"/>
                <w:sz w:val="18"/>
                <w:szCs w:val="18"/>
                <w:color w:val="auto"/>
              </w:rPr>
              <w:t>TopBuild Corp.</w:t>
            </w:r>
          </w:p>
        </w:tc>
        <w:tc>
          <w:tcPr>
            <w:tcW w:w="1260" w:type="dxa"/>
            <w:vAlign w:val="bottom"/>
            <w:tcBorders>
              <w:bottom w:val="single" w:sz="8" w:color="0070C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auto"/>
              </w:rPr>
              <w:t>5,003</w:t>
            </w:r>
          </w:p>
        </w:tc>
        <w:tc>
          <w:tcPr>
            <w:tcW w:w="4760" w:type="dxa"/>
            <w:vAlign w:val="bottom"/>
            <w:tcBorders>
              <w:bottom w:val="single" w:sz="8" w:color="0070C0"/>
            </w:tcBorders>
          </w:tcPr>
          <w:p>
            <w:pPr>
              <w:ind w:left="400"/>
              <w:spacing w:after="0" w:line="196" w:lineRule="exact"/>
              <w:rPr>
                <w:sz w:val="20"/>
                <w:szCs w:val="20"/>
                <w:color w:val="auto"/>
              </w:rPr>
            </w:pPr>
            <w:r>
              <w:rPr>
                <w:rFonts w:ascii="Arial" w:cs="Arial" w:eastAsia="Arial" w:hAnsi="Arial"/>
                <w:sz w:val="18"/>
                <w:szCs w:val="18"/>
                <w:color w:val="auto"/>
              </w:rPr>
              <w:t>TopBuild Corp.</w:t>
            </w:r>
          </w:p>
        </w:tc>
        <w:tc>
          <w:tcPr>
            <w:tcW w:w="1260" w:type="dxa"/>
            <w:vAlign w:val="bottom"/>
            <w:tcBorders>
              <w:bottom w:val="single" w:sz="8" w:color="0070C0"/>
            </w:tcBorders>
            <w:shd w:val="clear" w:color="auto" w:fill="E5E5E5"/>
          </w:tcPr>
          <w:p>
            <w:pPr>
              <w:ind w:left="560"/>
              <w:spacing w:after="0" w:line="196" w:lineRule="exact"/>
              <w:rPr>
                <w:sz w:val="20"/>
                <w:szCs w:val="20"/>
                <w:color w:val="auto"/>
              </w:rPr>
            </w:pPr>
            <w:r>
              <w:rPr>
                <w:rFonts w:ascii="Arial" w:cs="Arial" w:eastAsia="Arial" w:hAnsi="Arial"/>
                <w:sz w:val="18"/>
                <w:szCs w:val="18"/>
                <w:color w:val="auto"/>
              </w:rPr>
              <w:t>5,009</w:t>
            </w:r>
          </w:p>
        </w:tc>
      </w:tr>
      <w:tr>
        <w:trPr>
          <w:trHeight w:val="196"/>
        </w:trPr>
        <w:tc>
          <w:tcPr>
            <w:tcW w:w="3740" w:type="dxa"/>
            <w:vAlign w:val="bottom"/>
            <w:tcBorders>
              <w:bottom w:val="single" w:sz="8" w:color="0070C0"/>
            </w:tcBorders>
          </w:tcPr>
          <w:p>
            <w:pPr>
              <w:spacing w:after="0" w:line="196" w:lineRule="exact"/>
              <w:rPr>
                <w:sz w:val="20"/>
                <w:szCs w:val="20"/>
                <w:color w:val="auto"/>
              </w:rPr>
            </w:pPr>
            <w:r>
              <w:rPr>
                <w:rFonts w:ascii="Arial" w:cs="Arial" w:eastAsia="Arial" w:hAnsi="Arial"/>
                <w:sz w:val="18"/>
                <w:szCs w:val="18"/>
                <w:color w:val="auto"/>
              </w:rPr>
              <w:t>Eagle Materials Inc.</w:t>
            </w:r>
          </w:p>
        </w:tc>
        <w:tc>
          <w:tcPr>
            <w:tcW w:w="1260" w:type="dxa"/>
            <w:vAlign w:val="bottom"/>
            <w:tcBorders>
              <w:bottom w:val="single" w:sz="8" w:color="0070C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auto"/>
              </w:rPr>
              <w:t>4,895</w:t>
            </w:r>
          </w:p>
        </w:tc>
        <w:tc>
          <w:tcPr>
            <w:tcW w:w="4760" w:type="dxa"/>
            <w:vAlign w:val="bottom"/>
            <w:tcBorders>
              <w:bottom w:val="single" w:sz="8" w:color="0070C0"/>
            </w:tcBorders>
          </w:tcPr>
          <w:p>
            <w:pPr>
              <w:ind w:left="400"/>
              <w:spacing w:after="0" w:line="196" w:lineRule="exact"/>
              <w:rPr>
                <w:sz w:val="20"/>
                <w:szCs w:val="20"/>
                <w:color w:val="auto"/>
              </w:rPr>
            </w:pPr>
            <w:r>
              <w:rPr>
                <w:rFonts w:ascii="Arial" w:cs="Arial" w:eastAsia="Arial" w:hAnsi="Arial"/>
                <w:sz w:val="18"/>
                <w:szCs w:val="18"/>
                <w:color w:val="auto"/>
              </w:rPr>
              <w:t>Tri Pointe Homes, Inc.</w:t>
            </w:r>
          </w:p>
        </w:tc>
        <w:tc>
          <w:tcPr>
            <w:tcW w:w="1260" w:type="dxa"/>
            <w:vAlign w:val="bottom"/>
            <w:tcBorders>
              <w:bottom w:val="single" w:sz="8" w:color="0070C0"/>
            </w:tcBorders>
            <w:shd w:val="clear" w:color="auto" w:fill="E5E5E5"/>
          </w:tcPr>
          <w:p>
            <w:pPr>
              <w:ind w:left="560"/>
              <w:spacing w:after="0" w:line="196" w:lineRule="exact"/>
              <w:rPr>
                <w:sz w:val="20"/>
                <w:szCs w:val="20"/>
                <w:color w:val="auto"/>
              </w:rPr>
            </w:pPr>
            <w:r>
              <w:rPr>
                <w:rFonts w:ascii="Arial" w:cs="Arial" w:eastAsia="Arial" w:hAnsi="Arial"/>
                <w:sz w:val="18"/>
                <w:szCs w:val="18"/>
                <w:color w:val="auto"/>
              </w:rPr>
              <w:t>4,349</w:t>
            </w:r>
          </w:p>
        </w:tc>
      </w:tr>
      <w:tr>
        <w:trPr>
          <w:trHeight w:val="196"/>
        </w:trPr>
        <w:tc>
          <w:tcPr>
            <w:tcW w:w="3740" w:type="dxa"/>
            <w:vAlign w:val="bottom"/>
            <w:tcBorders>
              <w:bottom w:val="single" w:sz="8" w:color="0070C0"/>
            </w:tcBorders>
          </w:tcPr>
          <w:p>
            <w:pPr>
              <w:spacing w:after="0" w:line="196" w:lineRule="exact"/>
              <w:rPr>
                <w:sz w:val="20"/>
                <w:szCs w:val="20"/>
                <w:color w:val="auto"/>
              </w:rPr>
            </w:pPr>
            <w:r>
              <w:rPr>
                <w:rFonts w:ascii="Arial" w:cs="Arial" w:eastAsia="Arial" w:hAnsi="Arial"/>
                <w:sz w:val="18"/>
                <w:szCs w:val="18"/>
                <w:color w:val="auto"/>
              </w:rPr>
              <w:t>Trex Co., Inc.</w:t>
            </w:r>
          </w:p>
        </w:tc>
        <w:tc>
          <w:tcPr>
            <w:tcW w:w="1260" w:type="dxa"/>
            <w:vAlign w:val="bottom"/>
            <w:tcBorders>
              <w:bottom w:val="single" w:sz="8" w:color="0070C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auto"/>
              </w:rPr>
              <w:t>4,645</w:t>
            </w:r>
          </w:p>
        </w:tc>
        <w:tc>
          <w:tcPr>
            <w:tcW w:w="4760" w:type="dxa"/>
            <w:vAlign w:val="bottom"/>
            <w:tcBorders>
              <w:bottom w:val="single" w:sz="8" w:color="0070C0"/>
            </w:tcBorders>
          </w:tcPr>
          <w:p>
            <w:pPr>
              <w:ind w:left="400"/>
              <w:spacing w:after="0" w:line="196" w:lineRule="exact"/>
              <w:rPr>
                <w:sz w:val="20"/>
                <w:szCs w:val="20"/>
                <w:color w:val="auto"/>
              </w:rPr>
            </w:pPr>
            <w:r>
              <w:rPr>
                <w:rFonts w:ascii="Arial" w:cs="Arial" w:eastAsia="Arial" w:hAnsi="Arial"/>
                <w:sz w:val="18"/>
                <w:szCs w:val="18"/>
                <w:color w:val="auto"/>
              </w:rPr>
              <w:t>M/I Homes, Inc.</w:t>
            </w:r>
          </w:p>
        </w:tc>
        <w:tc>
          <w:tcPr>
            <w:tcW w:w="1260" w:type="dxa"/>
            <w:vAlign w:val="bottom"/>
            <w:tcBorders>
              <w:bottom w:val="single" w:sz="8" w:color="0070C0"/>
            </w:tcBorders>
            <w:shd w:val="clear" w:color="auto" w:fill="E5E5E5"/>
          </w:tcPr>
          <w:p>
            <w:pPr>
              <w:ind w:left="560"/>
              <w:spacing w:after="0" w:line="196" w:lineRule="exact"/>
              <w:rPr>
                <w:sz w:val="20"/>
                <w:szCs w:val="20"/>
                <w:color w:val="auto"/>
              </w:rPr>
            </w:pPr>
            <w:r>
              <w:rPr>
                <w:rFonts w:ascii="Arial" w:cs="Arial" w:eastAsia="Arial" w:hAnsi="Arial"/>
                <w:sz w:val="18"/>
                <w:szCs w:val="18"/>
                <w:color w:val="auto"/>
              </w:rPr>
              <w:t>4,131</w:t>
            </w:r>
          </w:p>
        </w:tc>
      </w:tr>
      <w:tr>
        <w:trPr>
          <w:trHeight w:val="196"/>
        </w:trPr>
        <w:tc>
          <w:tcPr>
            <w:tcW w:w="3740" w:type="dxa"/>
            <w:vAlign w:val="bottom"/>
            <w:tcBorders>
              <w:bottom w:val="single" w:sz="8" w:color="0070C0"/>
            </w:tcBorders>
          </w:tcPr>
          <w:p>
            <w:pPr>
              <w:spacing w:after="0" w:line="196" w:lineRule="exact"/>
              <w:rPr>
                <w:sz w:val="20"/>
                <w:szCs w:val="20"/>
                <w:color w:val="auto"/>
              </w:rPr>
            </w:pPr>
            <w:r>
              <w:rPr>
                <w:rFonts w:ascii="Arial" w:cs="Arial" w:eastAsia="Arial" w:hAnsi="Arial"/>
                <w:sz w:val="18"/>
                <w:szCs w:val="18"/>
                <w:color w:val="auto"/>
              </w:rPr>
              <w:t>Simpson Manufacturing Co., Inc.</w:t>
            </w:r>
          </w:p>
        </w:tc>
        <w:tc>
          <w:tcPr>
            <w:tcW w:w="1260" w:type="dxa"/>
            <w:vAlign w:val="bottom"/>
            <w:tcBorders>
              <w:bottom w:val="single" w:sz="8" w:color="0070C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auto"/>
              </w:rPr>
              <w:t>3,777</w:t>
            </w:r>
          </w:p>
        </w:tc>
        <w:tc>
          <w:tcPr>
            <w:tcW w:w="4760" w:type="dxa"/>
            <w:vAlign w:val="bottom"/>
            <w:tcBorders>
              <w:bottom w:val="single" w:sz="8" w:color="0070C0"/>
            </w:tcBorders>
          </w:tcPr>
          <w:p>
            <w:pPr>
              <w:ind w:left="400"/>
              <w:spacing w:after="0" w:line="196" w:lineRule="exact"/>
              <w:rPr>
                <w:sz w:val="20"/>
                <w:szCs w:val="20"/>
                <w:color w:val="auto"/>
              </w:rPr>
            </w:pPr>
            <w:r>
              <w:rPr>
                <w:rFonts w:ascii="Arial" w:cs="Arial" w:eastAsia="Arial" w:hAnsi="Arial"/>
                <w:sz w:val="18"/>
                <w:szCs w:val="18"/>
                <w:color w:val="auto"/>
              </w:rPr>
              <w:t>Griffon Corporation</w:t>
            </w:r>
          </w:p>
        </w:tc>
        <w:tc>
          <w:tcPr>
            <w:tcW w:w="1260" w:type="dxa"/>
            <w:vAlign w:val="bottom"/>
            <w:tcBorders>
              <w:bottom w:val="single" w:sz="8" w:color="0070C0"/>
            </w:tcBorders>
            <w:shd w:val="clear" w:color="auto" w:fill="E5E5E5"/>
          </w:tcPr>
          <w:p>
            <w:pPr>
              <w:ind w:left="560"/>
              <w:spacing w:after="0" w:line="196" w:lineRule="exact"/>
              <w:rPr>
                <w:sz w:val="20"/>
                <w:szCs w:val="20"/>
                <w:color w:val="auto"/>
              </w:rPr>
            </w:pPr>
            <w:r>
              <w:rPr>
                <w:rFonts w:ascii="Arial" w:cs="Arial" w:eastAsia="Arial" w:hAnsi="Arial"/>
                <w:sz w:val="18"/>
                <w:szCs w:val="18"/>
                <w:color w:val="auto"/>
              </w:rPr>
              <w:t>2,906</w:t>
            </w:r>
          </w:p>
        </w:tc>
      </w:tr>
      <w:tr>
        <w:trPr>
          <w:trHeight w:val="196"/>
        </w:trPr>
        <w:tc>
          <w:tcPr>
            <w:tcW w:w="3740" w:type="dxa"/>
            <w:vAlign w:val="bottom"/>
            <w:tcBorders>
              <w:bottom w:val="single" w:sz="8" w:color="0070C0"/>
            </w:tcBorders>
          </w:tcPr>
          <w:p>
            <w:pPr>
              <w:spacing w:after="0" w:line="196" w:lineRule="exact"/>
              <w:rPr>
                <w:sz w:val="20"/>
                <w:szCs w:val="20"/>
                <w:color w:val="auto"/>
              </w:rPr>
            </w:pPr>
            <w:r>
              <w:rPr>
                <w:rFonts w:ascii="Arial" w:cs="Arial" w:eastAsia="Arial" w:hAnsi="Arial"/>
                <w:sz w:val="18"/>
                <w:szCs w:val="18"/>
                <w:color w:val="auto"/>
              </w:rPr>
              <w:t>Armstrong World Industries, Inc.</w:t>
            </w:r>
          </w:p>
        </w:tc>
        <w:tc>
          <w:tcPr>
            <w:tcW w:w="1260" w:type="dxa"/>
            <w:vAlign w:val="bottom"/>
            <w:tcBorders>
              <w:bottom w:val="single" w:sz="8" w:color="0070C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auto"/>
              </w:rPr>
              <w:t>3,132</w:t>
            </w:r>
          </w:p>
        </w:tc>
        <w:tc>
          <w:tcPr>
            <w:tcW w:w="4760" w:type="dxa"/>
            <w:vAlign w:val="bottom"/>
            <w:tcBorders>
              <w:bottom w:val="single" w:sz="8" w:color="0070C0"/>
            </w:tcBorders>
          </w:tcPr>
          <w:p>
            <w:pPr>
              <w:ind w:left="400"/>
              <w:spacing w:after="0" w:line="196" w:lineRule="exact"/>
              <w:rPr>
                <w:sz w:val="20"/>
                <w:szCs w:val="20"/>
                <w:color w:val="auto"/>
              </w:rPr>
            </w:pPr>
            <w:r>
              <w:rPr>
                <w:rFonts w:ascii="Arial" w:cs="Arial" w:eastAsia="Arial" w:hAnsi="Arial"/>
                <w:sz w:val="18"/>
                <w:szCs w:val="18"/>
                <w:color w:val="auto"/>
              </w:rPr>
              <w:t>Masonite International Corporation</w:t>
            </w:r>
          </w:p>
        </w:tc>
        <w:tc>
          <w:tcPr>
            <w:tcW w:w="1260" w:type="dxa"/>
            <w:vAlign w:val="bottom"/>
            <w:tcBorders>
              <w:bottom w:val="single" w:sz="8" w:color="0070C0"/>
            </w:tcBorders>
            <w:shd w:val="clear" w:color="auto" w:fill="E5E5E5"/>
          </w:tcPr>
          <w:p>
            <w:pPr>
              <w:ind w:left="560"/>
              <w:spacing w:after="0" w:line="196" w:lineRule="exact"/>
              <w:rPr>
                <w:sz w:val="20"/>
                <w:szCs w:val="20"/>
                <w:color w:val="auto"/>
              </w:rPr>
            </w:pPr>
            <w:r>
              <w:rPr>
                <w:rFonts w:ascii="Arial" w:cs="Arial" w:eastAsia="Arial" w:hAnsi="Arial"/>
                <w:sz w:val="18"/>
                <w:szCs w:val="18"/>
                <w:color w:val="auto"/>
              </w:rPr>
              <w:t>2,892</w:t>
            </w:r>
          </w:p>
        </w:tc>
      </w:tr>
      <w:tr>
        <w:trPr>
          <w:trHeight w:val="196"/>
        </w:trPr>
        <w:tc>
          <w:tcPr>
            <w:tcW w:w="3740" w:type="dxa"/>
            <w:vAlign w:val="bottom"/>
            <w:tcBorders>
              <w:bottom w:val="single" w:sz="8" w:color="0070C0"/>
            </w:tcBorders>
          </w:tcPr>
          <w:p>
            <w:pPr>
              <w:spacing w:after="0" w:line="196" w:lineRule="exact"/>
              <w:rPr>
                <w:sz w:val="20"/>
                <w:szCs w:val="20"/>
                <w:color w:val="auto"/>
              </w:rPr>
            </w:pPr>
            <w:r>
              <w:rPr>
                <w:rFonts w:ascii="Arial" w:cs="Arial" w:eastAsia="Arial" w:hAnsi="Arial"/>
                <w:sz w:val="18"/>
                <w:szCs w:val="18"/>
                <w:color w:val="auto"/>
              </w:rPr>
              <w:t>The AZEK Company Inc.</w:t>
            </w:r>
          </w:p>
        </w:tc>
        <w:tc>
          <w:tcPr>
            <w:tcW w:w="1260" w:type="dxa"/>
            <w:vAlign w:val="bottom"/>
            <w:tcBorders>
              <w:bottom w:val="single" w:sz="8" w:color="0070C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auto"/>
              </w:rPr>
              <w:t>3,069</w:t>
            </w:r>
          </w:p>
        </w:tc>
        <w:tc>
          <w:tcPr>
            <w:tcW w:w="4760" w:type="dxa"/>
            <w:vAlign w:val="bottom"/>
            <w:tcBorders>
              <w:bottom w:val="single" w:sz="8" w:color="0070C0"/>
            </w:tcBorders>
          </w:tcPr>
          <w:p>
            <w:pPr>
              <w:ind w:left="400"/>
              <w:spacing w:after="0" w:line="196" w:lineRule="exact"/>
              <w:rPr>
                <w:sz w:val="20"/>
                <w:szCs w:val="20"/>
                <w:color w:val="auto"/>
              </w:rPr>
            </w:pPr>
            <w:r>
              <w:rPr>
                <w:rFonts w:ascii="Arial" w:cs="Arial" w:eastAsia="Arial" w:hAnsi="Arial"/>
                <w:sz w:val="18"/>
                <w:szCs w:val="18"/>
                <w:color w:val="auto"/>
              </w:rPr>
              <w:t>Skyline Champion Corporation</w:t>
            </w:r>
          </w:p>
        </w:tc>
        <w:tc>
          <w:tcPr>
            <w:tcW w:w="1260" w:type="dxa"/>
            <w:vAlign w:val="bottom"/>
            <w:tcBorders>
              <w:bottom w:val="single" w:sz="8" w:color="0070C0"/>
            </w:tcBorders>
            <w:shd w:val="clear" w:color="auto" w:fill="E5E5E5"/>
          </w:tcPr>
          <w:p>
            <w:pPr>
              <w:ind w:left="560"/>
              <w:spacing w:after="0" w:line="196" w:lineRule="exact"/>
              <w:rPr>
                <w:sz w:val="20"/>
                <w:szCs w:val="20"/>
                <w:color w:val="auto"/>
              </w:rPr>
            </w:pPr>
            <w:r>
              <w:rPr>
                <w:rFonts w:ascii="Arial" w:cs="Arial" w:eastAsia="Arial" w:hAnsi="Arial"/>
                <w:sz w:val="18"/>
                <w:szCs w:val="18"/>
                <w:color w:val="auto"/>
              </w:rPr>
              <w:t>2,753</w:t>
            </w:r>
          </w:p>
        </w:tc>
      </w:tr>
      <w:tr>
        <w:trPr>
          <w:trHeight w:val="196"/>
        </w:trPr>
        <w:tc>
          <w:tcPr>
            <w:tcW w:w="3740" w:type="dxa"/>
            <w:vAlign w:val="bottom"/>
            <w:tcBorders>
              <w:bottom w:val="single" w:sz="8" w:color="0070C0"/>
            </w:tcBorders>
          </w:tcPr>
          <w:p>
            <w:pPr>
              <w:spacing w:after="0" w:line="196" w:lineRule="exact"/>
              <w:rPr>
                <w:sz w:val="20"/>
                <w:szCs w:val="20"/>
                <w:color w:val="auto"/>
              </w:rPr>
            </w:pPr>
            <w:r>
              <w:rPr>
                <w:rFonts w:ascii="Arial" w:cs="Arial" w:eastAsia="Arial" w:hAnsi="Arial"/>
                <w:sz w:val="18"/>
                <w:szCs w:val="18"/>
                <w:color w:val="auto"/>
              </w:rPr>
              <w:t>Skyline Champion Corporation</w:t>
            </w:r>
          </w:p>
        </w:tc>
        <w:tc>
          <w:tcPr>
            <w:tcW w:w="1260" w:type="dxa"/>
            <w:vAlign w:val="bottom"/>
            <w:tcBorders>
              <w:bottom w:val="single" w:sz="8" w:color="0070C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auto"/>
              </w:rPr>
              <w:t>2,932</w:t>
            </w:r>
          </w:p>
        </w:tc>
        <w:tc>
          <w:tcPr>
            <w:tcW w:w="4760" w:type="dxa"/>
            <w:vAlign w:val="bottom"/>
            <w:tcBorders>
              <w:bottom w:val="single" w:sz="8" w:color="0070C0"/>
            </w:tcBorders>
          </w:tcPr>
          <w:p>
            <w:pPr>
              <w:ind w:left="400"/>
              <w:spacing w:after="0" w:line="196" w:lineRule="exact"/>
              <w:rPr>
                <w:sz w:val="20"/>
                <w:szCs w:val="20"/>
                <w:color w:val="auto"/>
              </w:rPr>
            </w:pPr>
            <w:r>
              <w:rPr>
                <w:rFonts w:ascii="Arial" w:cs="Arial" w:eastAsia="Arial" w:hAnsi="Arial"/>
                <w:sz w:val="18"/>
                <w:szCs w:val="18"/>
                <w:b w:val="1"/>
                <w:bCs w:val="1"/>
                <w:color w:val="0070C0"/>
              </w:rPr>
              <w:t>Installed Building Products, Inc.</w:t>
            </w:r>
          </w:p>
        </w:tc>
        <w:tc>
          <w:tcPr>
            <w:tcW w:w="1260" w:type="dxa"/>
            <w:vAlign w:val="bottom"/>
            <w:tcBorders>
              <w:bottom w:val="single" w:sz="8" w:color="0070C0"/>
            </w:tcBorders>
            <w:shd w:val="clear" w:color="auto" w:fill="E5E5E5"/>
          </w:tcPr>
          <w:p>
            <w:pPr>
              <w:ind w:left="560"/>
              <w:spacing w:after="0" w:line="196" w:lineRule="exact"/>
              <w:rPr>
                <w:sz w:val="20"/>
                <w:szCs w:val="20"/>
                <w:color w:val="auto"/>
              </w:rPr>
            </w:pPr>
            <w:r>
              <w:rPr>
                <w:rFonts w:ascii="Arial" w:cs="Arial" w:eastAsia="Arial" w:hAnsi="Arial"/>
                <w:sz w:val="18"/>
                <w:szCs w:val="18"/>
                <w:b w:val="1"/>
                <w:bCs w:val="1"/>
                <w:color w:val="0070C0"/>
              </w:rPr>
              <w:t>2,670</w:t>
            </w:r>
          </w:p>
        </w:tc>
      </w:tr>
      <w:tr>
        <w:trPr>
          <w:trHeight w:val="196"/>
        </w:trPr>
        <w:tc>
          <w:tcPr>
            <w:tcW w:w="3740" w:type="dxa"/>
            <w:vAlign w:val="bottom"/>
            <w:tcBorders>
              <w:bottom w:val="single" w:sz="8" w:color="0070C0"/>
            </w:tcBorders>
          </w:tcPr>
          <w:p>
            <w:pPr>
              <w:spacing w:after="0" w:line="196" w:lineRule="exact"/>
              <w:rPr>
                <w:sz w:val="20"/>
                <w:szCs w:val="20"/>
                <w:color w:val="auto"/>
              </w:rPr>
            </w:pPr>
            <w:r>
              <w:rPr>
                <w:rFonts w:ascii="Arial" w:cs="Arial" w:eastAsia="Arial" w:hAnsi="Arial"/>
                <w:sz w:val="18"/>
                <w:szCs w:val="18"/>
                <w:b w:val="1"/>
                <w:bCs w:val="1"/>
                <w:color w:val="0070C0"/>
              </w:rPr>
              <w:t>Installed Building Products, Inc.</w:t>
            </w:r>
          </w:p>
        </w:tc>
        <w:tc>
          <w:tcPr>
            <w:tcW w:w="1260" w:type="dxa"/>
            <w:vAlign w:val="bottom"/>
            <w:tcBorders>
              <w:bottom w:val="single" w:sz="8" w:color="0070C0"/>
            </w:tcBorders>
            <w:shd w:val="clear" w:color="auto" w:fill="E5E5E5"/>
          </w:tcPr>
          <w:p>
            <w:pPr>
              <w:jc w:val="right"/>
              <w:ind w:right="150"/>
              <w:spacing w:after="0" w:line="196" w:lineRule="exact"/>
              <w:rPr>
                <w:sz w:val="20"/>
                <w:szCs w:val="20"/>
                <w:color w:val="auto"/>
              </w:rPr>
            </w:pPr>
            <w:r>
              <w:rPr>
                <w:rFonts w:ascii="Arial" w:cs="Arial" w:eastAsia="Arial" w:hAnsi="Arial"/>
                <w:sz w:val="18"/>
                <w:szCs w:val="18"/>
                <w:b w:val="1"/>
                <w:bCs w:val="1"/>
                <w:color w:val="0070C0"/>
              </w:rPr>
              <w:t>2,448</w:t>
            </w:r>
          </w:p>
        </w:tc>
        <w:tc>
          <w:tcPr>
            <w:tcW w:w="4760" w:type="dxa"/>
            <w:vAlign w:val="bottom"/>
            <w:tcBorders>
              <w:bottom w:val="single" w:sz="8" w:color="0070C0"/>
            </w:tcBorders>
          </w:tcPr>
          <w:p>
            <w:pPr>
              <w:ind w:left="400"/>
              <w:spacing w:after="0" w:line="196" w:lineRule="exact"/>
              <w:rPr>
                <w:sz w:val="20"/>
                <w:szCs w:val="20"/>
                <w:color w:val="auto"/>
              </w:rPr>
            </w:pPr>
            <w:r>
              <w:rPr>
                <w:rFonts w:ascii="Arial" w:cs="Arial" w:eastAsia="Arial" w:hAnsi="Arial"/>
                <w:sz w:val="18"/>
                <w:szCs w:val="18"/>
                <w:color w:val="auto"/>
              </w:rPr>
              <w:t>LGI Homes, Inc.</w:t>
            </w:r>
          </w:p>
        </w:tc>
        <w:tc>
          <w:tcPr>
            <w:tcW w:w="1260" w:type="dxa"/>
            <w:vAlign w:val="bottom"/>
            <w:tcBorders>
              <w:bottom w:val="single" w:sz="8" w:color="0070C0"/>
            </w:tcBorders>
            <w:shd w:val="clear" w:color="auto" w:fill="E5E5E5"/>
          </w:tcPr>
          <w:p>
            <w:pPr>
              <w:ind w:left="560"/>
              <w:spacing w:after="0" w:line="196" w:lineRule="exact"/>
              <w:rPr>
                <w:sz w:val="20"/>
                <w:szCs w:val="20"/>
                <w:color w:val="auto"/>
              </w:rPr>
            </w:pPr>
            <w:r>
              <w:rPr>
                <w:rFonts w:ascii="Arial" w:cs="Arial" w:eastAsia="Arial" w:hAnsi="Arial"/>
                <w:sz w:val="18"/>
                <w:szCs w:val="18"/>
                <w:color w:val="auto"/>
              </w:rPr>
              <w:t>2,304</w:t>
            </w:r>
          </w:p>
        </w:tc>
      </w:tr>
      <w:tr>
        <w:trPr>
          <w:trHeight w:val="196"/>
        </w:trPr>
        <w:tc>
          <w:tcPr>
            <w:tcW w:w="3740" w:type="dxa"/>
            <w:vAlign w:val="bottom"/>
            <w:tcBorders>
              <w:bottom w:val="single" w:sz="8" w:color="0070C0"/>
            </w:tcBorders>
          </w:tcPr>
          <w:p>
            <w:pPr>
              <w:spacing w:after="0" w:line="196" w:lineRule="exact"/>
              <w:rPr>
                <w:sz w:val="20"/>
                <w:szCs w:val="20"/>
                <w:color w:val="auto"/>
              </w:rPr>
            </w:pPr>
            <w:r>
              <w:rPr>
                <w:rFonts w:ascii="Arial" w:cs="Arial" w:eastAsia="Arial" w:hAnsi="Arial"/>
                <w:sz w:val="18"/>
                <w:szCs w:val="18"/>
                <w:color w:val="auto"/>
              </w:rPr>
              <w:t>LGI Homes, Inc.</w:t>
            </w:r>
          </w:p>
        </w:tc>
        <w:tc>
          <w:tcPr>
            <w:tcW w:w="1260" w:type="dxa"/>
            <w:vAlign w:val="bottom"/>
            <w:tcBorders>
              <w:bottom w:val="single" w:sz="8" w:color="0070C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auto"/>
              </w:rPr>
              <w:t>2,157</w:t>
            </w:r>
          </w:p>
        </w:tc>
        <w:tc>
          <w:tcPr>
            <w:tcW w:w="4760" w:type="dxa"/>
            <w:vAlign w:val="bottom"/>
            <w:tcBorders>
              <w:bottom w:val="single" w:sz="8" w:color="0070C0"/>
            </w:tcBorders>
          </w:tcPr>
          <w:p>
            <w:pPr>
              <w:ind w:left="400"/>
              <w:spacing w:after="0" w:line="196" w:lineRule="exact"/>
              <w:rPr>
                <w:sz w:val="20"/>
                <w:szCs w:val="20"/>
                <w:color w:val="auto"/>
              </w:rPr>
            </w:pPr>
            <w:r>
              <w:rPr>
                <w:rFonts w:ascii="Arial" w:cs="Arial" w:eastAsia="Arial" w:hAnsi="Arial"/>
                <w:sz w:val="18"/>
                <w:szCs w:val="18"/>
                <w:color w:val="auto"/>
              </w:rPr>
              <w:t>Cavco Industries, Inc.</w:t>
            </w:r>
          </w:p>
        </w:tc>
        <w:tc>
          <w:tcPr>
            <w:tcW w:w="1260" w:type="dxa"/>
            <w:vAlign w:val="bottom"/>
            <w:tcBorders>
              <w:bottom w:val="single" w:sz="8" w:color="0070C0"/>
            </w:tcBorders>
            <w:shd w:val="clear" w:color="auto" w:fill="E5E5E5"/>
          </w:tcPr>
          <w:p>
            <w:pPr>
              <w:ind w:left="560"/>
              <w:spacing w:after="0" w:line="196" w:lineRule="exact"/>
              <w:rPr>
                <w:sz w:val="20"/>
                <w:szCs w:val="20"/>
                <w:color w:val="auto"/>
              </w:rPr>
            </w:pPr>
            <w:r>
              <w:rPr>
                <w:rFonts w:ascii="Arial" w:cs="Arial" w:eastAsia="Arial" w:hAnsi="Arial"/>
                <w:sz w:val="18"/>
                <w:szCs w:val="18"/>
                <w:color w:val="auto"/>
              </w:rPr>
              <w:t>2,172</w:t>
            </w:r>
          </w:p>
        </w:tc>
      </w:tr>
      <w:tr>
        <w:trPr>
          <w:trHeight w:val="196"/>
        </w:trPr>
        <w:tc>
          <w:tcPr>
            <w:tcW w:w="3740" w:type="dxa"/>
            <w:vAlign w:val="bottom"/>
            <w:tcBorders>
              <w:bottom w:val="single" w:sz="8" w:color="0070C0"/>
            </w:tcBorders>
          </w:tcPr>
          <w:p>
            <w:pPr>
              <w:spacing w:after="0" w:line="196" w:lineRule="exact"/>
              <w:rPr>
                <w:sz w:val="20"/>
                <w:szCs w:val="20"/>
                <w:color w:val="auto"/>
              </w:rPr>
            </w:pPr>
            <w:r>
              <w:rPr>
                <w:rFonts w:ascii="Arial" w:cs="Arial" w:eastAsia="Arial" w:hAnsi="Arial"/>
                <w:sz w:val="18"/>
                <w:szCs w:val="18"/>
                <w:color w:val="auto"/>
              </w:rPr>
              <w:t>Griffon Corporation</w:t>
            </w:r>
          </w:p>
        </w:tc>
        <w:tc>
          <w:tcPr>
            <w:tcW w:w="1260" w:type="dxa"/>
            <w:vAlign w:val="bottom"/>
            <w:tcBorders>
              <w:bottom w:val="single" w:sz="8" w:color="0070C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auto"/>
              </w:rPr>
              <w:t>2,042</w:t>
            </w:r>
          </w:p>
        </w:tc>
        <w:tc>
          <w:tcPr>
            <w:tcW w:w="4760" w:type="dxa"/>
            <w:vAlign w:val="bottom"/>
            <w:tcBorders>
              <w:bottom w:val="single" w:sz="8" w:color="0070C0"/>
            </w:tcBorders>
          </w:tcPr>
          <w:p>
            <w:pPr>
              <w:ind w:left="400"/>
              <w:spacing w:after="0" w:line="196" w:lineRule="exact"/>
              <w:rPr>
                <w:sz w:val="20"/>
                <w:szCs w:val="20"/>
                <w:color w:val="auto"/>
              </w:rPr>
            </w:pPr>
            <w:r>
              <w:rPr>
                <w:rFonts w:ascii="Arial" w:cs="Arial" w:eastAsia="Arial" w:hAnsi="Arial"/>
                <w:sz w:val="18"/>
                <w:szCs w:val="18"/>
                <w:color w:val="auto"/>
              </w:rPr>
              <w:t>Simpson Manufacturing Co., Inc.</w:t>
            </w:r>
          </w:p>
        </w:tc>
        <w:tc>
          <w:tcPr>
            <w:tcW w:w="1260" w:type="dxa"/>
            <w:vAlign w:val="bottom"/>
            <w:tcBorders>
              <w:bottom w:val="single" w:sz="8" w:color="0070C0"/>
            </w:tcBorders>
            <w:shd w:val="clear" w:color="auto" w:fill="E5E5E5"/>
          </w:tcPr>
          <w:p>
            <w:pPr>
              <w:ind w:left="580"/>
              <w:spacing w:after="0" w:line="196" w:lineRule="exact"/>
              <w:rPr>
                <w:sz w:val="20"/>
                <w:szCs w:val="20"/>
                <w:color w:val="auto"/>
              </w:rPr>
            </w:pPr>
            <w:r>
              <w:rPr>
                <w:rFonts w:ascii="Arial" w:cs="Arial" w:eastAsia="Arial" w:hAnsi="Arial"/>
                <w:sz w:val="18"/>
                <w:szCs w:val="18"/>
                <w:color w:val="auto"/>
              </w:rPr>
              <w:t>2,116</w:t>
            </w:r>
          </w:p>
        </w:tc>
      </w:tr>
      <w:tr>
        <w:trPr>
          <w:trHeight w:val="196"/>
        </w:trPr>
        <w:tc>
          <w:tcPr>
            <w:tcW w:w="3740" w:type="dxa"/>
            <w:vAlign w:val="bottom"/>
            <w:tcBorders>
              <w:bottom w:val="single" w:sz="8" w:color="0070C0"/>
            </w:tcBorders>
          </w:tcPr>
          <w:p>
            <w:pPr>
              <w:spacing w:after="0" w:line="196" w:lineRule="exact"/>
              <w:rPr>
                <w:sz w:val="20"/>
                <w:szCs w:val="20"/>
                <w:color w:val="auto"/>
              </w:rPr>
            </w:pPr>
            <w:r>
              <w:rPr>
                <w:rFonts w:ascii="Arial" w:cs="Arial" w:eastAsia="Arial" w:hAnsi="Arial"/>
                <w:sz w:val="18"/>
                <w:szCs w:val="18"/>
                <w:color w:val="auto"/>
              </w:rPr>
              <w:t>Cavco Industries, Inc.</w:t>
            </w:r>
          </w:p>
        </w:tc>
        <w:tc>
          <w:tcPr>
            <w:tcW w:w="1260" w:type="dxa"/>
            <w:vAlign w:val="bottom"/>
            <w:tcBorders>
              <w:bottom w:val="single" w:sz="8" w:color="0070C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auto"/>
              </w:rPr>
              <w:t>2,016</w:t>
            </w:r>
          </w:p>
        </w:tc>
        <w:tc>
          <w:tcPr>
            <w:tcW w:w="4760" w:type="dxa"/>
            <w:vAlign w:val="bottom"/>
            <w:tcBorders>
              <w:bottom w:val="single" w:sz="8" w:color="0070C0"/>
            </w:tcBorders>
          </w:tcPr>
          <w:p>
            <w:pPr>
              <w:ind w:left="400"/>
              <w:spacing w:after="0" w:line="196" w:lineRule="exact"/>
              <w:rPr>
                <w:sz w:val="20"/>
                <w:szCs w:val="20"/>
                <w:color w:val="auto"/>
              </w:rPr>
            </w:pPr>
            <w:r>
              <w:rPr>
                <w:rFonts w:ascii="Arial" w:cs="Arial" w:eastAsia="Arial" w:hAnsi="Arial"/>
                <w:sz w:val="18"/>
                <w:szCs w:val="18"/>
                <w:color w:val="auto"/>
              </w:rPr>
              <w:t>Eagle Materials Inc.</w:t>
            </w:r>
          </w:p>
        </w:tc>
        <w:tc>
          <w:tcPr>
            <w:tcW w:w="1260" w:type="dxa"/>
            <w:vAlign w:val="bottom"/>
            <w:tcBorders>
              <w:bottom w:val="single" w:sz="8" w:color="0070C0"/>
            </w:tcBorders>
            <w:shd w:val="clear" w:color="auto" w:fill="E5E5E5"/>
          </w:tcPr>
          <w:p>
            <w:pPr>
              <w:ind w:left="560"/>
              <w:spacing w:after="0" w:line="196" w:lineRule="exact"/>
              <w:rPr>
                <w:sz w:val="20"/>
                <w:szCs w:val="20"/>
                <w:color w:val="auto"/>
              </w:rPr>
            </w:pPr>
            <w:r>
              <w:rPr>
                <w:rFonts w:ascii="Arial" w:cs="Arial" w:eastAsia="Arial" w:hAnsi="Arial"/>
                <w:sz w:val="18"/>
                <w:szCs w:val="18"/>
                <w:color w:val="auto"/>
              </w:rPr>
              <w:t>2,091</w:t>
            </w:r>
          </w:p>
        </w:tc>
      </w:tr>
      <w:tr>
        <w:trPr>
          <w:trHeight w:val="196"/>
        </w:trPr>
        <w:tc>
          <w:tcPr>
            <w:tcW w:w="3740" w:type="dxa"/>
            <w:vAlign w:val="bottom"/>
            <w:tcBorders>
              <w:bottom w:val="single" w:sz="8" w:color="0070C0"/>
            </w:tcBorders>
          </w:tcPr>
          <w:p>
            <w:pPr>
              <w:spacing w:after="0" w:line="196" w:lineRule="exact"/>
              <w:rPr>
                <w:sz w:val="20"/>
                <w:szCs w:val="20"/>
                <w:color w:val="auto"/>
              </w:rPr>
            </w:pPr>
            <w:r>
              <w:rPr>
                <w:rFonts w:ascii="Arial" w:cs="Arial" w:eastAsia="Arial" w:hAnsi="Arial"/>
                <w:sz w:val="18"/>
                <w:szCs w:val="18"/>
                <w:color w:val="auto"/>
              </w:rPr>
              <w:t>Tri Pointe Homes, Inc.</w:t>
            </w:r>
          </w:p>
        </w:tc>
        <w:tc>
          <w:tcPr>
            <w:tcW w:w="1260" w:type="dxa"/>
            <w:vAlign w:val="bottom"/>
            <w:tcBorders>
              <w:bottom w:val="single" w:sz="8" w:color="0070C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auto"/>
              </w:rPr>
              <w:t>1,876</w:t>
            </w:r>
          </w:p>
        </w:tc>
        <w:tc>
          <w:tcPr>
            <w:tcW w:w="4760" w:type="dxa"/>
            <w:vAlign w:val="bottom"/>
            <w:tcBorders>
              <w:bottom w:val="single" w:sz="8" w:color="0070C0"/>
            </w:tcBorders>
          </w:tcPr>
          <w:p>
            <w:pPr>
              <w:ind w:left="400"/>
              <w:spacing w:after="0" w:line="196" w:lineRule="exact"/>
              <w:rPr>
                <w:sz w:val="20"/>
                <w:szCs w:val="20"/>
                <w:color w:val="auto"/>
              </w:rPr>
            </w:pPr>
            <w:r>
              <w:rPr>
                <w:rFonts w:ascii="Arial" w:cs="Arial" w:eastAsia="Arial" w:hAnsi="Arial"/>
                <w:sz w:val="18"/>
                <w:szCs w:val="18"/>
                <w:color w:val="auto"/>
              </w:rPr>
              <w:t>PGT Innovations, Inc.</w:t>
            </w:r>
          </w:p>
        </w:tc>
        <w:tc>
          <w:tcPr>
            <w:tcW w:w="1260" w:type="dxa"/>
            <w:vAlign w:val="bottom"/>
            <w:tcBorders>
              <w:bottom w:val="single" w:sz="8" w:color="0070C0"/>
            </w:tcBorders>
            <w:shd w:val="clear" w:color="auto" w:fill="E5E5E5"/>
          </w:tcPr>
          <w:p>
            <w:pPr>
              <w:ind w:left="560"/>
              <w:spacing w:after="0" w:line="196" w:lineRule="exact"/>
              <w:rPr>
                <w:sz w:val="20"/>
                <w:szCs w:val="20"/>
                <w:color w:val="auto"/>
              </w:rPr>
            </w:pPr>
            <w:r>
              <w:rPr>
                <w:rFonts w:ascii="Arial" w:cs="Arial" w:eastAsia="Arial" w:hAnsi="Arial"/>
                <w:sz w:val="18"/>
                <w:szCs w:val="18"/>
                <w:color w:val="auto"/>
              </w:rPr>
              <w:t>1,492</w:t>
            </w:r>
          </w:p>
        </w:tc>
      </w:tr>
      <w:tr>
        <w:trPr>
          <w:trHeight w:val="196"/>
        </w:trPr>
        <w:tc>
          <w:tcPr>
            <w:tcW w:w="3740" w:type="dxa"/>
            <w:vAlign w:val="bottom"/>
            <w:tcBorders>
              <w:bottom w:val="single" w:sz="8" w:color="0070C0"/>
            </w:tcBorders>
          </w:tcPr>
          <w:p>
            <w:pPr>
              <w:spacing w:after="0" w:line="196" w:lineRule="exact"/>
              <w:rPr>
                <w:sz w:val="20"/>
                <w:szCs w:val="20"/>
                <w:color w:val="auto"/>
              </w:rPr>
            </w:pPr>
            <w:r>
              <w:rPr>
                <w:rFonts w:ascii="Arial" w:cs="Arial" w:eastAsia="Arial" w:hAnsi="Arial"/>
                <w:sz w:val="18"/>
                <w:szCs w:val="18"/>
                <w:color w:val="auto"/>
              </w:rPr>
              <w:t>Masonite International Corporation</w:t>
            </w:r>
          </w:p>
        </w:tc>
        <w:tc>
          <w:tcPr>
            <w:tcW w:w="1260" w:type="dxa"/>
            <w:vAlign w:val="bottom"/>
            <w:tcBorders>
              <w:bottom w:val="single" w:sz="8" w:color="0070C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auto"/>
              </w:rPr>
              <w:t>1,796</w:t>
            </w:r>
          </w:p>
        </w:tc>
        <w:tc>
          <w:tcPr>
            <w:tcW w:w="4760" w:type="dxa"/>
            <w:vAlign w:val="bottom"/>
            <w:tcBorders>
              <w:bottom w:val="single" w:sz="8" w:color="0070C0"/>
            </w:tcBorders>
          </w:tcPr>
          <w:p>
            <w:pPr>
              <w:ind w:left="400"/>
              <w:spacing w:after="0" w:line="196" w:lineRule="exact"/>
              <w:rPr>
                <w:sz w:val="20"/>
                <w:szCs w:val="20"/>
                <w:color w:val="auto"/>
              </w:rPr>
            </w:pPr>
            <w:r>
              <w:rPr>
                <w:rFonts w:ascii="Arial" w:cs="Arial" w:eastAsia="Arial" w:hAnsi="Arial"/>
                <w:sz w:val="18"/>
                <w:szCs w:val="18"/>
                <w:color w:val="auto"/>
              </w:rPr>
              <w:t>Apogee Enterprises, Inc.</w:t>
            </w:r>
          </w:p>
        </w:tc>
        <w:tc>
          <w:tcPr>
            <w:tcW w:w="1260" w:type="dxa"/>
            <w:vAlign w:val="bottom"/>
            <w:tcBorders>
              <w:bottom w:val="single" w:sz="8" w:color="0070C0"/>
            </w:tcBorders>
            <w:shd w:val="clear" w:color="auto" w:fill="E5E5E5"/>
          </w:tcPr>
          <w:p>
            <w:pPr>
              <w:ind w:left="560"/>
              <w:spacing w:after="0" w:line="196" w:lineRule="exact"/>
              <w:rPr>
                <w:sz w:val="20"/>
                <w:szCs w:val="20"/>
                <w:color w:val="auto"/>
              </w:rPr>
            </w:pPr>
            <w:r>
              <w:rPr>
                <w:rFonts w:ascii="Arial" w:cs="Arial" w:eastAsia="Arial" w:hAnsi="Arial"/>
                <w:sz w:val="18"/>
                <w:szCs w:val="18"/>
                <w:color w:val="auto"/>
              </w:rPr>
              <w:t>1,425</w:t>
            </w:r>
          </w:p>
        </w:tc>
      </w:tr>
      <w:tr>
        <w:trPr>
          <w:trHeight w:val="196"/>
        </w:trPr>
        <w:tc>
          <w:tcPr>
            <w:tcW w:w="3740" w:type="dxa"/>
            <w:vAlign w:val="bottom"/>
            <w:tcBorders>
              <w:bottom w:val="single" w:sz="8" w:color="0070C0"/>
            </w:tcBorders>
          </w:tcPr>
          <w:p>
            <w:pPr>
              <w:spacing w:after="0" w:line="196" w:lineRule="exact"/>
              <w:rPr>
                <w:sz w:val="20"/>
                <w:szCs w:val="20"/>
                <w:color w:val="auto"/>
              </w:rPr>
            </w:pPr>
            <w:r>
              <w:rPr>
                <w:rFonts w:ascii="Arial" w:cs="Arial" w:eastAsia="Arial" w:hAnsi="Arial"/>
                <w:sz w:val="18"/>
                <w:szCs w:val="18"/>
                <w:color w:val="auto"/>
              </w:rPr>
              <w:t>Gibraltar Industries, Inc.</w:t>
            </w:r>
          </w:p>
        </w:tc>
        <w:tc>
          <w:tcPr>
            <w:tcW w:w="1260" w:type="dxa"/>
            <w:vAlign w:val="bottom"/>
            <w:tcBorders>
              <w:bottom w:val="single" w:sz="8" w:color="0070C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auto"/>
              </w:rPr>
              <w:t>1,421</w:t>
            </w:r>
          </w:p>
        </w:tc>
        <w:tc>
          <w:tcPr>
            <w:tcW w:w="4760" w:type="dxa"/>
            <w:vAlign w:val="bottom"/>
            <w:tcBorders>
              <w:bottom w:val="single" w:sz="8" w:color="0070C0"/>
            </w:tcBorders>
          </w:tcPr>
          <w:p>
            <w:pPr>
              <w:ind w:left="400"/>
              <w:spacing w:after="0" w:line="196" w:lineRule="exact"/>
              <w:rPr>
                <w:sz w:val="20"/>
                <w:szCs w:val="20"/>
                <w:color w:val="auto"/>
              </w:rPr>
            </w:pPr>
            <w:r>
              <w:rPr>
                <w:rFonts w:ascii="Arial" w:cs="Arial" w:eastAsia="Arial" w:hAnsi="Arial"/>
                <w:sz w:val="18"/>
                <w:szCs w:val="18"/>
                <w:color w:val="auto"/>
              </w:rPr>
              <w:t>Gibraltar Industries, Inc.</w:t>
            </w:r>
          </w:p>
        </w:tc>
        <w:tc>
          <w:tcPr>
            <w:tcW w:w="1260" w:type="dxa"/>
            <w:vAlign w:val="bottom"/>
            <w:tcBorders>
              <w:bottom w:val="single" w:sz="8" w:color="0070C0"/>
            </w:tcBorders>
            <w:shd w:val="clear" w:color="auto" w:fill="E5E5E5"/>
          </w:tcPr>
          <w:p>
            <w:pPr>
              <w:ind w:left="560"/>
              <w:spacing w:after="0" w:line="196" w:lineRule="exact"/>
              <w:rPr>
                <w:sz w:val="20"/>
                <w:szCs w:val="20"/>
                <w:color w:val="auto"/>
              </w:rPr>
            </w:pPr>
            <w:r>
              <w:rPr>
                <w:rFonts w:ascii="Arial" w:cs="Arial" w:eastAsia="Arial" w:hAnsi="Arial"/>
                <w:sz w:val="18"/>
                <w:szCs w:val="18"/>
                <w:color w:val="auto"/>
              </w:rPr>
              <w:t>1,390</w:t>
            </w:r>
          </w:p>
        </w:tc>
      </w:tr>
      <w:tr>
        <w:trPr>
          <w:trHeight w:val="196"/>
        </w:trPr>
        <w:tc>
          <w:tcPr>
            <w:tcW w:w="3740" w:type="dxa"/>
            <w:vAlign w:val="bottom"/>
            <w:tcBorders>
              <w:bottom w:val="single" w:sz="8" w:color="0070C0"/>
            </w:tcBorders>
          </w:tcPr>
          <w:p>
            <w:pPr>
              <w:spacing w:after="0" w:line="196" w:lineRule="exact"/>
              <w:rPr>
                <w:sz w:val="20"/>
                <w:szCs w:val="20"/>
                <w:color w:val="auto"/>
              </w:rPr>
            </w:pPr>
            <w:r>
              <w:rPr>
                <w:rFonts w:ascii="Arial" w:cs="Arial" w:eastAsia="Arial" w:hAnsi="Arial"/>
                <w:sz w:val="18"/>
                <w:szCs w:val="18"/>
                <w:color w:val="auto"/>
              </w:rPr>
              <w:t>M/I Homes, Inc.</w:t>
            </w:r>
          </w:p>
        </w:tc>
        <w:tc>
          <w:tcPr>
            <w:tcW w:w="1260" w:type="dxa"/>
            <w:vAlign w:val="bottom"/>
            <w:tcBorders>
              <w:bottom w:val="single" w:sz="8" w:color="0070C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auto"/>
              </w:rPr>
              <w:t>1,267</w:t>
            </w:r>
          </w:p>
        </w:tc>
        <w:tc>
          <w:tcPr>
            <w:tcW w:w="4760" w:type="dxa"/>
            <w:vAlign w:val="bottom"/>
            <w:tcBorders>
              <w:bottom w:val="single" w:sz="8" w:color="0070C0"/>
            </w:tcBorders>
          </w:tcPr>
          <w:p>
            <w:pPr>
              <w:ind w:left="400"/>
              <w:spacing w:after="0" w:line="196" w:lineRule="exact"/>
              <w:rPr>
                <w:sz w:val="20"/>
                <w:szCs w:val="20"/>
                <w:color w:val="auto"/>
              </w:rPr>
            </w:pPr>
            <w:r>
              <w:rPr>
                <w:rFonts w:ascii="Arial" w:cs="Arial" w:eastAsia="Arial" w:hAnsi="Arial"/>
                <w:sz w:val="18"/>
                <w:szCs w:val="18"/>
                <w:color w:val="auto"/>
              </w:rPr>
              <w:t>The AZEK Company Inc.</w:t>
            </w:r>
          </w:p>
        </w:tc>
        <w:tc>
          <w:tcPr>
            <w:tcW w:w="1260" w:type="dxa"/>
            <w:vAlign w:val="bottom"/>
            <w:tcBorders>
              <w:bottom w:val="single" w:sz="8" w:color="0070C0"/>
            </w:tcBorders>
            <w:shd w:val="clear" w:color="auto" w:fill="E5E5E5"/>
          </w:tcPr>
          <w:p>
            <w:pPr>
              <w:ind w:left="560"/>
              <w:spacing w:after="0" w:line="196" w:lineRule="exact"/>
              <w:rPr>
                <w:sz w:val="20"/>
                <w:szCs w:val="20"/>
                <w:color w:val="auto"/>
              </w:rPr>
            </w:pPr>
            <w:r>
              <w:rPr>
                <w:rFonts w:ascii="Arial" w:cs="Arial" w:eastAsia="Arial" w:hAnsi="Arial"/>
                <w:sz w:val="18"/>
                <w:szCs w:val="18"/>
                <w:color w:val="auto"/>
              </w:rPr>
              <w:t>1,312</w:t>
            </w:r>
          </w:p>
        </w:tc>
      </w:tr>
      <w:tr>
        <w:trPr>
          <w:trHeight w:val="196"/>
        </w:trPr>
        <w:tc>
          <w:tcPr>
            <w:tcW w:w="3740" w:type="dxa"/>
            <w:vAlign w:val="bottom"/>
            <w:tcBorders>
              <w:bottom w:val="single" w:sz="8" w:color="0070C0"/>
            </w:tcBorders>
          </w:tcPr>
          <w:p>
            <w:pPr>
              <w:spacing w:after="0" w:line="196" w:lineRule="exact"/>
              <w:rPr>
                <w:sz w:val="20"/>
                <w:szCs w:val="20"/>
                <w:color w:val="auto"/>
              </w:rPr>
            </w:pPr>
            <w:r>
              <w:rPr>
                <w:rFonts w:ascii="Arial" w:cs="Arial" w:eastAsia="Arial" w:hAnsi="Arial"/>
                <w:sz w:val="18"/>
                <w:szCs w:val="18"/>
                <w:color w:val="auto"/>
              </w:rPr>
              <w:t>PGT Innovations, Inc.</w:t>
            </w:r>
          </w:p>
        </w:tc>
        <w:tc>
          <w:tcPr>
            <w:tcW w:w="1260" w:type="dxa"/>
            <w:vAlign w:val="bottom"/>
            <w:tcBorders>
              <w:bottom w:val="single" w:sz="8" w:color="0070C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auto"/>
              </w:rPr>
              <w:t>1,078</w:t>
            </w:r>
          </w:p>
        </w:tc>
        <w:tc>
          <w:tcPr>
            <w:tcW w:w="4760" w:type="dxa"/>
            <w:vAlign w:val="bottom"/>
            <w:tcBorders>
              <w:bottom w:val="single" w:sz="8" w:color="0070C0"/>
            </w:tcBorders>
          </w:tcPr>
          <w:p>
            <w:pPr>
              <w:ind w:left="400"/>
              <w:spacing w:after="0" w:line="196" w:lineRule="exact"/>
              <w:rPr>
                <w:sz w:val="20"/>
                <w:szCs w:val="20"/>
                <w:color w:val="auto"/>
              </w:rPr>
            </w:pPr>
            <w:r>
              <w:rPr>
                <w:rFonts w:ascii="Arial" w:cs="Arial" w:eastAsia="Arial" w:hAnsi="Arial"/>
                <w:sz w:val="18"/>
                <w:szCs w:val="18"/>
                <w:color w:val="auto"/>
              </w:rPr>
              <w:t>Armstrong World Industries, Inc.</w:t>
            </w:r>
          </w:p>
        </w:tc>
        <w:tc>
          <w:tcPr>
            <w:tcW w:w="1260" w:type="dxa"/>
            <w:vAlign w:val="bottom"/>
            <w:tcBorders>
              <w:bottom w:val="single" w:sz="8" w:color="0070C0"/>
            </w:tcBorders>
            <w:shd w:val="clear" w:color="auto" w:fill="E5E5E5"/>
          </w:tcPr>
          <w:p>
            <w:pPr>
              <w:ind w:left="560"/>
              <w:spacing w:after="0" w:line="196" w:lineRule="exact"/>
              <w:rPr>
                <w:sz w:val="20"/>
                <w:szCs w:val="20"/>
                <w:color w:val="auto"/>
              </w:rPr>
            </w:pPr>
            <w:r>
              <w:rPr>
                <w:rFonts w:ascii="Arial" w:cs="Arial" w:eastAsia="Arial" w:hAnsi="Arial"/>
                <w:sz w:val="18"/>
                <w:szCs w:val="18"/>
                <w:color w:val="auto"/>
              </w:rPr>
              <w:t>1,233</w:t>
            </w:r>
          </w:p>
        </w:tc>
      </w:tr>
      <w:tr>
        <w:trPr>
          <w:trHeight w:val="196"/>
        </w:trPr>
        <w:tc>
          <w:tcPr>
            <w:tcW w:w="3740" w:type="dxa"/>
            <w:vAlign w:val="bottom"/>
            <w:tcBorders>
              <w:bottom w:val="single" w:sz="8" w:color="002060"/>
            </w:tcBorders>
          </w:tcPr>
          <w:p>
            <w:pPr>
              <w:spacing w:after="0" w:line="196" w:lineRule="exact"/>
              <w:rPr>
                <w:sz w:val="20"/>
                <w:szCs w:val="20"/>
                <w:color w:val="auto"/>
              </w:rPr>
            </w:pPr>
            <w:r>
              <w:rPr>
                <w:rFonts w:ascii="Arial" w:cs="Arial" w:eastAsia="Arial" w:hAnsi="Arial"/>
                <w:sz w:val="18"/>
                <w:szCs w:val="18"/>
                <w:color w:val="auto"/>
              </w:rPr>
              <w:t>Apogee Enterprises, Inc.</w:t>
            </w:r>
          </w:p>
        </w:tc>
        <w:tc>
          <w:tcPr>
            <w:tcW w:w="1260" w:type="dxa"/>
            <w:vAlign w:val="bottom"/>
            <w:tcBorders>
              <w:bottom w:val="single" w:sz="8" w:color="00206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auto"/>
              </w:rPr>
              <w:t>988</w:t>
            </w:r>
          </w:p>
        </w:tc>
        <w:tc>
          <w:tcPr>
            <w:tcW w:w="4760" w:type="dxa"/>
            <w:vAlign w:val="bottom"/>
            <w:tcBorders>
              <w:bottom w:val="single" w:sz="8" w:color="002060"/>
            </w:tcBorders>
          </w:tcPr>
          <w:p>
            <w:pPr>
              <w:ind w:left="400"/>
              <w:spacing w:after="0" w:line="196" w:lineRule="exact"/>
              <w:rPr>
                <w:sz w:val="20"/>
                <w:szCs w:val="20"/>
                <w:color w:val="auto"/>
              </w:rPr>
            </w:pPr>
            <w:r>
              <w:rPr>
                <w:rFonts w:ascii="Arial" w:cs="Arial" w:eastAsia="Arial" w:hAnsi="Arial"/>
                <w:sz w:val="18"/>
                <w:szCs w:val="18"/>
                <w:color w:val="auto"/>
              </w:rPr>
              <w:t>Trex Co., Inc.</w:t>
            </w:r>
          </w:p>
        </w:tc>
        <w:tc>
          <w:tcPr>
            <w:tcW w:w="1260" w:type="dxa"/>
            <w:vAlign w:val="bottom"/>
            <w:tcBorders>
              <w:bottom w:val="single" w:sz="8" w:color="002060"/>
            </w:tcBorders>
            <w:shd w:val="clear" w:color="auto" w:fill="E5E5E5"/>
          </w:tcPr>
          <w:p>
            <w:pPr>
              <w:ind w:left="560"/>
              <w:spacing w:after="0" w:line="196" w:lineRule="exact"/>
              <w:rPr>
                <w:sz w:val="20"/>
                <w:szCs w:val="20"/>
                <w:color w:val="auto"/>
              </w:rPr>
            </w:pPr>
            <w:r>
              <w:rPr>
                <w:rFonts w:ascii="Arial" w:cs="Arial" w:eastAsia="Arial" w:hAnsi="Arial"/>
                <w:sz w:val="18"/>
                <w:szCs w:val="18"/>
                <w:color w:val="auto"/>
              </w:rPr>
              <w:t>1,106</w:t>
            </w:r>
          </w:p>
        </w:tc>
      </w:tr>
      <w:tr>
        <w:trPr>
          <w:trHeight w:val="196"/>
        </w:trPr>
        <w:tc>
          <w:tcPr>
            <w:tcW w:w="3740" w:type="dxa"/>
            <w:vAlign w:val="bottom"/>
            <w:tcBorders>
              <w:bottom w:val="single" w:sz="8" w:color="0070C0"/>
            </w:tcBorders>
          </w:tcPr>
          <w:p>
            <w:pPr>
              <w:ind w:left="100"/>
              <w:spacing w:after="0" w:line="196" w:lineRule="exact"/>
              <w:rPr>
                <w:sz w:val="20"/>
                <w:szCs w:val="20"/>
                <w:color w:val="auto"/>
              </w:rPr>
            </w:pPr>
            <w:r>
              <w:rPr>
                <w:rFonts w:ascii="Arial" w:cs="Arial" w:eastAsia="Arial" w:hAnsi="Arial"/>
                <w:sz w:val="18"/>
                <w:szCs w:val="18"/>
                <w:color w:val="002060"/>
              </w:rPr>
              <w:t>Peer Group Median</w:t>
            </w:r>
          </w:p>
        </w:tc>
        <w:tc>
          <w:tcPr>
            <w:tcW w:w="1260" w:type="dxa"/>
            <w:vAlign w:val="bottom"/>
            <w:tcBorders>
              <w:bottom w:val="single" w:sz="8" w:color="0070C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002060"/>
              </w:rPr>
              <w:t>2,157</w:t>
            </w:r>
          </w:p>
        </w:tc>
        <w:tc>
          <w:tcPr>
            <w:tcW w:w="4760" w:type="dxa"/>
            <w:vAlign w:val="bottom"/>
            <w:tcBorders>
              <w:bottom w:val="single" w:sz="8" w:color="0070C0"/>
            </w:tcBorders>
          </w:tcPr>
          <w:p>
            <w:pPr>
              <w:ind w:left="400"/>
              <w:spacing w:after="0" w:line="196" w:lineRule="exact"/>
              <w:rPr>
                <w:sz w:val="20"/>
                <w:szCs w:val="20"/>
                <w:color w:val="auto"/>
              </w:rPr>
            </w:pPr>
            <w:r>
              <w:rPr>
                <w:rFonts w:ascii="Arial" w:cs="Arial" w:eastAsia="Arial" w:hAnsi="Arial"/>
                <w:sz w:val="18"/>
                <w:szCs w:val="18"/>
                <w:color w:val="002060"/>
              </w:rPr>
              <w:t>Peer Group Median</w:t>
            </w:r>
          </w:p>
        </w:tc>
        <w:tc>
          <w:tcPr>
            <w:tcW w:w="1260" w:type="dxa"/>
            <w:vAlign w:val="bottom"/>
            <w:tcBorders>
              <w:bottom w:val="single" w:sz="8" w:color="0070C0"/>
            </w:tcBorders>
            <w:shd w:val="clear" w:color="auto" w:fill="E5E5E5"/>
          </w:tcPr>
          <w:p>
            <w:pPr>
              <w:ind w:left="560"/>
              <w:spacing w:after="0" w:line="196" w:lineRule="exact"/>
              <w:rPr>
                <w:sz w:val="20"/>
                <w:szCs w:val="20"/>
                <w:color w:val="auto"/>
              </w:rPr>
            </w:pPr>
            <w:r>
              <w:rPr>
                <w:rFonts w:ascii="Arial" w:cs="Arial" w:eastAsia="Arial" w:hAnsi="Arial"/>
                <w:sz w:val="18"/>
                <w:szCs w:val="18"/>
                <w:color w:val="002060"/>
              </w:rPr>
              <w:t>2,172</w:t>
            </w:r>
          </w:p>
        </w:tc>
      </w:tr>
      <w:tr>
        <w:trPr>
          <w:trHeight w:val="196"/>
        </w:trPr>
        <w:tc>
          <w:tcPr>
            <w:tcW w:w="374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002060"/>
              </w:rPr>
              <w:t>Peer Group 75th Percentile</w:t>
            </w:r>
          </w:p>
        </w:tc>
        <w:tc>
          <w:tcPr>
            <w:tcW w:w="1260" w:type="dxa"/>
            <w:vAlign w:val="bottom"/>
            <w:tcBorders>
              <w:bottom w:val="single" w:sz="8" w:color="002060"/>
            </w:tcBorders>
            <w:shd w:val="clear" w:color="auto" w:fill="E5E5E5"/>
          </w:tcPr>
          <w:p>
            <w:pPr>
              <w:jc w:val="right"/>
              <w:ind w:right="150"/>
              <w:spacing w:after="0" w:line="196" w:lineRule="exact"/>
              <w:rPr>
                <w:sz w:val="20"/>
                <w:szCs w:val="20"/>
                <w:color w:val="auto"/>
              </w:rPr>
            </w:pPr>
            <w:r>
              <w:rPr>
                <w:rFonts w:ascii="Arial" w:cs="Arial" w:eastAsia="Arial" w:hAnsi="Arial"/>
                <w:sz w:val="18"/>
                <w:szCs w:val="18"/>
                <w:color w:val="002060"/>
              </w:rPr>
              <w:t>3,116</w:t>
            </w:r>
          </w:p>
        </w:tc>
        <w:tc>
          <w:tcPr>
            <w:tcW w:w="4760" w:type="dxa"/>
            <w:vAlign w:val="bottom"/>
            <w:tcBorders>
              <w:bottom w:val="single" w:sz="8" w:color="002060"/>
            </w:tcBorders>
          </w:tcPr>
          <w:p>
            <w:pPr>
              <w:ind w:left="400"/>
              <w:spacing w:after="0" w:line="196" w:lineRule="exact"/>
              <w:rPr>
                <w:sz w:val="20"/>
                <w:szCs w:val="20"/>
                <w:color w:val="auto"/>
              </w:rPr>
            </w:pPr>
            <w:r>
              <w:rPr>
                <w:rFonts w:ascii="Arial" w:cs="Arial" w:eastAsia="Arial" w:hAnsi="Arial"/>
                <w:sz w:val="18"/>
                <w:szCs w:val="18"/>
                <w:color w:val="002060"/>
              </w:rPr>
              <w:t>Peer Group 75th Percentile</w:t>
            </w:r>
          </w:p>
        </w:tc>
        <w:tc>
          <w:tcPr>
            <w:tcW w:w="1260" w:type="dxa"/>
            <w:vAlign w:val="bottom"/>
            <w:tcBorders>
              <w:bottom w:val="single" w:sz="8" w:color="002060"/>
            </w:tcBorders>
            <w:shd w:val="clear" w:color="auto" w:fill="E5E5E5"/>
          </w:tcPr>
          <w:p>
            <w:pPr>
              <w:ind w:left="560"/>
              <w:spacing w:after="0" w:line="196" w:lineRule="exact"/>
              <w:rPr>
                <w:sz w:val="20"/>
                <w:szCs w:val="20"/>
                <w:color w:val="auto"/>
              </w:rPr>
            </w:pPr>
            <w:r>
              <w:rPr>
                <w:rFonts w:ascii="Arial" w:cs="Arial" w:eastAsia="Arial" w:hAnsi="Arial"/>
                <w:sz w:val="18"/>
                <w:szCs w:val="18"/>
                <w:color w:val="002060"/>
              </w:rPr>
              <w:t>2,857</w:t>
            </w:r>
          </w:p>
        </w:tc>
      </w:tr>
    </w:tbl>
    <w:p>
      <w:pPr>
        <w:spacing w:after="0" w:line="103" w:lineRule="exact"/>
        <w:rPr>
          <w:sz w:val="20"/>
          <w:szCs w:val="20"/>
          <w:color w:val="auto"/>
        </w:rPr>
      </w:pPr>
    </w:p>
    <w:p>
      <w:pPr>
        <w:ind w:left="120" w:right="4160" w:firstLine="96"/>
        <w:spacing w:after="0" w:line="446" w:lineRule="auto"/>
        <w:tabs>
          <w:tab w:leader="none" w:pos="5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As of December 31, 2022 or the most recently reported period as of March 2023. </w:t>
      </w:r>
      <w:r>
        <w:rPr>
          <w:rFonts w:ascii="Arial" w:cs="Arial" w:eastAsia="Arial" w:hAnsi="Arial"/>
          <w:sz w:val="18"/>
          <w:szCs w:val="18"/>
          <w:color w:val="0070C0"/>
        </w:rPr>
        <w:t>Advisory Stockholder Vote on Executive Compensation</w:t>
      </w:r>
    </w:p>
    <w:p>
      <w:pPr>
        <w:ind w:left="120" w:right="200"/>
        <w:spacing w:after="0" w:line="256" w:lineRule="auto"/>
        <w:rPr>
          <w:sz w:val="20"/>
          <w:szCs w:val="20"/>
          <w:color w:val="auto"/>
        </w:rPr>
      </w:pPr>
      <w:r>
        <w:rPr>
          <w:rFonts w:ascii="Arial" w:cs="Arial" w:eastAsia="Arial" w:hAnsi="Arial"/>
          <w:sz w:val="17"/>
          <w:szCs w:val="17"/>
          <w:color w:val="auto"/>
        </w:rPr>
        <w:t>Our executive compensation program received substantial stockholder support at the 2022 annual meeting, with more than 95% of the votes cast by our stockholders voting in favor. The Compensation and Human Capital Committee believes that this level of support is indicative of our stockholders’ strong support of our executive compensation philosophy and goals. Say-on-pay votes provide valuable information regarding stockholder sentiment about our compensation program, which the Compensation and Human Capital Committee carefully reviews and considers when making future decisions. Upon consideration of the 2022 say-on-pay vote, the Compensation and Human Capital Committee maintained a similar compensation structure for 2023. In accordance with the preference expressed by our stockholders in our most recent say-on-frequency vote in 2017 and as a matter of good corporate governance, our Board has committed to having an annual say-on-pay vote. Our stockholders will have a new opportunity to vote on say-on-frequency at this Annual Meeting.</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Risk Assessment and Management</w:t>
      </w:r>
    </w:p>
    <w:p>
      <w:pPr>
        <w:spacing w:after="0" w:line="185"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The Compensation and Human Capital Committee monitors the risks associated with the components of our compensation program, with the aid of periodic risk analyses performed by Meridian. We believe the design of our compensation program mitigates any incentive for short-term risk-taking by executives that could be detrimental to the long-term best interests of the Company and its stockholders. The Compensation and Human Capital Committee believes that any risks arising from our compensation programs are minimal and are not reasonably likely to have a material adverse effect on the Company. The Compensation and Human Capital Committee believes that the following features of our executive compensation program appropriately mitigate potential risks:</w:t>
      </w:r>
    </w:p>
    <w:p>
      <w:pPr>
        <w:spacing w:after="0" w:line="138"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 Pre-established performance metrics used to determine incentive award opportunities are designed to reward success without encouraging excessive risk taking.</w:t>
      </w:r>
    </w:p>
    <w:p>
      <w:pPr>
        <w:spacing w:after="0" w:line="22" w:lineRule="exact"/>
        <w:rPr>
          <w:sz w:val="20"/>
          <w:szCs w:val="20"/>
          <w:color w:val="auto"/>
        </w:rPr>
      </w:pPr>
    </w:p>
    <w:p>
      <w:pPr>
        <w:ind w:left="560" w:right="380"/>
        <w:spacing w:after="0" w:line="271" w:lineRule="auto"/>
        <w:rPr>
          <w:sz w:val="20"/>
          <w:szCs w:val="20"/>
          <w:color w:val="auto"/>
        </w:rPr>
      </w:pPr>
      <w:r>
        <w:rPr>
          <w:rFonts w:ascii="Arial" w:cs="Arial" w:eastAsia="Arial" w:hAnsi="Arial"/>
          <w:sz w:val="18"/>
          <w:szCs w:val="18"/>
          <w:u w:val="single" w:color="auto"/>
          <w:color w:val="auto"/>
        </w:rPr>
        <w:t>Equity Vesting</w:t>
      </w:r>
      <w:r>
        <w:rPr>
          <w:rFonts w:ascii="Arial" w:cs="Arial" w:eastAsia="Arial" w:hAnsi="Arial"/>
          <w:sz w:val="18"/>
          <w:szCs w:val="18"/>
          <w:color w:val="auto"/>
        </w:rPr>
        <w:t>. Our executives are awarded performance-based restricted stock awards that, if earned, vest over two years after satisfaction of performance goals based on continued service, rewarding stability and sustained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150495</wp:posOffset>
            </wp:positionV>
            <wp:extent cx="291465" cy="2660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91465" cy="266065"/>
                    </a:xfrm>
                    <a:prstGeom prst="rect">
                      <a:avLst/>
                    </a:prstGeom>
                    <a:noFill/>
                  </pic:spPr>
                </pic:pic>
              </a:graphicData>
            </a:graphic>
          </wp:anchor>
        </w:drawing>
      </w:r>
    </w:p>
    <w:p>
      <w:pPr>
        <w:spacing w:after="0" w:line="311"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Compensation Discussion and Analysis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57</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0" w:right="160"/>
        <w:spacing w:after="0" w:line="271" w:lineRule="auto"/>
        <w:rPr>
          <w:sz w:val="20"/>
          <w:szCs w:val="20"/>
          <w:color w:val="auto"/>
        </w:rPr>
      </w:pPr>
      <w:r>
        <w:rPr>
          <w:rFonts w:ascii="Arial" w:cs="Arial" w:eastAsia="Arial" w:hAnsi="Arial"/>
          <w:sz w:val="18"/>
          <w:szCs w:val="18"/>
          <w:u w:val="single" w:color="auto"/>
          <w:color w:val="auto"/>
        </w:rPr>
        <w:t>Equity Retention</w:t>
      </w:r>
      <w:r>
        <w:rPr>
          <w:rFonts w:ascii="Arial" w:cs="Arial" w:eastAsia="Arial" w:hAnsi="Arial"/>
          <w:sz w:val="18"/>
          <w:szCs w:val="18"/>
          <w:color w:val="auto"/>
        </w:rPr>
        <w:t>. Our stock ownership policy requires our executives to beneficially own our common stock with a fair market value equal to a multiple of base salary.</w:t>
      </w:r>
    </w:p>
    <w:p>
      <w:pPr>
        <w:spacing w:after="0" w:line="285" w:lineRule="exact"/>
        <w:rPr>
          <w:sz w:val="20"/>
          <w:szCs w:val="20"/>
          <w:color w:val="auto"/>
        </w:rPr>
      </w:pPr>
    </w:p>
    <w:p>
      <w:pPr>
        <w:ind w:left="560" w:right="640"/>
        <w:spacing w:after="0" w:line="253" w:lineRule="auto"/>
        <w:rPr>
          <w:sz w:val="20"/>
          <w:szCs w:val="20"/>
          <w:color w:val="auto"/>
        </w:rPr>
      </w:pPr>
      <w:r>
        <w:rPr>
          <w:rFonts w:ascii="Arial" w:cs="Arial" w:eastAsia="Arial" w:hAnsi="Arial"/>
          <w:sz w:val="18"/>
          <w:szCs w:val="18"/>
          <w:u w:val="single" w:color="auto"/>
          <w:color w:val="auto"/>
        </w:rPr>
        <w:t>No Hedging or Pledging</w:t>
      </w:r>
      <w:r>
        <w:rPr>
          <w:rFonts w:ascii="Arial" w:cs="Arial" w:eastAsia="Arial" w:hAnsi="Arial"/>
          <w:sz w:val="18"/>
          <w:szCs w:val="18"/>
          <w:color w:val="auto"/>
        </w:rPr>
        <w:t>. NEOs are prohibited from engaging in any hedging or monetization transactions involving Company securities, pledging any Company securities as collateral for a loan and holding Company securities as collateral in a margin account.</w:t>
      </w:r>
    </w:p>
    <w:p>
      <w:pPr>
        <w:spacing w:after="0" w:line="168" w:lineRule="exact"/>
        <w:rPr>
          <w:sz w:val="20"/>
          <w:szCs w:val="20"/>
          <w:color w:val="auto"/>
        </w:rPr>
      </w:pPr>
    </w:p>
    <w:p>
      <w:pPr>
        <w:ind w:left="560" w:right="360"/>
        <w:spacing w:after="0" w:line="247" w:lineRule="auto"/>
        <w:rPr>
          <w:sz w:val="20"/>
          <w:szCs w:val="20"/>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The Compensation and Human Capital Committee has the ability to recoup compensation paid to an executive officer in the event of a restatement of our financial statements, or if an executive has engaged in grossly negligent or intentional misconduct that is a significant contributing factor to an accounting restatement, any significant increase in the value of such executive’s incentive compensation or any substantial financial or reputational harm to the Company.</w:t>
      </w:r>
    </w:p>
    <w:p>
      <w:pPr>
        <w:spacing w:after="0" w:line="42" w:lineRule="exact"/>
        <w:rPr>
          <w:sz w:val="20"/>
          <w:szCs w:val="20"/>
          <w:color w:val="auto"/>
        </w:rPr>
      </w:pPr>
    </w:p>
    <w:p>
      <w:pPr>
        <w:ind w:left="560" w:right="120"/>
        <w:spacing w:after="0" w:line="271" w:lineRule="auto"/>
        <w:rPr>
          <w:sz w:val="20"/>
          <w:szCs w:val="20"/>
          <w:color w:val="auto"/>
        </w:rPr>
      </w:pPr>
      <w:r>
        <w:rPr>
          <w:rFonts w:ascii="Arial" w:cs="Arial" w:eastAsia="Arial" w:hAnsi="Arial"/>
          <w:sz w:val="18"/>
          <w:szCs w:val="18"/>
          <w:u w:val="single" w:color="auto"/>
          <w:color w:val="auto"/>
        </w:rPr>
        <w:t>Other Factors</w:t>
      </w:r>
      <w:r>
        <w:rPr>
          <w:rFonts w:ascii="Arial" w:cs="Arial" w:eastAsia="Arial" w:hAnsi="Arial"/>
          <w:sz w:val="18"/>
          <w:szCs w:val="18"/>
          <w:color w:val="auto"/>
        </w:rPr>
        <w:t>. Other mitigating factors include benchmarking compensation, oversight by a committee of independent directors and a mix of fixed and variable incentive compensation.</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002060"/>
        </w:rPr>
        <w:t>Section 3 – Elements of our Compensation Program</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Compensation Components</w:t>
      </w:r>
    </w:p>
    <w:p>
      <w:pPr>
        <w:spacing w:after="0" w:line="171" w:lineRule="exact"/>
        <w:rPr>
          <w:sz w:val="20"/>
          <w:szCs w:val="20"/>
          <w:color w:val="auto"/>
        </w:rPr>
      </w:pPr>
    </w:p>
    <w:p>
      <w:pPr>
        <w:ind w:left="120" w:right="320"/>
        <w:spacing w:after="0" w:line="247" w:lineRule="auto"/>
        <w:rPr>
          <w:sz w:val="20"/>
          <w:szCs w:val="20"/>
          <w:color w:val="auto"/>
        </w:rPr>
      </w:pPr>
      <w:r>
        <w:rPr>
          <w:rFonts w:ascii="Arial" w:cs="Arial" w:eastAsia="Arial" w:hAnsi="Arial"/>
          <w:sz w:val="18"/>
          <w:szCs w:val="18"/>
          <w:color w:val="auto"/>
        </w:rPr>
        <w:t>Our executive compensation program is designed to be simple, competitive and link pay to performance. We design our executive compensation program to reward financial and operational performance and to promote effective strategic leadership. Our approach to executive compensation for the 2022 fiscal year was substantially the same as the approach approved by our stockholders at the 2022 annual meeting.</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executive compensation program includes the following three key elements: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331"/>
        </w:trPr>
        <w:tc>
          <w:tcPr>
            <w:tcW w:w="420" w:type="dxa"/>
            <w:vAlign w:val="bottom"/>
          </w:tcPr>
          <w:p>
            <w:pPr>
              <w:spacing w:after="0"/>
              <w:rPr>
                <w:sz w:val="24"/>
                <w:szCs w:val="24"/>
                <w:color w:val="auto"/>
              </w:rPr>
            </w:pPr>
          </w:p>
        </w:tc>
        <w:tc>
          <w:tcPr>
            <w:tcW w:w="3520" w:type="dxa"/>
            <w:vAlign w:val="bottom"/>
            <w:tcBorders>
              <w:bottom w:val="single" w:sz="8" w:color="0070C0"/>
            </w:tcBorders>
            <w:shd w:val="clear" w:color="auto" w:fill="0070C0"/>
          </w:tcPr>
          <w:p>
            <w:pPr>
              <w:ind w:left="1580"/>
              <w:spacing w:after="0"/>
              <w:rPr>
                <w:sz w:val="20"/>
                <w:szCs w:val="20"/>
                <w:color w:val="auto"/>
              </w:rPr>
            </w:pPr>
            <w:r>
              <w:rPr>
                <w:rFonts w:ascii="Arial" w:cs="Arial" w:eastAsia="Arial" w:hAnsi="Arial"/>
                <w:sz w:val="18"/>
                <w:szCs w:val="18"/>
                <w:b w:val="1"/>
                <w:bCs w:val="1"/>
                <w:color w:val="FFFFFF"/>
              </w:rPr>
              <w:t>Element</w:t>
            </w:r>
          </w:p>
        </w:tc>
        <w:tc>
          <w:tcPr>
            <w:tcW w:w="3820" w:type="dxa"/>
            <w:vAlign w:val="bottom"/>
            <w:tcBorders>
              <w:bottom w:val="single" w:sz="8" w:color="0070C0"/>
            </w:tcBorders>
            <w:shd w:val="clear" w:color="auto" w:fill="0070C0"/>
          </w:tcPr>
          <w:p>
            <w:pPr>
              <w:ind w:left="1740"/>
              <w:spacing w:after="0"/>
              <w:rPr>
                <w:sz w:val="20"/>
                <w:szCs w:val="20"/>
                <w:color w:val="auto"/>
              </w:rPr>
            </w:pPr>
            <w:r>
              <w:rPr>
                <w:rFonts w:ascii="Arial" w:cs="Arial" w:eastAsia="Arial" w:hAnsi="Arial"/>
                <w:sz w:val="18"/>
                <w:szCs w:val="18"/>
                <w:b w:val="1"/>
                <w:bCs w:val="1"/>
                <w:color w:val="FFFFFF"/>
              </w:rPr>
              <w:t>Design</w:t>
            </w:r>
          </w:p>
        </w:tc>
        <w:tc>
          <w:tcPr>
            <w:tcW w:w="3260" w:type="dxa"/>
            <w:vAlign w:val="bottom"/>
            <w:tcBorders>
              <w:bottom w:val="single" w:sz="8" w:color="0070C0"/>
            </w:tcBorders>
            <w:shd w:val="clear" w:color="auto" w:fill="0070C0"/>
          </w:tcPr>
          <w:p>
            <w:pPr>
              <w:ind w:left="1300"/>
              <w:spacing w:after="0"/>
              <w:rPr>
                <w:sz w:val="20"/>
                <w:szCs w:val="20"/>
                <w:color w:val="auto"/>
              </w:rPr>
            </w:pPr>
            <w:r>
              <w:rPr>
                <w:rFonts w:ascii="Arial" w:cs="Arial" w:eastAsia="Arial" w:hAnsi="Arial"/>
                <w:sz w:val="18"/>
                <w:szCs w:val="18"/>
                <w:b w:val="1"/>
                <w:bCs w:val="1"/>
                <w:color w:val="FFFFFF"/>
              </w:rPr>
              <w:t>Purpose</w:t>
            </w:r>
          </w:p>
        </w:tc>
      </w:tr>
      <w:tr>
        <w:trPr>
          <w:trHeight w:val="197"/>
        </w:trPr>
        <w:tc>
          <w:tcPr>
            <w:tcW w:w="420" w:type="dxa"/>
            <w:vAlign w:val="bottom"/>
            <w:shd w:val="clear" w:color="auto" w:fill="0070C0"/>
          </w:tcPr>
          <w:p>
            <w:pPr>
              <w:spacing w:after="0"/>
              <w:rPr>
                <w:sz w:val="17"/>
                <w:szCs w:val="17"/>
                <w:color w:val="auto"/>
              </w:rPr>
            </w:pPr>
          </w:p>
        </w:tc>
        <w:tc>
          <w:tcPr>
            <w:tcW w:w="3520" w:type="dxa"/>
            <w:vAlign w:val="bottom"/>
            <w:shd w:val="clear" w:color="auto" w:fill="E5E5E5"/>
          </w:tcPr>
          <w:p>
            <w:pPr>
              <w:ind w:left="120"/>
              <w:spacing w:after="0" w:line="197" w:lineRule="exact"/>
              <w:rPr>
                <w:sz w:val="20"/>
                <w:szCs w:val="20"/>
                <w:color w:val="auto"/>
              </w:rPr>
            </w:pPr>
            <w:r>
              <w:rPr>
                <w:rFonts w:ascii="Arial" w:cs="Arial" w:eastAsia="Arial" w:hAnsi="Arial"/>
                <w:sz w:val="18"/>
                <w:szCs w:val="18"/>
                <w:color w:val="auto"/>
              </w:rPr>
              <w:t>Base Salary</w:t>
            </w:r>
          </w:p>
        </w:tc>
        <w:tc>
          <w:tcPr>
            <w:tcW w:w="3820" w:type="dxa"/>
            <w:vAlign w:val="bottom"/>
            <w:shd w:val="clear" w:color="auto" w:fill="E5E5E5"/>
          </w:tcPr>
          <w:p>
            <w:pPr>
              <w:ind w:left="400"/>
              <w:spacing w:after="0" w:line="197" w:lineRule="exact"/>
              <w:rPr>
                <w:sz w:val="20"/>
                <w:szCs w:val="20"/>
                <w:color w:val="auto"/>
              </w:rPr>
            </w:pPr>
            <w:r>
              <w:rPr>
                <w:rFonts w:ascii="Arial" w:cs="Arial" w:eastAsia="Arial" w:hAnsi="Arial"/>
                <w:sz w:val="18"/>
                <w:szCs w:val="18"/>
                <w:color w:val="auto"/>
              </w:rPr>
              <w:t>  Fixed cash compensation.</w:t>
            </w:r>
          </w:p>
        </w:tc>
        <w:tc>
          <w:tcPr>
            <w:tcW w:w="3260" w:type="dxa"/>
            <w:vAlign w:val="bottom"/>
            <w:shd w:val="clear" w:color="auto" w:fill="E5E5E5"/>
          </w:tcPr>
          <w:p>
            <w:pPr>
              <w:ind w:left="140"/>
              <w:spacing w:after="0" w:line="197" w:lineRule="exact"/>
              <w:rPr>
                <w:sz w:val="20"/>
                <w:szCs w:val="20"/>
                <w:color w:val="auto"/>
              </w:rPr>
            </w:pPr>
            <w:r>
              <w:rPr>
                <w:rFonts w:ascii="Arial" w:cs="Arial" w:eastAsia="Arial" w:hAnsi="Arial"/>
                <w:sz w:val="18"/>
                <w:szCs w:val="18"/>
                <w:color w:val="auto"/>
              </w:rPr>
              <w:t>  Provides a fixed source of income</w:t>
            </w:r>
          </w:p>
        </w:tc>
      </w:tr>
      <w:tr>
        <w:trPr>
          <w:trHeight w:val="203"/>
        </w:trPr>
        <w:tc>
          <w:tcPr>
            <w:tcW w:w="420" w:type="dxa"/>
            <w:vAlign w:val="bottom"/>
            <w:shd w:val="clear" w:color="auto" w:fill="0070C0"/>
          </w:tcPr>
          <w:p>
            <w:pPr>
              <w:spacing w:after="0"/>
              <w:rPr>
                <w:sz w:val="17"/>
                <w:szCs w:val="17"/>
                <w:color w:val="auto"/>
              </w:rPr>
            </w:pPr>
          </w:p>
        </w:tc>
        <w:tc>
          <w:tcPr>
            <w:tcW w:w="3520" w:type="dxa"/>
            <w:vAlign w:val="bottom"/>
            <w:shd w:val="clear" w:color="auto" w:fill="E5E5E5"/>
          </w:tcPr>
          <w:p>
            <w:pPr>
              <w:spacing w:after="0"/>
              <w:rPr>
                <w:sz w:val="17"/>
                <w:szCs w:val="17"/>
                <w:color w:val="auto"/>
              </w:rPr>
            </w:pPr>
          </w:p>
        </w:tc>
        <w:tc>
          <w:tcPr>
            <w:tcW w:w="3820" w:type="dxa"/>
            <w:vAlign w:val="bottom"/>
            <w:shd w:val="clear" w:color="auto" w:fill="E5E5E5"/>
          </w:tcPr>
          <w:p>
            <w:pPr>
              <w:ind w:left="400"/>
              <w:spacing w:after="0" w:line="202" w:lineRule="exact"/>
              <w:rPr>
                <w:sz w:val="20"/>
                <w:szCs w:val="20"/>
                <w:color w:val="auto"/>
              </w:rPr>
            </w:pPr>
            <w:r>
              <w:rPr>
                <w:rFonts w:ascii="Arial" w:cs="Arial" w:eastAsia="Arial" w:hAnsi="Arial"/>
                <w:sz w:val="18"/>
                <w:szCs w:val="18"/>
                <w:color w:val="auto"/>
              </w:rPr>
              <w:t>  Reviewed annually and adjusted as</w:t>
            </w:r>
          </w:p>
        </w:tc>
        <w:tc>
          <w:tcPr>
            <w:tcW w:w="3260" w:type="dxa"/>
            <w:vAlign w:val="bottom"/>
            <w:shd w:val="clear" w:color="auto" w:fill="E5E5E5"/>
          </w:tcPr>
          <w:p>
            <w:pPr>
              <w:ind w:left="320"/>
              <w:spacing w:after="0" w:line="202" w:lineRule="exact"/>
              <w:rPr>
                <w:sz w:val="20"/>
                <w:szCs w:val="20"/>
                <w:color w:val="auto"/>
              </w:rPr>
            </w:pPr>
            <w:r>
              <w:rPr>
                <w:rFonts w:ascii="Arial" w:cs="Arial" w:eastAsia="Arial" w:hAnsi="Arial"/>
                <w:sz w:val="18"/>
                <w:szCs w:val="18"/>
                <w:color w:val="auto"/>
              </w:rPr>
              <w:t>to attract and retain executives with</w:t>
            </w:r>
          </w:p>
        </w:tc>
      </w:tr>
      <w:tr>
        <w:trPr>
          <w:trHeight w:val="203"/>
        </w:trPr>
        <w:tc>
          <w:tcPr>
            <w:tcW w:w="420" w:type="dxa"/>
            <w:vAlign w:val="bottom"/>
            <w:shd w:val="clear" w:color="auto" w:fill="0070C0"/>
          </w:tcPr>
          <w:p>
            <w:pPr>
              <w:spacing w:after="0"/>
              <w:rPr>
                <w:sz w:val="17"/>
                <w:szCs w:val="17"/>
                <w:color w:val="auto"/>
              </w:rPr>
            </w:pPr>
          </w:p>
        </w:tc>
        <w:tc>
          <w:tcPr>
            <w:tcW w:w="3520" w:type="dxa"/>
            <w:vAlign w:val="bottom"/>
            <w:shd w:val="clear" w:color="auto" w:fill="E5E5E5"/>
          </w:tcPr>
          <w:p>
            <w:pPr>
              <w:spacing w:after="0"/>
              <w:rPr>
                <w:sz w:val="17"/>
                <w:szCs w:val="17"/>
                <w:color w:val="auto"/>
              </w:rPr>
            </w:pPr>
          </w:p>
        </w:tc>
        <w:tc>
          <w:tcPr>
            <w:tcW w:w="3820" w:type="dxa"/>
            <w:vAlign w:val="bottom"/>
            <w:shd w:val="clear" w:color="auto" w:fill="E5E5E5"/>
          </w:tcPr>
          <w:p>
            <w:pPr>
              <w:ind w:left="580"/>
              <w:spacing w:after="0" w:line="202" w:lineRule="exact"/>
              <w:rPr>
                <w:sz w:val="20"/>
                <w:szCs w:val="20"/>
                <w:color w:val="auto"/>
              </w:rPr>
            </w:pPr>
            <w:r>
              <w:rPr>
                <w:rFonts w:ascii="Arial" w:cs="Arial" w:eastAsia="Arial" w:hAnsi="Arial"/>
                <w:sz w:val="18"/>
                <w:szCs w:val="18"/>
                <w:color w:val="auto"/>
              </w:rPr>
              <w:t>appropriate, based on level of</w:t>
            </w:r>
          </w:p>
        </w:tc>
        <w:tc>
          <w:tcPr>
            <w:tcW w:w="3260" w:type="dxa"/>
            <w:vAlign w:val="bottom"/>
            <w:shd w:val="clear" w:color="auto" w:fill="E5E5E5"/>
          </w:tcPr>
          <w:p>
            <w:pPr>
              <w:ind w:left="320"/>
              <w:spacing w:after="0" w:line="202" w:lineRule="exact"/>
              <w:rPr>
                <w:sz w:val="20"/>
                <w:szCs w:val="20"/>
                <w:color w:val="auto"/>
              </w:rPr>
            </w:pPr>
            <w:r>
              <w:rPr>
                <w:rFonts w:ascii="Arial" w:cs="Arial" w:eastAsia="Arial" w:hAnsi="Arial"/>
                <w:sz w:val="18"/>
                <w:szCs w:val="18"/>
                <w:color w:val="auto"/>
                <w:w w:val="99"/>
              </w:rPr>
              <w:t>proven skills and leadership abilities.</w:t>
            </w:r>
          </w:p>
        </w:tc>
      </w:tr>
      <w:tr>
        <w:trPr>
          <w:trHeight w:val="216"/>
        </w:trPr>
        <w:tc>
          <w:tcPr>
            <w:tcW w:w="420" w:type="dxa"/>
            <w:vAlign w:val="bottom"/>
            <w:shd w:val="clear" w:color="auto" w:fill="0070C0"/>
          </w:tcPr>
          <w:p>
            <w:pPr>
              <w:spacing w:after="0"/>
              <w:rPr>
                <w:sz w:val="18"/>
                <w:szCs w:val="18"/>
                <w:color w:val="auto"/>
              </w:rPr>
            </w:pPr>
          </w:p>
        </w:tc>
        <w:tc>
          <w:tcPr>
            <w:tcW w:w="3520" w:type="dxa"/>
            <w:vAlign w:val="bottom"/>
            <w:shd w:val="clear" w:color="auto" w:fill="E5E5E5"/>
          </w:tcPr>
          <w:p>
            <w:pPr>
              <w:spacing w:after="0"/>
              <w:rPr>
                <w:sz w:val="18"/>
                <w:szCs w:val="18"/>
                <w:color w:val="auto"/>
              </w:rPr>
            </w:pPr>
          </w:p>
        </w:tc>
        <w:tc>
          <w:tcPr>
            <w:tcW w:w="3820" w:type="dxa"/>
            <w:vAlign w:val="bottom"/>
            <w:shd w:val="clear" w:color="auto" w:fill="E5E5E5"/>
          </w:tcPr>
          <w:p>
            <w:pPr>
              <w:ind w:left="580"/>
              <w:spacing w:after="0"/>
              <w:rPr>
                <w:sz w:val="20"/>
                <w:szCs w:val="20"/>
                <w:color w:val="auto"/>
              </w:rPr>
            </w:pPr>
            <w:r>
              <w:rPr>
                <w:rFonts w:ascii="Arial" w:cs="Arial" w:eastAsia="Arial" w:hAnsi="Arial"/>
                <w:sz w:val="18"/>
                <w:szCs w:val="18"/>
                <w:color w:val="auto"/>
              </w:rPr>
              <w:t>responsibility, performance, internal</w:t>
            </w:r>
          </w:p>
        </w:tc>
        <w:tc>
          <w:tcPr>
            <w:tcW w:w="3260" w:type="dxa"/>
            <w:vAlign w:val="bottom"/>
            <w:shd w:val="clear" w:color="auto" w:fill="E5E5E5"/>
          </w:tcPr>
          <w:p>
            <w:pPr>
              <w:ind w:left="140"/>
              <w:spacing w:after="0"/>
              <w:rPr>
                <w:sz w:val="20"/>
                <w:szCs w:val="20"/>
                <w:color w:val="auto"/>
              </w:rPr>
            </w:pPr>
            <w:r>
              <w:rPr>
                <w:rFonts w:ascii="Arial" w:cs="Arial" w:eastAsia="Arial" w:hAnsi="Arial"/>
                <w:sz w:val="18"/>
                <w:szCs w:val="18"/>
                <w:color w:val="auto"/>
              </w:rPr>
              <w:t>  Rewards scope of responsibility,</w:t>
            </w:r>
          </w:p>
        </w:tc>
      </w:tr>
      <w:tr>
        <w:trPr>
          <w:trHeight w:val="203"/>
        </w:trPr>
        <w:tc>
          <w:tcPr>
            <w:tcW w:w="420" w:type="dxa"/>
            <w:vAlign w:val="bottom"/>
            <w:shd w:val="clear" w:color="auto" w:fill="0070C0"/>
          </w:tcPr>
          <w:p>
            <w:pPr>
              <w:spacing w:after="0"/>
              <w:rPr>
                <w:sz w:val="17"/>
                <w:szCs w:val="17"/>
                <w:color w:val="auto"/>
              </w:rPr>
            </w:pPr>
          </w:p>
        </w:tc>
        <w:tc>
          <w:tcPr>
            <w:tcW w:w="3520" w:type="dxa"/>
            <w:vAlign w:val="bottom"/>
            <w:shd w:val="clear" w:color="auto" w:fill="E5E5E5"/>
          </w:tcPr>
          <w:p>
            <w:pPr>
              <w:spacing w:after="0"/>
              <w:rPr>
                <w:sz w:val="17"/>
                <w:szCs w:val="17"/>
                <w:color w:val="auto"/>
              </w:rPr>
            </w:pPr>
          </w:p>
        </w:tc>
        <w:tc>
          <w:tcPr>
            <w:tcW w:w="3820" w:type="dxa"/>
            <w:vAlign w:val="bottom"/>
            <w:shd w:val="clear" w:color="auto" w:fill="E5E5E5"/>
          </w:tcPr>
          <w:p>
            <w:pPr>
              <w:ind w:left="580"/>
              <w:spacing w:after="0" w:line="202" w:lineRule="exact"/>
              <w:rPr>
                <w:sz w:val="20"/>
                <w:szCs w:val="20"/>
                <w:color w:val="auto"/>
              </w:rPr>
            </w:pPr>
            <w:r>
              <w:rPr>
                <w:rFonts w:ascii="Arial" w:cs="Arial" w:eastAsia="Arial" w:hAnsi="Arial"/>
                <w:sz w:val="18"/>
                <w:szCs w:val="18"/>
                <w:color w:val="auto"/>
              </w:rPr>
              <w:t>pay equity and competitiveness.</w:t>
            </w:r>
          </w:p>
        </w:tc>
        <w:tc>
          <w:tcPr>
            <w:tcW w:w="3260" w:type="dxa"/>
            <w:vAlign w:val="bottom"/>
            <w:shd w:val="clear" w:color="auto" w:fill="E5E5E5"/>
          </w:tcPr>
          <w:p>
            <w:pPr>
              <w:ind w:left="320"/>
              <w:spacing w:after="0" w:line="202" w:lineRule="exact"/>
              <w:rPr>
                <w:sz w:val="20"/>
                <w:szCs w:val="20"/>
                <w:color w:val="auto"/>
              </w:rPr>
            </w:pPr>
            <w:r>
              <w:rPr>
                <w:rFonts w:ascii="Arial" w:cs="Arial" w:eastAsia="Arial" w:hAnsi="Arial"/>
                <w:sz w:val="18"/>
                <w:szCs w:val="18"/>
                <w:color w:val="auto"/>
              </w:rPr>
              <w:t>experience and individual</w:t>
            </w:r>
          </w:p>
        </w:tc>
      </w:tr>
      <w:tr>
        <w:trPr>
          <w:trHeight w:val="280"/>
        </w:trPr>
        <w:tc>
          <w:tcPr>
            <w:tcW w:w="420" w:type="dxa"/>
            <w:vAlign w:val="bottom"/>
            <w:tcBorders>
              <w:bottom w:val="single" w:sz="8" w:color="0070C0"/>
            </w:tcBorders>
            <w:shd w:val="clear" w:color="auto" w:fill="0070C0"/>
          </w:tcPr>
          <w:p>
            <w:pPr>
              <w:spacing w:after="0"/>
              <w:rPr>
                <w:sz w:val="23"/>
                <w:szCs w:val="23"/>
                <w:color w:val="auto"/>
              </w:rPr>
            </w:pPr>
          </w:p>
        </w:tc>
        <w:tc>
          <w:tcPr>
            <w:tcW w:w="3520" w:type="dxa"/>
            <w:vAlign w:val="bottom"/>
            <w:tcBorders>
              <w:bottom w:val="single" w:sz="8" w:color="E5E5E5"/>
            </w:tcBorders>
            <w:shd w:val="clear" w:color="auto" w:fill="E5E5E5"/>
          </w:tcPr>
          <w:p>
            <w:pPr>
              <w:spacing w:after="0"/>
              <w:rPr>
                <w:sz w:val="23"/>
                <w:szCs w:val="23"/>
                <w:color w:val="auto"/>
              </w:rPr>
            </w:pPr>
          </w:p>
        </w:tc>
        <w:tc>
          <w:tcPr>
            <w:tcW w:w="3820" w:type="dxa"/>
            <w:vAlign w:val="bottom"/>
            <w:tcBorders>
              <w:bottom w:val="single" w:sz="8" w:color="E5E5E5"/>
            </w:tcBorders>
            <w:shd w:val="clear" w:color="auto" w:fill="E5E5E5"/>
          </w:tcPr>
          <w:p>
            <w:pPr>
              <w:spacing w:after="0"/>
              <w:rPr>
                <w:sz w:val="23"/>
                <w:szCs w:val="23"/>
                <w:color w:val="auto"/>
              </w:rPr>
            </w:pPr>
          </w:p>
        </w:tc>
        <w:tc>
          <w:tcPr>
            <w:tcW w:w="3260" w:type="dxa"/>
            <w:vAlign w:val="bottom"/>
            <w:tcBorders>
              <w:bottom w:val="single" w:sz="8" w:color="E5E5E5"/>
            </w:tcBorders>
            <w:shd w:val="clear" w:color="auto" w:fill="E5E5E5"/>
          </w:tcPr>
          <w:p>
            <w:pPr>
              <w:ind w:left="320"/>
              <w:spacing w:after="0"/>
              <w:rPr>
                <w:sz w:val="20"/>
                <w:szCs w:val="20"/>
                <w:color w:val="auto"/>
              </w:rPr>
            </w:pPr>
            <w:r>
              <w:rPr>
                <w:rFonts w:ascii="Arial" w:cs="Arial" w:eastAsia="Arial" w:hAnsi="Arial"/>
                <w:sz w:val="18"/>
                <w:szCs w:val="18"/>
                <w:color w:val="auto"/>
              </w:rPr>
              <w:t>performance.</w:t>
            </w:r>
          </w:p>
        </w:tc>
      </w:tr>
      <w:tr>
        <w:trPr>
          <w:trHeight w:val="191"/>
        </w:trPr>
        <w:tc>
          <w:tcPr>
            <w:tcW w:w="420" w:type="dxa"/>
            <w:vAlign w:val="bottom"/>
            <w:tcBorders>
              <w:top w:val="single" w:sz="8" w:color="0070C0"/>
            </w:tcBorders>
            <w:shd w:val="clear" w:color="auto" w:fill="0070C0"/>
          </w:tcPr>
          <w:p>
            <w:pPr>
              <w:spacing w:after="0"/>
              <w:rPr>
                <w:sz w:val="16"/>
                <w:szCs w:val="16"/>
                <w:color w:val="auto"/>
              </w:rPr>
            </w:pPr>
          </w:p>
        </w:tc>
        <w:tc>
          <w:tcPr>
            <w:tcW w:w="3520" w:type="dxa"/>
            <w:vAlign w:val="bottom"/>
            <w:tcBorders>
              <w:top w:val="single" w:sz="8" w:color="002060"/>
            </w:tcBorders>
          </w:tcPr>
          <w:p>
            <w:pPr>
              <w:ind w:left="120"/>
              <w:spacing w:after="0" w:line="191" w:lineRule="exact"/>
              <w:rPr>
                <w:sz w:val="20"/>
                <w:szCs w:val="20"/>
                <w:color w:val="auto"/>
              </w:rPr>
            </w:pPr>
            <w:r>
              <w:rPr>
                <w:rFonts w:ascii="Arial" w:cs="Arial" w:eastAsia="Arial" w:hAnsi="Arial"/>
                <w:sz w:val="18"/>
                <w:szCs w:val="18"/>
                <w:color w:val="auto"/>
              </w:rPr>
              <w:t>Performance-Based Cash Incentives</w:t>
            </w:r>
          </w:p>
        </w:tc>
        <w:tc>
          <w:tcPr>
            <w:tcW w:w="3820" w:type="dxa"/>
            <w:vAlign w:val="bottom"/>
            <w:tcBorders>
              <w:top w:val="single" w:sz="8" w:color="002060"/>
            </w:tcBorders>
          </w:tcPr>
          <w:p>
            <w:pPr>
              <w:ind w:left="400"/>
              <w:spacing w:after="0" w:line="191" w:lineRule="exact"/>
              <w:rPr>
                <w:sz w:val="20"/>
                <w:szCs w:val="20"/>
                <w:color w:val="auto"/>
              </w:rPr>
            </w:pPr>
            <w:r>
              <w:rPr>
                <w:rFonts w:ascii="Arial" w:cs="Arial" w:eastAsia="Arial" w:hAnsi="Arial"/>
                <w:sz w:val="18"/>
                <w:szCs w:val="18"/>
                <w:color w:val="auto"/>
              </w:rPr>
              <w:t>  At-risk cash compensation based on</w:t>
            </w:r>
          </w:p>
        </w:tc>
        <w:tc>
          <w:tcPr>
            <w:tcW w:w="3260" w:type="dxa"/>
            <w:vAlign w:val="bottom"/>
            <w:tcBorders>
              <w:top w:val="single" w:sz="8" w:color="002060"/>
            </w:tcBorders>
          </w:tcPr>
          <w:p>
            <w:pPr>
              <w:ind w:left="140"/>
              <w:spacing w:after="0" w:line="191" w:lineRule="exact"/>
              <w:rPr>
                <w:sz w:val="20"/>
                <w:szCs w:val="20"/>
                <w:color w:val="auto"/>
              </w:rPr>
            </w:pPr>
            <w:r>
              <w:rPr>
                <w:rFonts w:ascii="Arial" w:cs="Arial" w:eastAsia="Arial" w:hAnsi="Arial"/>
                <w:sz w:val="18"/>
                <w:szCs w:val="18"/>
                <w:color w:val="auto"/>
              </w:rPr>
              <w:t>  To motivate and reward executives</w:t>
            </w:r>
          </w:p>
        </w:tc>
      </w:tr>
      <w:tr>
        <w:trPr>
          <w:trHeight w:val="203"/>
        </w:trPr>
        <w:tc>
          <w:tcPr>
            <w:tcW w:w="420" w:type="dxa"/>
            <w:vAlign w:val="bottom"/>
            <w:shd w:val="clear" w:color="auto" w:fill="0070C0"/>
          </w:tcPr>
          <w:p>
            <w:pPr>
              <w:spacing w:after="0"/>
              <w:rPr>
                <w:sz w:val="17"/>
                <w:szCs w:val="17"/>
                <w:color w:val="auto"/>
              </w:rPr>
            </w:pPr>
          </w:p>
        </w:tc>
        <w:tc>
          <w:tcPr>
            <w:tcW w:w="3520" w:type="dxa"/>
            <w:vAlign w:val="bottom"/>
          </w:tcPr>
          <w:p>
            <w:pPr>
              <w:spacing w:after="0"/>
              <w:rPr>
                <w:sz w:val="17"/>
                <w:szCs w:val="17"/>
                <w:color w:val="auto"/>
              </w:rPr>
            </w:pPr>
          </w:p>
        </w:tc>
        <w:tc>
          <w:tcPr>
            <w:tcW w:w="3820" w:type="dxa"/>
            <w:vAlign w:val="bottom"/>
          </w:tcPr>
          <w:p>
            <w:pPr>
              <w:ind w:left="580"/>
              <w:spacing w:after="0" w:line="202" w:lineRule="exact"/>
              <w:rPr>
                <w:sz w:val="20"/>
                <w:szCs w:val="20"/>
                <w:color w:val="auto"/>
              </w:rPr>
            </w:pPr>
            <w:r>
              <w:rPr>
                <w:rFonts w:ascii="Arial" w:cs="Arial" w:eastAsia="Arial" w:hAnsi="Arial"/>
                <w:sz w:val="18"/>
                <w:szCs w:val="18"/>
                <w:color w:val="auto"/>
              </w:rPr>
              <w:t>achievement of objective pre-</w:t>
            </w:r>
          </w:p>
        </w:tc>
        <w:tc>
          <w:tcPr>
            <w:tcW w:w="3260" w:type="dxa"/>
            <w:vAlign w:val="bottom"/>
          </w:tcPr>
          <w:p>
            <w:pPr>
              <w:ind w:left="320"/>
              <w:spacing w:after="0" w:line="202" w:lineRule="exact"/>
              <w:rPr>
                <w:sz w:val="20"/>
                <w:szCs w:val="20"/>
                <w:color w:val="auto"/>
              </w:rPr>
            </w:pPr>
            <w:r>
              <w:rPr>
                <w:rFonts w:ascii="Arial" w:cs="Arial" w:eastAsia="Arial" w:hAnsi="Arial"/>
                <w:sz w:val="18"/>
                <w:szCs w:val="18"/>
                <w:color w:val="auto"/>
              </w:rPr>
              <w:t>to achieve performance objectives</w:t>
            </w:r>
          </w:p>
        </w:tc>
      </w:tr>
      <w:tr>
        <w:trPr>
          <w:trHeight w:val="203"/>
        </w:trPr>
        <w:tc>
          <w:tcPr>
            <w:tcW w:w="420" w:type="dxa"/>
            <w:vAlign w:val="bottom"/>
            <w:shd w:val="clear" w:color="auto" w:fill="0070C0"/>
          </w:tcPr>
          <w:p>
            <w:pPr>
              <w:spacing w:after="0"/>
              <w:rPr>
                <w:sz w:val="17"/>
                <w:szCs w:val="17"/>
                <w:color w:val="auto"/>
              </w:rPr>
            </w:pPr>
          </w:p>
        </w:tc>
        <w:tc>
          <w:tcPr>
            <w:tcW w:w="3520" w:type="dxa"/>
            <w:vAlign w:val="bottom"/>
          </w:tcPr>
          <w:p>
            <w:pPr>
              <w:spacing w:after="0"/>
              <w:rPr>
                <w:sz w:val="17"/>
                <w:szCs w:val="17"/>
                <w:color w:val="auto"/>
              </w:rPr>
            </w:pPr>
          </w:p>
        </w:tc>
        <w:tc>
          <w:tcPr>
            <w:tcW w:w="3820" w:type="dxa"/>
            <w:vAlign w:val="bottom"/>
          </w:tcPr>
          <w:p>
            <w:pPr>
              <w:ind w:left="580"/>
              <w:spacing w:after="0" w:line="202" w:lineRule="exact"/>
              <w:rPr>
                <w:sz w:val="20"/>
                <w:szCs w:val="20"/>
                <w:color w:val="auto"/>
              </w:rPr>
            </w:pPr>
            <w:r>
              <w:rPr>
                <w:rFonts w:ascii="Arial" w:cs="Arial" w:eastAsia="Arial" w:hAnsi="Arial"/>
                <w:sz w:val="18"/>
                <w:szCs w:val="18"/>
                <w:color w:val="auto"/>
              </w:rPr>
              <w:t>established corporate financial</w:t>
            </w:r>
          </w:p>
        </w:tc>
        <w:tc>
          <w:tcPr>
            <w:tcW w:w="3260" w:type="dxa"/>
            <w:vAlign w:val="bottom"/>
          </w:tcPr>
          <w:p>
            <w:pPr>
              <w:ind w:left="320"/>
              <w:spacing w:after="0" w:line="202" w:lineRule="exact"/>
              <w:rPr>
                <w:sz w:val="20"/>
                <w:szCs w:val="20"/>
                <w:color w:val="auto"/>
              </w:rPr>
            </w:pPr>
            <w:r>
              <w:rPr>
                <w:rFonts w:ascii="Arial" w:cs="Arial" w:eastAsia="Arial" w:hAnsi="Arial"/>
                <w:sz w:val="18"/>
                <w:szCs w:val="18"/>
                <w:color w:val="auto"/>
              </w:rPr>
              <w:t>that are key to our annual financial</w:t>
            </w:r>
          </w:p>
        </w:tc>
      </w:tr>
      <w:tr>
        <w:trPr>
          <w:trHeight w:val="203"/>
        </w:trPr>
        <w:tc>
          <w:tcPr>
            <w:tcW w:w="420" w:type="dxa"/>
            <w:vAlign w:val="bottom"/>
            <w:shd w:val="clear" w:color="auto" w:fill="0070C0"/>
          </w:tcPr>
          <w:p>
            <w:pPr>
              <w:spacing w:after="0"/>
              <w:rPr>
                <w:sz w:val="17"/>
                <w:szCs w:val="17"/>
                <w:color w:val="auto"/>
              </w:rPr>
            </w:pPr>
          </w:p>
        </w:tc>
        <w:tc>
          <w:tcPr>
            <w:tcW w:w="3520" w:type="dxa"/>
            <w:vAlign w:val="bottom"/>
          </w:tcPr>
          <w:p>
            <w:pPr>
              <w:spacing w:after="0"/>
              <w:rPr>
                <w:sz w:val="17"/>
                <w:szCs w:val="17"/>
                <w:color w:val="auto"/>
              </w:rPr>
            </w:pPr>
          </w:p>
        </w:tc>
        <w:tc>
          <w:tcPr>
            <w:tcW w:w="3820" w:type="dxa"/>
            <w:vAlign w:val="bottom"/>
          </w:tcPr>
          <w:p>
            <w:pPr>
              <w:ind w:left="580"/>
              <w:spacing w:after="0" w:line="202" w:lineRule="exact"/>
              <w:rPr>
                <w:sz w:val="20"/>
                <w:szCs w:val="20"/>
                <w:color w:val="auto"/>
              </w:rPr>
            </w:pPr>
            <w:r>
              <w:rPr>
                <w:rFonts w:ascii="Arial" w:cs="Arial" w:eastAsia="Arial" w:hAnsi="Arial"/>
                <w:sz w:val="18"/>
                <w:szCs w:val="18"/>
                <w:color w:val="auto"/>
              </w:rPr>
              <w:t>performance goals.</w:t>
            </w:r>
          </w:p>
        </w:tc>
        <w:tc>
          <w:tcPr>
            <w:tcW w:w="3260" w:type="dxa"/>
            <w:vAlign w:val="bottom"/>
          </w:tcPr>
          <w:p>
            <w:pPr>
              <w:ind w:left="320"/>
              <w:spacing w:after="0" w:line="202" w:lineRule="exact"/>
              <w:rPr>
                <w:sz w:val="20"/>
                <w:szCs w:val="20"/>
                <w:color w:val="auto"/>
              </w:rPr>
            </w:pPr>
            <w:r>
              <w:rPr>
                <w:rFonts w:ascii="Arial" w:cs="Arial" w:eastAsia="Arial" w:hAnsi="Arial"/>
                <w:sz w:val="18"/>
                <w:szCs w:val="18"/>
                <w:color w:val="auto"/>
              </w:rPr>
              <w:t>and strategic goals, without creating</w:t>
            </w:r>
          </w:p>
        </w:tc>
      </w:tr>
      <w:tr>
        <w:trPr>
          <w:trHeight w:val="216"/>
        </w:trPr>
        <w:tc>
          <w:tcPr>
            <w:tcW w:w="420" w:type="dxa"/>
            <w:vAlign w:val="bottom"/>
            <w:shd w:val="clear" w:color="auto" w:fill="0070C0"/>
          </w:tcPr>
          <w:p>
            <w:pPr>
              <w:spacing w:after="0"/>
              <w:rPr>
                <w:sz w:val="18"/>
                <w:szCs w:val="18"/>
                <w:color w:val="auto"/>
              </w:rPr>
            </w:pPr>
          </w:p>
        </w:tc>
        <w:tc>
          <w:tcPr>
            <w:tcW w:w="3520" w:type="dxa"/>
            <w:vAlign w:val="bottom"/>
          </w:tcPr>
          <w:p>
            <w:pPr>
              <w:spacing w:after="0"/>
              <w:rPr>
                <w:sz w:val="18"/>
                <w:szCs w:val="18"/>
                <w:color w:val="auto"/>
              </w:rPr>
            </w:pPr>
          </w:p>
        </w:tc>
        <w:tc>
          <w:tcPr>
            <w:tcW w:w="3820" w:type="dxa"/>
            <w:vAlign w:val="bottom"/>
          </w:tcPr>
          <w:p>
            <w:pPr>
              <w:ind w:left="400"/>
              <w:spacing w:after="0"/>
              <w:rPr>
                <w:sz w:val="20"/>
                <w:szCs w:val="20"/>
                <w:color w:val="auto"/>
              </w:rPr>
            </w:pPr>
            <w:r>
              <w:rPr>
                <w:rFonts w:ascii="Arial" w:cs="Arial" w:eastAsia="Arial" w:hAnsi="Arial"/>
                <w:sz w:val="18"/>
                <w:szCs w:val="18"/>
                <w:color w:val="auto"/>
              </w:rPr>
              <w:t>  Earned only if at least 80% of target</w:t>
            </w:r>
          </w:p>
        </w:tc>
        <w:tc>
          <w:tcPr>
            <w:tcW w:w="3260" w:type="dxa"/>
            <w:vAlign w:val="bottom"/>
          </w:tcPr>
          <w:p>
            <w:pPr>
              <w:ind w:left="320"/>
              <w:spacing w:after="0"/>
              <w:rPr>
                <w:sz w:val="20"/>
                <w:szCs w:val="20"/>
                <w:color w:val="auto"/>
              </w:rPr>
            </w:pPr>
            <w:r>
              <w:rPr>
                <w:rFonts w:ascii="Arial" w:cs="Arial" w:eastAsia="Arial" w:hAnsi="Arial"/>
                <w:sz w:val="18"/>
                <w:szCs w:val="18"/>
                <w:color w:val="auto"/>
              </w:rPr>
              <w:t>an incentive to take excessive risk.</w:t>
            </w:r>
          </w:p>
        </w:tc>
      </w:tr>
      <w:tr>
        <w:trPr>
          <w:trHeight w:val="239"/>
        </w:trPr>
        <w:tc>
          <w:tcPr>
            <w:tcW w:w="420" w:type="dxa"/>
            <w:vAlign w:val="bottom"/>
            <w:shd w:val="clear" w:color="auto" w:fill="0070C0"/>
          </w:tcPr>
          <w:p>
            <w:pPr>
              <w:spacing w:after="0"/>
              <w:rPr>
                <w:sz w:val="20"/>
                <w:szCs w:val="20"/>
                <w:color w:val="auto"/>
              </w:rPr>
            </w:pPr>
          </w:p>
        </w:tc>
        <w:tc>
          <w:tcPr>
            <w:tcW w:w="3520" w:type="dxa"/>
            <w:vAlign w:val="bottom"/>
          </w:tcPr>
          <w:p>
            <w:pPr>
              <w:spacing w:after="0"/>
              <w:rPr>
                <w:sz w:val="20"/>
                <w:szCs w:val="20"/>
                <w:color w:val="auto"/>
              </w:rPr>
            </w:pPr>
          </w:p>
        </w:tc>
        <w:tc>
          <w:tcPr>
            <w:tcW w:w="3820" w:type="dxa"/>
            <w:vAlign w:val="bottom"/>
          </w:tcPr>
          <w:p>
            <w:pPr>
              <w:ind w:left="580"/>
              <w:spacing w:after="0"/>
              <w:rPr>
                <w:sz w:val="20"/>
                <w:szCs w:val="20"/>
                <w:color w:val="auto"/>
              </w:rPr>
            </w:pPr>
            <w:r>
              <w:rPr>
                <w:rFonts w:ascii="Arial" w:cs="Arial" w:eastAsia="Arial" w:hAnsi="Arial"/>
                <w:sz w:val="18"/>
                <w:szCs w:val="18"/>
                <w:color w:val="auto"/>
              </w:rPr>
              <w:t>goal is achieved.</w:t>
            </w:r>
          </w:p>
        </w:tc>
        <w:tc>
          <w:tcPr>
            <w:tcW w:w="3260" w:type="dxa"/>
            <w:vAlign w:val="bottom"/>
          </w:tcPr>
          <w:p>
            <w:pPr>
              <w:spacing w:after="0"/>
              <w:rPr>
                <w:sz w:val="20"/>
                <w:szCs w:val="20"/>
                <w:color w:val="auto"/>
              </w:rPr>
            </w:pPr>
          </w:p>
        </w:tc>
      </w:tr>
      <w:tr>
        <w:trPr>
          <w:trHeight w:val="37"/>
        </w:trPr>
        <w:tc>
          <w:tcPr>
            <w:tcW w:w="420" w:type="dxa"/>
            <w:vAlign w:val="bottom"/>
            <w:tcBorders>
              <w:bottom w:val="single" w:sz="8" w:color="0070C0"/>
            </w:tcBorders>
            <w:shd w:val="clear" w:color="auto" w:fill="0070C0"/>
          </w:tcPr>
          <w:p>
            <w:pPr>
              <w:spacing w:after="0"/>
              <w:rPr>
                <w:sz w:val="3"/>
                <w:szCs w:val="3"/>
                <w:color w:val="auto"/>
              </w:rPr>
            </w:pPr>
          </w:p>
        </w:tc>
        <w:tc>
          <w:tcPr>
            <w:tcW w:w="3520" w:type="dxa"/>
            <w:vAlign w:val="bottom"/>
            <w:tcBorders>
              <w:bottom w:val="single" w:sz="8" w:color="002060"/>
            </w:tcBorders>
          </w:tcPr>
          <w:p>
            <w:pPr>
              <w:spacing w:after="0"/>
              <w:rPr>
                <w:sz w:val="3"/>
                <w:szCs w:val="3"/>
                <w:color w:val="auto"/>
              </w:rPr>
            </w:pPr>
          </w:p>
        </w:tc>
        <w:tc>
          <w:tcPr>
            <w:tcW w:w="3820" w:type="dxa"/>
            <w:vAlign w:val="bottom"/>
            <w:tcBorders>
              <w:bottom w:val="single" w:sz="8" w:color="002060"/>
            </w:tcBorders>
          </w:tcPr>
          <w:p>
            <w:pPr>
              <w:spacing w:after="0"/>
              <w:rPr>
                <w:sz w:val="3"/>
                <w:szCs w:val="3"/>
                <w:color w:val="auto"/>
              </w:rPr>
            </w:pPr>
          </w:p>
        </w:tc>
        <w:tc>
          <w:tcPr>
            <w:tcW w:w="3260" w:type="dxa"/>
            <w:vAlign w:val="bottom"/>
            <w:tcBorders>
              <w:bottom w:val="single" w:sz="8" w:color="002060"/>
            </w:tcBorders>
          </w:tcPr>
          <w:p>
            <w:pPr>
              <w:spacing w:after="0"/>
              <w:rPr>
                <w:sz w:val="3"/>
                <w:szCs w:val="3"/>
                <w:color w:val="auto"/>
              </w:rPr>
            </w:pPr>
          </w:p>
        </w:tc>
      </w:tr>
      <w:tr>
        <w:trPr>
          <w:trHeight w:val="191"/>
        </w:trPr>
        <w:tc>
          <w:tcPr>
            <w:tcW w:w="420" w:type="dxa"/>
            <w:vAlign w:val="bottom"/>
            <w:shd w:val="clear" w:color="auto" w:fill="0070C0"/>
          </w:tcPr>
          <w:p>
            <w:pPr>
              <w:spacing w:after="0"/>
              <w:rPr>
                <w:sz w:val="16"/>
                <w:szCs w:val="16"/>
                <w:color w:val="auto"/>
              </w:rPr>
            </w:pPr>
          </w:p>
        </w:tc>
        <w:tc>
          <w:tcPr>
            <w:tcW w:w="3520" w:type="dxa"/>
            <w:vAlign w:val="bottom"/>
            <w:shd w:val="clear" w:color="auto" w:fill="E5E5E5"/>
          </w:tcPr>
          <w:p>
            <w:pPr>
              <w:ind w:left="120"/>
              <w:spacing w:after="0" w:line="191" w:lineRule="exact"/>
              <w:rPr>
                <w:sz w:val="20"/>
                <w:szCs w:val="20"/>
                <w:color w:val="auto"/>
              </w:rPr>
            </w:pPr>
            <w:r>
              <w:rPr>
                <w:rFonts w:ascii="Arial" w:cs="Arial" w:eastAsia="Arial" w:hAnsi="Arial"/>
                <w:sz w:val="18"/>
                <w:szCs w:val="18"/>
                <w:color w:val="auto"/>
              </w:rPr>
              <w:t>Performance-Based Equity Incentives</w:t>
            </w:r>
          </w:p>
        </w:tc>
        <w:tc>
          <w:tcPr>
            <w:tcW w:w="3820" w:type="dxa"/>
            <w:vAlign w:val="bottom"/>
            <w:shd w:val="clear" w:color="auto" w:fill="E5E5E5"/>
          </w:tcPr>
          <w:p>
            <w:pPr>
              <w:ind w:left="400"/>
              <w:spacing w:after="0" w:line="191" w:lineRule="exact"/>
              <w:rPr>
                <w:sz w:val="20"/>
                <w:szCs w:val="20"/>
                <w:color w:val="auto"/>
              </w:rPr>
            </w:pPr>
            <w:r>
              <w:rPr>
                <w:rFonts w:ascii="Arial" w:cs="Arial" w:eastAsia="Arial" w:hAnsi="Arial"/>
                <w:sz w:val="18"/>
                <w:szCs w:val="18"/>
                <w:color w:val="auto"/>
              </w:rPr>
              <w:t>  At-risk equity compensation based on</w:t>
            </w:r>
          </w:p>
        </w:tc>
        <w:tc>
          <w:tcPr>
            <w:tcW w:w="3260" w:type="dxa"/>
            <w:vAlign w:val="bottom"/>
            <w:shd w:val="clear" w:color="auto" w:fill="E5E5E5"/>
          </w:tcPr>
          <w:p>
            <w:pPr>
              <w:ind w:left="140"/>
              <w:spacing w:after="0" w:line="191" w:lineRule="exact"/>
              <w:rPr>
                <w:sz w:val="20"/>
                <w:szCs w:val="20"/>
                <w:color w:val="auto"/>
              </w:rPr>
            </w:pPr>
            <w:r>
              <w:rPr>
                <w:rFonts w:ascii="Arial" w:cs="Arial" w:eastAsia="Arial" w:hAnsi="Arial"/>
                <w:sz w:val="18"/>
                <w:szCs w:val="18"/>
                <w:color w:val="auto"/>
              </w:rPr>
              <w:t>  To motivate and reward executives</w:t>
            </w:r>
          </w:p>
        </w:tc>
      </w:tr>
      <w:tr>
        <w:trPr>
          <w:trHeight w:val="203"/>
        </w:trPr>
        <w:tc>
          <w:tcPr>
            <w:tcW w:w="420" w:type="dxa"/>
            <w:vAlign w:val="bottom"/>
            <w:shd w:val="clear" w:color="auto" w:fill="0070C0"/>
          </w:tcPr>
          <w:p>
            <w:pPr>
              <w:spacing w:after="0"/>
              <w:rPr>
                <w:sz w:val="17"/>
                <w:szCs w:val="17"/>
                <w:color w:val="auto"/>
              </w:rPr>
            </w:pPr>
          </w:p>
        </w:tc>
        <w:tc>
          <w:tcPr>
            <w:tcW w:w="3520" w:type="dxa"/>
            <w:vAlign w:val="bottom"/>
            <w:shd w:val="clear" w:color="auto" w:fill="E5E5E5"/>
          </w:tcPr>
          <w:p>
            <w:pPr>
              <w:spacing w:after="0"/>
              <w:rPr>
                <w:sz w:val="17"/>
                <w:szCs w:val="17"/>
                <w:color w:val="auto"/>
              </w:rPr>
            </w:pPr>
          </w:p>
        </w:tc>
        <w:tc>
          <w:tcPr>
            <w:tcW w:w="3820" w:type="dxa"/>
            <w:vAlign w:val="bottom"/>
            <w:shd w:val="clear" w:color="auto" w:fill="E5E5E5"/>
          </w:tcPr>
          <w:p>
            <w:pPr>
              <w:ind w:left="580"/>
              <w:spacing w:after="0" w:line="202" w:lineRule="exact"/>
              <w:rPr>
                <w:sz w:val="20"/>
                <w:szCs w:val="20"/>
                <w:color w:val="auto"/>
              </w:rPr>
            </w:pPr>
            <w:r>
              <w:rPr>
                <w:rFonts w:ascii="Arial" w:cs="Arial" w:eastAsia="Arial" w:hAnsi="Arial"/>
                <w:sz w:val="18"/>
                <w:szCs w:val="18"/>
                <w:color w:val="auto"/>
              </w:rPr>
              <w:t>achievement of pre-established</w:t>
            </w:r>
          </w:p>
        </w:tc>
        <w:tc>
          <w:tcPr>
            <w:tcW w:w="3260" w:type="dxa"/>
            <w:vAlign w:val="bottom"/>
            <w:shd w:val="clear" w:color="auto" w:fill="E5E5E5"/>
          </w:tcPr>
          <w:p>
            <w:pPr>
              <w:ind w:left="320"/>
              <w:spacing w:after="0" w:line="202" w:lineRule="exact"/>
              <w:rPr>
                <w:sz w:val="20"/>
                <w:szCs w:val="20"/>
                <w:color w:val="auto"/>
              </w:rPr>
            </w:pPr>
            <w:r>
              <w:rPr>
                <w:rFonts w:ascii="Arial" w:cs="Arial" w:eastAsia="Arial" w:hAnsi="Arial"/>
                <w:sz w:val="18"/>
                <w:szCs w:val="18"/>
                <w:color w:val="auto"/>
              </w:rPr>
              <w:t>for focusing on sustained long-term</w:t>
            </w:r>
          </w:p>
        </w:tc>
      </w:tr>
      <w:tr>
        <w:trPr>
          <w:trHeight w:val="203"/>
        </w:trPr>
        <w:tc>
          <w:tcPr>
            <w:tcW w:w="420" w:type="dxa"/>
            <w:vAlign w:val="bottom"/>
            <w:shd w:val="clear" w:color="auto" w:fill="0070C0"/>
          </w:tcPr>
          <w:p>
            <w:pPr>
              <w:spacing w:after="0"/>
              <w:rPr>
                <w:sz w:val="17"/>
                <w:szCs w:val="17"/>
                <w:color w:val="auto"/>
              </w:rPr>
            </w:pPr>
          </w:p>
        </w:tc>
        <w:tc>
          <w:tcPr>
            <w:tcW w:w="3520" w:type="dxa"/>
            <w:vAlign w:val="bottom"/>
            <w:shd w:val="clear" w:color="auto" w:fill="E5E5E5"/>
          </w:tcPr>
          <w:p>
            <w:pPr>
              <w:spacing w:after="0"/>
              <w:rPr>
                <w:sz w:val="17"/>
                <w:szCs w:val="17"/>
                <w:color w:val="auto"/>
              </w:rPr>
            </w:pPr>
          </w:p>
        </w:tc>
        <w:tc>
          <w:tcPr>
            <w:tcW w:w="3820" w:type="dxa"/>
            <w:vAlign w:val="bottom"/>
            <w:shd w:val="clear" w:color="auto" w:fill="E5E5E5"/>
          </w:tcPr>
          <w:p>
            <w:pPr>
              <w:ind w:left="580"/>
              <w:spacing w:after="0" w:line="202" w:lineRule="exact"/>
              <w:rPr>
                <w:sz w:val="20"/>
                <w:szCs w:val="20"/>
                <w:color w:val="auto"/>
              </w:rPr>
            </w:pPr>
            <w:r>
              <w:rPr>
                <w:rFonts w:ascii="Arial" w:cs="Arial" w:eastAsia="Arial" w:hAnsi="Arial"/>
                <w:sz w:val="18"/>
                <w:szCs w:val="18"/>
                <w:color w:val="auto"/>
              </w:rPr>
              <w:t>corporate financial performance goals.</w:t>
            </w:r>
          </w:p>
        </w:tc>
        <w:tc>
          <w:tcPr>
            <w:tcW w:w="3260" w:type="dxa"/>
            <w:vAlign w:val="bottom"/>
            <w:shd w:val="clear" w:color="auto" w:fill="E5E5E5"/>
          </w:tcPr>
          <w:p>
            <w:pPr>
              <w:ind w:left="320"/>
              <w:spacing w:after="0" w:line="202" w:lineRule="exact"/>
              <w:rPr>
                <w:sz w:val="20"/>
                <w:szCs w:val="20"/>
                <w:color w:val="auto"/>
              </w:rPr>
            </w:pPr>
            <w:r>
              <w:rPr>
                <w:rFonts w:ascii="Arial" w:cs="Arial" w:eastAsia="Arial" w:hAnsi="Arial"/>
                <w:sz w:val="18"/>
                <w:szCs w:val="18"/>
                <w:color w:val="auto"/>
              </w:rPr>
              <w:t>growth and financial success,</w:t>
            </w:r>
          </w:p>
        </w:tc>
      </w:tr>
      <w:tr>
        <w:trPr>
          <w:trHeight w:val="203"/>
        </w:trPr>
        <w:tc>
          <w:tcPr>
            <w:tcW w:w="420" w:type="dxa"/>
            <w:vAlign w:val="bottom"/>
            <w:shd w:val="clear" w:color="auto" w:fill="0070C0"/>
          </w:tcPr>
          <w:p>
            <w:pPr>
              <w:spacing w:after="0"/>
              <w:rPr>
                <w:sz w:val="17"/>
                <w:szCs w:val="17"/>
                <w:color w:val="auto"/>
              </w:rPr>
            </w:pPr>
          </w:p>
        </w:tc>
        <w:tc>
          <w:tcPr>
            <w:tcW w:w="3520" w:type="dxa"/>
            <w:vAlign w:val="bottom"/>
            <w:shd w:val="clear" w:color="auto" w:fill="E5E5E5"/>
          </w:tcPr>
          <w:p>
            <w:pPr>
              <w:spacing w:after="0"/>
              <w:rPr>
                <w:sz w:val="17"/>
                <w:szCs w:val="17"/>
                <w:color w:val="auto"/>
              </w:rPr>
            </w:pPr>
          </w:p>
        </w:tc>
        <w:tc>
          <w:tcPr>
            <w:tcW w:w="3820" w:type="dxa"/>
            <w:vAlign w:val="bottom"/>
            <w:shd w:val="clear" w:color="auto" w:fill="E5E5E5"/>
          </w:tcPr>
          <w:p>
            <w:pPr>
              <w:ind w:left="400"/>
              <w:spacing w:after="0" w:line="202" w:lineRule="exact"/>
              <w:rPr>
                <w:sz w:val="20"/>
                <w:szCs w:val="20"/>
                <w:color w:val="auto"/>
              </w:rPr>
            </w:pPr>
            <w:r>
              <w:rPr>
                <w:rFonts w:ascii="Arial" w:cs="Arial" w:eastAsia="Arial" w:hAnsi="Arial"/>
                <w:sz w:val="18"/>
                <w:szCs w:val="18"/>
                <w:color w:val="auto"/>
              </w:rPr>
              <w:t>  Granted as shares of restricted stock.</w:t>
            </w:r>
          </w:p>
        </w:tc>
        <w:tc>
          <w:tcPr>
            <w:tcW w:w="3260" w:type="dxa"/>
            <w:vAlign w:val="bottom"/>
            <w:shd w:val="clear" w:color="auto" w:fill="E5E5E5"/>
          </w:tcPr>
          <w:p>
            <w:pPr>
              <w:ind w:left="320"/>
              <w:spacing w:after="0" w:line="202" w:lineRule="exact"/>
              <w:rPr>
                <w:sz w:val="20"/>
                <w:szCs w:val="20"/>
                <w:color w:val="auto"/>
              </w:rPr>
            </w:pPr>
            <w:r>
              <w:rPr>
                <w:rFonts w:ascii="Arial" w:cs="Arial" w:eastAsia="Arial" w:hAnsi="Arial"/>
                <w:sz w:val="18"/>
                <w:szCs w:val="18"/>
                <w:color w:val="auto"/>
              </w:rPr>
              <w:t>aligned with stockholder value.</w:t>
            </w:r>
          </w:p>
        </w:tc>
      </w:tr>
      <w:tr>
        <w:trPr>
          <w:trHeight w:val="216"/>
        </w:trPr>
        <w:tc>
          <w:tcPr>
            <w:tcW w:w="420" w:type="dxa"/>
            <w:vAlign w:val="bottom"/>
            <w:shd w:val="clear" w:color="auto" w:fill="0070C0"/>
          </w:tcPr>
          <w:p>
            <w:pPr>
              <w:spacing w:after="0"/>
              <w:rPr>
                <w:sz w:val="18"/>
                <w:szCs w:val="18"/>
                <w:color w:val="auto"/>
              </w:rPr>
            </w:pPr>
          </w:p>
        </w:tc>
        <w:tc>
          <w:tcPr>
            <w:tcW w:w="3520" w:type="dxa"/>
            <w:vAlign w:val="bottom"/>
            <w:shd w:val="clear" w:color="auto" w:fill="E5E5E5"/>
          </w:tcPr>
          <w:p>
            <w:pPr>
              <w:spacing w:after="0"/>
              <w:rPr>
                <w:sz w:val="18"/>
                <w:szCs w:val="18"/>
                <w:color w:val="auto"/>
              </w:rPr>
            </w:pPr>
          </w:p>
        </w:tc>
        <w:tc>
          <w:tcPr>
            <w:tcW w:w="3820" w:type="dxa"/>
            <w:vAlign w:val="bottom"/>
            <w:shd w:val="clear" w:color="auto" w:fill="E5E5E5"/>
          </w:tcPr>
          <w:p>
            <w:pPr>
              <w:ind w:left="400"/>
              <w:spacing w:after="0"/>
              <w:rPr>
                <w:sz w:val="20"/>
                <w:szCs w:val="20"/>
                <w:color w:val="auto"/>
              </w:rPr>
            </w:pPr>
            <w:r>
              <w:rPr>
                <w:rFonts w:ascii="Arial" w:cs="Arial" w:eastAsia="Arial" w:hAnsi="Arial"/>
                <w:sz w:val="18"/>
                <w:szCs w:val="18"/>
                <w:color w:val="auto"/>
              </w:rPr>
              <w:t>  Earned only if at least 80% of target</w:t>
            </w:r>
          </w:p>
        </w:tc>
        <w:tc>
          <w:tcPr>
            <w:tcW w:w="3260" w:type="dxa"/>
            <w:vAlign w:val="bottom"/>
            <w:shd w:val="clear" w:color="auto" w:fill="E5E5E5"/>
          </w:tcPr>
          <w:p>
            <w:pPr>
              <w:ind w:left="140"/>
              <w:spacing w:after="0"/>
              <w:rPr>
                <w:sz w:val="20"/>
                <w:szCs w:val="20"/>
                <w:color w:val="auto"/>
              </w:rPr>
            </w:pPr>
            <w:r>
              <w:rPr>
                <w:rFonts w:ascii="Arial" w:cs="Arial" w:eastAsia="Arial" w:hAnsi="Arial"/>
                <w:sz w:val="18"/>
                <w:szCs w:val="18"/>
                <w:color w:val="auto"/>
              </w:rPr>
              <w:t>  Enhances retention of key talent.</w:t>
            </w:r>
          </w:p>
        </w:tc>
      </w:tr>
      <w:tr>
        <w:trPr>
          <w:trHeight w:val="216"/>
        </w:trPr>
        <w:tc>
          <w:tcPr>
            <w:tcW w:w="420" w:type="dxa"/>
            <w:vAlign w:val="bottom"/>
            <w:shd w:val="clear" w:color="auto" w:fill="0070C0"/>
          </w:tcPr>
          <w:p>
            <w:pPr>
              <w:spacing w:after="0"/>
              <w:rPr>
                <w:sz w:val="18"/>
                <w:szCs w:val="18"/>
                <w:color w:val="auto"/>
              </w:rPr>
            </w:pPr>
          </w:p>
        </w:tc>
        <w:tc>
          <w:tcPr>
            <w:tcW w:w="3520" w:type="dxa"/>
            <w:vAlign w:val="bottom"/>
            <w:shd w:val="clear" w:color="auto" w:fill="E5E5E5"/>
          </w:tcPr>
          <w:p>
            <w:pPr>
              <w:spacing w:after="0"/>
              <w:rPr>
                <w:sz w:val="18"/>
                <w:szCs w:val="18"/>
                <w:color w:val="auto"/>
              </w:rPr>
            </w:pPr>
          </w:p>
        </w:tc>
        <w:tc>
          <w:tcPr>
            <w:tcW w:w="3820" w:type="dxa"/>
            <w:vAlign w:val="bottom"/>
            <w:shd w:val="clear" w:color="auto" w:fill="E5E5E5"/>
          </w:tcPr>
          <w:p>
            <w:pPr>
              <w:ind w:left="580"/>
              <w:spacing w:after="0"/>
              <w:rPr>
                <w:sz w:val="20"/>
                <w:szCs w:val="20"/>
                <w:color w:val="auto"/>
              </w:rPr>
            </w:pPr>
            <w:r>
              <w:rPr>
                <w:rFonts w:ascii="Arial" w:cs="Arial" w:eastAsia="Arial" w:hAnsi="Arial"/>
                <w:sz w:val="18"/>
                <w:szCs w:val="18"/>
                <w:color w:val="auto"/>
              </w:rPr>
              <w:t>goal is achieved.</w:t>
            </w:r>
          </w:p>
        </w:tc>
        <w:tc>
          <w:tcPr>
            <w:tcW w:w="3260" w:type="dxa"/>
            <w:vAlign w:val="bottom"/>
            <w:shd w:val="clear" w:color="auto" w:fill="E5E5E5"/>
          </w:tcPr>
          <w:p>
            <w:pPr>
              <w:ind w:left="140"/>
              <w:spacing w:after="0"/>
              <w:rPr>
                <w:sz w:val="20"/>
                <w:szCs w:val="20"/>
                <w:color w:val="auto"/>
              </w:rPr>
            </w:pPr>
            <w:r>
              <w:rPr>
                <w:rFonts w:ascii="Arial" w:cs="Arial" w:eastAsia="Arial" w:hAnsi="Arial"/>
                <w:sz w:val="18"/>
                <w:szCs w:val="18"/>
                <w:color w:val="auto"/>
              </w:rPr>
              <w:t>  Aligns compensation with</w:t>
            </w:r>
          </w:p>
        </w:tc>
      </w:tr>
      <w:tr>
        <w:trPr>
          <w:trHeight w:val="216"/>
        </w:trPr>
        <w:tc>
          <w:tcPr>
            <w:tcW w:w="420" w:type="dxa"/>
            <w:vAlign w:val="bottom"/>
            <w:shd w:val="clear" w:color="auto" w:fill="0070C0"/>
          </w:tcPr>
          <w:p>
            <w:pPr>
              <w:spacing w:after="0"/>
              <w:rPr>
                <w:sz w:val="18"/>
                <w:szCs w:val="18"/>
                <w:color w:val="auto"/>
              </w:rPr>
            </w:pPr>
          </w:p>
        </w:tc>
        <w:tc>
          <w:tcPr>
            <w:tcW w:w="3520" w:type="dxa"/>
            <w:vAlign w:val="bottom"/>
            <w:shd w:val="clear" w:color="auto" w:fill="E5E5E5"/>
          </w:tcPr>
          <w:p>
            <w:pPr>
              <w:spacing w:after="0"/>
              <w:rPr>
                <w:sz w:val="18"/>
                <w:szCs w:val="18"/>
                <w:color w:val="auto"/>
              </w:rPr>
            </w:pPr>
          </w:p>
        </w:tc>
        <w:tc>
          <w:tcPr>
            <w:tcW w:w="3820" w:type="dxa"/>
            <w:vAlign w:val="bottom"/>
            <w:shd w:val="clear" w:color="auto" w:fill="E5E5E5"/>
          </w:tcPr>
          <w:p>
            <w:pPr>
              <w:ind w:left="400"/>
              <w:spacing w:after="0"/>
              <w:rPr>
                <w:sz w:val="20"/>
                <w:szCs w:val="20"/>
                <w:color w:val="auto"/>
              </w:rPr>
            </w:pPr>
            <w:r>
              <w:rPr>
                <w:rFonts w:ascii="Arial" w:cs="Arial" w:eastAsia="Arial" w:hAnsi="Arial"/>
                <w:sz w:val="18"/>
                <w:szCs w:val="18"/>
                <w:color w:val="auto"/>
              </w:rPr>
              <w:t>  Vests over two years of continued</w:t>
            </w:r>
          </w:p>
        </w:tc>
        <w:tc>
          <w:tcPr>
            <w:tcW w:w="3260" w:type="dxa"/>
            <w:vAlign w:val="bottom"/>
            <w:shd w:val="clear" w:color="auto" w:fill="E5E5E5"/>
          </w:tcPr>
          <w:p>
            <w:pPr>
              <w:ind w:left="320"/>
              <w:spacing w:after="0"/>
              <w:rPr>
                <w:sz w:val="20"/>
                <w:szCs w:val="20"/>
                <w:color w:val="auto"/>
              </w:rPr>
            </w:pPr>
            <w:r>
              <w:rPr>
                <w:rFonts w:ascii="Arial" w:cs="Arial" w:eastAsia="Arial" w:hAnsi="Arial"/>
                <w:sz w:val="18"/>
                <w:szCs w:val="18"/>
                <w:color w:val="auto"/>
              </w:rPr>
              <w:t>stockholder value.</w:t>
            </w:r>
          </w:p>
        </w:tc>
      </w:tr>
      <w:tr>
        <w:trPr>
          <w:trHeight w:val="203"/>
        </w:trPr>
        <w:tc>
          <w:tcPr>
            <w:tcW w:w="420" w:type="dxa"/>
            <w:vAlign w:val="bottom"/>
            <w:shd w:val="clear" w:color="auto" w:fill="0070C0"/>
          </w:tcPr>
          <w:p>
            <w:pPr>
              <w:spacing w:after="0"/>
              <w:rPr>
                <w:sz w:val="17"/>
                <w:szCs w:val="17"/>
                <w:color w:val="auto"/>
              </w:rPr>
            </w:pPr>
          </w:p>
        </w:tc>
        <w:tc>
          <w:tcPr>
            <w:tcW w:w="3520" w:type="dxa"/>
            <w:vAlign w:val="bottom"/>
            <w:shd w:val="clear" w:color="auto" w:fill="E5E5E5"/>
          </w:tcPr>
          <w:p>
            <w:pPr>
              <w:spacing w:after="0"/>
              <w:rPr>
                <w:sz w:val="17"/>
                <w:szCs w:val="17"/>
                <w:color w:val="auto"/>
              </w:rPr>
            </w:pPr>
          </w:p>
        </w:tc>
        <w:tc>
          <w:tcPr>
            <w:tcW w:w="3820" w:type="dxa"/>
            <w:vAlign w:val="bottom"/>
            <w:shd w:val="clear" w:color="auto" w:fill="E5E5E5"/>
          </w:tcPr>
          <w:p>
            <w:pPr>
              <w:ind w:left="580"/>
              <w:spacing w:after="0" w:line="202" w:lineRule="exact"/>
              <w:rPr>
                <w:sz w:val="20"/>
                <w:szCs w:val="20"/>
                <w:color w:val="auto"/>
              </w:rPr>
            </w:pPr>
            <w:r>
              <w:rPr>
                <w:rFonts w:ascii="Arial" w:cs="Arial" w:eastAsia="Arial" w:hAnsi="Arial"/>
                <w:sz w:val="18"/>
                <w:szCs w:val="18"/>
                <w:color w:val="auto"/>
              </w:rPr>
              <w:t>service after satisfaction of</w:t>
            </w:r>
          </w:p>
        </w:tc>
        <w:tc>
          <w:tcPr>
            <w:tcW w:w="3260" w:type="dxa"/>
            <w:vAlign w:val="bottom"/>
            <w:shd w:val="clear" w:color="auto" w:fill="E5E5E5"/>
          </w:tcPr>
          <w:p>
            <w:pPr>
              <w:spacing w:after="0"/>
              <w:rPr>
                <w:sz w:val="17"/>
                <w:szCs w:val="17"/>
                <w:color w:val="auto"/>
              </w:rPr>
            </w:pPr>
          </w:p>
        </w:tc>
      </w:tr>
      <w:tr>
        <w:trPr>
          <w:trHeight w:val="255"/>
        </w:trPr>
        <w:tc>
          <w:tcPr>
            <w:tcW w:w="420" w:type="dxa"/>
            <w:vAlign w:val="bottom"/>
            <w:tcBorders>
              <w:bottom w:val="single" w:sz="8" w:color="0070C0"/>
            </w:tcBorders>
            <w:shd w:val="clear" w:color="auto" w:fill="0070C0"/>
          </w:tcPr>
          <w:p>
            <w:pPr>
              <w:spacing w:after="0"/>
              <w:rPr>
                <w:sz w:val="22"/>
                <w:szCs w:val="22"/>
                <w:color w:val="auto"/>
              </w:rPr>
            </w:pPr>
          </w:p>
        </w:tc>
        <w:tc>
          <w:tcPr>
            <w:tcW w:w="3520" w:type="dxa"/>
            <w:vAlign w:val="bottom"/>
            <w:tcBorders>
              <w:bottom w:val="single" w:sz="8" w:color="E5E5E5"/>
            </w:tcBorders>
            <w:shd w:val="clear" w:color="auto" w:fill="E5E5E5"/>
          </w:tcPr>
          <w:p>
            <w:pPr>
              <w:spacing w:after="0"/>
              <w:rPr>
                <w:sz w:val="22"/>
                <w:szCs w:val="22"/>
                <w:color w:val="auto"/>
              </w:rPr>
            </w:pPr>
          </w:p>
        </w:tc>
        <w:tc>
          <w:tcPr>
            <w:tcW w:w="3820" w:type="dxa"/>
            <w:vAlign w:val="bottom"/>
            <w:tcBorders>
              <w:bottom w:val="single" w:sz="8" w:color="E5E5E5"/>
            </w:tcBorders>
            <w:shd w:val="clear" w:color="auto" w:fill="E5E5E5"/>
          </w:tcPr>
          <w:p>
            <w:pPr>
              <w:ind w:left="580"/>
              <w:spacing w:after="0"/>
              <w:rPr>
                <w:sz w:val="20"/>
                <w:szCs w:val="20"/>
                <w:color w:val="auto"/>
              </w:rPr>
            </w:pPr>
            <w:r>
              <w:rPr>
                <w:rFonts w:ascii="Arial" w:cs="Arial" w:eastAsia="Arial" w:hAnsi="Arial"/>
                <w:sz w:val="18"/>
                <w:szCs w:val="18"/>
                <w:color w:val="auto"/>
              </w:rPr>
              <w:t>performance goals.</w:t>
            </w:r>
          </w:p>
        </w:tc>
        <w:tc>
          <w:tcPr>
            <w:tcW w:w="3260" w:type="dxa"/>
            <w:vAlign w:val="bottom"/>
            <w:tcBorders>
              <w:bottom w:val="single" w:sz="8" w:color="E5E5E5"/>
            </w:tcBorders>
            <w:shd w:val="clear" w:color="auto" w:fill="E5E5E5"/>
          </w:tcPr>
          <w:p>
            <w:pPr>
              <w:spacing w:after="0"/>
              <w:rPr>
                <w:sz w:val="22"/>
                <w:szCs w:val="22"/>
                <w:color w:val="auto"/>
              </w:rPr>
            </w:pPr>
          </w:p>
        </w:tc>
      </w:tr>
      <w:tr>
        <w:trPr>
          <w:trHeight w:val="20"/>
        </w:trPr>
        <w:tc>
          <w:tcPr>
            <w:tcW w:w="420" w:type="dxa"/>
            <w:vAlign w:val="bottom"/>
            <w:shd w:val="clear" w:color="auto" w:fill="002060"/>
          </w:tcPr>
          <w:p>
            <w:pPr>
              <w:spacing w:after="0" w:line="20" w:lineRule="exact"/>
              <w:rPr>
                <w:sz w:val="1"/>
                <w:szCs w:val="1"/>
                <w:color w:val="auto"/>
              </w:rPr>
            </w:pPr>
          </w:p>
        </w:tc>
        <w:tc>
          <w:tcPr>
            <w:tcW w:w="3520" w:type="dxa"/>
            <w:vAlign w:val="bottom"/>
            <w:shd w:val="clear" w:color="auto" w:fill="002060"/>
          </w:tcPr>
          <w:p>
            <w:pPr>
              <w:spacing w:after="0" w:line="20" w:lineRule="exact"/>
              <w:rPr>
                <w:sz w:val="1"/>
                <w:szCs w:val="1"/>
                <w:color w:val="auto"/>
              </w:rPr>
            </w:pPr>
          </w:p>
        </w:tc>
        <w:tc>
          <w:tcPr>
            <w:tcW w:w="3820" w:type="dxa"/>
            <w:vAlign w:val="bottom"/>
            <w:shd w:val="clear" w:color="auto" w:fill="002060"/>
          </w:tcPr>
          <w:p>
            <w:pPr>
              <w:spacing w:after="0" w:line="20" w:lineRule="exact"/>
              <w:rPr>
                <w:sz w:val="1"/>
                <w:szCs w:val="1"/>
                <w:color w:val="auto"/>
              </w:rPr>
            </w:pPr>
          </w:p>
        </w:tc>
        <w:tc>
          <w:tcPr>
            <w:tcW w:w="3260" w:type="dxa"/>
            <w:vAlign w:val="bottom"/>
            <w:shd w:val="clear" w:color="auto" w:fill="00206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-2073910</wp:posOffset>
            </wp:positionV>
            <wp:extent cx="274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-2639695</wp:posOffset>
            </wp:positionV>
            <wp:extent cx="102870" cy="3003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2870" cy="3003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-1431290</wp:posOffset>
            </wp:positionV>
            <wp:extent cx="102870" cy="3943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2870" cy="394335"/>
                    </a:xfrm>
                    <a:prstGeom prst="rect">
                      <a:avLst/>
                    </a:prstGeom>
                    <a:noFill/>
                  </pic:spPr>
                </pic:pic>
              </a:graphicData>
            </a:graphic>
          </wp:anchor>
        </w:drawing>
      </w:r>
    </w:p>
    <w:p>
      <w:pPr>
        <w:spacing w:after="0" w:line="150" w:lineRule="exact"/>
        <w:rPr>
          <w:sz w:val="20"/>
          <w:szCs w:val="20"/>
          <w:color w:val="auto"/>
        </w:rPr>
      </w:pPr>
    </w:p>
    <w:p>
      <w:pPr>
        <w:ind w:left="120" w:right="260"/>
        <w:spacing w:after="0" w:line="244" w:lineRule="auto"/>
        <w:rPr>
          <w:sz w:val="20"/>
          <w:szCs w:val="20"/>
          <w:color w:val="auto"/>
        </w:rPr>
      </w:pPr>
      <w:r>
        <w:rPr>
          <w:rFonts w:ascii="Arial" w:cs="Arial" w:eastAsia="Arial" w:hAnsi="Arial"/>
          <w:sz w:val="18"/>
          <w:szCs w:val="18"/>
          <w:color w:val="auto"/>
        </w:rPr>
        <w:t>Our executive compensation includes both fixed components (base salary and benefits) and variable components (short- and long-term incentive awards) that are directly tied to our financial and operational performance. The Compensation and Human Capital Committee annually considers the mix of compensation and may make adjustments after giving consideration to evolving circumstances, the individuals involved and their responsibilities and performance. The Compensation and Human Capital Committee believes this mix of components is appropriate because it incentivizes our NEOs to focus on both short- and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282575" cy="2660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202" w:lineRule="exact"/>
        <w:rPr>
          <w:sz w:val="20"/>
          <w:szCs w:val="20"/>
          <w:color w:val="auto"/>
        </w:rPr>
      </w:pPr>
    </w:p>
    <w:p>
      <w:pPr>
        <w:ind w:left="240"/>
        <w:spacing w:after="0"/>
        <w:tabs>
          <w:tab w:leader="none" w:pos="660" w:val="left"/>
          <w:tab w:leader="none" w:pos="8280" w:val="left"/>
        </w:tabs>
        <w:rPr>
          <w:sz w:val="20"/>
          <w:szCs w:val="20"/>
          <w:color w:val="auto"/>
        </w:rPr>
      </w:pPr>
      <w:r>
        <w:rPr>
          <w:rFonts w:ascii="Arial" w:cs="Arial" w:eastAsia="Arial" w:hAnsi="Arial"/>
          <w:sz w:val="16"/>
          <w:szCs w:val="16"/>
          <w:color w:val="FFFFFF"/>
        </w:rPr>
        <w:t>58</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Compensation Discussion and Analysis</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success and aligns their interests with those of our stockholders. The committee also believes that this mix is consistent with companies in our peer group. The Compensation and Human Capital Committee strives to achieve an appropriate balance among the elements of our compensation program, but does not apply any set formula in allocating the components. We do not provide perquisites or other special benefits to our executive officers that are not generally available to our salaried employees, other than auto leases or allowances (including insurance) and cell phones. We provide no pension plans or other retirement benefits to our executive officers other than our 401(k) plan, which is generally available to all of our employees, and our non-qualified deferred compensation plan, which allows our executive officers and other highly compensated employees to defer a portion of their eligible compensation above 401(k) plan limits.</w:t>
      </w:r>
    </w:p>
    <w:p>
      <w:pPr>
        <w:spacing w:after="0" w:line="158" w:lineRule="exact"/>
        <w:rPr>
          <w:sz w:val="20"/>
          <w:szCs w:val="20"/>
          <w:color w:val="auto"/>
        </w:rPr>
      </w:pPr>
    </w:p>
    <w:p>
      <w:pPr>
        <w:ind w:left="120" w:right="40"/>
        <w:spacing w:after="0"/>
        <w:rPr>
          <w:sz w:val="20"/>
          <w:szCs w:val="20"/>
          <w:color w:val="auto"/>
        </w:rPr>
      </w:pPr>
      <w:r>
        <w:rPr>
          <w:rFonts w:ascii="Arial" w:cs="Arial" w:eastAsia="Arial" w:hAnsi="Arial"/>
          <w:sz w:val="18"/>
          <w:szCs w:val="18"/>
          <w:i w:val="1"/>
          <w:iCs w:val="1"/>
          <w:u w:val="single" w:color="auto"/>
          <w:color w:val="auto"/>
        </w:rPr>
        <w:t>Base Salary</w:t>
      </w:r>
      <w:r>
        <w:rPr>
          <w:rFonts w:ascii="Arial" w:cs="Arial" w:eastAsia="Arial" w:hAnsi="Arial"/>
          <w:sz w:val="18"/>
          <w:szCs w:val="18"/>
          <w:color w:val="auto"/>
        </w:rPr>
        <w:t>. We provide base salaries to our NEOs to compensate them for performing day-to-day responsibilities and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fixed pay to balance at-risk compensation. Base salary is intended to provide a fundamental level of compensation so that our executives do not feel pressured to take unnecessary or excessive risks or to focus on the price of our common stock. The Compensation and Human Capital Committee reviews base salaries no less than annually, usually in the first quarter of each year, and takes into consideration the scope of the executive’s responsibilities, skills, experience, individual contribution, competitive market salary levels, internal pay equity and overall mix of compensation elements. Salary adjustments, if any, typically become effective on April 1 of each year. Our Chief Executive Officer’s employment agreement provides for a minimum annual base salary of $600,000, but does not provide for any guaranteed salary increases. See “</w:t>
      </w:r>
      <w:r>
        <w:rPr>
          <w:rFonts w:ascii="Arial" w:cs="Arial" w:eastAsia="Arial" w:hAnsi="Arial"/>
          <w:sz w:val="18"/>
          <w:szCs w:val="18"/>
          <w:i w:val="1"/>
          <w:iCs w:val="1"/>
          <w:color w:val="auto"/>
        </w:rPr>
        <w:t>Employment Agreement with Jeffrey W. Edwards</w:t>
      </w:r>
      <w:r>
        <w:rPr>
          <w:rFonts w:ascii="Arial" w:cs="Arial" w:eastAsia="Arial" w:hAnsi="Arial"/>
          <w:sz w:val="18"/>
          <w:szCs w:val="18"/>
          <w:color w:val="auto"/>
        </w:rPr>
        <w:t>” below for more information.</w:t>
      </w:r>
    </w:p>
    <w:p>
      <w:pPr>
        <w:spacing w:after="0" w:line="140"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i w:val="1"/>
          <w:iCs w:val="1"/>
          <w:u w:val="single" w:color="auto"/>
          <w:color w:val="auto"/>
        </w:rPr>
        <w:t>Performance-Based Cash Incentives</w:t>
      </w:r>
      <w:r>
        <w:rPr>
          <w:rFonts w:ascii="Arial" w:cs="Arial" w:eastAsia="Arial" w:hAnsi="Arial"/>
          <w:sz w:val="18"/>
          <w:szCs w:val="18"/>
          <w:color w:val="auto"/>
        </w:rPr>
        <w:t>. We provide our NEOs with annual performance-based cash incentive opportunities,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reward achievement of short-term performance goals. Incentive award opportunities are tied to the achievement of an objective pre-determined performance metric that is directly related to our financial and strategic goals for the year. In February of each year, the Compensation and Human Capital Committee, after considering the recommendations of management, sets an annual financial performance target for the year based primarily on the Company’s Board-approved budget for the year and establishes for each NEO a target cash bonus expressed as a fixed dollar amount. The cash bonus earned may be above or below target, based on the degree to which the performance metric is met. The executive generally must remain employed through the end of the performance period to be eligible for any cash bonus. Termination of employment for any reason prior to the actual payment date (except in the case of death) generally results in forfeiture of the incentive cash bonus.</w:t>
      </w:r>
    </w:p>
    <w:p>
      <w:pPr>
        <w:spacing w:after="0" w:line="143"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In setting performance goals each year, the Compensation and Human Capital Committee uses a one-year performance metric so that performance targets reflect current industry conditions, upon which the Company is heavily dependent. This approach takes into account that the Company operates in the residential and commercial construction industry, which is cyclical, seasonal and highly sensitive to macroeconomic and housing market factors over which our executives have no control, including interest rates; inflation; employment levels; housing demand; affordability; material prices; availability and pricing of mortgage financing; financial, political system and credit market stability; consumer confidence and general economic conditions.</w:t>
      </w:r>
    </w:p>
    <w:p>
      <w:pPr>
        <w:spacing w:after="0" w:line="152"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Compensation and Human Capital Committee currently uses Adjusted EBITDA as our performance metric because the committee believes that it serves as the best measure of the success of our growth strategies, provides an effective incentive to maximize operating profitability and aligns management awards with the financial interests of our stockholders. The Compensation and Human Capital Committee believes Adjusted EBITDA is the most useful measure of profitability and operating performance as it measures changes in pricing decisions, cost controls and other factors that impact operating performance and removes the effect of our capital structure, asset base, items outside our control and volatility related to the timing and extent of activities such as asset impairments and non-core income and expenses. The annual performance target set by the Compensation and Human Capital Committee is based on the budget approved by the Board and the annual and long-term business plan established at the beginning of each fiscal year and is intended to be challenging but fair. The budget and business plan are based upon certain assumptions and estimates of the housing and commercial markets, Company growth objectives and macroeconomic conditions. The performance target established by the Compensation and Human Capital Committee in the first quarter is periodically adjusted throughout the year to account for the impact of completed acquisitions. The Compensation and Human Capital Committee expects to continue to re-assess the performance metric selection and goal setting processes annually, including the potential addition of DEI and ESG factors. See “</w:t>
      </w:r>
      <w:r>
        <w:rPr>
          <w:rFonts w:ascii="Arial" w:cs="Arial" w:eastAsia="Arial" w:hAnsi="Arial"/>
          <w:sz w:val="18"/>
          <w:szCs w:val="18"/>
          <w:i w:val="1"/>
          <w:iCs w:val="1"/>
          <w:color w:val="auto"/>
        </w:rPr>
        <w:t>Additional Information – Use of Non-GAAP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w:t>
      </w:r>
      <w:r>
        <w:rPr>
          <w:rFonts w:ascii="Arial" w:cs="Arial" w:eastAsia="Arial" w:hAnsi="Arial"/>
          <w:sz w:val="18"/>
          <w:szCs w:val="18"/>
          <w:color w:val="auto"/>
        </w:rPr>
        <w:t>” for a reconciliation of Adjusted EBITDA to the most directly comparable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89535</wp:posOffset>
            </wp:positionV>
            <wp:extent cx="291465" cy="2654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215"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Compensation Discussion and Analysis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59</w:t>
      </w:r>
    </w:p>
    <w:p>
      <w:pPr>
        <w:sectPr>
          <w:pgSz w:w="11900" w:h="16838" w:orient="portrait"/>
          <w:cols w:equalWidth="0" w:num="1">
            <w:col w:w="11100"/>
          </w:cols>
          <w:pgMar w:left="320" w:top="482"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i w:val="1"/>
          <w:iCs w:val="1"/>
          <w:u w:val="single" w:color="auto"/>
          <w:color w:val="auto"/>
        </w:rPr>
        <w:t>Performance-Based Equity Incentives</w:t>
      </w:r>
      <w:r>
        <w:rPr>
          <w:rFonts w:ascii="Arial" w:cs="Arial" w:eastAsia="Arial" w:hAnsi="Arial"/>
          <w:sz w:val="18"/>
          <w:szCs w:val="18"/>
          <w:color w:val="auto"/>
        </w:rPr>
        <w:t>. A substantial component of our executive compensation program consists of rewards for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enhancement of stockholder value through the use of performance-based incentive equity awards. The Compensation and Human Capital Committee believes that long-term incentive compensation is an effective way to retain a strong executive team and provide them with incentives to focus on the Company’s long-term success.</w:t>
      </w:r>
    </w:p>
    <w:p>
      <w:pPr>
        <w:spacing w:after="0" w:line="14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 Compensation and Human Capital Committee grants target incentive awards of restricted stock to our NEOs that are performance-based over a one year performance period and which, if earned, vest over two years of continued service after the performance goal is met. The Compensation and Human Capital Committee has determined to use a one-year performance metric of Adjusted EBITDA for the reasons outlined in “</w:t>
      </w:r>
      <w:r>
        <w:rPr>
          <w:rFonts w:ascii="Arial" w:cs="Arial" w:eastAsia="Arial" w:hAnsi="Arial"/>
          <w:sz w:val="18"/>
          <w:szCs w:val="18"/>
          <w:i w:val="1"/>
          <w:iCs w:val="1"/>
          <w:color w:val="auto"/>
        </w:rPr>
        <w:t>Performance-Based Cash Incentives</w:t>
      </w:r>
      <w:r>
        <w:rPr>
          <w:rFonts w:ascii="Arial" w:cs="Arial" w:eastAsia="Arial" w:hAnsi="Arial"/>
          <w:sz w:val="18"/>
          <w:szCs w:val="18"/>
          <w:color w:val="auto"/>
        </w:rPr>
        <w:t>” above. In order to achieve a balance between the advisability of setting an annual performance metric and our desire to align the interests of our NEOs with the long-term interests of our stockholders, the Compensation and Human Capital Committee added the time-vesting component to the performance-based awards. Performance-based restricted stock targets are based on a fixed number of shares, rather than a dollar amount, so that the value of the executive’s award fluctuates with the price of our common stock during the performance period, the vesting period and thereafter. Performance-based restricted stock awards actually earned may be above or below the target award, based on the degree to which the performance metric is met. If the performance metric is achieved at a minimum of 80%, the restricted stock is earned and vests in equal installments over the next two years, generally subject to the NEO’s continued employment on the applicable vesting date.</w:t>
      </w:r>
    </w:p>
    <w:p>
      <w:pPr>
        <w:spacing w:after="0" w:line="145" w:lineRule="exact"/>
        <w:rPr>
          <w:sz w:val="20"/>
          <w:szCs w:val="20"/>
          <w:color w:val="auto"/>
        </w:rPr>
      </w:pPr>
    </w:p>
    <w:p>
      <w:pPr>
        <w:ind w:left="120" w:right="200"/>
        <w:spacing w:after="0" w:line="242" w:lineRule="auto"/>
        <w:rPr>
          <w:sz w:val="20"/>
          <w:szCs w:val="20"/>
          <w:color w:val="auto"/>
        </w:rPr>
      </w:pPr>
      <w:r>
        <w:rPr>
          <w:rFonts w:ascii="Arial" w:cs="Arial" w:eastAsia="Arial" w:hAnsi="Arial"/>
          <w:sz w:val="18"/>
          <w:szCs w:val="18"/>
          <w:color w:val="auto"/>
        </w:rPr>
        <w:t>The Compensation and Human Capital Committee believes that the additional two-year vesting period serves as a valuable retention incentive for our NEOs, whose skills and experience are sought after within the industry. The committee also believes that granting long-term restricted stock awards aligns the executive officers’ interests directly with those of our stockholders, as the executive officers will realize greater or lesser value based on our stock price during the performance and vesting period, which will parallel that of our stockholders over the same period. The Compensation and Human Capital Committee further believes the restricted stock awards focus our NEOs on our long-term performance and discourages excessive risk-taking in the short-term.</w:t>
      </w:r>
    </w:p>
    <w:p>
      <w:pPr>
        <w:spacing w:after="0" w:line="138"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In the event of a “change in control” (as defined in our 2014 Omnibus Incentive Plan), the Compensation and Human Capital Committee may cause any unvested shares of restricted stock to be continued or assumed, to have new rights substituted therefor, to entitle the NEOs to receive the same distribution as other shares of common stock in the change in control transaction or to be cancelled in exchange for cash. The committee may also determine to accelerate vesting in connection with a change in control. If a named executive officer engages in a “detrimental activity” (as defined in the 2014 Omnibus Incentive Plan), prior to or one year following vesting of any restricted stock, the Compensation and Human Capital Committee may direct that all unvested restricted stock be forfeited and that the executive pay to the Company the fair market value of vested restricted stock (valued as of the vesting date).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002060"/>
        </w:rPr>
        <w:t>Section 4 – What We Paid in 2022</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2022 Base Salary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sets forth the base salaries for our NEOs as of December 31, 2022:</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44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40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02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112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Percentage</w:t>
            </w:r>
          </w:p>
        </w:tc>
        <w:tc>
          <w:tcPr>
            <w:tcW w:w="1260" w:type="dxa"/>
            <w:vAlign w:val="bottom"/>
            <w:shd w:val="clear" w:color="auto" w:fill="E5E5E5"/>
          </w:tcPr>
          <w:p>
            <w:pPr>
              <w:spacing w:after="0"/>
              <w:rPr>
                <w:sz w:val="19"/>
                <w:szCs w:val="19"/>
                <w:color w:val="auto"/>
              </w:rPr>
            </w:pPr>
          </w:p>
        </w:tc>
      </w:tr>
      <w:tr>
        <w:trPr>
          <w:trHeight w:val="189"/>
        </w:trPr>
        <w:tc>
          <w:tcPr>
            <w:tcW w:w="4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4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Increase</w:t>
            </w:r>
          </w:p>
        </w:tc>
        <w:tc>
          <w:tcPr>
            <w:tcW w:w="1260" w:type="dxa"/>
            <w:vAlign w:val="bottom"/>
            <w:shd w:val="clear" w:color="auto" w:fill="E5E5E5"/>
          </w:tcPr>
          <w:p>
            <w:pPr>
              <w:jc w:val="center"/>
              <w:ind w:right="14"/>
              <w:spacing w:after="0"/>
              <w:rPr>
                <w:sz w:val="20"/>
                <w:szCs w:val="20"/>
                <w:color w:val="auto"/>
              </w:rPr>
            </w:pPr>
            <w:r>
              <w:rPr>
                <w:rFonts w:ascii="Arial" w:cs="Arial" w:eastAsia="Arial" w:hAnsi="Arial"/>
                <w:sz w:val="16"/>
                <w:szCs w:val="16"/>
                <w:b w:val="1"/>
                <w:bCs w:val="1"/>
                <w:color w:val="002060"/>
              </w:rPr>
              <w:t>Percentage of</w:t>
            </w:r>
          </w:p>
        </w:tc>
      </w:tr>
      <w:tr>
        <w:trPr>
          <w:trHeight w:val="189"/>
        </w:trPr>
        <w:tc>
          <w:tcPr>
            <w:tcW w:w="4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42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2022 Base</w:t>
            </w:r>
          </w:p>
        </w:tc>
        <w:tc>
          <w:tcPr>
            <w:tcW w:w="2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in Base</w:t>
            </w:r>
          </w:p>
        </w:tc>
        <w:tc>
          <w:tcPr>
            <w:tcW w:w="1260" w:type="dxa"/>
            <w:vAlign w:val="bottom"/>
            <w:shd w:val="clear" w:color="auto" w:fill="E5E5E5"/>
          </w:tcPr>
          <w:p>
            <w:pPr>
              <w:jc w:val="center"/>
              <w:ind w:right="34"/>
              <w:spacing w:after="0"/>
              <w:rPr>
                <w:sz w:val="20"/>
                <w:szCs w:val="20"/>
                <w:color w:val="auto"/>
              </w:rPr>
            </w:pPr>
            <w:r>
              <w:rPr>
                <w:rFonts w:ascii="Arial" w:cs="Arial" w:eastAsia="Arial" w:hAnsi="Arial"/>
                <w:sz w:val="16"/>
                <w:szCs w:val="16"/>
                <w:b w:val="1"/>
                <w:bCs w:val="1"/>
                <w:color w:val="002060"/>
                <w:w w:val="99"/>
              </w:rPr>
              <w:t>Total</w:t>
            </w:r>
          </w:p>
        </w:tc>
      </w:tr>
      <w:tr>
        <w:trPr>
          <w:trHeight w:val="189"/>
        </w:trPr>
        <w:tc>
          <w:tcPr>
            <w:tcW w:w="4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42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w w:val="99"/>
              </w:rPr>
              <w:t>Salary</w:t>
            </w:r>
          </w:p>
        </w:tc>
        <w:tc>
          <w:tcPr>
            <w:tcW w:w="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ind w:left="180"/>
              <w:spacing w:after="0"/>
              <w:rPr>
                <w:sz w:val="20"/>
                <w:szCs w:val="20"/>
                <w:color w:val="auto"/>
              </w:rPr>
            </w:pPr>
            <w:r>
              <w:rPr>
                <w:rFonts w:ascii="Arial" w:cs="Arial" w:eastAsia="Arial" w:hAnsi="Arial"/>
                <w:sz w:val="16"/>
                <w:szCs w:val="16"/>
                <w:b w:val="1"/>
                <w:bCs w:val="1"/>
                <w:color w:val="002060"/>
              </w:rPr>
              <w:t>Increase</w:t>
            </w:r>
          </w:p>
        </w:tc>
        <w:tc>
          <w:tcPr>
            <w:tcW w:w="112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w w:val="99"/>
              </w:rPr>
              <w:t>Salary</w:t>
            </w:r>
          </w:p>
        </w:tc>
        <w:tc>
          <w:tcPr>
            <w:tcW w:w="1260" w:type="dxa"/>
            <w:vAlign w:val="bottom"/>
            <w:shd w:val="clear" w:color="auto" w:fill="E5E5E5"/>
          </w:tcPr>
          <w:p>
            <w:pPr>
              <w:jc w:val="center"/>
              <w:ind w:right="14"/>
              <w:spacing w:after="0"/>
              <w:rPr>
                <w:sz w:val="20"/>
                <w:szCs w:val="20"/>
                <w:color w:val="auto"/>
              </w:rPr>
            </w:pPr>
            <w:r>
              <w:rPr>
                <w:rFonts w:ascii="Arial" w:cs="Arial" w:eastAsia="Arial" w:hAnsi="Arial"/>
                <w:sz w:val="16"/>
                <w:szCs w:val="16"/>
                <w:b w:val="1"/>
                <w:bCs w:val="1"/>
                <w:color w:val="002060"/>
              </w:rPr>
              <w:t>Compensation</w:t>
            </w:r>
          </w:p>
        </w:tc>
      </w:tr>
      <w:tr>
        <w:trPr>
          <w:trHeight w:val="237"/>
        </w:trPr>
        <w:tc>
          <w:tcPr>
            <w:tcW w:w="6160" w:type="dxa"/>
            <w:vAlign w:val="bottom"/>
            <w:tcBorders>
              <w:bottom w:val="single" w:sz="8" w:color="002060"/>
            </w:tcBorders>
            <w:gridSpan w:val="2"/>
          </w:tcPr>
          <w:p>
            <w:pPr>
              <w:spacing w:after="0"/>
              <w:rPr>
                <w:sz w:val="20"/>
                <w:szCs w:val="20"/>
                <w:color w:val="auto"/>
              </w:rPr>
            </w:pPr>
            <w:r>
              <w:rPr>
                <w:rFonts w:ascii="Arial" w:cs="Arial" w:eastAsia="Arial" w:hAnsi="Arial"/>
                <w:sz w:val="16"/>
                <w:szCs w:val="16"/>
                <w:b w:val="1"/>
                <w:bCs w:val="1"/>
                <w:color w:val="002060"/>
              </w:rPr>
              <w:t>Name</w:t>
            </w:r>
          </w:p>
        </w:tc>
        <w:tc>
          <w:tcPr>
            <w:tcW w:w="140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6"/>
                <w:szCs w:val="16"/>
                <w:b w:val="1"/>
                <w:bCs w:val="1"/>
                <w:color w:val="002060"/>
              </w:rPr>
              <w:t>($)</w:t>
            </w:r>
          </w:p>
        </w:tc>
        <w:tc>
          <w:tcPr>
            <w:tcW w:w="20" w:type="dxa"/>
            <w:vAlign w:val="bottom"/>
            <w:tcBorders>
              <w:bottom w:val="single" w:sz="8" w:color="002060"/>
            </w:tcBorders>
            <w:shd w:val="clear" w:color="auto" w:fill="E5E5E5"/>
          </w:tcPr>
          <w:p>
            <w:pPr>
              <w:spacing w:after="0"/>
              <w:rPr>
                <w:sz w:val="20"/>
                <w:szCs w:val="20"/>
                <w:color w:val="auto"/>
              </w:rPr>
            </w:pPr>
          </w:p>
        </w:tc>
        <w:tc>
          <w:tcPr>
            <w:tcW w:w="1040" w:type="dxa"/>
            <w:vAlign w:val="bottom"/>
            <w:tcBorders>
              <w:bottom w:val="single" w:sz="8" w:color="002060"/>
            </w:tcBorders>
            <w:gridSpan w:val="2"/>
            <w:shd w:val="clear" w:color="auto" w:fill="E5E5E5"/>
          </w:tcPr>
          <w:p>
            <w:pPr>
              <w:jc w:val="right"/>
              <w:ind w:right="313"/>
              <w:spacing w:after="0"/>
              <w:rPr>
                <w:sz w:val="20"/>
                <w:szCs w:val="20"/>
                <w:color w:val="auto"/>
              </w:rPr>
            </w:pPr>
            <w:r>
              <w:rPr>
                <w:rFonts w:ascii="Arial" w:cs="Arial" w:eastAsia="Arial" w:hAnsi="Arial"/>
                <w:sz w:val="16"/>
                <w:szCs w:val="16"/>
                <w:b w:val="1"/>
                <w:bCs w:val="1"/>
                <w:color w:val="002060"/>
              </w:rPr>
              <w:t>($)</w:t>
            </w:r>
          </w:p>
        </w:tc>
        <w:tc>
          <w:tcPr>
            <w:tcW w:w="20" w:type="dxa"/>
            <w:vAlign w:val="bottom"/>
            <w:tcBorders>
              <w:bottom w:val="single" w:sz="8" w:color="002060"/>
            </w:tcBorders>
            <w:shd w:val="clear" w:color="auto" w:fill="E5E5E5"/>
          </w:tcPr>
          <w:p>
            <w:pPr>
              <w:spacing w:after="0"/>
              <w:rPr>
                <w:sz w:val="20"/>
                <w:szCs w:val="20"/>
                <w:color w:val="auto"/>
              </w:rPr>
            </w:pPr>
          </w:p>
        </w:tc>
        <w:tc>
          <w:tcPr>
            <w:tcW w:w="110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6"/>
                <w:szCs w:val="16"/>
                <w:b w:val="1"/>
                <w:bCs w:val="1"/>
                <w:color w:val="002060"/>
                <w:w w:val="96"/>
              </w:rPr>
              <w:t>(%)</w:t>
            </w:r>
          </w:p>
        </w:tc>
        <w:tc>
          <w:tcPr>
            <w:tcW w:w="20" w:type="dxa"/>
            <w:vAlign w:val="bottom"/>
            <w:tcBorders>
              <w:bottom w:val="single" w:sz="8" w:color="002060"/>
            </w:tcBorders>
            <w:shd w:val="clear" w:color="auto" w:fill="E5E5E5"/>
          </w:tcPr>
          <w:p>
            <w:pPr>
              <w:spacing w:after="0"/>
              <w:rPr>
                <w:sz w:val="20"/>
                <w:szCs w:val="20"/>
                <w:color w:val="auto"/>
              </w:rPr>
            </w:pPr>
          </w:p>
        </w:tc>
        <w:tc>
          <w:tcPr>
            <w:tcW w:w="1260" w:type="dxa"/>
            <w:vAlign w:val="bottom"/>
            <w:tcBorders>
              <w:bottom w:val="single" w:sz="8" w:color="002060"/>
            </w:tcBorders>
            <w:shd w:val="clear" w:color="auto" w:fill="E5E5E5"/>
          </w:tcPr>
          <w:p>
            <w:pPr>
              <w:ind w:left="460"/>
              <w:spacing w:after="0"/>
              <w:rPr>
                <w:sz w:val="20"/>
                <w:szCs w:val="20"/>
                <w:color w:val="auto"/>
              </w:rPr>
            </w:pPr>
            <w:r>
              <w:rPr>
                <w:rFonts w:ascii="Arial" w:cs="Arial" w:eastAsia="Arial" w:hAnsi="Arial"/>
                <w:sz w:val="16"/>
                <w:szCs w:val="16"/>
                <w:b w:val="1"/>
                <w:bCs w:val="1"/>
                <w:color w:val="002060"/>
              </w:rPr>
              <w:t>(%)</w:t>
            </w:r>
          </w:p>
        </w:tc>
      </w:tr>
      <w:tr>
        <w:trPr>
          <w:trHeight w:val="229"/>
        </w:trPr>
        <w:tc>
          <w:tcPr>
            <w:tcW w:w="6160" w:type="dxa"/>
            <w:vAlign w:val="bottom"/>
            <w:tcBorders>
              <w:bottom w:val="single" w:sz="8" w:color="002060"/>
            </w:tcBorders>
            <w:gridSpan w:val="2"/>
          </w:tcPr>
          <w:p>
            <w:pPr>
              <w:ind w:left="120"/>
              <w:spacing w:after="0"/>
              <w:rPr>
                <w:sz w:val="20"/>
                <w:szCs w:val="20"/>
                <w:color w:val="auto"/>
              </w:rPr>
            </w:pPr>
            <w:r>
              <w:rPr>
                <w:rFonts w:ascii="Arial" w:cs="Arial" w:eastAsia="Arial" w:hAnsi="Arial"/>
                <w:sz w:val="18"/>
                <w:szCs w:val="18"/>
                <w:color w:val="auto"/>
              </w:rPr>
              <w:t>Jeffrey W. Edwards</w:t>
            </w:r>
          </w:p>
        </w:tc>
        <w:tc>
          <w:tcPr>
            <w:tcW w:w="1400" w:type="dxa"/>
            <w:vAlign w:val="bottom"/>
            <w:tcBorders>
              <w:bottom w:val="single" w:sz="8" w:color="002060"/>
            </w:tcBorders>
            <w:shd w:val="clear" w:color="auto" w:fill="E5E5E5"/>
          </w:tcPr>
          <w:p>
            <w:pPr>
              <w:jc w:val="right"/>
              <w:ind w:right="233"/>
              <w:spacing w:after="0"/>
              <w:rPr>
                <w:sz w:val="20"/>
                <w:szCs w:val="20"/>
                <w:color w:val="auto"/>
              </w:rPr>
            </w:pPr>
            <w:r>
              <w:rPr>
                <w:rFonts w:ascii="Arial" w:cs="Arial" w:eastAsia="Arial" w:hAnsi="Arial"/>
                <w:sz w:val="18"/>
                <w:szCs w:val="18"/>
                <w:color w:val="auto"/>
              </w:rPr>
              <w:t>800,000</w:t>
            </w:r>
          </w:p>
        </w:tc>
        <w:tc>
          <w:tcPr>
            <w:tcW w:w="2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1020" w:type="dxa"/>
            <w:vAlign w:val="bottom"/>
            <w:tcBorders>
              <w:bottom w:val="single" w:sz="8" w:color="002060"/>
            </w:tcBorders>
            <w:shd w:val="clear" w:color="auto" w:fill="E5E5E5"/>
          </w:tcPr>
          <w:p>
            <w:pPr>
              <w:jc w:val="right"/>
              <w:ind w:right="113"/>
              <w:spacing w:after="0"/>
              <w:rPr>
                <w:sz w:val="20"/>
                <w:szCs w:val="20"/>
                <w:color w:val="auto"/>
              </w:rPr>
            </w:pPr>
            <w:r>
              <w:rPr>
                <w:rFonts w:ascii="Arial" w:cs="Arial" w:eastAsia="Arial" w:hAnsi="Arial"/>
                <w:sz w:val="18"/>
                <w:szCs w:val="18"/>
                <w:color w:val="auto"/>
              </w:rPr>
              <w:t>50,000</w:t>
            </w:r>
          </w:p>
        </w:tc>
        <w:tc>
          <w:tcPr>
            <w:tcW w:w="20" w:type="dxa"/>
            <w:vAlign w:val="bottom"/>
            <w:tcBorders>
              <w:bottom w:val="single" w:sz="8" w:color="E5E5E5"/>
            </w:tcBorders>
            <w:shd w:val="clear" w:color="auto" w:fill="E5E5E5"/>
          </w:tcPr>
          <w:p>
            <w:pPr>
              <w:spacing w:after="0"/>
              <w:rPr>
                <w:sz w:val="19"/>
                <w:szCs w:val="19"/>
                <w:color w:val="auto"/>
              </w:rPr>
            </w:pPr>
          </w:p>
        </w:tc>
        <w:tc>
          <w:tcPr>
            <w:tcW w:w="1100" w:type="dxa"/>
            <w:vAlign w:val="bottom"/>
            <w:tcBorders>
              <w:bottom w:val="single" w:sz="8" w:color="002060"/>
            </w:tcBorders>
            <w:shd w:val="clear" w:color="auto" w:fill="E5E5E5"/>
          </w:tcPr>
          <w:p>
            <w:pPr>
              <w:jc w:val="right"/>
              <w:ind w:right="95"/>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E5E5E5"/>
            </w:tcBorders>
            <w:shd w:val="clear" w:color="auto" w:fill="E5E5E5"/>
          </w:tcPr>
          <w:p>
            <w:pPr>
              <w:spacing w:after="0"/>
              <w:rPr>
                <w:sz w:val="19"/>
                <w:szCs w:val="19"/>
                <w:color w:val="auto"/>
              </w:rPr>
            </w:pPr>
          </w:p>
        </w:tc>
        <w:tc>
          <w:tcPr>
            <w:tcW w:w="1260" w:type="dxa"/>
            <w:vAlign w:val="bottom"/>
            <w:tcBorders>
              <w:bottom w:val="single" w:sz="8" w:color="002060"/>
            </w:tcBorders>
            <w:shd w:val="clear" w:color="auto" w:fill="E5E5E5"/>
          </w:tcPr>
          <w:p>
            <w:pPr>
              <w:ind w:left="440"/>
              <w:spacing w:after="0"/>
              <w:rPr>
                <w:sz w:val="20"/>
                <w:szCs w:val="20"/>
                <w:color w:val="auto"/>
              </w:rPr>
            </w:pPr>
            <w:r>
              <w:rPr>
                <w:rFonts w:ascii="Arial" w:cs="Arial" w:eastAsia="Arial" w:hAnsi="Arial"/>
                <w:sz w:val="18"/>
                <w:szCs w:val="18"/>
                <w:color w:val="auto"/>
              </w:rPr>
              <w:t>15.0%</w:t>
            </w:r>
          </w:p>
        </w:tc>
      </w:tr>
      <w:tr>
        <w:trPr>
          <w:trHeight w:val="223"/>
        </w:trPr>
        <w:tc>
          <w:tcPr>
            <w:tcW w:w="6160" w:type="dxa"/>
            <w:vAlign w:val="bottom"/>
            <w:tcBorders>
              <w:bottom w:val="single" w:sz="8" w:color="002060"/>
            </w:tcBorders>
            <w:gridSpan w:val="2"/>
          </w:tcPr>
          <w:p>
            <w:pPr>
              <w:ind w:left="120"/>
              <w:spacing w:after="0"/>
              <w:rPr>
                <w:sz w:val="20"/>
                <w:szCs w:val="20"/>
                <w:color w:val="auto"/>
              </w:rPr>
            </w:pPr>
            <w:r>
              <w:rPr>
                <w:rFonts w:ascii="Arial" w:cs="Arial" w:eastAsia="Arial" w:hAnsi="Arial"/>
                <w:sz w:val="18"/>
                <w:szCs w:val="18"/>
                <w:color w:val="auto"/>
              </w:rPr>
              <w:t>Michael T. Miller</w:t>
            </w:r>
          </w:p>
        </w:tc>
        <w:tc>
          <w:tcPr>
            <w:tcW w:w="1400" w:type="dxa"/>
            <w:vAlign w:val="bottom"/>
            <w:tcBorders>
              <w:bottom w:val="single" w:sz="8" w:color="002060"/>
            </w:tcBorders>
            <w:shd w:val="clear" w:color="auto" w:fill="E5E5E5"/>
          </w:tcPr>
          <w:p>
            <w:pPr>
              <w:jc w:val="right"/>
              <w:ind w:right="233"/>
              <w:spacing w:after="0"/>
              <w:rPr>
                <w:sz w:val="20"/>
                <w:szCs w:val="20"/>
                <w:color w:val="auto"/>
              </w:rPr>
            </w:pPr>
            <w:r>
              <w:rPr>
                <w:rFonts w:ascii="Arial" w:cs="Arial" w:eastAsia="Arial" w:hAnsi="Arial"/>
                <w:sz w:val="18"/>
                <w:szCs w:val="18"/>
                <w:color w:val="auto"/>
              </w:rPr>
              <w:t>425,000</w:t>
            </w:r>
          </w:p>
        </w:tc>
        <w:tc>
          <w:tcPr>
            <w:tcW w:w="2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1020" w:type="dxa"/>
            <w:vAlign w:val="bottom"/>
            <w:tcBorders>
              <w:bottom w:val="single" w:sz="8" w:color="002060"/>
            </w:tcBorders>
            <w:shd w:val="clear" w:color="auto" w:fill="E5E5E5"/>
          </w:tcPr>
          <w:p>
            <w:pPr>
              <w:jc w:val="right"/>
              <w:ind w:right="113"/>
              <w:spacing w:after="0"/>
              <w:rPr>
                <w:sz w:val="20"/>
                <w:szCs w:val="20"/>
                <w:color w:val="auto"/>
              </w:rPr>
            </w:pPr>
            <w:r>
              <w:rPr>
                <w:rFonts w:ascii="Arial" w:cs="Arial" w:eastAsia="Arial" w:hAnsi="Arial"/>
                <w:sz w:val="18"/>
                <w:szCs w:val="18"/>
                <w:color w:val="auto"/>
              </w:rPr>
              <w:t>50,000</w:t>
            </w:r>
          </w:p>
        </w:tc>
        <w:tc>
          <w:tcPr>
            <w:tcW w:w="20" w:type="dxa"/>
            <w:vAlign w:val="bottom"/>
            <w:tcBorders>
              <w:bottom w:val="single" w:sz="8" w:color="E5E5E5"/>
            </w:tcBorders>
            <w:shd w:val="clear" w:color="auto" w:fill="E5E5E5"/>
          </w:tcPr>
          <w:p>
            <w:pPr>
              <w:spacing w:after="0"/>
              <w:rPr>
                <w:sz w:val="19"/>
                <w:szCs w:val="19"/>
                <w:color w:val="auto"/>
              </w:rPr>
            </w:pPr>
          </w:p>
        </w:tc>
        <w:tc>
          <w:tcPr>
            <w:tcW w:w="1100" w:type="dxa"/>
            <w:vAlign w:val="bottom"/>
            <w:tcBorders>
              <w:bottom w:val="single" w:sz="8" w:color="002060"/>
            </w:tcBorders>
            <w:shd w:val="clear" w:color="auto" w:fill="E5E5E5"/>
          </w:tcPr>
          <w:p>
            <w:pPr>
              <w:jc w:val="right"/>
              <w:ind w:right="95"/>
              <w:spacing w:after="0"/>
              <w:rPr>
                <w:sz w:val="20"/>
                <w:szCs w:val="20"/>
                <w:color w:val="auto"/>
              </w:rPr>
            </w:pPr>
            <w:r>
              <w:rPr>
                <w:rFonts w:ascii="Arial" w:cs="Arial" w:eastAsia="Arial" w:hAnsi="Arial"/>
                <w:sz w:val="18"/>
                <w:szCs w:val="18"/>
                <w:color w:val="auto"/>
              </w:rPr>
              <w:t>13.3%</w:t>
            </w:r>
          </w:p>
        </w:tc>
        <w:tc>
          <w:tcPr>
            <w:tcW w:w="20" w:type="dxa"/>
            <w:vAlign w:val="bottom"/>
            <w:tcBorders>
              <w:bottom w:val="single" w:sz="8" w:color="E5E5E5"/>
            </w:tcBorders>
            <w:shd w:val="clear" w:color="auto" w:fill="E5E5E5"/>
          </w:tcPr>
          <w:p>
            <w:pPr>
              <w:spacing w:after="0"/>
              <w:rPr>
                <w:sz w:val="19"/>
                <w:szCs w:val="19"/>
                <w:color w:val="auto"/>
              </w:rPr>
            </w:pPr>
          </w:p>
        </w:tc>
        <w:tc>
          <w:tcPr>
            <w:tcW w:w="1260" w:type="dxa"/>
            <w:vAlign w:val="bottom"/>
            <w:tcBorders>
              <w:bottom w:val="single" w:sz="8" w:color="002060"/>
            </w:tcBorders>
            <w:shd w:val="clear" w:color="auto" w:fill="E5E5E5"/>
          </w:tcPr>
          <w:p>
            <w:pPr>
              <w:ind w:left="440"/>
              <w:spacing w:after="0"/>
              <w:rPr>
                <w:sz w:val="20"/>
                <w:szCs w:val="20"/>
                <w:color w:val="auto"/>
              </w:rPr>
            </w:pPr>
            <w:r>
              <w:rPr>
                <w:rFonts w:ascii="Arial" w:cs="Arial" w:eastAsia="Arial" w:hAnsi="Arial"/>
                <w:sz w:val="18"/>
                <w:szCs w:val="18"/>
                <w:color w:val="auto"/>
              </w:rPr>
              <w:t>21.8%</w:t>
            </w:r>
          </w:p>
        </w:tc>
      </w:tr>
      <w:tr>
        <w:trPr>
          <w:trHeight w:val="223"/>
        </w:trPr>
        <w:tc>
          <w:tcPr>
            <w:tcW w:w="6160" w:type="dxa"/>
            <w:vAlign w:val="bottom"/>
            <w:tcBorders>
              <w:bottom w:val="single" w:sz="8" w:color="002060"/>
            </w:tcBorders>
            <w:gridSpan w:val="2"/>
          </w:tcPr>
          <w:p>
            <w:pPr>
              <w:ind w:left="120"/>
              <w:spacing w:after="0"/>
              <w:rPr>
                <w:sz w:val="20"/>
                <w:szCs w:val="20"/>
                <w:color w:val="auto"/>
              </w:rPr>
            </w:pPr>
            <w:r>
              <w:rPr>
                <w:rFonts w:ascii="Arial" w:cs="Arial" w:eastAsia="Arial" w:hAnsi="Arial"/>
                <w:sz w:val="18"/>
                <w:szCs w:val="18"/>
                <w:color w:val="auto"/>
              </w:rPr>
              <w:t>Jay P. Elliott</w:t>
            </w:r>
          </w:p>
        </w:tc>
        <w:tc>
          <w:tcPr>
            <w:tcW w:w="1400" w:type="dxa"/>
            <w:vAlign w:val="bottom"/>
            <w:tcBorders>
              <w:bottom w:val="single" w:sz="8" w:color="002060"/>
            </w:tcBorders>
            <w:shd w:val="clear" w:color="auto" w:fill="E5E5E5"/>
          </w:tcPr>
          <w:p>
            <w:pPr>
              <w:jc w:val="right"/>
              <w:ind w:right="233"/>
              <w:spacing w:after="0"/>
              <w:rPr>
                <w:sz w:val="20"/>
                <w:szCs w:val="20"/>
                <w:color w:val="auto"/>
              </w:rPr>
            </w:pPr>
            <w:r>
              <w:rPr>
                <w:rFonts w:ascii="Arial" w:cs="Arial" w:eastAsia="Arial" w:hAnsi="Arial"/>
                <w:sz w:val="18"/>
                <w:szCs w:val="18"/>
                <w:color w:val="auto"/>
              </w:rPr>
              <w:t>462,000</w:t>
            </w:r>
          </w:p>
        </w:tc>
        <w:tc>
          <w:tcPr>
            <w:tcW w:w="2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1020" w:type="dxa"/>
            <w:vAlign w:val="bottom"/>
            <w:tcBorders>
              <w:bottom w:val="single" w:sz="8" w:color="002060"/>
            </w:tcBorders>
            <w:shd w:val="clear" w:color="auto" w:fill="E5E5E5"/>
          </w:tcPr>
          <w:p>
            <w:pPr>
              <w:jc w:val="right"/>
              <w:ind w:right="113"/>
              <w:spacing w:after="0"/>
              <w:rPr>
                <w:sz w:val="20"/>
                <w:szCs w:val="20"/>
                <w:color w:val="auto"/>
              </w:rPr>
            </w:pPr>
            <w:r>
              <w:rPr>
                <w:rFonts w:ascii="Arial" w:cs="Arial" w:eastAsia="Arial" w:hAnsi="Arial"/>
                <w:sz w:val="18"/>
                <w:szCs w:val="18"/>
                <w:color w:val="auto"/>
              </w:rPr>
              <w:t>22,000</w:t>
            </w:r>
          </w:p>
        </w:tc>
        <w:tc>
          <w:tcPr>
            <w:tcW w:w="20" w:type="dxa"/>
            <w:vAlign w:val="bottom"/>
            <w:tcBorders>
              <w:bottom w:val="single" w:sz="8" w:color="E5E5E5"/>
            </w:tcBorders>
            <w:shd w:val="clear" w:color="auto" w:fill="E5E5E5"/>
          </w:tcPr>
          <w:p>
            <w:pPr>
              <w:spacing w:after="0"/>
              <w:rPr>
                <w:sz w:val="19"/>
                <w:szCs w:val="19"/>
                <w:color w:val="auto"/>
              </w:rPr>
            </w:pPr>
          </w:p>
        </w:tc>
        <w:tc>
          <w:tcPr>
            <w:tcW w:w="1100" w:type="dxa"/>
            <w:vAlign w:val="bottom"/>
            <w:tcBorders>
              <w:bottom w:val="single" w:sz="8" w:color="002060"/>
            </w:tcBorders>
            <w:shd w:val="clear" w:color="auto" w:fill="E5E5E5"/>
          </w:tcPr>
          <w:p>
            <w:pPr>
              <w:jc w:val="right"/>
              <w:ind w:right="95"/>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E5E5E5"/>
            </w:tcBorders>
            <w:shd w:val="clear" w:color="auto" w:fill="E5E5E5"/>
          </w:tcPr>
          <w:p>
            <w:pPr>
              <w:spacing w:after="0"/>
              <w:rPr>
                <w:sz w:val="19"/>
                <w:szCs w:val="19"/>
                <w:color w:val="auto"/>
              </w:rPr>
            </w:pPr>
          </w:p>
        </w:tc>
        <w:tc>
          <w:tcPr>
            <w:tcW w:w="1260" w:type="dxa"/>
            <w:vAlign w:val="bottom"/>
            <w:tcBorders>
              <w:bottom w:val="single" w:sz="8" w:color="002060"/>
            </w:tcBorders>
            <w:shd w:val="clear" w:color="auto" w:fill="E5E5E5"/>
          </w:tcPr>
          <w:p>
            <w:pPr>
              <w:ind w:left="440"/>
              <w:spacing w:after="0"/>
              <w:rPr>
                <w:sz w:val="20"/>
                <w:szCs w:val="20"/>
                <w:color w:val="auto"/>
              </w:rPr>
            </w:pPr>
            <w:r>
              <w:rPr>
                <w:rFonts w:ascii="Arial" w:cs="Arial" w:eastAsia="Arial" w:hAnsi="Arial"/>
                <w:sz w:val="18"/>
                <w:szCs w:val="18"/>
                <w:color w:val="auto"/>
              </w:rPr>
              <w:t>24.1%</w:t>
            </w:r>
          </w:p>
        </w:tc>
      </w:tr>
      <w:tr>
        <w:trPr>
          <w:trHeight w:val="223"/>
        </w:trPr>
        <w:tc>
          <w:tcPr>
            <w:tcW w:w="6160" w:type="dxa"/>
            <w:vAlign w:val="bottom"/>
            <w:tcBorders>
              <w:bottom w:val="single" w:sz="8" w:color="002060"/>
            </w:tcBorders>
            <w:gridSpan w:val="2"/>
          </w:tcPr>
          <w:p>
            <w:pPr>
              <w:ind w:left="120"/>
              <w:spacing w:after="0"/>
              <w:rPr>
                <w:sz w:val="20"/>
                <w:szCs w:val="20"/>
                <w:color w:val="auto"/>
              </w:rPr>
            </w:pPr>
            <w:r>
              <w:rPr>
                <w:rFonts w:ascii="Arial" w:cs="Arial" w:eastAsia="Arial" w:hAnsi="Arial"/>
                <w:sz w:val="18"/>
                <w:szCs w:val="18"/>
                <w:color w:val="auto"/>
              </w:rPr>
              <w:t>W. Jeffrey Hire</w:t>
            </w:r>
          </w:p>
        </w:tc>
        <w:tc>
          <w:tcPr>
            <w:tcW w:w="1400" w:type="dxa"/>
            <w:vAlign w:val="bottom"/>
            <w:tcBorders>
              <w:bottom w:val="single" w:sz="8" w:color="002060"/>
            </w:tcBorders>
            <w:shd w:val="clear" w:color="auto" w:fill="E5E5E5"/>
          </w:tcPr>
          <w:p>
            <w:pPr>
              <w:jc w:val="right"/>
              <w:ind w:right="233"/>
              <w:spacing w:after="0"/>
              <w:rPr>
                <w:sz w:val="20"/>
                <w:szCs w:val="20"/>
                <w:color w:val="auto"/>
              </w:rPr>
            </w:pPr>
            <w:r>
              <w:rPr>
                <w:rFonts w:ascii="Arial" w:cs="Arial" w:eastAsia="Arial" w:hAnsi="Arial"/>
                <w:sz w:val="18"/>
                <w:szCs w:val="18"/>
                <w:color w:val="auto"/>
              </w:rPr>
              <w:t>400,000</w:t>
            </w:r>
          </w:p>
        </w:tc>
        <w:tc>
          <w:tcPr>
            <w:tcW w:w="20" w:type="dxa"/>
            <w:vAlign w:val="bottom"/>
            <w:tcBorders>
              <w:bottom w:val="single" w:sz="8" w:color="E5E5E5"/>
            </w:tcBorders>
            <w:shd w:val="clear" w:color="auto" w:fill="E5E5E5"/>
          </w:tcPr>
          <w:p>
            <w:pPr>
              <w:spacing w:after="0"/>
              <w:rPr>
                <w:sz w:val="19"/>
                <w:szCs w:val="19"/>
                <w:color w:val="auto"/>
              </w:rPr>
            </w:pPr>
          </w:p>
        </w:tc>
        <w:tc>
          <w:tcPr>
            <w:tcW w:w="20" w:type="dxa"/>
            <w:vAlign w:val="bottom"/>
            <w:tcBorders>
              <w:bottom w:val="single" w:sz="8" w:color="E5E5E5"/>
            </w:tcBorders>
            <w:shd w:val="clear" w:color="auto" w:fill="E5E5E5"/>
          </w:tcPr>
          <w:p>
            <w:pPr>
              <w:spacing w:after="0"/>
              <w:rPr>
                <w:sz w:val="19"/>
                <w:szCs w:val="19"/>
                <w:color w:val="auto"/>
              </w:rPr>
            </w:pPr>
          </w:p>
        </w:tc>
        <w:tc>
          <w:tcPr>
            <w:tcW w:w="1020" w:type="dxa"/>
            <w:vAlign w:val="bottom"/>
            <w:tcBorders>
              <w:bottom w:val="single" w:sz="8" w:color="002060"/>
            </w:tcBorders>
            <w:shd w:val="clear" w:color="auto" w:fill="E5E5E5"/>
          </w:tcPr>
          <w:p>
            <w:pPr>
              <w:jc w:val="right"/>
              <w:ind w:right="113"/>
              <w:spacing w:after="0"/>
              <w:rPr>
                <w:sz w:val="20"/>
                <w:szCs w:val="20"/>
                <w:color w:val="auto"/>
              </w:rPr>
            </w:pPr>
            <w:r>
              <w:rPr>
                <w:rFonts w:ascii="Arial" w:cs="Arial" w:eastAsia="Arial" w:hAnsi="Arial"/>
                <w:sz w:val="18"/>
                <w:szCs w:val="18"/>
                <w:color w:val="auto"/>
              </w:rPr>
              <w:t>25,000</w:t>
            </w:r>
          </w:p>
        </w:tc>
        <w:tc>
          <w:tcPr>
            <w:tcW w:w="20" w:type="dxa"/>
            <w:vAlign w:val="bottom"/>
            <w:tcBorders>
              <w:bottom w:val="single" w:sz="8" w:color="E5E5E5"/>
            </w:tcBorders>
            <w:shd w:val="clear" w:color="auto" w:fill="E5E5E5"/>
          </w:tcPr>
          <w:p>
            <w:pPr>
              <w:spacing w:after="0"/>
              <w:rPr>
                <w:sz w:val="19"/>
                <w:szCs w:val="19"/>
                <w:color w:val="auto"/>
              </w:rPr>
            </w:pPr>
          </w:p>
        </w:tc>
        <w:tc>
          <w:tcPr>
            <w:tcW w:w="1100" w:type="dxa"/>
            <w:vAlign w:val="bottom"/>
            <w:tcBorders>
              <w:bottom w:val="single" w:sz="8" w:color="002060"/>
            </w:tcBorders>
            <w:shd w:val="clear" w:color="auto" w:fill="E5E5E5"/>
          </w:tcPr>
          <w:p>
            <w:pPr>
              <w:jc w:val="right"/>
              <w:ind w:right="95"/>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E5E5E5"/>
            </w:tcBorders>
            <w:shd w:val="clear" w:color="auto" w:fill="E5E5E5"/>
          </w:tcPr>
          <w:p>
            <w:pPr>
              <w:spacing w:after="0"/>
              <w:rPr>
                <w:sz w:val="19"/>
                <w:szCs w:val="19"/>
                <w:color w:val="auto"/>
              </w:rPr>
            </w:pPr>
          </w:p>
        </w:tc>
        <w:tc>
          <w:tcPr>
            <w:tcW w:w="1260" w:type="dxa"/>
            <w:vAlign w:val="bottom"/>
            <w:tcBorders>
              <w:bottom w:val="single" w:sz="8" w:color="002060"/>
            </w:tcBorders>
            <w:shd w:val="clear" w:color="auto" w:fill="E5E5E5"/>
          </w:tcPr>
          <w:p>
            <w:pPr>
              <w:ind w:left="440"/>
              <w:spacing w:after="0"/>
              <w:rPr>
                <w:sz w:val="20"/>
                <w:szCs w:val="20"/>
                <w:color w:val="auto"/>
              </w:rPr>
            </w:pPr>
            <w:r>
              <w:rPr>
                <w:rFonts w:ascii="Arial" w:cs="Arial" w:eastAsia="Arial" w:hAnsi="Arial"/>
                <w:sz w:val="18"/>
                <w:szCs w:val="18"/>
                <w:color w:val="auto"/>
              </w:rPr>
              <w:t>48.8%</w:t>
            </w:r>
          </w:p>
        </w:tc>
      </w:tr>
      <w:tr>
        <w:trPr>
          <w:trHeight w:val="230"/>
        </w:trPr>
        <w:tc>
          <w:tcPr>
            <w:tcW w:w="6160" w:type="dxa"/>
            <w:vAlign w:val="bottom"/>
            <w:tcBorders>
              <w:bottom w:val="single" w:sz="8" w:color="002060"/>
            </w:tcBorders>
            <w:gridSpan w:val="2"/>
          </w:tcPr>
          <w:p>
            <w:pPr>
              <w:ind w:left="120"/>
              <w:spacing w:after="0"/>
              <w:rPr>
                <w:sz w:val="20"/>
                <w:szCs w:val="20"/>
                <w:color w:val="auto"/>
              </w:rPr>
            </w:pPr>
            <w:r>
              <w:rPr>
                <w:rFonts w:ascii="Arial" w:cs="Arial" w:eastAsia="Arial" w:hAnsi="Arial"/>
                <w:sz w:val="18"/>
                <w:szCs w:val="18"/>
                <w:color w:val="auto"/>
              </w:rPr>
              <w:t>Jason R. Niswonger</w:t>
            </w:r>
          </w:p>
        </w:tc>
        <w:tc>
          <w:tcPr>
            <w:tcW w:w="1400" w:type="dxa"/>
            <w:vAlign w:val="bottom"/>
            <w:tcBorders>
              <w:bottom w:val="single" w:sz="8" w:color="002060"/>
            </w:tcBorders>
            <w:shd w:val="clear" w:color="auto" w:fill="E5E5E5"/>
          </w:tcPr>
          <w:p>
            <w:pPr>
              <w:jc w:val="right"/>
              <w:ind w:right="233"/>
              <w:spacing w:after="0"/>
              <w:rPr>
                <w:sz w:val="20"/>
                <w:szCs w:val="20"/>
                <w:color w:val="auto"/>
              </w:rPr>
            </w:pPr>
            <w:r>
              <w:rPr>
                <w:rFonts w:ascii="Arial" w:cs="Arial" w:eastAsia="Arial" w:hAnsi="Arial"/>
                <w:sz w:val="18"/>
                <w:szCs w:val="18"/>
                <w:color w:val="auto"/>
              </w:rPr>
              <w:t>395,000</w:t>
            </w:r>
          </w:p>
        </w:tc>
        <w:tc>
          <w:tcPr>
            <w:tcW w:w="20" w:type="dxa"/>
            <w:vAlign w:val="bottom"/>
            <w:tcBorders>
              <w:bottom w:val="single" w:sz="8" w:color="002060"/>
            </w:tcBorders>
            <w:shd w:val="clear" w:color="auto" w:fill="E5E5E5"/>
          </w:tcPr>
          <w:p>
            <w:pPr>
              <w:spacing w:after="0"/>
              <w:rPr>
                <w:sz w:val="20"/>
                <w:szCs w:val="20"/>
                <w:color w:val="auto"/>
              </w:rPr>
            </w:pPr>
          </w:p>
        </w:tc>
        <w:tc>
          <w:tcPr>
            <w:tcW w:w="1040" w:type="dxa"/>
            <w:vAlign w:val="bottom"/>
            <w:tcBorders>
              <w:bottom w:val="single" w:sz="8" w:color="002060"/>
            </w:tcBorders>
            <w:gridSpan w:val="2"/>
            <w:shd w:val="clear" w:color="auto" w:fill="E5E5E5"/>
          </w:tcPr>
          <w:p>
            <w:pPr>
              <w:jc w:val="right"/>
              <w:ind w:right="113"/>
              <w:spacing w:after="0"/>
              <w:rPr>
                <w:sz w:val="20"/>
                <w:szCs w:val="20"/>
                <w:color w:val="auto"/>
              </w:rPr>
            </w:pPr>
            <w:r>
              <w:rPr>
                <w:rFonts w:ascii="Arial" w:cs="Arial" w:eastAsia="Arial" w:hAnsi="Arial"/>
                <w:sz w:val="18"/>
                <w:szCs w:val="18"/>
                <w:color w:val="auto"/>
              </w:rPr>
              <w:t>40,000</w:t>
            </w:r>
          </w:p>
        </w:tc>
        <w:tc>
          <w:tcPr>
            <w:tcW w:w="20" w:type="dxa"/>
            <w:vAlign w:val="bottom"/>
            <w:tcBorders>
              <w:bottom w:val="single" w:sz="8" w:color="002060"/>
            </w:tcBorders>
            <w:shd w:val="clear" w:color="auto" w:fill="E5E5E5"/>
          </w:tcPr>
          <w:p>
            <w:pPr>
              <w:spacing w:after="0"/>
              <w:rPr>
                <w:sz w:val="20"/>
                <w:szCs w:val="20"/>
                <w:color w:val="auto"/>
              </w:rPr>
            </w:pPr>
          </w:p>
        </w:tc>
        <w:tc>
          <w:tcPr>
            <w:tcW w:w="1100" w:type="dxa"/>
            <w:vAlign w:val="bottom"/>
            <w:tcBorders>
              <w:bottom w:val="single" w:sz="8" w:color="002060"/>
            </w:tcBorders>
            <w:shd w:val="clear" w:color="auto" w:fill="E5E5E5"/>
          </w:tcPr>
          <w:p>
            <w:pPr>
              <w:jc w:val="right"/>
              <w:ind w:right="95"/>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002060"/>
            </w:tcBorders>
            <w:shd w:val="clear" w:color="auto" w:fill="E5E5E5"/>
          </w:tcPr>
          <w:p>
            <w:pPr>
              <w:spacing w:after="0"/>
              <w:rPr>
                <w:sz w:val="20"/>
                <w:szCs w:val="20"/>
                <w:color w:val="auto"/>
              </w:rPr>
            </w:pPr>
          </w:p>
        </w:tc>
        <w:tc>
          <w:tcPr>
            <w:tcW w:w="1260" w:type="dxa"/>
            <w:vAlign w:val="bottom"/>
            <w:tcBorders>
              <w:bottom w:val="single" w:sz="8" w:color="002060"/>
            </w:tcBorders>
            <w:shd w:val="clear" w:color="auto" w:fill="E5E5E5"/>
          </w:tcPr>
          <w:p>
            <w:pPr>
              <w:ind w:left="440"/>
              <w:spacing w:after="0"/>
              <w:rPr>
                <w:sz w:val="20"/>
                <w:szCs w:val="20"/>
                <w:color w:val="auto"/>
              </w:rPr>
            </w:pPr>
            <w:r>
              <w:rPr>
                <w:rFonts w:ascii="Arial" w:cs="Arial" w:eastAsia="Arial" w:hAnsi="Arial"/>
                <w:sz w:val="18"/>
                <w:szCs w:val="18"/>
                <w:color w:val="auto"/>
              </w:rPr>
              <w:t>43.5%</w:t>
            </w:r>
          </w:p>
        </w:tc>
      </w:tr>
      <w:tr>
        <w:trPr>
          <w:trHeight w:val="148"/>
        </w:trPr>
        <w:tc>
          <w:tcPr>
            <w:tcW w:w="6160" w:type="dxa"/>
            <w:vAlign w:val="bottom"/>
            <w:gridSpan w:val="2"/>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gridSpan w:val="5"/>
          </w:tcPr>
          <w:p>
            <w:pPr>
              <w:spacing w:after="0"/>
              <w:rPr>
                <w:sz w:val="12"/>
                <w:szCs w:val="12"/>
                <w:color w:val="auto"/>
              </w:rPr>
            </w:pPr>
          </w:p>
        </w:tc>
      </w:tr>
      <w:tr>
        <w:trPr>
          <w:trHeight w:val="309"/>
        </w:trPr>
        <w:tc>
          <w:tcPr>
            <w:tcW w:w="440" w:type="dxa"/>
            <w:vAlign w:val="bottom"/>
            <w:shd w:val="clear" w:color="auto" w:fill="002060"/>
          </w:tcPr>
          <w:p>
            <w:pPr>
              <w:ind w:left="120"/>
              <w:spacing w:after="0"/>
              <w:rPr>
                <w:sz w:val="20"/>
                <w:szCs w:val="20"/>
                <w:color w:val="auto"/>
              </w:rPr>
            </w:pPr>
            <w:r>
              <w:rPr>
                <w:rFonts w:ascii="Arial" w:cs="Arial" w:eastAsia="Arial" w:hAnsi="Arial"/>
                <w:sz w:val="16"/>
                <w:szCs w:val="16"/>
                <w:color w:val="FFFFFF"/>
              </w:rPr>
              <w:t>60</w:t>
            </w:r>
          </w:p>
        </w:tc>
        <w:tc>
          <w:tcPr>
            <w:tcW w:w="5720" w:type="dxa"/>
            <w:vAlign w:val="bottom"/>
          </w:tcPr>
          <w:p>
            <w:pPr>
              <w:ind w:left="120"/>
              <w:spacing w:after="0"/>
              <w:rPr>
                <w:sz w:val="20"/>
                <w:szCs w:val="20"/>
                <w:color w:val="auto"/>
              </w:rPr>
            </w:pPr>
            <w:r>
              <w:rPr>
                <w:rFonts w:ascii="Arial" w:cs="Arial" w:eastAsia="Arial" w:hAnsi="Arial"/>
                <w:sz w:val="16"/>
                <w:szCs w:val="16"/>
                <w:color w:val="002060"/>
              </w:rPr>
              <w:t>2023 Proxy Statement</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gridSpan w:val="5"/>
          </w:tcPr>
          <w:p>
            <w:pPr>
              <w:ind w:left="580"/>
              <w:spacing w:after="0"/>
              <w:rPr>
                <w:sz w:val="20"/>
                <w:szCs w:val="20"/>
                <w:color w:val="auto"/>
              </w:rPr>
            </w:pPr>
            <w:r>
              <w:rPr>
                <w:rFonts w:ascii="Arial" w:cs="Arial" w:eastAsia="Arial" w:hAnsi="Arial"/>
                <w:sz w:val="16"/>
                <w:szCs w:val="16"/>
                <w:color w:val="002060"/>
              </w:rPr>
              <w:t>Compensation Discussion and Analysis</w:t>
            </w:r>
          </w:p>
        </w:tc>
      </w:tr>
      <w:tr>
        <w:trPr>
          <w:trHeight w:val="110"/>
        </w:trPr>
        <w:tc>
          <w:tcPr>
            <w:tcW w:w="440" w:type="dxa"/>
            <w:vAlign w:val="bottom"/>
            <w:shd w:val="clear" w:color="auto" w:fill="002060"/>
          </w:tcPr>
          <w:p>
            <w:pPr>
              <w:spacing w:after="0"/>
              <w:rPr>
                <w:sz w:val="9"/>
                <w:szCs w:val="9"/>
                <w:color w:val="auto"/>
              </w:rPr>
            </w:pPr>
          </w:p>
        </w:tc>
        <w:tc>
          <w:tcPr>
            <w:tcW w:w="57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-1156335</wp:posOffset>
            </wp:positionV>
            <wp:extent cx="17145" cy="7969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145" cy="79692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-1156335</wp:posOffset>
            </wp:positionV>
            <wp:extent cx="17145" cy="7969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7145" cy="79692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-1156335</wp:posOffset>
            </wp:positionV>
            <wp:extent cx="17145" cy="7969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145" cy="79692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color w:val="auto"/>
        </w:rPr>
        <w:t>The Compensation and Human Capital Committee determined to increase the base salaries of our NEOs as a result of their increasing responsibilities, strong individual performance and peer practices. Base salary adjustments are also reflective of the reorganization of responsibilities among our executive officers.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2022 Performance-Based Incentive Cash Awards</w:t>
      </w:r>
    </w:p>
    <w:p>
      <w:pPr>
        <w:spacing w:after="0" w:line="171"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In consultation with our Chief Executive Officer and Chief Financial Officer, in February 2022 the Compensation and Human Capital Committee considered corporate goals and objectives for our named executive officers for the 2022 fiscal year. Based on management’s strategic and operational goals and considering management’s short- and long-term budgets and projections, the Compensation and Human Capital Committee established an Adjusted EBITDA target of $379,319,000 as the 2022 performance metric for our NEOs’ performance-based incentive awards, to be adjusted throughout the year for the impact of acquisitions. The committee determined that the performance goal would be challenging, but reasonable, given macroeconomic uncertainty and projections for our industry.</w:t>
      </w:r>
    </w:p>
    <w:p>
      <w:pPr>
        <w:spacing w:after="0" w:line="138"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The Compensation and Human Capital Committee set target performance-based incentive cash awards for each NEO as set forth in the table below. The target awards were increased for 2022 to bring compensation levels into better alignment with the Company’s peers, to compensate our officers based on their increasing responsibilities due to Company growth and to encourage our executive team to continue to focus its efforts on further increasing Company growth and creating stockholder value. The amount of each NEO’s earned incentive cash award was equal to the NEO’s target award multiplied by the percentage of the Adjusted EBITDA target achieved. No incentive award would be earned if the Company’s actual Adjusted EBITDA during 2022 was less than 80% of the target, as adjusted for acquisitions. No maximum amount was established; however, even if target performance was achieved, the Compensation and Human Capital Committee retained the discretion to reduce the amount of the award. Unless otherwise determined by the committee, payment of any incentive cash award is generally subject to the NEO remaining employed through the payment date. Incentive cash awards are subject to clawback under the terms of our recoupment policy.</w:t>
      </w:r>
    </w:p>
    <w:p>
      <w:pPr>
        <w:spacing w:after="0" w:line="153"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In February 2023, the Compensation and Human Capital Committee met to review the results of the Company’s performance against the target Adjusted EBITDA performance metric. The Company’s final Adjusted EBITDA target, as adjusted for the impact of acquisitions during the year, was $390,115,000. Actual Adjusted EBITDA was $439,284,000, or approximately 112.6% of target, demonstrating our NEOs’ successful execution of our growth, capital allocation and acquisition strategies in the face of economic uncertainty and uncertain industry conditions.</w:t>
      </w:r>
    </w:p>
    <w:p>
      <w:pPr>
        <w:spacing w:after="0" w:line="136"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The following table reflects each NEO’s 2022 target cash incentive award, earned cash incentive award and earned cash incentive award as a percentage of total compensation:</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5720" w:type="dxa"/>
            <w:vAlign w:val="bottom"/>
          </w:tcPr>
          <w:p>
            <w:pPr>
              <w:spacing w:after="0"/>
              <w:rPr>
                <w:sz w:val="22"/>
                <w:szCs w:val="22"/>
                <w:color w:val="auto"/>
              </w:rPr>
            </w:pPr>
          </w:p>
        </w:tc>
        <w:tc>
          <w:tcPr>
            <w:tcW w:w="1640" w:type="dxa"/>
            <w:vAlign w:val="bottom"/>
            <w:shd w:val="clear" w:color="auto" w:fill="E5E5E5"/>
          </w:tcPr>
          <w:p>
            <w:pPr>
              <w:spacing w:after="0"/>
              <w:rPr>
                <w:sz w:val="22"/>
                <w:szCs w:val="22"/>
                <w:color w:val="auto"/>
              </w:rPr>
            </w:pPr>
          </w:p>
        </w:tc>
        <w:tc>
          <w:tcPr>
            <w:tcW w:w="20" w:type="dxa"/>
            <w:vAlign w:val="bottom"/>
            <w:shd w:val="clear" w:color="auto" w:fill="E5E5E5"/>
          </w:tcPr>
          <w:p>
            <w:pPr>
              <w:spacing w:after="0"/>
              <w:rPr>
                <w:sz w:val="22"/>
                <w:szCs w:val="22"/>
                <w:color w:val="auto"/>
              </w:rPr>
            </w:pPr>
          </w:p>
        </w:tc>
        <w:tc>
          <w:tcPr>
            <w:tcW w:w="1900" w:type="dxa"/>
            <w:vAlign w:val="bottom"/>
            <w:shd w:val="clear" w:color="auto" w:fill="E5E5E5"/>
          </w:tcPr>
          <w:p>
            <w:pPr>
              <w:spacing w:after="0"/>
              <w:rPr>
                <w:sz w:val="22"/>
                <w:szCs w:val="22"/>
                <w:color w:val="auto"/>
              </w:rPr>
            </w:pPr>
          </w:p>
        </w:tc>
        <w:tc>
          <w:tcPr>
            <w:tcW w:w="40" w:type="dxa"/>
            <w:vAlign w:val="bottom"/>
            <w:shd w:val="clear" w:color="auto" w:fill="E5E5E5"/>
          </w:tcPr>
          <w:p>
            <w:pPr>
              <w:spacing w:after="0"/>
              <w:rPr>
                <w:sz w:val="22"/>
                <w:szCs w:val="22"/>
                <w:color w:val="auto"/>
              </w:rPr>
            </w:pPr>
          </w:p>
        </w:tc>
        <w:tc>
          <w:tcPr>
            <w:tcW w:w="1700" w:type="dxa"/>
            <w:vAlign w:val="bottom"/>
            <w:shd w:val="clear" w:color="auto" w:fill="E5E5E5"/>
          </w:tcPr>
          <w:p>
            <w:pPr>
              <w:jc w:val="center"/>
              <w:ind w:left="95"/>
              <w:spacing w:after="0"/>
              <w:rPr>
                <w:sz w:val="20"/>
                <w:szCs w:val="20"/>
                <w:color w:val="auto"/>
              </w:rPr>
            </w:pPr>
            <w:r>
              <w:rPr>
                <w:rFonts w:ascii="Arial" w:cs="Arial" w:eastAsia="Arial" w:hAnsi="Arial"/>
                <w:sz w:val="16"/>
                <w:szCs w:val="16"/>
                <w:b w:val="1"/>
                <w:bCs w:val="1"/>
                <w:color w:val="002060"/>
              </w:rPr>
              <w:t>Earned Cash</w:t>
            </w:r>
          </w:p>
        </w:tc>
      </w:tr>
      <w:tr>
        <w:trPr>
          <w:trHeight w:val="189"/>
        </w:trPr>
        <w:tc>
          <w:tcPr>
            <w:tcW w:w="5720" w:type="dxa"/>
            <w:vAlign w:val="bottom"/>
          </w:tcPr>
          <w:p>
            <w:pPr>
              <w:spacing w:after="0"/>
              <w:rPr>
                <w:sz w:val="16"/>
                <w:szCs w:val="16"/>
                <w:color w:val="auto"/>
              </w:rPr>
            </w:pPr>
          </w:p>
        </w:tc>
        <w:tc>
          <w:tcPr>
            <w:tcW w:w="16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700" w:type="dxa"/>
            <w:vAlign w:val="bottom"/>
            <w:shd w:val="clear" w:color="auto" w:fill="E5E5E5"/>
          </w:tcPr>
          <w:p>
            <w:pPr>
              <w:jc w:val="center"/>
              <w:ind w:left="115"/>
              <w:spacing w:after="0"/>
              <w:rPr>
                <w:sz w:val="20"/>
                <w:szCs w:val="20"/>
                <w:color w:val="auto"/>
              </w:rPr>
            </w:pPr>
            <w:r>
              <w:rPr>
                <w:rFonts w:ascii="Arial" w:cs="Arial" w:eastAsia="Arial" w:hAnsi="Arial"/>
                <w:sz w:val="16"/>
                <w:szCs w:val="16"/>
                <w:b w:val="1"/>
                <w:bCs w:val="1"/>
                <w:color w:val="002060"/>
              </w:rPr>
              <w:t>Incentive as a</w:t>
            </w:r>
          </w:p>
        </w:tc>
      </w:tr>
      <w:tr>
        <w:trPr>
          <w:trHeight w:val="189"/>
        </w:trPr>
        <w:tc>
          <w:tcPr>
            <w:tcW w:w="5720" w:type="dxa"/>
            <w:vAlign w:val="bottom"/>
          </w:tcPr>
          <w:p>
            <w:pPr>
              <w:spacing w:after="0"/>
              <w:rPr>
                <w:sz w:val="16"/>
                <w:szCs w:val="16"/>
                <w:color w:val="auto"/>
              </w:rPr>
            </w:pPr>
          </w:p>
        </w:tc>
        <w:tc>
          <w:tcPr>
            <w:tcW w:w="16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700" w:type="dxa"/>
            <w:vAlign w:val="bottom"/>
            <w:shd w:val="clear" w:color="auto" w:fill="E5E5E5"/>
          </w:tcPr>
          <w:p>
            <w:pPr>
              <w:jc w:val="center"/>
              <w:ind w:left="95"/>
              <w:spacing w:after="0"/>
              <w:rPr>
                <w:sz w:val="20"/>
                <w:szCs w:val="20"/>
                <w:color w:val="auto"/>
              </w:rPr>
            </w:pPr>
            <w:r>
              <w:rPr>
                <w:rFonts w:ascii="Arial" w:cs="Arial" w:eastAsia="Arial" w:hAnsi="Arial"/>
                <w:sz w:val="16"/>
                <w:szCs w:val="16"/>
                <w:b w:val="1"/>
                <w:bCs w:val="1"/>
                <w:color w:val="002060"/>
              </w:rPr>
              <w:t>Percentage of</w:t>
            </w:r>
          </w:p>
        </w:tc>
      </w:tr>
      <w:tr>
        <w:trPr>
          <w:trHeight w:val="189"/>
        </w:trPr>
        <w:tc>
          <w:tcPr>
            <w:tcW w:w="5720" w:type="dxa"/>
            <w:vAlign w:val="bottom"/>
          </w:tcPr>
          <w:p>
            <w:pPr>
              <w:spacing w:after="0"/>
              <w:rPr>
                <w:sz w:val="16"/>
                <w:szCs w:val="16"/>
                <w:color w:val="auto"/>
              </w:rPr>
            </w:pPr>
          </w:p>
        </w:tc>
        <w:tc>
          <w:tcPr>
            <w:tcW w:w="16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w w:val="99"/>
              </w:rPr>
              <w:t>Target Cash</w:t>
            </w:r>
          </w:p>
        </w:tc>
        <w:tc>
          <w:tcPr>
            <w:tcW w:w="20" w:type="dxa"/>
            <w:vAlign w:val="bottom"/>
            <w:shd w:val="clear" w:color="auto" w:fill="E5E5E5"/>
          </w:tcPr>
          <w:p>
            <w:pPr>
              <w:spacing w:after="0"/>
              <w:rPr>
                <w:sz w:val="16"/>
                <w:szCs w:val="16"/>
                <w:color w:val="auto"/>
              </w:rPr>
            </w:pPr>
          </w:p>
        </w:tc>
        <w:tc>
          <w:tcPr>
            <w:tcW w:w="1940" w:type="dxa"/>
            <w:vAlign w:val="bottom"/>
            <w:gridSpan w:val="2"/>
            <w:shd w:val="clear" w:color="auto" w:fill="E5E5E5"/>
          </w:tcPr>
          <w:p>
            <w:pPr>
              <w:jc w:val="center"/>
              <w:ind w:right="140"/>
              <w:spacing w:after="0"/>
              <w:rPr>
                <w:sz w:val="20"/>
                <w:szCs w:val="20"/>
                <w:color w:val="auto"/>
              </w:rPr>
            </w:pPr>
            <w:r>
              <w:rPr>
                <w:rFonts w:ascii="Arial" w:cs="Arial" w:eastAsia="Arial" w:hAnsi="Arial"/>
                <w:sz w:val="16"/>
                <w:szCs w:val="16"/>
                <w:b w:val="1"/>
                <w:bCs w:val="1"/>
                <w:color w:val="002060"/>
              </w:rPr>
              <w:t>Earned Cash</w:t>
            </w:r>
          </w:p>
        </w:tc>
        <w:tc>
          <w:tcPr>
            <w:tcW w:w="1700" w:type="dxa"/>
            <w:vAlign w:val="bottom"/>
            <w:shd w:val="clear" w:color="auto" w:fill="E5E5E5"/>
          </w:tcPr>
          <w:p>
            <w:pPr>
              <w:jc w:val="center"/>
              <w:ind w:left="115"/>
              <w:spacing w:after="0"/>
              <w:rPr>
                <w:sz w:val="20"/>
                <w:szCs w:val="20"/>
                <w:color w:val="auto"/>
              </w:rPr>
            </w:pPr>
            <w:r>
              <w:rPr>
                <w:rFonts w:ascii="Arial" w:cs="Arial" w:eastAsia="Arial" w:hAnsi="Arial"/>
                <w:sz w:val="16"/>
                <w:szCs w:val="16"/>
                <w:b w:val="1"/>
                <w:bCs w:val="1"/>
                <w:color w:val="002060"/>
                <w:w w:val="99"/>
              </w:rPr>
              <w:t>Total</w:t>
            </w:r>
          </w:p>
        </w:tc>
      </w:tr>
      <w:tr>
        <w:trPr>
          <w:trHeight w:val="189"/>
        </w:trPr>
        <w:tc>
          <w:tcPr>
            <w:tcW w:w="5720" w:type="dxa"/>
            <w:vAlign w:val="bottom"/>
          </w:tcPr>
          <w:p>
            <w:pPr>
              <w:spacing w:after="0"/>
              <w:rPr>
                <w:sz w:val="16"/>
                <w:szCs w:val="16"/>
                <w:color w:val="auto"/>
              </w:rPr>
            </w:pPr>
          </w:p>
        </w:tc>
        <w:tc>
          <w:tcPr>
            <w:tcW w:w="1640" w:type="dxa"/>
            <w:vAlign w:val="bottom"/>
            <w:shd w:val="clear" w:color="auto" w:fill="E5E5E5"/>
          </w:tcPr>
          <w:p>
            <w:pPr>
              <w:jc w:val="center"/>
              <w:ind w:right="13"/>
              <w:spacing w:after="0"/>
              <w:rPr>
                <w:sz w:val="20"/>
                <w:szCs w:val="20"/>
                <w:color w:val="auto"/>
              </w:rPr>
            </w:pPr>
            <w:r>
              <w:rPr>
                <w:rFonts w:ascii="Arial" w:cs="Arial" w:eastAsia="Arial" w:hAnsi="Arial"/>
                <w:sz w:val="16"/>
                <w:szCs w:val="16"/>
                <w:b w:val="1"/>
                <w:bCs w:val="1"/>
                <w:color w:val="002060"/>
              </w:rPr>
              <w:t>Incentive</w:t>
            </w:r>
          </w:p>
        </w:tc>
        <w:tc>
          <w:tcPr>
            <w:tcW w:w="20" w:type="dxa"/>
            <w:vAlign w:val="bottom"/>
            <w:shd w:val="clear" w:color="auto" w:fill="E5E5E5"/>
          </w:tcPr>
          <w:p>
            <w:pPr>
              <w:spacing w:after="0"/>
              <w:rPr>
                <w:sz w:val="16"/>
                <w:szCs w:val="16"/>
                <w:color w:val="auto"/>
              </w:rPr>
            </w:pPr>
          </w:p>
        </w:tc>
        <w:tc>
          <w:tcPr>
            <w:tcW w:w="1940" w:type="dxa"/>
            <w:vAlign w:val="bottom"/>
            <w:gridSpan w:val="2"/>
            <w:shd w:val="clear" w:color="auto" w:fill="E5E5E5"/>
          </w:tcPr>
          <w:p>
            <w:pPr>
              <w:jc w:val="center"/>
              <w:ind w:right="120"/>
              <w:spacing w:after="0"/>
              <w:rPr>
                <w:sz w:val="20"/>
                <w:szCs w:val="20"/>
                <w:color w:val="auto"/>
              </w:rPr>
            </w:pPr>
            <w:r>
              <w:rPr>
                <w:rFonts w:ascii="Arial" w:cs="Arial" w:eastAsia="Arial" w:hAnsi="Arial"/>
                <w:sz w:val="16"/>
                <w:szCs w:val="16"/>
                <w:b w:val="1"/>
                <w:bCs w:val="1"/>
                <w:color w:val="002060"/>
              </w:rPr>
              <w:t>Incentive</w:t>
            </w:r>
          </w:p>
        </w:tc>
        <w:tc>
          <w:tcPr>
            <w:tcW w:w="1700" w:type="dxa"/>
            <w:vAlign w:val="bottom"/>
            <w:shd w:val="clear" w:color="auto" w:fill="E5E5E5"/>
          </w:tcPr>
          <w:p>
            <w:pPr>
              <w:jc w:val="center"/>
              <w:ind w:left="95"/>
              <w:spacing w:after="0"/>
              <w:rPr>
                <w:sz w:val="20"/>
                <w:szCs w:val="20"/>
                <w:color w:val="auto"/>
              </w:rPr>
            </w:pPr>
            <w:r>
              <w:rPr>
                <w:rFonts w:ascii="Arial" w:cs="Arial" w:eastAsia="Arial" w:hAnsi="Arial"/>
                <w:sz w:val="16"/>
                <w:szCs w:val="16"/>
                <w:b w:val="1"/>
                <w:bCs w:val="1"/>
                <w:color w:val="002060"/>
              </w:rPr>
              <w:t>Compensation</w:t>
            </w:r>
          </w:p>
        </w:tc>
      </w:tr>
      <w:tr>
        <w:trPr>
          <w:trHeight w:val="224"/>
        </w:trPr>
        <w:tc>
          <w:tcPr>
            <w:tcW w:w="5720" w:type="dxa"/>
            <w:vAlign w:val="bottom"/>
            <w:tcBorders>
              <w:bottom w:val="single" w:sz="8" w:color="002060"/>
            </w:tcBorders>
          </w:tcPr>
          <w:p>
            <w:pPr>
              <w:spacing w:after="0"/>
              <w:rPr>
                <w:sz w:val="20"/>
                <w:szCs w:val="20"/>
                <w:color w:val="auto"/>
              </w:rPr>
            </w:pPr>
            <w:r>
              <w:rPr>
                <w:rFonts w:ascii="Arial" w:cs="Arial" w:eastAsia="Arial" w:hAnsi="Arial"/>
                <w:sz w:val="16"/>
                <w:szCs w:val="16"/>
                <w:b w:val="1"/>
                <w:bCs w:val="1"/>
                <w:color w:val="002060"/>
              </w:rPr>
              <w:t>Name</w:t>
            </w:r>
          </w:p>
        </w:tc>
        <w:tc>
          <w:tcPr>
            <w:tcW w:w="164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6"/>
                <w:szCs w:val="16"/>
                <w:b w:val="1"/>
                <w:bCs w:val="1"/>
                <w:color w:val="002060"/>
              </w:rPr>
              <w:t>($)</w:t>
            </w:r>
          </w:p>
        </w:tc>
        <w:tc>
          <w:tcPr>
            <w:tcW w:w="1920" w:type="dxa"/>
            <w:vAlign w:val="bottom"/>
            <w:tcBorders>
              <w:bottom w:val="single" w:sz="8" w:color="002060"/>
            </w:tcBorders>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w:t>
            </w:r>
          </w:p>
        </w:tc>
        <w:tc>
          <w:tcPr>
            <w:tcW w:w="40" w:type="dxa"/>
            <w:vAlign w:val="bottom"/>
            <w:tcBorders>
              <w:bottom w:val="single" w:sz="8" w:color="002060"/>
            </w:tcBorders>
            <w:shd w:val="clear" w:color="auto" w:fill="E5E5E5"/>
          </w:tcPr>
          <w:p>
            <w:pPr>
              <w:spacing w:after="0"/>
              <w:rPr>
                <w:sz w:val="19"/>
                <w:szCs w:val="19"/>
                <w:color w:val="auto"/>
              </w:rPr>
            </w:pPr>
          </w:p>
        </w:tc>
        <w:tc>
          <w:tcPr>
            <w:tcW w:w="1700" w:type="dxa"/>
            <w:vAlign w:val="bottom"/>
            <w:tcBorders>
              <w:bottom w:val="single" w:sz="8" w:color="002060"/>
            </w:tcBorders>
            <w:shd w:val="clear" w:color="auto" w:fill="E5E5E5"/>
          </w:tcPr>
          <w:p>
            <w:pPr>
              <w:jc w:val="center"/>
              <w:ind w:left="95"/>
              <w:spacing w:after="0"/>
              <w:rPr>
                <w:sz w:val="20"/>
                <w:szCs w:val="20"/>
                <w:color w:val="auto"/>
              </w:rPr>
            </w:pPr>
            <w:r>
              <w:rPr>
                <w:rFonts w:ascii="Arial" w:cs="Arial" w:eastAsia="Arial" w:hAnsi="Arial"/>
                <w:sz w:val="16"/>
                <w:szCs w:val="16"/>
                <w:b w:val="1"/>
                <w:bCs w:val="1"/>
                <w:color w:val="002060"/>
                <w:w w:val="96"/>
              </w:rPr>
              <w:t>(%)</w:t>
            </w:r>
          </w:p>
        </w:tc>
      </w:tr>
      <w:tr>
        <w:trPr>
          <w:trHeight w:val="229"/>
        </w:trPr>
        <w:tc>
          <w:tcPr>
            <w:tcW w:w="572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Jeffrey W. Edwards</w:t>
            </w:r>
          </w:p>
        </w:tc>
        <w:tc>
          <w:tcPr>
            <w:tcW w:w="1640" w:type="dxa"/>
            <w:vAlign w:val="bottom"/>
            <w:tcBorders>
              <w:bottom w:val="single" w:sz="8" w:color="002060"/>
            </w:tcBorders>
            <w:shd w:val="clear" w:color="auto" w:fill="E5E5E5"/>
          </w:tcPr>
          <w:p>
            <w:pPr>
              <w:jc w:val="right"/>
              <w:ind w:right="313"/>
              <w:spacing w:after="0"/>
              <w:rPr>
                <w:sz w:val="20"/>
                <w:szCs w:val="20"/>
                <w:color w:val="auto"/>
              </w:rPr>
            </w:pPr>
            <w:r>
              <w:rPr>
                <w:rFonts w:ascii="Arial" w:cs="Arial" w:eastAsia="Arial" w:hAnsi="Arial"/>
                <w:sz w:val="18"/>
                <w:szCs w:val="18"/>
                <w:color w:val="auto"/>
              </w:rPr>
              <w:t>1,000,000</w:t>
            </w:r>
          </w:p>
        </w:tc>
        <w:tc>
          <w:tcPr>
            <w:tcW w:w="20" w:type="dxa"/>
            <w:vAlign w:val="bottom"/>
            <w:tcBorders>
              <w:bottom w:val="single" w:sz="8" w:color="E5E5E5"/>
            </w:tcBorders>
            <w:shd w:val="clear" w:color="auto" w:fill="E5E5E5"/>
          </w:tcPr>
          <w:p>
            <w:pPr>
              <w:spacing w:after="0"/>
              <w:rPr>
                <w:sz w:val="19"/>
                <w:szCs w:val="19"/>
                <w:color w:val="auto"/>
              </w:rPr>
            </w:pPr>
          </w:p>
        </w:tc>
        <w:tc>
          <w:tcPr>
            <w:tcW w:w="1900" w:type="dxa"/>
            <w:vAlign w:val="bottom"/>
            <w:tcBorders>
              <w:bottom w:val="single" w:sz="8" w:color="002060"/>
            </w:tcBorders>
            <w:shd w:val="clear" w:color="auto" w:fill="E5E5E5"/>
          </w:tcPr>
          <w:p>
            <w:pPr>
              <w:jc w:val="right"/>
              <w:ind w:right="413"/>
              <w:spacing w:after="0"/>
              <w:rPr>
                <w:sz w:val="20"/>
                <w:szCs w:val="20"/>
                <w:color w:val="auto"/>
              </w:rPr>
            </w:pPr>
            <w:r>
              <w:rPr>
                <w:rFonts w:ascii="Arial" w:cs="Arial" w:eastAsia="Arial" w:hAnsi="Arial"/>
                <w:sz w:val="18"/>
                <w:szCs w:val="18"/>
                <w:color w:val="auto"/>
              </w:rPr>
              <w:t>1,126,000</w:t>
            </w:r>
          </w:p>
        </w:tc>
        <w:tc>
          <w:tcPr>
            <w:tcW w:w="40" w:type="dxa"/>
            <w:vAlign w:val="bottom"/>
            <w:tcBorders>
              <w:bottom w:val="single" w:sz="8" w:color="E5E5E5"/>
            </w:tcBorders>
            <w:shd w:val="clear" w:color="auto" w:fill="E5E5E5"/>
          </w:tcPr>
          <w:p>
            <w:pPr>
              <w:spacing w:after="0"/>
              <w:rPr>
                <w:sz w:val="19"/>
                <w:szCs w:val="19"/>
                <w:color w:val="auto"/>
              </w:rPr>
            </w:pPr>
          </w:p>
        </w:tc>
        <w:tc>
          <w:tcPr>
            <w:tcW w:w="1700" w:type="dxa"/>
            <w:vAlign w:val="bottom"/>
            <w:tcBorders>
              <w:bottom w:val="single" w:sz="8" w:color="002060"/>
            </w:tcBorders>
            <w:shd w:val="clear" w:color="auto" w:fill="E5E5E5"/>
          </w:tcPr>
          <w:p>
            <w:pPr>
              <w:jc w:val="center"/>
              <w:ind w:left="95"/>
              <w:spacing w:after="0"/>
              <w:rPr>
                <w:sz w:val="20"/>
                <w:szCs w:val="20"/>
                <w:color w:val="auto"/>
              </w:rPr>
            </w:pPr>
            <w:r>
              <w:rPr>
                <w:rFonts w:ascii="Arial" w:cs="Arial" w:eastAsia="Arial" w:hAnsi="Arial"/>
                <w:sz w:val="18"/>
                <w:szCs w:val="18"/>
                <w:color w:val="auto"/>
              </w:rPr>
              <w:t>21.1%</w:t>
            </w:r>
          </w:p>
        </w:tc>
      </w:tr>
      <w:tr>
        <w:trPr>
          <w:trHeight w:val="243"/>
        </w:trPr>
        <w:tc>
          <w:tcPr>
            <w:tcW w:w="572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Michael T. Miller</w:t>
            </w:r>
          </w:p>
        </w:tc>
        <w:tc>
          <w:tcPr>
            <w:tcW w:w="1640" w:type="dxa"/>
            <w:vAlign w:val="bottom"/>
            <w:tcBorders>
              <w:bottom w:val="single" w:sz="8" w:color="002060"/>
            </w:tcBorders>
            <w:shd w:val="clear" w:color="auto" w:fill="E5E5E5"/>
          </w:tcPr>
          <w:p>
            <w:pPr>
              <w:jc w:val="right"/>
              <w:ind w:right="313"/>
              <w:spacing w:after="0"/>
              <w:rPr>
                <w:sz w:val="20"/>
                <w:szCs w:val="20"/>
                <w:color w:val="auto"/>
              </w:rPr>
            </w:pPr>
            <w:r>
              <w:rPr>
                <w:rFonts w:ascii="Arial" w:cs="Arial" w:eastAsia="Arial" w:hAnsi="Arial"/>
                <w:sz w:val="18"/>
                <w:szCs w:val="18"/>
                <w:color w:val="auto"/>
              </w:rPr>
              <w:t>380,000</w:t>
            </w:r>
          </w:p>
        </w:tc>
        <w:tc>
          <w:tcPr>
            <w:tcW w:w="20" w:type="dxa"/>
            <w:vAlign w:val="bottom"/>
            <w:tcBorders>
              <w:bottom w:val="single" w:sz="8" w:color="E5E5E5"/>
            </w:tcBorders>
            <w:shd w:val="clear" w:color="auto" w:fill="E5E5E5"/>
          </w:tcPr>
          <w:p>
            <w:pPr>
              <w:spacing w:after="0"/>
              <w:rPr>
                <w:sz w:val="21"/>
                <w:szCs w:val="21"/>
                <w:color w:val="auto"/>
              </w:rPr>
            </w:pPr>
          </w:p>
        </w:tc>
        <w:tc>
          <w:tcPr>
            <w:tcW w:w="1900" w:type="dxa"/>
            <w:vAlign w:val="bottom"/>
            <w:tcBorders>
              <w:bottom w:val="single" w:sz="8" w:color="002060"/>
            </w:tcBorders>
            <w:shd w:val="clear" w:color="auto" w:fill="E5E5E5"/>
          </w:tcPr>
          <w:p>
            <w:pPr>
              <w:jc w:val="right"/>
              <w:ind w:right="413"/>
              <w:spacing w:after="0"/>
              <w:rPr>
                <w:sz w:val="20"/>
                <w:szCs w:val="20"/>
                <w:color w:val="auto"/>
              </w:rPr>
            </w:pPr>
            <w:r>
              <w:rPr>
                <w:rFonts w:ascii="Arial" w:cs="Arial" w:eastAsia="Arial" w:hAnsi="Arial"/>
                <w:sz w:val="18"/>
                <w:szCs w:val="18"/>
                <w:color w:val="auto"/>
              </w:rPr>
              <w:t>427,880</w:t>
            </w:r>
          </w:p>
        </w:tc>
        <w:tc>
          <w:tcPr>
            <w:tcW w:w="40" w:type="dxa"/>
            <w:vAlign w:val="bottom"/>
            <w:tcBorders>
              <w:bottom w:val="single" w:sz="8" w:color="E5E5E5"/>
            </w:tcBorders>
            <w:shd w:val="clear" w:color="auto" w:fill="E5E5E5"/>
          </w:tcPr>
          <w:p>
            <w:pPr>
              <w:spacing w:after="0"/>
              <w:rPr>
                <w:sz w:val="21"/>
                <w:szCs w:val="21"/>
                <w:color w:val="auto"/>
              </w:rPr>
            </w:pPr>
          </w:p>
        </w:tc>
        <w:tc>
          <w:tcPr>
            <w:tcW w:w="1700" w:type="dxa"/>
            <w:vAlign w:val="bottom"/>
            <w:tcBorders>
              <w:bottom w:val="single" w:sz="8" w:color="002060"/>
            </w:tcBorders>
            <w:shd w:val="clear" w:color="auto" w:fill="E5E5E5"/>
          </w:tcPr>
          <w:p>
            <w:pPr>
              <w:jc w:val="center"/>
              <w:ind w:left="95"/>
              <w:spacing w:after="0"/>
              <w:rPr>
                <w:sz w:val="20"/>
                <w:szCs w:val="20"/>
                <w:color w:val="auto"/>
              </w:rPr>
            </w:pPr>
            <w:r>
              <w:rPr>
                <w:rFonts w:ascii="Arial" w:cs="Arial" w:eastAsia="Arial" w:hAnsi="Arial"/>
                <w:sz w:val="18"/>
                <w:szCs w:val="18"/>
                <w:color w:val="auto"/>
              </w:rPr>
              <w:t>22.0%</w:t>
            </w:r>
          </w:p>
        </w:tc>
      </w:tr>
      <w:tr>
        <w:trPr>
          <w:trHeight w:val="203"/>
        </w:trPr>
        <w:tc>
          <w:tcPr>
            <w:tcW w:w="5720" w:type="dxa"/>
            <w:vAlign w:val="bottom"/>
            <w:tcBorders>
              <w:bottom w:val="single" w:sz="8" w:color="002060"/>
            </w:tcBorders>
          </w:tcPr>
          <w:p>
            <w:pPr>
              <w:ind w:left="80"/>
              <w:spacing w:after="0" w:line="203" w:lineRule="exact"/>
              <w:rPr>
                <w:sz w:val="20"/>
                <w:szCs w:val="20"/>
                <w:color w:val="auto"/>
              </w:rPr>
            </w:pPr>
            <w:r>
              <w:rPr>
                <w:rFonts w:ascii="Arial" w:cs="Arial" w:eastAsia="Arial" w:hAnsi="Arial"/>
                <w:sz w:val="18"/>
                <w:szCs w:val="18"/>
                <w:color w:val="auto"/>
              </w:rPr>
              <w:t>Jay P. Elliott</w:t>
            </w:r>
          </w:p>
        </w:tc>
        <w:tc>
          <w:tcPr>
            <w:tcW w:w="1640" w:type="dxa"/>
            <w:vAlign w:val="bottom"/>
            <w:tcBorders>
              <w:bottom w:val="single" w:sz="8" w:color="002060"/>
            </w:tcBorders>
            <w:shd w:val="clear" w:color="auto" w:fill="E5E5E5"/>
          </w:tcPr>
          <w:p>
            <w:pPr>
              <w:jc w:val="right"/>
              <w:ind w:right="313"/>
              <w:spacing w:after="0" w:line="203" w:lineRule="exact"/>
              <w:rPr>
                <w:sz w:val="20"/>
                <w:szCs w:val="20"/>
                <w:color w:val="auto"/>
              </w:rPr>
            </w:pPr>
            <w:r>
              <w:rPr>
                <w:rFonts w:ascii="Arial" w:cs="Arial" w:eastAsia="Arial" w:hAnsi="Arial"/>
                <w:sz w:val="18"/>
                <w:szCs w:val="18"/>
                <w:color w:val="auto"/>
              </w:rPr>
              <w:t>280,000</w:t>
            </w:r>
          </w:p>
        </w:tc>
        <w:tc>
          <w:tcPr>
            <w:tcW w:w="20" w:type="dxa"/>
            <w:vAlign w:val="bottom"/>
            <w:tcBorders>
              <w:bottom w:val="single" w:sz="8" w:color="E5E5E5"/>
            </w:tcBorders>
            <w:shd w:val="clear" w:color="auto" w:fill="E5E5E5"/>
          </w:tcPr>
          <w:p>
            <w:pPr>
              <w:spacing w:after="0"/>
              <w:rPr>
                <w:sz w:val="17"/>
                <w:szCs w:val="17"/>
                <w:color w:val="auto"/>
              </w:rPr>
            </w:pPr>
          </w:p>
        </w:tc>
        <w:tc>
          <w:tcPr>
            <w:tcW w:w="1900" w:type="dxa"/>
            <w:vAlign w:val="bottom"/>
            <w:tcBorders>
              <w:bottom w:val="single" w:sz="8" w:color="002060"/>
            </w:tcBorders>
            <w:shd w:val="clear" w:color="auto" w:fill="E5E5E5"/>
          </w:tcPr>
          <w:p>
            <w:pPr>
              <w:jc w:val="right"/>
              <w:ind w:right="413"/>
              <w:spacing w:after="0" w:line="203" w:lineRule="exact"/>
              <w:rPr>
                <w:sz w:val="20"/>
                <w:szCs w:val="20"/>
                <w:color w:val="auto"/>
              </w:rPr>
            </w:pPr>
            <w:r>
              <w:rPr>
                <w:rFonts w:ascii="Arial" w:cs="Arial" w:eastAsia="Arial" w:hAnsi="Arial"/>
                <w:sz w:val="18"/>
                <w:szCs w:val="18"/>
                <w:color w:val="auto"/>
              </w:rPr>
              <w:t>315,280</w:t>
            </w:r>
          </w:p>
        </w:tc>
        <w:tc>
          <w:tcPr>
            <w:tcW w:w="40" w:type="dxa"/>
            <w:vAlign w:val="bottom"/>
            <w:tcBorders>
              <w:bottom w:val="single" w:sz="8" w:color="E5E5E5"/>
            </w:tcBorders>
            <w:shd w:val="clear" w:color="auto" w:fill="E5E5E5"/>
          </w:tcPr>
          <w:p>
            <w:pPr>
              <w:spacing w:after="0"/>
              <w:rPr>
                <w:sz w:val="17"/>
                <w:szCs w:val="17"/>
                <w:color w:val="auto"/>
              </w:rPr>
            </w:pPr>
          </w:p>
        </w:tc>
        <w:tc>
          <w:tcPr>
            <w:tcW w:w="1700" w:type="dxa"/>
            <w:vAlign w:val="bottom"/>
            <w:tcBorders>
              <w:bottom w:val="single" w:sz="8" w:color="002060"/>
            </w:tcBorders>
            <w:shd w:val="clear" w:color="auto" w:fill="E5E5E5"/>
          </w:tcPr>
          <w:p>
            <w:pPr>
              <w:jc w:val="center"/>
              <w:ind w:left="95"/>
              <w:spacing w:after="0" w:line="203" w:lineRule="exact"/>
              <w:rPr>
                <w:sz w:val="20"/>
                <w:szCs w:val="20"/>
                <w:color w:val="auto"/>
              </w:rPr>
            </w:pPr>
            <w:r>
              <w:rPr>
                <w:rFonts w:ascii="Arial" w:cs="Arial" w:eastAsia="Arial" w:hAnsi="Arial"/>
                <w:sz w:val="18"/>
                <w:szCs w:val="18"/>
                <w:color w:val="auto"/>
              </w:rPr>
              <w:t>16.4%</w:t>
            </w:r>
          </w:p>
        </w:tc>
      </w:tr>
      <w:tr>
        <w:trPr>
          <w:trHeight w:val="223"/>
        </w:trPr>
        <w:tc>
          <w:tcPr>
            <w:tcW w:w="572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W. Jeffrey Hire</w:t>
            </w:r>
          </w:p>
        </w:tc>
        <w:tc>
          <w:tcPr>
            <w:tcW w:w="1640" w:type="dxa"/>
            <w:vAlign w:val="bottom"/>
            <w:tcBorders>
              <w:bottom w:val="single" w:sz="8" w:color="002060"/>
            </w:tcBorders>
            <w:shd w:val="clear" w:color="auto" w:fill="E5E5E5"/>
          </w:tcPr>
          <w:p>
            <w:pPr>
              <w:jc w:val="right"/>
              <w:ind w:right="313"/>
              <w:spacing w:after="0"/>
              <w:rPr>
                <w:sz w:val="20"/>
                <w:szCs w:val="20"/>
                <w:color w:val="auto"/>
              </w:rPr>
            </w:pPr>
            <w:r>
              <w:rPr>
                <w:rFonts w:ascii="Arial" w:cs="Arial" w:eastAsia="Arial" w:hAnsi="Arial"/>
                <w:sz w:val="18"/>
                <w:szCs w:val="18"/>
                <w:color w:val="auto"/>
              </w:rPr>
              <w:t>150,000</w:t>
            </w:r>
          </w:p>
        </w:tc>
        <w:tc>
          <w:tcPr>
            <w:tcW w:w="20" w:type="dxa"/>
            <w:vAlign w:val="bottom"/>
            <w:tcBorders>
              <w:bottom w:val="single" w:sz="8" w:color="E5E5E5"/>
            </w:tcBorders>
            <w:shd w:val="clear" w:color="auto" w:fill="E5E5E5"/>
          </w:tcPr>
          <w:p>
            <w:pPr>
              <w:spacing w:after="0"/>
              <w:rPr>
                <w:sz w:val="19"/>
                <w:szCs w:val="19"/>
                <w:color w:val="auto"/>
              </w:rPr>
            </w:pPr>
          </w:p>
        </w:tc>
        <w:tc>
          <w:tcPr>
            <w:tcW w:w="1900" w:type="dxa"/>
            <w:vAlign w:val="bottom"/>
            <w:tcBorders>
              <w:bottom w:val="single" w:sz="8" w:color="002060"/>
            </w:tcBorders>
            <w:shd w:val="clear" w:color="auto" w:fill="E5E5E5"/>
          </w:tcPr>
          <w:p>
            <w:pPr>
              <w:jc w:val="right"/>
              <w:ind w:right="413"/>
              <w:spacing w:after="0"/>
              <w:rPr>
                <w:sz w:val="20"/>
                <w:szCs w:val="20"/>
                <w:color w:val="auto"/>
              </w:rPr>
            </w:pPr>
            <w:r>
              <w:rPr>
                <w:rFonts w:ascii="Arial" w:cs="Arial" w:eastAsia="Arial" w:hAnsi="Arial"/>
                <w:sz w:val="18"/>
                <w:szCs w:val="18"/>
                <w:color w:val="auto"/>
              </w:rPr>
              <w:t>168,900</w:t>
            </w:r>
          </w:p>
        </w:tc>
        <w:tc>
          <w:tcPr>
            <w:tcW w:w="40" w:type="dxa"/>
            <w:vAlign w:val="bottom"/>
            <w:tcBorders>
              <w:bottom w:val="single" w:sz="8" w:color="E5E5E5"/>
            </w:tcBorders>
            <w:shd w:val="clear" w:color="auto" w:fill="E5E5E5"/>
          </w:tcPr>
          <w:p>
            <w:pPr>
              <w:spacing w:after="0"/>
              <w:rPr>
                <w:sz w:val="19"/>
                <w:szCs w:val="19"/>
                <w:color w:val="auto"/>
              </w:rPr>
            </w:pPr>
          </w:p>
        </w:tc>
        <w:tc>
          <w:tcPr>
            <w:tcW w:w="1700" w:type="dxa"/>
            <w:vAlign w:val="bottom"/>
            <w:tcBorders>
              <w:bottom w:val="single" w:sz="8" w:color="002060"/>
            </w:tcBorders>
            <w:shd w:val="clear" w:color="auto" w:fill="E5E5E5"/>
          </w:tcPr>
          <w:p>
            <w:pPr>
              <w:jc w:val="center"/>
              <w:ind w:left="95"/>
              <w:spacing w:after="0"/>
              <w:rPr>
                <w:sz w:val="20"/>
                <w:szCs w:val="20"/>
                <w:color w:val="auto"/>
              </w:rPr>
            </w:pPr>
            <w:r>
              <w:rPr>
                <w:rFonts w:ascii="Arial" w:cs="Arial" w:eastAsia="Arial" w:hAnsi="Arial"/>
                <w:sz w:val="18"/>
                <w:szCs w:val="18"/>
                <w:color w:val="auto"/>
              </w:rPr>
              <w:t>20.6%</w:t>
            </w:r>
          </w:p>
        </w:tc>
      </w:tr>
      <w:tr>
        <w:trPr>
          <w:trHeight w:val="230"/>
        </w:trPr>
        <w:tc>
          <w:tcPr>
            <w:tcW w:w="572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Jason R. Niswonger</w:t>
            </w:r>
          </w:p>
        </w:tc>
        <w:tc>
          <w:tcPr>
            <w:tcW w:w="1640" w:type="dxa"/>
            <w:vAlign w:val="bottom"/>
            <w:tcBorders>
              <w:bottom w:val="single" w:sz="8" w:color="002060"/>
            </w:tcBorders>
            <w:shd w:val="clear" w:color="auto" w:fill="E5E5E5"/>
          </w:tcPr>
          <w:p>
            <w:pPr>
              <w:jc w:val="right"/>
              <w:ind w:right="313"/>
              <w:spacing w:after="0"/>
              <w:rPr>
                <w:sz w:val="20"/>
                <w:szCs w:val="20"/>
                <w:color w:val="auto"/>
              </w:rPr>
            </w:pPr>
            <w:r>
              <w:rPr>
                <w:rFonts w:ascii="Arial" w:cs="Arial" w:eastAsia="Arial" w:hAnsi="Arial"/>
                <w:sz w:val="18"/>
                <w:szCs w:val="18"/>
                <w:color w:val="auto"/>
              </w:rPr>
              <w:t>175,000</w:t>
            </w:r>
          </w:p>
        </w:tc>
        <w:tc>
          <w:tcPr>
            <w:tcW w:w="1920" w:type="dxa"/>
            <w:vAlign w:val="bottom"/>
            <w:tcBorders>
              <w:bottom w:val="single" w:sz="8" w:color="002060"/>
            </w:tcBorders>
            <w:gridSpan w:val="2"/>
            <w:shd w:val="clear" w:color="auto" w:fill="E5E5E5"/>
          </w:tcPr>
          <w:p>
            <w:pPr>
              <w:jc w:val="right"/>
              <w:ind w:right="413"/>
              <w:spacing w:after="0"/>
              <w:rPr>
                <w:sz w:val="20"/>
                <w:szCs w:val="20"/>
                <w:color w:val="auto"/>
              </w:rPr>
            </w:pPr>
            <w:r>
              <w:rPr>
                <w:rFonts w:ascii="Arial" w:cs="Arial" w:eastAsia="Arial" w:hAnsi="Arial"/>
                <w:sz w:val="18"/>
                <w:szCs w:val="18"/>
                <w:color w:val="auto"/>
              </w:rPr>
              <w:t>197,050</w:t>
            </w:r>
          </w:p>
        </w:tc>
        <w:tc>
          <w:tcPr>
            <w:tcW w:w="40" w:type="dxa"/>
            <w:vAlign w:val="bottom"/>
            <w:tcBorders>
              <w:bottom w:val="single" w:sz="8" w:color="002060"/>
            </w:tcBorders>
            <w:shd w:val="clear" w:color="auto" w:fill="E5E5E5"/>
          </w:tcPr>
          <w:p>
            <w:pPr>
              <w:spacing w:after="0"/>
              <w:rPr>
                <w:sz w:val="20"/>
                <w:szCs w:val="20"/>
                <w:color w:val="auto"/>
              </w:rPr>
            </w:pPr>
          </w:p>
        </w:tc>
        <w:tc>
          <w:tcPr>
            <w:tcW w:w="1700" w:type="dxa"/>
            <w:vAlign w:val="bottom"/>
            <w:tcBorders>
              <w:bottom w:val="single" w:sz="8" w:color="002060"/>
            </w:tcBorders>
            <w:shd w:val="clear" w:color="auto" w:fill="E5E5E5"/>
          </w:tcPr>
          <w:p>
            <w:pPr>
              <w:jc w:val="center"/>
              <w:ind w:left="95"/>
              <w:spacing w:after="0"/>
              <w:rPr>
                <w:sz w:val="20"/>
                <w:szCs w:val="20"/>
                <w:color w:val="auto"/>
              </w:rPr>
            </w:pPr>
            <w:r>
              <w:rPr>
                <w:rFonts w:ascii="Arial" w:cs="Arial" w:eastAsia="Arial" w:hAnsi="Arial"/>
                <w:sz w:val="18"/>
                <w:szCs w:val="18"/>
                <w:color w:val="auto"/>
              </w:rPr>
              <w:t>21.7%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-779145</wp:posOffset>
            </wp:positionV>
            <wp:extent cx="8890" cy="7626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76263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-796290</wp:posOffset>
            </wp:positionV>
            <wp:extent cx="17145" cy="7969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7145" cy="79692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-796290</wp:posOffset>
            </wp:positionV>
            <wp:extent cx="17145" cy="7969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145" cy="796925"/>
                    </a:xfrm>
                    <a:prstGeom prst="rect">
                      <a:avLst/>
                    </a:prstGeom>
                    <a:noFill/>
                  </pic:spPr>
                </pic:pic>
              </a:graphicData>
            </a:graphic>
          </wp:anchor>
        </w:drawing>
      </w:r>
    </w:p>
    <w:p>
      <w:pPr>
        <w:spacing w:after="0" w:line="137" w:lineRule="exact"/>
        <w:rPr>
          <w:sz w:val="20"/>
          <w:szCs w:val="20"/>
          <w:color w:val="auto"/>
        </w:rPr>
      </w:pPr>
    </w:p>
    <w:p>
      <w:pPr>
        <w:ind w:left="120" w:right="1180"/>
        <w:spacing w:after="0" w:line="271" w:lineRule="auto"/>
        <w:rPr>
          <w:sz w:val="20"/>
          <w:szCs w:val="20"/>
          <w:color w:val="auto"/>
        </w:rPr>
      </w:pPr>
      <w:r>
        <w:rPr>
          <w:rFonts w:ascii="Arial" w:cs="Arial" w:eastAsia="Arial" w:hAnsi="Arial"/>
          <w:sz w:val="18"/>
          <w:szCs w:val="18"/>
          <w:color w:val="auto"/>
        </w:rPr>
        <w:t xml:space="preserve">The performance-based incentive cash awards earned by our NEOs for 2022 are included in the “Non-Equity Incentive Plan Compensation” column of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66675</wp:posOffset>
            </wp:positionV>
            <wp:extent cx="291465" cy="2660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91465" cy="266065"/>
                    </a:xfrm>
                    <a:prstGeom prst="rect">
                      <a:avLst/>
                    </a:prstGeom>
                    <a:noFill/>
                  </pic:spPr>
                </pic:pic>
              </a:graphicData>
            </a:graphic>
          </wp:anchor>
        </w:drawing>
      </w:r>
    </w:p>
    <w:p>
      <w:pPr>
        <w:spacing w:after="0" w:line="179"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Compensation Discussion and Analysis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61</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2022 Performance-Based Incentive Equity Awards</w:t>
      </w:r>
    </w:p>
    <w:p>
      <w:pPr>
        <w:spacing w:after="0" w:line="104" w:lineRule="exact"/>
        <w:rPr>
          <w:sz w:val="20"/>
          <w:szCs w:val="20"/>
          <w:color w:val="auto"/>
        </w:rPr>
      </w:pPr>
    </w:p>
    <w:p>
      <w:pPr>
        <w:ind w:left="120" w:right="20"/>
        <w:spacing w:after="0" w:line="253" w:lineRule="auto"/>
        <w:rPr>
          <w:sz w:val="20"/>
          <w:szCs w:val="20"/>
          <w:color w:val="auto"/>
        </w:rPr>
      </w:pPr>
      <w:r>
        <w:rPr>
          <w:rFonts w:ascii="Arial" w:cs="Arial" w:eastAsia="Arial" w:hAnsi="Arial"/>
          <w:sz w:val="17"/>
          <w:szCs w:val="17"/>
          <w:color w:val="auto"/>
        </w:rPr>
        <w:t>In February 2022, the Compensation and Human Capital Committee met to consider and finalize the performance metric for our 2022 performance-based incentive equity awards. The committee determined, for the reasons outlined in “</w:t>
      </w:r>
      <w:r>
        <w:rPr>
          <w:rFonts w:ascii="Arial" w:cs="Arial" w:eastAsia="Arial" w:hAnsi="Arial"/>
          <w:sz w:val="17"/>
          <w:szCs w:val="17"/>
          <w:i w:val="1"/>
          <w:iCs w:val="1"/>
          <w:color w:val="auto"/>
        </w:rPr>
        <w:t>Section 3 – Elements of Our</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Program – Performance-Based Cash Incentives</w:t>
      </w:r>
      <w:r>
        <w:rPr>
          <w:rFonts w:ascii="Arial" w:cs="Arial" w:eastAsia="Arial" w:hAnsi="Arial"/>
          <w:sz w:val="17"/>
          <w:szCs w:val="17"/>
          <w:color w:val="auto"/>
        </w:rPr>
        <w:t>” above, to use a one-year performance metric of Adjusted EBITDA. The</w:t>
      </w:r>
      <w:r>
        <w:rPr>
          <w:rFonts w:ascii="Arial" w:cs="Arial" w:eastAsia="Arial" w:hAnsi="Arial"/>
          <w:sz w:val="17"/>
          <w:szCs w:val="17"/>
          <w:i w:val="1"/>
          <w:iCs w:val="1"/>
          <w:color w:val="auto"/>
        </w:rPr>
        <w:t xml:space="preserve"> </w:t>
      </w:r>
      <w:r>
        <w:rPr>
          <w:rFonts w:ascii="Arial" w:cs="Arial" w:eastAsia="Arial" w:hAnsi="Arial"/>
          <w:sz w:val="17"/>
          <w:szCs w:val="17"/>
          <w:color w:val="auto"/>
        </w:rPr>
        <w:t>target chosen by the Compensation and Human Capital Committee for the incentive equity award program was the same as that chosen for the incentive cash award program. In order to achieve a balance between setting an annual performance metric and its desire to align the interests of our NEOs with the long-term interests of our stockholders, the Compensation and Human Capital Committee added a time-vesting component to the performance-based equity awards. The performance-based restricted stock awards actually earned by an executive may be above or below the target award, based on the degree to which the performance metric is met. If the performance metric is achieved at a minimum of 80%, the restricted stock is earned and vests in equal installments over two years, generally subject to the NEO’s continued employment on each vesting date. Target awards are based on a number of shares rather than a dollar amount, so that the potential value of the award fluctuates with the price of our common stock during both the performance period and the vesting period.</w:t>
      </w:r>
    </w:p>
    <w:p>
      <w:pPr>
        <w:spacing w:after="0" w:line="150"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In February 2023, the Compensation and Human Capital Committee met to review the results of the Company’s financial performance against the target performance metric. Consistent with the incentive cash award program, the Company’s final Adjusted EBITDA target, as adjusted for the impact of acquisitions during the year, was $390,115,000. Actual Adjusted EBITDA was $439,284,000, or approximately 112.6% of target.</w:t>
      </w:r>
    </w:p>
    <w:p>
      <w:pPr>
        <w:spacing w:after="0" w:line="133"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color w:val="auto"/>
        </w:rPr>
        <w:t>The following table reflects each NEO’s 2022 target incentive equity award, earned incentive equity award and the fair values of the awards at the grant date and award date:</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6160" w:type="dxa"/>
            <w:vAlign w:val="bottom"/>
          </w:tcPr>
          <w:p>
            <w:pPr>
              <w:spacing w:after="0"/>
              <w:rPr>
                <w:sz w:val="22"/>
                <w:szCs w:val="22"/>
                <w:color w:val="auto"/>
              </w:rPr>
            </w:pPr>
          </w:p>
        </w:tc>
        <w:tc>
          <w:tcPr>
            <w:tcW w:w="1060" w:type="dxa"/>
            <w:vAlign w:val="bottom"/>
            <w:shd w:val="clear" w:color="auto" w:fill="E5E5E5"/>
          </w:tcPr>
          <w:p>
            <w:pPr>
              <w:spacing w:after="0"/>
              <w:rPr>
                <w:sz w:val="22"/>
                <w:szCs w:val="22"/>
                <w:color w:val="auto"/>
              </w:rPr>
            </w:pPr>
          </w:p>
        </w:tc>
        <w:tc>
          <w:tcPr>
            <w:tcW w:w="20" w:type="dxa"/>
            <w:vAlign w:val="bottom"/>
            <w:shd w:val="clear" w:color="auto" w:fill="E5E5E5"/>
          </w:tcPr>
          <w:p>
            <w:pPr>
              <w:spacing w:after="0"/>
              <w:rPr>
                <w:sz w:val="22"/>
                <w:szCs w:val="22"/>
                <w:color w:val="auto"/>
              </w:rPr>
            </w:pPr>
          </w:p>
        </w:tc>
        <w:tc>
          <w:tcPr>
            <w:tcW w:w="136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w w:val="98"/>
              </w:rPr>
              <w:t>Target</w:t>
            </w:r>
          </w:p>
        </w:tc>
        <w:tc>
          <w:tcPr>
            <w:tcW w:w="1060" w:type="dxa"/>
            <w:vAlign w:val="bottom"/>
            <w:shd w:val="clear" w:color="auto" w:fill="E5E5E5"/>
          </w:tcPr>
          <w:p>
            <w:pPr>
              <w:spacing w:after="0"/>
              <w:rPr>
                <w:sz w:val="22"/>
                <w:szCs w:val="22"/>
                <w:color w:val="auto"/>
              </w:rPr>
            </w:pPr>
          </w:p>
        </w:tc>
        <w:tc>
          <w:tcPr>
            <w:tcW w:w="20" w:type="dxa"/>
            <w:vAlign w:val="bottom"/>
            <w:shd w:val="clear" w:color="auto" w:fill="E5E5E5"/>
          </w:tcPr>
          <w:p>
            <w:pPr>
              <w:spacing w:after="0"/>
              <w:rPr>
                <w:sz w:val="22"/>
                <w:szCs w:val="22"/>
                <w:color w:val="auto"/>
              </w:rPr>
            </w:pPr>
          </w:p>
        </w:tc>
        <w:tc>
          <w:tcPr>
            <w:tcW w:w="134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Restricted</w:t>
            </w:r>
          </w:p>
        </w:tc>
        <w:tc>
          <w:tcPr>
            <w:tcW w:w="10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3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36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Stock</w:t>
            </w:r>
          </w:p>
        </w:tc>
        <w:tc>
          <w:tcPr>
            <w:tcW w:w="10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340" w:type="dxa"/>
            <w:vAlign w:val="bottom"/>
            <w:vMerge w:val="restart"/>
            <w:shd w:val="clear" w:color="auto" w:fill="E5E5E5"/>
          </w:tcPr>
          <w:p>
            <w:pPr>
              <w:jc w:val="center"/>
              <w:spacing w:after="0"/>
              <w:rPr>
                <w:sz w:val="20"/>
                <w:szCs w:val="20"/>
                <w:color w:val="auto"/>
              </w:rPr>
            </w:pPr>
            <w:r>
              <w:rPr>
                <w:rFonts w:ascii="Arial" w:cs="Arial" w:eastAsia="Arial" w:hAnsi="Arial"/>
                <w:sz w:val="16"/>
                <w:szCs w:val="16"/>
                <w:b w:val="1"/>
                <w:bCs w:val="1"/>
                <w:color w:val="002060"/>
                <w:w w:val="99"/>
              </w:rPr>
              <w:t>Earned</w:t>
            </w:r>
          </w:p>
        </w:tc>
        <w:tc>
          <w:tcPr>
            <w:tcW w:w="0" w:type="dxa"/>
            <w:vAlign w:val="bottom"/>
          </w:tcPr>
          <w:p>
            <w:pPr>
              <w:spacing w:after="0"/>
              <w:rPr>
                <w:sz w:val="1"/>
                <w:szCs w:val="1"/>
                <w:color w:val="auto"/>
              </w:rPr>
            </w:pPr>
          </w:p>
        </w:tc>
      </w:tr>
      <w:tr>
        <w:trPr>
          <w:trHeight w:val="176"/>
        </w:trPr>
        <w:tc>
          <w:tcPr>
            <w:tcW w:w="6160" w:type="dxa"/>
            <w:vAlign w:val="bottom"/>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360" w:type="dxa"/>
            <w:vAlign w:val="bottom"/>
            <w:gridSpan w:val="2"/>
            <w:shd w:val="clear" w:color="auto" w:fill="E5E5E5"/>
          </w:tcPr>
          <w:p>
            <w:pPr>
              <w:jc w:val="center"/>
              <w:spacing w:after="0" w:line="175" w:lineRule="exact"/>
              <w:rPr>
                <w:sz w:val="20"/>
                <w:szCs w:val="20"/>
                <w:color w:val="auto"/>
              </w:rPr>
            </w:pPr>
            <w:r>
              <w:rPr>
                <w:rFonts w:ascii="Arial" w:cs="Arial" w:eastAsia="Arial" w:hAnsi="Arial"/>
                <w:sz w:val="16"/>
                <w:szCs w:val="16"/>
                <w:b w:val="1"/>
                <w:bCs w:val="1"/>
                <w:color w:val="002060"/>
              </w:rPr>
              <w:t>Potential</w:t>
            </w:r>
          </w:p>
        </w:tc>
        <w:tc>
          <w:tcPr>
            <w:tcW w:w="106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340" w:type="dxa"/>
            <w:vAlign w:val="bottom"/>
            <w:vMerge w:val="continue"/>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108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w w:val="98"/>
              </w:rPr>
              <w:t>Target</w:t>
            </w:r>
          </w:p>
        </w:tc>
        <w:tc>
          <w:tcPr>
            <w:tcW w:w="136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w w:val="99"/>
              </w:rPr>
              <w:t>Payout Grant</w:t>
            </w:r>
          </w:p>
        </w:tc>
        <w:tc>
          <w:tcPr>
            <w:tcW w:w="108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Earned</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w w:val="99"/>
              </w:rPr>
              <w:t>Restricted</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108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Restricted</w:t>
            </w:r>
          </w:p>
        </w:tc>
        <w:tc>
          <w:tcPr>
            <w:tcW w:w="136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w w:val="99"/>
              </w:rPr>
              <w:t>Date Fair</w:t>
            </w:r>
          </w:p>
        </w:tc>
        <w:tc>
          <w:tcPr>
            <w:tcW w:w="108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Restricted</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rPr>
              <w:t>Stock Payout</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108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Stock</w:t>
            </w:r>
          </w:p>
        </w:tc>
        <w:tc>
          <w:tcPr>
            <w:tcW w:w="136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Value</w:t>
            </w:r>
          </w:p>
        </w:tc>
        <w:tc>
          <w:tcPr>
            <w:tcW w:w="108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Stock</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rPr>
              <w:t>Fair Value</w:t>
            </w:r>
          </w:p>
        </w:tc>
        <w:tc>
          <w:tcPr>
            <w:tcW w:w="0" w:type="dxa"/>
            <w:vAlign w:val="bottom"/>
          </w:tcPr>
          <w:p>
            <w:pPr>
              <w:spacing w:after="0"/>
              <w:rPr>
                <w:sz w:val="1"/>
                <w:szCs w:val="1"/>
                <w:color w:val="auto"/>
              </w:rPr>
            </w:pPr>
          </w:p>
        </w:tc>
      </w:tr>
      <w:tr>
        <w:trPr>
          <w:trHeight w:val="237"/>
        </w:trPr>
        <w:tc>
          <w:tcPr>
            <w:tcW w:w="6160" w:type="dxa"/>
            <w:vAlign w:val="bottom"/>
            <w:tcBorders>
              <w:bottom w:val="single" w:sz="8" w:color="002060"/>
            </w:tcBorders>
          </w:tcPr>
          <w:p>
            <w:pPr>
              <w:spacing w:after="0"/>
              <w:rPr>
                <w:sz w:val="20"/>
                <w:szCs w:val="20"/>
                <w:color w:val="auto"/>
              </w:rPr>
            </w:pPr>
            <w:r>
              <w:rPr>
                <w:rFonts w:ascii="Arial" w:cs="Arial" w:eastAsia="Arial" w:hAnsi="Arial"/>
                <w:sz w:val="16"/>
                <w:szCs w:val="16"/>
                <w:b w:val="1"/>
                <w:bCs w:val="1"/>
                <w:color w:val="002060"/>
              </w:rPr>
              <w:t>Name</w:t>
            </w:r>
          </w:p>
        </w:tc>
        <w:tc>
          <w:tcPr>
            <w:tcW w:w="106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6"/>
                <w:szCs w:val="16"/>
                <w:b w:val="1"/>
                <w:bCs w:val="1"/>
                <w:color w:val="002060"/>
              </w:rPr>
              <w:t>(#)</w:t>
            </w:r>
          </w:p>
        </w:tc>
        <w:tc>
          <w:tcPr>
            <w:tcW w:w="20" w:type="dxa"/>
            <w:vAlign w:val="bottom"/>
            <w:tcBorders>
              <w:bottom w:val="single" w:sz="8" w:color="002060"/>
            </w:tcBorders>
            <w:shd w:val="clear" w:color="auto" w:fill="E5E5E5"/>
          </w:tcPr>
          <w:p>
            <w:pPr>
              <w:spacing w:after="0"/>
              <w:rPr>
                <w:sz w:val="20"/>
                <w:szCs w:val="20"/>
                <w:color w:val="auto"/>
              </w:rPr>
            </w:pPr>
          </w:p>
        </w:tc>
        <w:tc>
          <w:tcPr>
            <w:tcW w:w="134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6"/>
                <w:szCs w:val="16"/>
                <w:b w:val="1"/>
                <w:bCs w:val="1"/>
                <w:color w:val="002060"/>
              </w:rPr>
              <w:t>($)(1)</w:t>
            </w:r>
          </w:p>
        </w:tc>
        <w:tc>
          <w:tcPr>
            <w:tcW w:w="20" w:type="dxa"/>
            <w:vAlign w:val="bottom"/>
            <w:tcBorders>
              <w:bottom w:val="single" w:sz="8" w:color="002060"/>
            </w:tcBorders>
            <w:shd w:val="clear" w:color="auto" w:fill="E5E5E5"/>
          </w:tcPr>
          <w:p>
            <w:pPr>
              <w:spacing w:after="0"/>
              <w:rPr>
                <w:sz w:val="20"/>
                <w:szCs w:val="20"/>
                <w:color w:val="auto"/>
              </w:rPr>
            </w:pPr>
          </w:p>
        </w:tc>
        <w:tc>
          <w:tcPr>
            <w:tcW w:w="106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6"/>
                <w:szCs w:val="16"/>
                <w:b w:val="1"/>
                <w:bCs w:val="1"/>
                <w:color w:val="002060"/>
              </w:rPr>
              <w:t>(#)</w:t>
            </w:r>
          </w:p>
        </w:tc>
        <w:tc>
          <w:tcPr>
            <w:tcW w:w="20" w:type="dxa"/>
            <w:vAlign w:val="bottom"/>
            <w:tcBorders>
              <w:bottom w:val="single" w:sz="8" w:color="002060"/>
            </w:tcBorders>
            <w:shd w:val="clear" w:color="auto" w:fill="E5E5E5"/>
          </w:tcPr>
          <w:p>
            <w:pPr>
              <w:spacing w:after="0"/>
              <w:rPr>
                <w:sz w:val="20"/>
                <w:szCs w:val="20"/>
                <w:color w:val="auto"/>
              </w:rPr>
            </w:pPr>
          </w:p>
        </w:tc>
        <w:tc>
          <w:tcPr>
            <w:tcW w:w="134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6"/>
                <w:szCs w:val="16"/>
                <w:b w:val="1"/>
                <w:bCs w:val="1"/>
                <w:color w:val="002060"/>
                <w:w w:val="97"/>
              </w:rPr>
              <w:t>($)(2)</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Jeffrey W. Edwards</w:t>
            </w:r>
          </w:p>
        </w:tc>
        <w:tc>
          <w:tcPr>
            <w:tcW w:w="1060" w:type="dxa"/>
            <w:vAlign w:val="bottom"/>
            <w:tcBorders>
              <w:bottom w:val="single" w:sz="8" w:color="002060"/>
            </w:tcBorders>
            <w:shd w:val="clear" w:color="auto" w:fill="E5E5E5"/>
          </w:tcPr>
          <w:p>
            <w:pPr>
              <w:jc w:val="right"/>
              <w:ind w:right="74"/>
              <w:spacing w:after="0"/>
              <w:rPr>
                <w:sz w:val="20"/>
                <w:szCs w:val="20"/>
                <w:color w:val="auto"/>
              </w:rPr>
            </w:pPr>
            <w:r>
              <w:rPr>
                <w:rFonts w:ascii="Arial" w:cs="Arial" w:eastAsia="Arial" w:hAnsi="Arial"/>
                <w:sz w:val="18"/>
                <w:szCs w:val="18"/>
                <w:color w:val="auto"/>
              </w:rPr>
              <w:t>29,131</w:t>
            </w:r>
          </w:p>
        </w:tc>
        <w:tc>
          <w:tcPr>
            <w:tcW w:w="20" w:type="dxa"/>
            <w:vAlign w:val="bottom"/>
            <w:tcBorders>
              <w:bottom w:val="single" w:sz="8" w:color="E5E5E5"/>
            </w:tcBorders>
            <w:shd w:val="clear" w:color="auto" w:fill="E5E5E5"/>
          </w:tcPr>
          <w:p>
            <w:pPr>
              <w:spacing w:after="0"/>
              <w:rPr>
                <w:sz w:val="19"/>
                <w:szCs w:val="19"/>
                <w:color w:val="auto"/>
              </w:rPr>
            </w:pPr>
          </w:p>
        </w:tc>
        <w:tc>
          <w:tcPr>
            <w:tcW w:w="1340" w:type="dxa"/>
            <w:vAlign w:val="bottom"/>
            <w:tcBorders>
              <w:bottom w:val="single" w:sz="8" w:color="002060"/>
            </w:tcBorders>
            <w:shd w:val="clear" w:color="auto" w:fill="E5E5E5"/>
          </w:tcPr>
          <w:p>
            <w:pPr>
              <w:jc w:val="right"/>
              <w:ind w:right="76"/>
              <w:spacing w:after="0"/>
              <w:rPr>
                <w:sz w:val="20"/>
                <w:szCs w:val="20"/>
                <w:color w:val="auto"/>
              </w:rPr>
            </w:pPr>
            <w:r>
              <w:rPr>
                <w:rFonts w:ascii="Arial" w:cs="Arial" w:eastAsia="Arial" w:hAnsi="Arial"/>
                <w:sz w:val="18"/>
                <w:szCs w:val="18"/>
                <w:color w:val="auto"/>
              </w:rPr>
              <w:t>2,999,910</w:t>
            </w:r>
          </w:p>
        </w:tc>
        <w:tc>
          <w:tcPr>
            <w:tcW w:w="20" w:type="dxa"/>
            <w:vAlign w:val="bottom"/>
            <w:tcBorders>
              <w:bottom w:val="single" w:sz="8" w:color="E5E5E5"/>
            </w:tcBorders>
            <w:shd w:val="clear" w:color="auto" w:fill="E5E5E5"/>
          </w:tcPr>
          <w:p>
            <w:pPr>
              <w:spacing w:after="0"/>
              <w:rPr>
                <w:sz w:val="19"/>
                <w:szCs w:val="19"/>
                <w:color w:val="auto"/>
              </w:rPr>
            </w:pPr>
          </w:p>
        </w:tc>
        <w:tc>
          <w:tcPr>
            <w:tcW w:w="1060" w:type="dxa"/>
            <w:vAlign w:val="bottom"/>
            <w:tcBorders>
              <w:bottom w:val="single" w:sz="8" w:color="002060"/>
            </w:tcBorders>
            <w:shd w:val="clear" w:color="auto" w:fill="E5E5E5"/>
          </w:tcPr>
          <w:p>
            <w:pPr>
              <w:jc w:val="right"/>
              <w:ind w:right="74"/>
              <w:spacing w:after="0"/>
              <w:rPr>
                <w:sz w:val="20"/>
                <w:szCs w:val="20"/>
                <w:color w:val="auto"/>
              </w:rPr>
            </w:pPr>
            <w:r>
              <w:rPr>
                <w:rFonts w:ascii="Arial" w:cs="Arial" w:eastAsia="Arial" w:hAnsi="Arial"/>
                <w:sz w:val="18"/>
                <w:szCs w:val="18"/>
                <w:color w:val="auto"/>
              </w:rPr>
              <w:t>32,802</w:t>
            </w:r>
          </w:p>
        </w:tc>
        <w:tc>
          <w:tcPr>
            <w:tcW w:w="20" w:type="dxa"/>
            <w:vAlign w:val="bottom"/>
            <w:tcBorders>
              <w:bottom w:val="single" w:sz="8" w:color="E5E5E5"/>
            </w:tcBorders>
            <w:shd w:val="clear" w:color="auto" w:fill="E5E5E5"/>
          </w:tcPr>
          <w:p>
            <w:pPr>
              <w:spacing w:after="0"/>
              <w:rPr>
                <w:sz w:val="19"/>
                <w:szCs w:val="19"/>
                <w:color w:val="auto"/>
              </w:rPr>
            </w:pPr>
          </w:p>
        </w:tc>
        <w:tc>
          <w:tcPr>
            <w:tcW w:w="1340" w:type="dxa"/>
            <w:vAlign w:val="bottom"/>
            <w:tcBorders>
              <w:bottom w:val="single" w:sz="8" w:color="002060"/>
            </w:tcBorders>
            <w:shd w:val="clear" w:color="auto" w:fill="E5E5E5"/>
          </w:tcPr>
          <w:p>
            <w:pPr>
              <w:jc w:val="right"/>
              <w:ind w:right="95"/>
              <w:spacing w:after="0"/>
              <w:rPr>
                <w:sz w:val="20"/>
                <w:szCs w:val="20"/>
                <w:color w:val="auto"/>
              </w:rPr>
            </w:pPr>
            <w:r>
              <w:rPr>
                <w:rFonts w:ascii="Arial" w:cs="Arial" w:eastAsia="Arial" w:hAnsi="Arial"/>
                <w:sz w:val="18"/>
                <w:szCs w:val="18"/>
                <w:color w:val="auto"/>
              </w:rPr>
              <w:t>3,600,348</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Michael T. Miller</w:t>
            </w:r>
          </w:p>
        </w:tc>
        <w:tc>
          <w:tcPr>
            <w:tcW w:w="1060" w:type="dxa"/>
            <w:vAlign w:val="bottom"/>
            <w:tcBorders>
              <w:bottom w:val="single" w:sz="8" w:color="002060"/>
            </w:tcBorders>
            <w:shd w:val="clear" w:color="auto" w:fill="E5E5E5"/>
          </w:tcPr>
          <w:p>
            <w:pPr>
              <w:jc w:val="right"/>
              <w:ind w:right="74"/>
              <w:spacing w:after="0"/>
              <w:rPr>
                <w:sz w:val="20"/>
                <w:szCs w:val="20"/>
                <w:color w:val="auto"/>
              </w:rPr>
            </w:pPr>
            <w:r>
              <w:rPr>
                <w:rFonts w:ascii="Arial" w:cs="Arial" w:eastAsia="Arial" w:hAnsi="Arial"/>
                <w:sz w:val="18"/>
                <w:szCs w:val="18"/>
                <w:color w:val="auto"/>
              </w:rPr>
              <w:t>9,370</w:t>
            </w:r>
          </w:p>
        </w:tc>
        <w:tc>
          <w:tcPr>
            <w:tcW w:w="20" w:type="dxa"/>
            <w:vAlign w:val="bottom"/>
            <w:tcBorders>
              <w:bottom w:val="single" w:sz="8" w:color="E5E5E5"/>
            </w:tcBorders>
            <w:shd w:val="clear" w:color="auto" w:fill="E5E5E5"/>
          </w:tcPr>
          <w:p>
            <w:pPr>
              <w:spacing w:after="0"/>
              <w:rPr>
                <w:sz w:val="19"/>
                <w:szCs w:val="19"/>
                <w:color w:val="auto"/>
              </w:rPr>
            </w:pPr>
          </w:p>
        </w:tc>
        <w:tc>
          <w:tcPr>
            <w:tcW w:w="1340" w:type="dxa"/>
            <w:vAlign w:val="bottom"/>
            <w:tcBorders>
              <w:bottom w:val="single" w:sz="8" w:color="002060"/>
            </w:tcBorders>
            <w:shd w:val="clear" w:color="auto" w:fill="E5E5E5"/>
          </w:tcPr>
          <w:p>
            <w:pPr>
              <w:jc w:val="right"/>
              <w:ind w:right="76"/>
              <w:spacing w:after="0"/>
              <w:rPr>
                <w:sz w:val="20"/>
                <w:szCs w:val="20"/>
                <w:color w:val="auto"/>
              </w:rPr>
            </w:pPr>
            <w:r>
              <w:rPr>
                <w:rFonts w:ascii="Arial" w:cs="Arial" w:eastAsia="Arial" w:hAnsi="Arial"/>
                <w:sz w:val="18"/>
                <w:szCs w:val="18"/>
                <w:color w:val="auto"/>
              </w:rPr>
              <w:t>964,923</w:t>
            </w:r>
          </w:p>
        </w:tc>
        <w:tc>
          <w:tcPr>
            <w:tcW w:w="20" w:type="dxa"/>
            <w:vAlign w:val="bottom"/>
            <w:tcBorders>
              <w:bottom w:val="single" w:sz="8" w:color="E5E5E5"/>
            </w:tcBorders>
            <w:shd w:val="clear" w:color="auto" w:fill="E5E5E5"/>
          </w:tcPr>
          <w:p>
            <w:pPr>
              <w:spacing w:after="0"/>
              <w:rPr>
                <w:sz w:val="19"/>
                <w:szCs w:val="19"/>
                <w:color w:val="auto"/>
              </w:rPr>
            </w:pPr>
          </w:p>
        </w:tc>
        <w:tc>
          <w:tcPr>
            <w:tcW w:w="1060" w:type="dxa"/>
            <w:vAlign w:val="bottom"/>
            <w:tcBorders>
              <w:bottom w:val="single" w:sz="8" w:color="002060"/>
            </w:tcBorders>
            <w:shd w:val="clear" w:color="auto" w:fill="E5E5E5"/>
          </w:tcPr>
          <w:p>
            <w:pPr>
              <w:jc w:val="right"/>
              <w:ind w:right="74"/>
              <w:spacing w:after="0"/>
              <w:rPr>
                <w:sz w:val="20"/>
                <w:szCs w:val="20"/>
                <w:color w:val="auto"/>
              </w:rPr>
            </w:pPr>
            <w:r>
              <w:rPr>
                <w:rFonts w:ascii="Arial" w:cs="Arial" w:eastAsia="Arial" w:hAnsi="Arial"/>
                <w:sz w:val="18"/>
                <w:szCs w:val="18"/>
                <w:color w:val="auto"/>
              </w:rPr>
              <w:t>10,551</w:t>
            </w:r>
          </w:p>
        </w:tc>
        <w:tc>
          <w:tcPr>
            <w:tcW w:w="20" w:type="dxa"/>
            <w:vAlign w:val="bottom"/>
            <w:tcBorders>
              <w:bottom w:val="single" w:sz="8" w:color="E5E5E5"/>
            </w:tcBorders>
            <w:shd w:val="clear" w:color="auto" w:fill="E5E5E5"/>
          </w:tcPr>
          <w:p>
            <w:pPr>
              <w:spacing w:after="0"/>
              <w:rPr>
                <w:sz w:val="19"/>
                <w:szCs w:val="19"/>
                <w:color w:val="auto"/>
              </w:rPr>
            </w:pPr>
          </w:p>
        </w:tc>
        <w:tc>
          <w:tcPr>
            <w:tcW w:w="1340" w:type="dxa"/>
            <w:vAlign w:val="bottom"/>
            <w:tcBorders>
              <w:bottom w:val="single" w:sz="8" w:color="002060"/>
            </w:tcBorders>
            <w:shd w:val="clear" w:color="auto" w:fill="E5E5E5"/>
          </w:tcPr>
          <w:p>
            <w:pPr>
              <w:jc w:val="right"/>
              <w:ind w:right="95"/>
              <w:spacing w:after="0"/>
              <w:rPr>
                <w:sz w:val="20"/>
                <w:szCs w:val="20"/>
                <w:color w:val="auto"/>
              </w:rPr>
            </w:pPr>
            <w:r>
              <w:rPr>
                <w:rFonts w:ascii="Arial" w:cs="Arial" w:eastAsia="Arial" w:hAnsi="Arial"/>
                <w:sz w:val="18"/>
                <w:szCs w:val="18"/>
                <w:color w:val="auto"/>
              </w:rPr>
              <w:t>1,158,078</w:t>
            </w:r>
          </w:p>
        </w:tc>
        <w:tc>
          <w:tcPr>
            <w:tcW w:w="0" w:type="dxa"/>
            <w:vAlign w:val="bottom"/>
          </w:tcPr>
          <w:p>
            <w:pPr>
              <w:spacing w:after="0"/>
              <w:rPr>
                <w:sz w:val="1"/>
                <w:szCs w:val="1"/>
                <w:color w:val="auto"/>
              </w:rPr>
            </w:pPr>
          </w:p>
        </w:tc>
      </w:tr>
      <w:tr>
        <w:trPr>
          <w:trHeight w:val="243"/>
        </w:trPr>
        <w:tc>
          <w:tcPr>
            <w:tcW w:w="616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Jay P. Elliott</w:t>
            </w:r>
          </w:p>
        </w:tc>
        <w:tc>
          <w:tcPr>
            <w:tcW w:w="1060" w:type="dxa"/>
            <w:vAlign w:val="bottom"/>
            <w:tcBorders>
              <w:bottom w:val="single" w:sz="8" w:color="002060"/>
            </w:tcBorders>
            <w:shd w:val="clear" w:color="auto" w:fill="E5E5E5"/>
          </w:tcPr>
          <w:p>
            <w:pPr>
              <w:jc w:val="right"/>
              <w:ind w:right="74"/>
              <w:spacing w:after="0"/>
              <w:rPr>
                <w:sz w:val="20"/>
                <w:szCs w:val="20"/>
                <w:color w:val="auto"/>
              </w:rPr>
            </w:pPr>
            <w:r>
              <w:rPr>
                <w:rFonts w:ascii="Arial" w:cs="Arial" w:eastAsia="Arial" w:hAnsi="Arial"/>
                <w:sz w:val="18"/>
                <w:szCs w:val="18"/>
                <w:color w:val="auto"/>
              </w:rPr>
              <w:t>9,710</w:t>
            </w:r>
          </w:p>
        </w:tc>
        <w:tc>
          <w:tcPr>
            <w:tcW w:w="20" w:type="dxa"/>
            <w:vAlign w:val="bottom"/>
            <w:tcBorders>
              <w:bottom w:val="single" w:sz="8" w:color="E5E5E5"/>
            </w:tcBorders>
            <w:shd w:val="clear" w:color="auto" w:fill="E5E5E5"/>
          </w:tcPr>
          <w:p>
            <w:pPr>
              <w:spacing w:after="0"/>
              <w:rPr>
                <w:sz w:val="21"/>
                <w:szCs w:val="21"/>
                <w:color w:val="auto"/>
              </w:rPr>
            </w:pPr>
          </w:p>
        </w:tc>
        <w:tc>
          <w:tcPr>
            <w:tcW w:w="1340" w:type="dxa"/>
            <w:vAlign w:val="bottom"/>
            <w:tcBorders>
              <w:bottom w:val="single" w:sz="8" w:color="002060"/>
            </w:tcBorders>
            <w:shd w:val="clear" w:color="auto" w:fill="E5E5E5"/>
          </w:tcPr>
          <w:p>
            <w:pPr>
              <w:jc w:val="right"/>
              <w:ind w:right="76"/>
              <w:spacing w:after="0"/>
              <w:rPr>
                <w:sz w:val="20"/>
                <w:szCs w:val="20"/>
                <w:color w:val="auto"/>
              </w:rPr>
            </w:pPr>
            <w:r>
              <w:rPr>
                <w:rFonts w:ascii="Arial" w:cs="Arial" w:eastAsia="Arial" w:hAnsi="Arial"/>
                <w:sz w:val="18"/>
                <w:szCs w:val="18"/>
                <w:color w:val="auto"/>
              </w:rPr>
              <w:t>999,936</w:t>
            </w:r>
          </w:p>
        </w:tc>
        <w:tc>
          <w:tcPr>
            <w:tcW w:w="20" w:type="dxa"/>
            <w:vAlign w:val="bottom"/>
            <w:tcBorders>
              <w:bottom w:val="single" w:sz="8" w:color="E5E5E5"/>
            </w:tcBorders>
            <w:shd w:val="clear" w:color="auto" w:fill="E5E5E5"/>
          </w:tcPr>
          <w:p>
            <w:pPr>
              <w:spacing w:after="0"/>
              <w:rPr>
                <w:sz w:val="21"/>
                <w:szCs w:val="21"/>
                <w:color w:val="auto"/>
              </w:rPr>
            </w:pPr>
          </w:p>
        </w:tc>
        <w:tc>
          <w:tcPr>
            <w:tcW w:w="1060" w:type="dxa"/>
            <w:vAlign w:val="bottom"/>
            <w:tcBorders>
              <w:bottom w:val="single" w:sz="8" w:color="002060"/>
            </w:tcBorders>
            <w:shd w:val="clear" w:color="auto" w:fill="E5E5E5"/>
          </w:tcPr>
          <w:p>
            <w:pPr>
              <w:jc w:val="right"/>
              <w:ind w:right="74"/>
              <w:spacing w:after="0"/>
              <w:rPr>
                <w:sz w:val="20"/>
                <w:szCs w:val="20"/>
                <w:color w:val="auto"/>
              </w:rPr>
            </w:pPr>
            <w:r>
              <w:rPr>
                <w:rFonts w:ascii="Arial" w:cs="Arial" w:eastAsia="Arial" w:hAnsi="Arial"/>
                <w:sz w:val="18"/>
                <w:szCs w:val="18"/>
                <w:color w:val="auto"/>
              </w:rPr>
              <w:t>10,933</w:t>
            </w:r>
          </w:p>
        </w:tc>
        <w:tc>
          <w:tcPr>
            <w:tcW w:w="20" w:type="dxa"/>
            <w:vAlign w:val="bottom"/>
            <w:tcBorders>
              <w:bottom w:val="single" w:sz="8" w:color="E5E5E5"/>
            </w:tcBorders>
            <w:shd w:val="clear" w:color="auto" w:fill="E5E5E5"/>
          </w:tcPr>
          <w:p>
            <w:pPr>
              <w:spacing w:after="0"/>
              <w:rPr>
                <w:sz w:val="21"/>
                <w:szCs w:val="21"/>
                <w:color w:val="auto"/>
              </w:rPr>
            </w:pPr>
          </w:p>
        </w:tc>
        <w:tc>
          <w:tcPr>
            <w:tcW w:w="1340" w:type="dxa"/>
            <w:vAlign w:val="bottom"/>
            <w:tcBorders>
              <w:bottom w:val="single" w:sz="8" w:color="002060"/>
            </w:tcBorders>
            <w:shd w:val="clear" w:color="auto" w:fill="E5E5E5"/>
          </w:tcPr>
          <w:p>
            <w:pPr>
              <w:jc w:val="right"/>
              <w:ind w:right="95"/>
              <w:spacing w:after="0"/>
              <w:rPr>
                <w:sz w:val="20"/>
                <w:szCs w:val="20"/>
                <w:color w:val="auto"/>
              </w:rPr>
            </w:pPr>
            <w:r>
              <w:rPr>
                <w:rFonts w:ascii="Arial" w:cs="Arial" w:eastAsia="Arial" w:hAnsi="Arial"/>
                <w:sz w:val="18"/>
                <w:szCs w:val="18"/>
                <w:color w:val="auto"/>
              </w:rPr>
              <w:t>1,200,006</w:t>
            </w:r>
          </w:p>
        </w:tc>
        <w:tc>
          <w:tcPr>
            <w:tcW w:w="0" w:type="dxa"/>
            <w:vAlign w:val="bottom"/>
          </w:tcPr>
          <w:p>
            <w:pPr>
              <w:spacing w:after="0"/>
              <w:rPr>
                <w:sz w:val="1"/>
                <w:szCs w:val="1"/>
                <w:color w:val="auto"/>
              </w:rPr>
            </w:pPr>
          </w:p>
        </w:tc>
      </w:tr>
      <w:tr>
        <w:trPr>
          <w:trHeight w:val="203"/>
        </w:trPr>
        <w:tc>
          <w:tcPr>
            <w:tcW w:w="6160" w:type="dxa"/>
            <w:vAlign w:val="bottom"/>
            <w:tcBorders>
              <w:bottom w:val="single" w:sz="8" w:color="002060"/>
            </w:tcBorders>
          </w:tcPr>
          <w:p>
            <w:pPr>
              <w:ind w:left="80"/>
              <w:spacing w:after="0" w:line="203" w:lineRule="exact"/>
              <w:rPr>
                <w:sz w:val="20"/>
                <w:szCs w:val="20"/>
                <w:color w:val="auto"/>
              </w:rPr>
            </w:pPr>
            <w:r>
              <w:rPr>
                <w:rFonts w:ascii="Arial" w:cs="Arial" w:eastAsia="Arial" w:hAnsi="Arial"/>
                <w:sz w:val="18"/>
                <w:szCs w:val="18"/>
                <w:color w:val="auto"/>
              </w:rPr>
              <w:t>W. Jeffrey Hire</w:t>
            </w:r>
          </w:p>
        </w:tc>
        <w:tc>
          <w:tcPr>
            <w:tcW w:w="1060" w:type="dxa"/>
            <w:vAlign w:val="bottom"/>
            <w:tcBorders>
              <w:top w:val="single" w:sz="8" w:color="E5E5E5"/>
              <w:bottom w:val="single" w:sz="8" w:color="002060"/>
            </w:tcBorders>
            <w:shd w:val="clear" w:color="auto" w:fill="E5E5E5"/>
          </w:tcPr>
          <w:p>
            <w:pPr>
              <w:jc w:val="right"/>
              <w:ind w:right="74"/>
              <w:spacing w:after="0" w:line="203" w:lineRule="exact"/>
              <w:rPr>
                <w:sz w:val="20"/>
                <w:szCs w:val="20"/>
                <w:color w:val="auto"/>
              </w:rPr>
            </w:pPr>
            <w:r>
              <w:rPr>
                <w:rFonts w:ascii="Arial" w:cs="Arial" w:eastAsia="Arial" w:hAnsi="Arial"/>
                <w:sz w:val="18"/>
                <w:szCs w:val="18"/>
                <w:color w:val="auto"/>
              </w:rPr>
              <w:t>1,942</w:t>
            </w:r>
          </w:p>
        </w:tc>
        <w:tc>
          <w:tcPr>
            <w:tcW w:w="20" w:type="dxa"/>
            <w:vAlign w:val="bottom"/>
            <w:tcBorders>
              <w:top w:val="single" w:sz="8" w:color="E5E5E5"/>
              <w:bottom w:val="single" w:sz="8" w:color="E5E5E5"/>
            </w:tcBorders>
            <w:shd w:val="clear" w:color="auto" w:fill="E5E5E5"/>
          </w:tcPr>
          <w:p>
            <w:pPr>
              <w:spacing w:after="0"/>
              <w:rPr>
                <w:sz w:val="17"/>
                <w:szCs w:val="17"/>
                <w:color w:val="auto"/>
              </w:rPr>
            </w:pPr>
          </w:p>
        </w:tc>
        <w:tc>
          <w:tcPr>
            <w:tcW w:w="1340" w:type="dxa"/>
            <w:vAlign w:val="bottom"/>
            <w:tcBorders>
              <w:top w:val="single" w:sz="8" w:color="E5E5E5"/>
              <w:bottom w:val="single" w:sz="8" w:color="002060"/>
            </w:tcBorders>
            <w:shd w:val="clear" w:color="auto" w:fill="E5E5E5"/>
          </w:tcPr>
          <w:p>
            <w:pPr>
              <w:jc w:val="right"/>
              <w:ind w:right="76"/>
              <w:spacing w:after="0" w:line="203" w:lineRule="exact"/>
              <w:rPr>
                <w:sz w:val="20"/>
                <w:szCs w:val="20"/>
                <w:color w:val="auto"/>
              </w:rPr>
            </w:pPr>
            <w:r>
              <w:rPr>
                <w:rFonts w:ascii="Arial" w:cs="Arial" w:eastAsia="Arial" w:hAnsi="Arial"/>
                <w:sz w:val="18"/>
                <w:szCs w:val="18"/>
                <w:color w:val="auto"/>
              </w:rPr>
              <w:t>199,987</w:t>
            </w:r>
          </w:p>
        </w:tc>
        <w:tc>
          <w:tcPr>
            <w:tcW w:w="20" w:type="dxa"/>
            <w:vAlign w:val="bottom"/>
            <w:tcBorders>
              <w:top w:val="single" w:sz="8" w:color="E5E5E5"/>
              <w:bottom w:val="single" w:sz="8" w:color="E5E5E5"/>
            </w:tcBorders>
            <w:shd w:val="clear" w:color="auto" w:fill="E5E5E5"/>
          </w:tcPr>
          <w:p>
            <w:pPr>
              <w:spacing w:after="0"/>
              <w:rPr>
                <w:sz w:val="17"/>
                <w:szCs w:val="17"/>
                <w:color w:val="auto"/>
              </w:rPr>
            </w:pPr>
          </w:p>
        </w:tc>
        <w:tc>
          <w:tcPr>
            <w:tcW w:w="1060" w:type="dxa"/>
            <w:vAlign w:val="bottom"/>
            <w:tcBorders>
              <w:top w:val="single" w:sz="8" w:color="E5E5E5"/>
              <w:bottom w:val="single" w:sz="8" w:color="002060"/>
            </w:tcBorders>
            <w:shd w:val="clear" w:color="auto" w:fill="E5E5E5"/>
          </w:tcPr>
          <w:p>
            <w:pPr>
              <w:jc w:val="right"/>
              <w:ind w:right="74"/>
              <w:spacing w:after="0" w:line="203" w:lineRule="exact"/>
              <w:rPr>
                <w:sz w:val="20"/>
                <w:szCs w:val="20"/>
                <w:color w:val="auto"/>
              </w:rPr>
            </w:pPr>
            <w:r>
              <w:rPr>
                <w:rFonts w:ascii="Arial" w:cs="Arial" w:eastAsia="Arial" w:hAnsi="Arial"/>
                <w:sz w:val="18"/>
                <w:szCs w:val="18"/>
                <w:color w:val="auto"/>
              </w:rPr>
              <w:t>2,187</w:t>
            </w:r>
          </w:p>
        </w:tc>
        <w:tc>
          <w:tcPr>
            <w:tcW w:w="20" w:type="dxa"/>
            <w:vAlign w:val="bottom"/>
            <w:tcBorders>
              <w:top w:val="single" w:sz="8" w:color="E5E5E5"/>
              <w:bottom w:val="single" w:sz="8" w:color="E5E5E5"/>
            </w:tcBorders>
            <w:shd w:val="clear" w:color="auto" w:fill="E5E5E5"/>
          </w:tcPr>
          <w:p>
            <w:pPr>
              <w:spacing w:after="0"/>
              <w:rPr>
                <w:sz w:val="17"/>
                <w:szCs w:val="17"/>
                <w:color w:val="auto"/>
              </w:rPr>
            </w:pPr>
          </w:p>
        </w:tc>
        <w:tc>
          <w:tcPr>
            <w:tcW w:w="1340" w:type="dxa"/>
            <w:vAlign w:val="bottom"/>
            <w:tcBorders>
              <w:top w:val="single" w:sz="8" w:color="002060"/>
              <w:bottom w:val="single" w:sz="8" w:color="002060"/>
            </w:tcBorders>
            <w:shd w:val="clear" w:color="auto" w:fill="E5E5E5"/>
          </w:tcPr>
          <w:p>
            <w:pPr>
              <w:jc w:val="right"/>
              <w:ind w:right="95"/>
              <w:spacing w:after="0" w:line="203" w:lineRule="exact"/>
              <w:rPr>
                <w:sz w:val="20"/>
                <w:szCs w:val="20"/>
                <w:color w:val="auto"/>
              </w:rPr>
            </w:pPr>
            <w:r>
              <w:rPr>
                <w:rFonts w:ascii="Arial" w:cs="Arial" w:eastAsia="Arial" w:hAnsi="Arial"/>
                <w:sz w:val="18"/>
                <w:szCs w:val="18"/>
                <w:color w:val="auto"/>
              </w:rPr>
              <w:t>240,045</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Jason R. Niswonger</w:t>
            </w:r>
          </w:p>
        </w:tc>
        <w:tc>
          <w:tcPr>
            <w:tcW w:w="1060" w:type="dxa"/>
            <w:vAlign w:val="bottom"/>
            <w:tcBorders>
              <w:bottom w:val="single" w:sz="8" w:color="002060"/>
            </w:tcBorders>
            <w:shd w:val="clear" w:color="auto" w:fill="E5E5E5"/>
          </w:tcPr>
          <w:p>
            <w:pPr>
              <w:jc w:val="right"/>
              <w:ind w:right="74"/>
              <w:spacing w:after="0"/>
              <w:rPr>
                <w:sz w:val="20"/>
                <w:szCs w:val="20"/>
                <w:color w:val="auto"/>
              </w:rPr>
            </w:pPr>
            <w:r>
              <w:rPr>
                <w:rFonts w:ascii="Arial" w:cs="Arial" w:eastAsia="Arial" w:hAnsi="Arial"/>
                <w:sz w:val="18"/>
                <w:szCs w:val="18"/>
                <w:color w:val="auto"/>
              </w:rPr>
              <w:t>2,718</w:t>
            </w:r>
          </w:p>
        </w:tc>
        <w:tc>
          <w:tcPr>
            <w:tcW w:w="20" w:type="dxa"/>
            <w:vAlign w:val="bottom"/>
            <w:tcBorders>
              <w:bottom w:val="single" w:sz="8" w:color="002060"/>
            </w:tcBorders>
            <w:shd w:val="clear" w:color="auto" w:fill="E5E5E5"/>
          </w:tcPr>
          <w:p>
            <w:pPr>
              <w:spacing w:after="0"/>
              <w:rPr>
                <w:sz w:val="20"/>
                <w:szCs w:val="20"/>
                <w:color w:val="auto"/>
              </w:rPr>
            </w:pPr>
          </w:p>
        </w:tc>
        <w:tc>
          <w:tcPr>
            <w:tcW w:w="1340" w:type="dxa"/>
            <w:vAlign w:val="bottom"/>
            <w:tcBorders>
              <w:bottom w:val="single" w:sz="8" w:color="002060"/>
            </w:tcBorders>
            <w:shd w:val="clear" w:color="auto" w:fill="E5E5E5"/>
          </w:tcPr>
          <w:p>
            <w:pPr>
              <w:jc w:val="right"/>
              <w:ind w:right="76"/>
              <w:spacing w:after="0"/>
              <w:rPr>
                <w:sz w:val="20"/>
                <w:szCs w:val="20"/>
                <w:color w:val="auto"/>
              </w:rPr>
            </w:pPr>
            <w:r>
              <w:rPr>
                <w:rFonts w:ascii="Arial" w:cs="Arial" w:eastAsia="Arial" w:hAnsi="Arial"/>
                <w:sz w:val="18"/>
                <w:szCs w:val="18"/>
                <w:color w:val="auto"/>
              </w:rPr>
              <w:t>279,900</w:t>
            </w:r>
          </w:p>
        </w:tc>
        <w:tc>
          <w:tcPr>
            <w:tcW w:w="20" w:type="dxa"/>
            <w:vAlign w:val="bottom"/>
            <w:tcBorders>
              <w:bottom w:val="single" w:sz="8" w:color="002060"/>
            </w:tcBorders>
            <w:shd w:val="clear" w:color="auto" w:fill="E5E5E5"/>
          </w:tcPr>
          <w:p>
            <w:pPr>
              <w:spacing w:after="0"/>
              <w:rPr>
                <w:sz w:val="20"/>
                <w:szCs w:val="20"/>
                <w:color w:val="auto"/>
              </w:rPr>
            </w:pPr>
          </w:p>
        </w:tc>
        <w:tc>
          <w:tcPr>
            <w:tcW w:w="1060" w:type="dxa"/>
            <w:vAlign w:val="bottom"/>
            <w:tcBorders>
              <w:bottom w:val="single" w:sz="8" w:color="002060"/>
            </w:tcBorders>
            <w:shd w:val="clear" w:color="auto" w:fill="E5E5E5"/>
          </w:tcPr>
          <w:p>
            <w:pPr>
              <w:jc w:val="right"/>
              <w:ind w:right="74"/>
              <w:spacing w:after="0"/>
              <w:rPr>
                <w:sz w:val="20"/>
                <w:szCs w:val="20"/>
                <w:color w:val="auto"/>
              </w:rPr>
            </w:pPr>
            <w:r>
              <w:rPr>
                <w:rFonts w:ascii="Arial" w:cs="Arial" w:eastAsia="Arial" w:hAnsi="Arial"/>
                <w:sz w:val="18"/>
                <w:szCs w:val="18"/>
                <w:color w:val="auto"/>
              </w:rPr>
              <w:t>3,060</w:t>
            </w:r>
          </w:p>
        </w:tc>
        <w:tc>
          <w:tcPr>
            <w:tcW w:w="20" w:type="dxa"/>
            <w:vAlign w:val="bottom"/>
            <w:tcBorders>
              <w:bottom w:val="single" w:sz="8" w:color="002060"/>
            </w:tcBorders>
            <w:shd w:val="clear" w:color="auto" w:fill="E5E5E5"/>
          </w:tcPr>
          <w:p>
            <w:pPr>
              <w:spacing w:after="0"/>
              <w:rPr>
                <w:sz w:val="20"/>
                <w:szCs w:val="20"/>
                <w:color w:val="auto"/>
              </w:rPr>
            </w:pPr>
          </w:p>
        </w:tc>
        <w:tc>
          <w:tcPr>
            <w:tcW w:w="1340" w:type="dxa"/>
            <w:vAlign w:val="bottom"/>
            <w:tcBorders>
              <w:bottom w:val="single" w:sz="8" w:color="002060"/>
            </w:tcBorders>
            <w:shd w:val="clear" w:color="auto" w:fill="E5E5E5"/>
          </w:tcPr>
          <w:p>
            <w:pPr>
              <w:jc w:val="right"/>
              <w:ind w:right="95"/>
              <w:spacing w:after="0"/>
              <w:rPr>
                <w:sz w:val="20"/>
                <w:szCs w:val="20"/>
                <w:color w:val="auto"/>
              </w:rPr>
            </w:pPr>
            <w:r>
              <w:rPr>
                <w:rFonts w:ascii="Arial" w:cs="Arial" w:eastAsia="Arial" w:hAnsi="Arial"/>
                <w:sz w:val="18"/>
                <w:szCs w:val="18"/>
                <w:color w:val="auto"/>
              </w:rPr>
              <w:t>335,866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-779780</wp:posOffset>
            </wp:positionV>
            <wp:extent cx="8890" cy="7632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76327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-796290</wp:posOffset>
            </wp:positionV>
            <wp:extent cx="17145" cy="7969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145" cy="79692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-796290</wp:posOffset>
            </wp:positionV>
            <wp:extent cx="17145" cy="7969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145" cy="79692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-796290</wp:posOffset>
            </wp:positionV>
            <wp:extent cx="17145" cy="7969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145" cy="796925"/>
                    </a:xfrm>
                    <a:prstGeom prst="rect">
                      <a:avLst/>
                    </a:prstGeom>
                    <a:noFill/>
                  </pic:spPr>
                </pic:pic>
              </a:graphicData>
            </a:graphic>
          </wp:anchor>
        </w:drawing>
      </w:r>
    </w:p>
    <w:p>
      <w:pPr>
        <w:spacing w:after="0" w:line="83" w:lineRule="exact"/>
        <w:rPr>
          <w:sz w:val="20"/>
          <w:szCs w:val="20"/>
          <w:color w:val="auto"/>
        </w:rPr>
      </w:pPr>
    </w:p>
    <w:p>
      <w:pPr>
        <w:ind w:left="660" w:right="300" w:hanging="436"/>
        <w:spacing w:after="0" w:line="27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grant date fair value was determined by multiplying the closing price of the Company’s common stock on February 22, 2022 ($102.98) by the number of target shares.</w:t>
      </w:r>
    </w:p>
    <w:p>
      <w:pPr>
        <w:spacing w:after="0" w:line="59" w:lineRule="exact"/>
        <w:rPr>
          <w:rFonts w:ascii="Arial" w:cs="Arial" w:eastAsia="Arial" w:hAnsi="Arial"/>
          <w:sz w:val="18"/>
          <w:szCs w:val="18"/>
          <w:color w:val="auto"/>
        </w:rPr>
      </w:pPr>
    </w:p>
    <w:p>
      <w:pPr>
        <w:ind w:left="660" w:hanging="43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earned fair value was determined by multiplying the closing price of the Company’s common stock on February 17, 2023</w:t>
      </w:r>
    </w:p>
    <w:p>
      <w:pPr>
        <w:spacing w:after="0" w:line="13" w:lineRule="exact"/>
        <w:rPr>
          <w:rFonts w:ascii="Arial" w:cs="Arial" w:eastAsia="Arial" w:hAnsi="Arial"/>
          <w:sz w:val="18"/>
          <w:szCs w:val="18"/>
          <w:color w:val="auto"/>
        </w:rPr>
      </w:pPr>
    </w:p>
    <w:p>
      <w:pPr>
        <w:ind w:left="660" w:right="60"/>
        <w:spacing w:after="0" w:line="242" w:lineRule="auto"/>
        <w:rPr>
          <w:rFonts w:ascii="Arial" w:cs="Arial" w:eastAsia="Arial" w:hAnsi="Arial"/>
          <w:sz w:val="18"/>
          <w:szCs w:val="18"/>
          <w:color w:val="auto"/>
        </w:rPr>
      </w:pPr>
      <w:r>
        <w:rPr>
          <w:rFonts w:ascii="Arial" w:cs="Arial" w:eastAsia="Arial" w:hAnsi="Arial"/>
          <w:sz w:val="18"/>
          <w:szCs w:val="18"/>
          <w:color w:val="auto"/>
        </w:rPr>
        <w:t>($109.76) (the date the performance metric was determined to be achieved) by the number of shares awarded. The restricted stock that is earned vests in equal installments over two years (subject to continued employment). The actual value on the vesting date will be based on the closing price of the Company’s common stock on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282575" cy="2654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205" w:lineRule="exact"/>
        <w:rPr>
          <w:sz w:val="20"/>
          <w:szCs w:val="20"/>
          <w:color w:val="auto"/>
        </w:rPr>
      </w:pPr>
    </w:p>
    <w:p>
      <w:pPr>
        <w:ind w:left="240"/>
        <w:spacing w:after="0"/>
        <w:tabs>
          <w:tab w:leader="none" w:pos="660" w:val="left"/>
          <w:tab w:leader="none" w:pos="8280" w:val="left"/>
        </w:tabs>
        <w:rPr>
          <w:sz w:val="20"/>
          <w:szCs w:val="20"/>
          <w:color w:val="auto"/>
        </w:rPr>
      </w:pPr>
      <w:r>
        <w:rPr>
          <w:rFonts w:ascii="Arial" w:cs="Arial" w:eastAsia="Arial" w:hAnsi="Arial"/>
          <w:sz w:val="16"/>
          <w:szCs w:val="16"/>
          <w:color w:val="FFFFFF"/>
        </w:rPr>
        <w:t>62</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Compensation Discussion and Analysis</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Compensation Changes after December 31, 2022</w:t>
      </w:r>
    </w:p>
    <w:p>
      <w:pPr>
        <w:spacing w:after="0" w:line="185"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i w:val="1"/>
          <w:iCs w:val="1"/>
          <w:u w:val="single" w:color="auto"/>
          <w:color w:val="auto"/>
        </w:rPr>
        <w:t>2023 Base Salary Increases</w:t>
      </w:r>
      <w:r>
        <w:rPr>
          <w:rFonts w:ascii="Arial" w:cs="Arial" w:eastAsia="Arial" w:hAnsi="Arial"/>
          <w:sz w:val="18"/>
          <w:szCs w:val="18"/>
          <w:color w:val="auto"/>
        </w:rPr>
        <w:t>. The Compensation and Human Capital Committee made the following adjustments to the base salaries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named executive officers, effective April 1, 2023, to more closely align the compensation of our executives with those of our peers and taking into account a reorganization of responsibilities within the NEO group:</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6600" w:type="dxa"/>
            <w:vAlign w:val="bottom"/>
          </w:tcPr>
          <w:p>
            <w:pPr>
              <w:spacing w:after="0"/>
              <w:rPr>
                <w:sz w:val="18"/>
                <w:szCs w:val="18"/>
                <w:color w:val="auto"/>
              </w:rPr>
            </w:pPr>
          </w:p>
        </w:tc>
        <w:tc>
          <w:tcPr>
            <w:tcW w:w="1420" w:type="dxa"/>
            <w:vAlign w:val="bottom"/>
            <w:gridSpan w:val="2"/>
            <w:shd w:val="clear" w:color="auto" w:fill="E5E5E5"/>
          </w:tcPr>
          <w:p>
            <w:pPr>
              <w:jc w:val="center"/>
              <w:ind w:right="20"/>
              <w:spacing w:after="0"/>
              <w:rPr>
                <w:sz w:val="20"/>
                <w:szCs w:val="20"/>
                <w:color w:val="auto"/>
              </w:rPr>
            </w:pPr>
            <w:r>
              <w:rPr>
                <w:rFonts w:ascii="Arial" w:cs="Arial" w:eastAsia="Arial" w:hAnsi="Arial"/>
                <w:sz w:val="16"/>
                <w:szCs w:val="16"/>
                <w:b w:val="1"/>
                <w:bCs w:val="1"/>
                <w:color w:val="002060"/>
              </w:rPr>
              <w:t>2022 Base</w:t>
            </w:r>
          </w:p>
        </w:tc>
        <w:tc>
          <w:tcPr>
            <w:tcW w:w="144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2023 Base</w:t>
            </w:r>
          </w:p>
        </w:tc>
        <w:tc>
          <w:tcPr>
            <w:tcW w:w="76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r>
      <w:tr>
        <w:trPr>
          <w:trHeight w:val="189"/>
        </w:trPr>
        <w:tc>
          <w:tcPr>
            <w:tcW w:w="6600" w:type="dxa"/>
            <w:vAlign w:val="bottom"/>
          </w:tcPr>
          <w:p>
            <w:pPr>
              <w:spacing w:after="0"/>
              <w:rPr>
                <w:sz w:val="16"/>
                <w:szCs w:val="16"/>
                <w:color w:val="auto"/>
              </w:rPr>
            </w:pPr>
          </w:p>
        </w:tc>
        <w:tc>
          <w:tcPr>
            <w:tcW w:w="1420" w:type="dxa"/>
            <w:vAlign w:val="bottom"/>
            <w:gridSpan w:val="2"/>
            <w:shd w:val="clear" w:color="auto" w:fill="E5E5E5"/>
          </w:tcPr>
          <w:p>
            <w:pPr>
              <w:jc w:val="center"/>
              <w:ind w:right="20"/>
              <w:spacing w:after="0"/>
              <w:rPr>
                <w:sz w:val="20"/>
                <w:szCs w:val="20"/>
                <w:color w:val="auto"/>
              </w:rPr>
            </w:pPr>
            <w:r>
              <w:rPr>
                <w:rFonts w:ascii="Arial" w:cs="Arial" w:eastAsia="Arial" w:hAnsi="Arial"/>
                <w:sz w:val="16"/>
                <w:szCs w:val="16"/>
                <w:b w:val="1"/>
                <w:bCs w:val="1"/>
                <w:color w:val="002060"/>
                <w:w w:val="99"/>
              </w:rPr>
              <w:t>Salary</w:t>
            </w:r>
          </w:p>
        </w:tc>
        <w:tc>
          <w:tcPr>
            <w:tcW w:w="144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w w:val="99"/>
              </w:rPr>
              <w:t>Salary</w:t>
            </w:r>
          </w:p>
        </w:tc>
        <w:tc>
          <w:tcPr>
            <w:tcW w:w="800" w:type="dxa"/>
            <w:vAlign w:val="bottom"/>
            <w:gridSpan w:val="2"/>
            <w:shd w:val="clear" w:color="auto" w:fill="E5E5E5"/>
          </w:tcPr>
          <w:p>
            <w:pPr>
              <w:ind w:left="60"/>
              <w:spacing w:after="0"/>
              <w:rPr>
                <w:sz w:val="20"/>
                <w:szCs w:val="20"/>
                <w:color w:val="auto"/>
              </w:rPr>
            </w:pPr>
            <w:r>
              <w:rPr>
                <w:rFonts w:ascii="Arial" w:cs="Arial" w:eastAsia="Arial" w:hAnsi="Arial"/>
                <w:sz w:val="16"/>
                <w:szCs w:val="16"/>
                <w:b w:val="1"/>
                <w:bCs w:val="1"/>
                <w:color w:val="002060"/>
              </w:rPr>
              <w:t>Increase</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002060"/>
              </w:rPr>
              <w:t>Increase</w:t>
            </w:r>
          </w:p>
        </w:tc>
      </w:tr>
      <w:tr>
        <w:trPr>
          <w:trHeight w:val="224"/>
        </w:trPr>
        <w:tc>
          <w:tcPr>
            <w:tcW w:w="6600" w:type="dxa"/>
            <w:vAlign w:val="bottom"/>
            <w:tcBorders>
              <w:bottom w:val="single" w:sz="8" w:color="002060"/>
            </w:tcBorders>
          </w:tcPr>
          <w:p>
            <w:pPr>
              <w:spacing w:after="0"/>
              <w:rPr>
                <w:sz w:val="20"/>
                <w:szCs w:val="20"/>
                <w:color w:val="auto"/>
              </w:rPr>
            </w:pPr>
            <w:r>
              <w:rPr>
                <w:rFonts w:ascii="Arial" w:cs="Arial" w:eastAsia="Arial" w:hAnsi="Arial"/>
                <w:sz w:val="16"/>
                <w:szCs w:val="16"/>
                <w:b w:val="1"/>
                <w:bCs w:val="1"/>
                <w:color w:val="002060"/>
              </w:rPr>
              <w:t>Name</w:t>
            </w:r>
          </w:p>
        </w:tc>
        <w:tc>
          <w:tcPr>
            <w:tcW w:w="140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6"/>
                <w:szCs w:val="16"/>
                <w:b w:val="1"/>
                <w:bCs w:val="1"/>
                <w:color w:val="002060"/>
              </w:rPr>
              <w:t>($)</w:t>
            </w:r>
          </w:p>
        </w:tc>
        <w:tc>
          <w:tcPr>
            <w:tcW w:w="20" w:type="dxa"/>
            <w:vAlign w:val="bottom"/>
            <w:tcBorders>
              <w:bottom w:val="single" w:sz="8" w:color="002060"/>
            </w:tcBorders>
            <w:shd w:val="clear" w:color="auto" w:fill="E5E5E5"/>
          </w:tcPr>
          <w:p>
            <w:pPr>
              <w:spacing w:after="0"/>
              <w:rPr>
                <w:sz w:val="19"/>
                <w:szCs w:val="19"/>
                <w:color w:val="auto"/>
              </w:rPr>
            </w:pPr>
          </w:p>
        </w:tc>
        <w:tc>
          <w:tcPr>
            <w:tcW w:w="142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6"/>
                <w:szCs w:val="16"/>
                <w:b w:val="1"/>
                <w:bCs w:val="1"/>
                <w:color w:val="002060"/>
              </w:rPr>
              <w:t>($)</w:t>
            </w:r>
          </w:p>
        </w:tc>
        <w:tc>
          <w:tcPr>
            <w:tcW w:w="20" w:type="dxa"/>
            <w:vAlign w:val="bottom"/>
            <w:tcBorders>
              <w:bottom w:val="single" w:sz="8" w:color="002060"/>
            </w:tcBorders>
            <w:shd w:val="clear" w:color="auto" w:fill="E5E5E5"/>
          </w:tcPr>
          <w:p>
            <w:pPr>
              <w:spacing w:after="0"/>
              <w:rPr>
                <w:sz w:val="19"/>
                <w:szCs w:val="19"/>
                <w:color w:val="auto"/>
              </w:rPr>
            </w:pPr>
          </w:p>
        </w:tc>
        <w:tc>
          <w:tcPr>
            <w:tcW w:w="760" w:type="dxa"/>
            <w:vAlign w:val="bottom"/>
            <w:tcBorders>
              <w:bottom w:val="single" w:sz="8" w:color="002060"/>
            </w:tcBorders>
            <w:shd w:val="clear" w:color="auto" w:fill="E5E5E5"/>
          </w:tcPr>
          <w:p>
            <w:pPr>
              <w:jc w:val="right"/>
              <w:ind w:right="173"/>
              <w:spacing w:after="0"/>
              <w:rPr>
                <w:sz w:val="20"/>
                <w:szCs w:val="20"/>
                <w:color w:val="auto"/>
              </w:rPr>
            </w:pPr>
            <w:r>
              <w:rPr>
                <w:rFonts w:ascii="Arial" w:cs="Arial" w:eastAsia="Arial" w:hAnsi="Arial"/>
                <w:sz w:val="16"/>
                <w:szCs w:val="16"/>
                <w:b w:val="1"/>
                <w:bCs w:val="1"/>
                <w:color w:val="002060"/>
              </w:rPr>
              <w:t>($)</w:t>
            </w:r>
          </w:p>
        </w:tc>
        <w:tc>
          <w:tcPr>
            <w:tcW w:w="40" w:type="dxa"/>
            <w:vAlign w:val="bottom"/>
            <w:tcBorders>
              <w:bottom w:val="single" w:sz="8" w:color="002060"/>
            </w:tcBorders>
            <w:shd w:val="clear" w:color="auto" w:fill="E5E5E5"/>
          </w:tcPr>
          <w:p>
            <w:pPr>
              <w:spacing w:after="0"/>
              <w:rPr>
                <w:sz w:val="19"/>
                <w:szCs w:val="19"/>
                <w:color w:val="auto"/>
              </w:rPr>
            </w:pPr>
          </w:p>
        </w:tc>
        <w:tc>
          <w:tcPr>
            <w:tcW w:w="760" w:type="dxa"/>
            <w:vAlign w:val="bottom"/>
            <w:tcBorders>
              <w:bottom w:val="single" w:sz="8" w:color="002060"/>
            </w:tcBorders>
            <w:shd w:val="clear" w:color="auto" w:fill="E5E5E5"/>
          </w:tcPr>
          <w:p>
            <w:pPr>
              <w:jc w:val="right"/>
              <w:ind w:right="173"/>
              <w:spacing w:after="0"/>
              <w:rPr>
                <w:sz w:val="20"/>
                <w:szCs w:val="20"/>
                <w:color w:val="auto"/>
              </w:rPr>
            </w:pPr>
            <w:r>
              <w:rPr>
                <w:rFonts w:ascii="Arial" w:cs="Arial" w:eastAsia="Arial" w:hAnsi="Arial"/>
                <w:sz w:val="16"/>
                <w:szCs w:val="16"/>
                <w:b w:val="1"/>
                <w:bCs w:val="1"/>
                <w:color w:val="002060"/>
              </w:rPr>
              <w:t>(%)</w:t>
            </w:r>
          </w:p>
        </w:tc>
      </w:tr>
      <w:tr>
        <w:trPr>
          <w:trHeight w:val="202"/>
        </w:trPr>
        <w:tc>
          <w:tcPr>
            <w:tcW w:w="6600" w:type="dxa"/>
            <w:vAlign w:val="bottom"/>
            <w:tcBorders>
              <w:bottom w:val="single" w:sz="8" w:color="002060"/>
            </w:tcBorders>
          </w:tcPr>
          <w:p>
            <w:pPr>
              <w:ind w:left="100"/>
              <w:spacing w:after="0" w:line="202" w:lineRule="exact"/>
              <w:rPr>
                <w:sz w:val="20"/>
                <w:szCs w:val="20"/>
                <w:color w:val="auto"/>
              </w:rPr>
            </w:pPr>
            <w:r>
              <w:rPr>
                <w:rFonts w:ascii="Arial" w:cs="Arial" w:eastAsia="Arial" w:hAnsi="Arial"/>
                <w:sz w:val="18"/>
                <w:szCs w:val="18"/>
                <w:color w:val="auto"/>
              </w:rPr>
              <w:t>Jeffrey W. Edwards</w:t>
            </w:r>
          </w:p>
        </w:tc>
        <w:tc>
          <w:tcPr>
            <w:tcW w:w="1400" w:type="dxa"/>
            <w:vAlign w:val="bottom"/>
            <w:tcBorders>
              <w:bottom w:val="single" w:sz="8" w:color="002060"/>
            </w:tcBorders>
            <w:shd w:val="clear" w:color="auto" w:fill="E5E5E5"/>
          </w:tcPr>
          <w:p>
            <w:pPr>
              <w:jc w:val="right"/>
              <w:ind w:right="253"/>
              <w:spacing w:after="0" w:line="202" w:lineRule="exact"/>
              <w:rPr>
                <w:sz w:val="20"/>
                <w:szCs w:val="20"/>
                <w:color w:val="auto"/>
              </w:rPr>
            </w:pPr>
            <w:r>
              <w:rPr>
                <w:rFonts w:ascii="Arial" w:cs="Arial" w:eastAsia="Arial" w:hAnsi="Arial"/>
                <w:sz w:val="18"/>
                <w:szCs w:val="18"/>
                <w:color w:val="auto"/>
              </w:rPr>
              <w:t>800,000</w:t>
            </w:r>
          </w:p>
        </w:tc>
        <w:tc>
          <w:tcPr>
            <w:tcW w:w="20" w:type="dxa"/>
            <w:vAlign w:val="bottom"/>
            <w:tcBorders>
              <w:bottom w:val="single" w:sz="8" w:color="E5E5E5"/>
            </w:tcBorders>
            <w:shd w:val="clear" w:color="auto" w:fill="E5E5E5"/>
          </w:tcPr>
          <w:p>
            <w:pPr>
              <w:spacing w:after="0"/>
              <w:rPr>
                <w:sz w:val="17"/>
                <w:szCs w:val="17"/>
                <w:color w:val="auto"/>
              </w:rPr>
            </w:pPr>
          </w:p>
        </w:tc>
        <w:tc>
          <w:tcPr>
            <w:tcW w:w="1420" w:type="dxa"/>
            <w:vAlign w:val="bottom"/>
            <w:tcBorders>
              <w:bottom w:val="single" w:sz="8" w:color="002060"/>
            </w:tcBorders>
            <w:shd w:val="clear" w:color="auto" w:fill="E5E5E5"/>
          </w:tcPr>
          <w:p>
            <w:pPr>
              <w:jc w:val="right"/>
              <w:ind w:right="253"/>
              <w:spacing w:after="0" w:line="202" w:lineRule="exact"/>
              <w:rPr>
                <w:sz w:val="20"/>
                <w:szCs w:val="20"/>
                <w:color w:val="auto"/>
              </w:rPr>
            </w:pPr>
            <w:r>
              <w:rPr>
                <w:rFonts w:ascii="Arial" w:cs="Arial" w:eastAsia="Arial" w:hAnsi="Arial"/>
                <w:sz w:val="18"/>
                <w:szCs w:val="18"/>
                <w:color w:val="auto"/>
              </w:rPr>
              <w:t>840,000</w:t>
            </w:r>
          </w:p>
        </w:tc>
        <w:tc>
          <w:tcPr>
            <w:tcW w:w="20" w:type="dxa"/>
            <w:vAlign w:val="bottom"/>
            <w:tcBorders>
              <w:bottom w:val="single" w:sz="8" w:color="E5E5E5"/>
            </w:tcBorders>
            <w:shd w:val="clear" w:color="auto" w:fill="E5E5E5"/>
          </w:tcPr>
          <w:p>
            <w:pPr>
              <w:spacing w:after="0"/>
              <w:rPr>
                <w:sz w:val="17"/>
                <w:szCs w:val="17"/>
                <w:color w:val="auto"/>
              </w:rPr>
            </w:pPr>
          </w:p>
        </w:tc>
        <w:tc>
          <w:tcPr>
            <w:tcW w:w="760" w:type="dxa"/>
            <w:vAlign w:val="bottom"/>
            <w:tcBorders>
              <w:bottom w:val="single" w:sz="8" w:color="002060"/>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40,000</w:t>
            </w:r>
          </w:p>
        </w:tc>
        <w:tc>
          <w:tcPr>
            <w:tcW w:w="40" w:type="dxa"/>
            <w:vAlign w:val="bottom"/>
            <w:tcBorders>
              <w:bottom w:val="single" w:sz="8" w:color="E5E5E5"/>
            </w:tcBorders>
            <w:shd w:val="clear" w:color="auto" w:fill="E5E5E5"/>
          </w:tcPr>
          <w:p>
            <w:pPr>
              <w:spacing w:after="0"/>
              <w:rPr>
                <w:sz w:val="17"/>
                <w:szCs w:val="17"/>
                <w:color w:val="auto"/>
              </w:rPr>
            </w:pPr>
          </w:p>
        </w:tc>
        <w:tc>
          <w:tcPr>
            <w:tcW w:w="760" w:type="dxa"/>
            <w:vAlign w:val="bottom"/>
            <w:tcBorders>
              <w:bottom w:val="single" w:sz="8" w:color="002060"/>
            </w:tcBorders>
            <w:shd w:val="clear" w:color="auto" w:fill="E5E5E5"/>
          </w:tcPr>
          <w:p>
            <w:pPr>
              <w:jc w:val="right"/>
              <w:spacing w:after="0" w:line="202" w:lineRule="exact"/>
              <w:rPr>
                <w:sz w:val="20"/>
                <w:szCs w:val="20"/>
                <w:color w:val="auto"/>
              </w:rPr>
            </w:pPr>
            <w:r>
              <w:rPr>
                <w:rFonts w:ascii="Arial" w:cs="Arial" w:eastAsia="Arial" w:hAnsi="Arial"/>
                <w:sz w:val="18"/>
                <w:szCs w:val="18"/>
                <w:color w:val="auto"/>
              </w:rPr>
              <w:t>5.0%</w:t>
            </w:r>
          </w:p>
        </w:tc>
      </w:tr>
      <w:tr>
        <w:trPr>
          <w:trHeight w:val="196"/>
        </w:trPr>
        <w:tc>
          <w:tcPr>
            <w:tcW w:w="660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Michael T. Miller</w:t>
            </w:r>
          </w:p>
        </w:tc>
        <w:tc>
          <w:tcPr>
            <w:tcW w:w="1400" w:type="dxa"/>
            <w:vAlign w:val="bottom"/>
            <w:tcBorders>
              <w:bottom w:val="single" w:sz="8" w:color="002060"/>
            </w:tcBorders>
            <w:shd w:val="clear" w:color="auto" w:fill="E5E5E5"/>
          </w:tcPr>
          <w:p>
            <w:pPr>
              <w:jc w:val="right"/>
              <w:ind w:right="253"/>
              <w:spacing w:after="0" w:line="196" w:lineRule="exact"/>
              <w:rPr>
                <w:sz w:val="20"/>
                <w:szCs w:val="20"/>
                <w:color w:val="auto"/>
              </w:rPr>
            </w:pPr>
            <w:r>
              <w:rPr>
                <w:rFonts w:ascii="Arial" w:cs="Arial" w:eastAsia="Arial" w:hAnsi="Arial"/>
                <w:sz w:val="18"/>
                <w:szCs w:val="18"/>
                <w:color w:val="auto"/>
              </w:rPr>
              <w:t>425,000</w:t>
            </w:r>
          </w:p>
        </w:tc>
        <w:tc>
          <w:tcPr>
            <w:tcW w:w="20" w:type="dxa"/>
            <w:vAlign w:val="bottom"/>
            <w:tcBorders>
              <w:bottom w:val="single" w:sz="8" w:color="E5E5E5"/>
            </w:tcBorders>
            <w:shd w:val="clear" w:color="auto" w:fill="E5E5E5"/>
          </w:tcPr>
          <w:p>
            <w:pPr>
              <w:spacing w:after="0"/>
              <w:rPr>
                <w:sz w:val="17"/>
                <w:szCs w:val="17"/>
                <w:color w:val="auto"/>
              </w:rPr>
            </w:pPr>
          </w:p>
        </w:tc>
        <w:tc>
          <w:tcPr>
            <w:tcW w:w="1420" w:type="dxa"/>
            <w:vAlign w:val="bottom"/>
            <w:tcBorders>
              <w:bottom w:val="single" w:sz="8" w:color="002060"/>
            </w:tcBorders>
            <w:shd w:val="clear" w:color="auto" w:fill="E5E5E5"/>
          </w:tcPr>
          <w:p>
            <w:pPr>
              <w:jc w:val="right"/>
              <w:ind w:right="253"/>
              <w:spacing w:after="0" w:line="196" w:lineRule="exact"/>
              <w:rPr>
                <w:sz w:val="20"/>
                <w:szCs w:val="20"/>
                <w:color w:val="auto"/>
              </w:rPr>
            </w:pPr>
            <w:r>
              <w:rPr>
                <w:rFonts w:ascii="Arial" w:cs="Arial" w:eastAsia="Arial" w:hAnsi="Arial"/>
                <w:sz w:val="18"/>
                <w:szCs w:val="18"/>
                <w:color w:val="auto"/>
              </w:rPr>
              <w:t>445,000</w:t>
            </w:r>
          </w:p>
        </w:tc>
        <w:tc>
          <w:tcPr>
            <w:tcW w:w="20" w:type="dxa"/>
            <w:vAlign w:val="bottom"/>
            <w:tcBorders>
              <w:bottom w:val="single" w:sz="8" w:color="E5E5E5"/>
            </w:tcBorders>
            <w:shd w:val="clear" w:color="auto" w:fill="E5E5E5"/>
          </w:tcPr>
          <w:p>
            <w:pPr>
              <w:spacing w:after="0"/>
              <w:rPr>
                <w:sz w:val="17"/>
                <w:szCs w:val="17"/>
                <w:color w:val="auto"/>
              </w:rPr>
            </w:pPr>
          </w:p>
        </w:tc>
        <w:tc>
          <w:tcPr>
            <w:tcW w:w="760" w:type="dxa"/>
            <w:vAlign w:val="bottom"/>
            <w:tcBorders>
              <w:bottom w:val="single" w:sz="8" w:color="002060"/>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20,000</w:t>
            </w:r>
          </w:p>
        </w:tc>
        <w:tc>
          <w:tcPr>
            <w:tcW w:w="40" w:type="dxa"/>
            <w:vAlign w:val="bottom"/>
            <w:tcBorders>
              <w:bottom w:val="single" w:sz="8" w:color="E5E5E5"/>
            </w:tcBorders>
            <w:shd w:val="clear" w:color="auto" w:fill="E5E5E5"/>
          </w:tcPr>
          <w:p>
            <w:pPr>
              <w:spacing w:after="0"/>
              <w:rPr>
                <w:sz w:val="17"/>
                <w:szCs w:val="17"/>
                <w:color w:val="auto"/>
              </w:rPr>
            </w:pPr>
          </w:p>
        </w:tc>
        <w:tc>
          <w:tcPr>
            <w:tcW w:w="760" w:type="dxa"/>
            <w:vAlign w:val="bottom"/>
            <w:tcBorders>
              <w:bottom w:val="single" w:sz="8" w:color="002060"/>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660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Jay P. Elliott</w:t>
            </w:r>
          </w:p>
        </w:tc>
        <w:tc>
          <w:tcPr>
            <w:tcW w:w="1400" w:type="dxa"/>
            <w:vAlign w:val="bottom"/>
            <w:tcBorders>
              <w:bottom w:val="single" w:sz="8" w:color="002060"/>
            </w:tcBorders>
            <w:shd w:val="clear" w:color="auto" w:fill="E5E5E5"/>
          </w:tcPr>
          <w:p>
            <w:pPr>
              <w:jc w:val="right"/>
              <w:ind w:right="253"/>
              <w:spacing w:after="0" w:line="196" w:lineRule="exact"/>
              <w:rPr>
                <w:sz w:val="20"/>
                <w:szCs w:val="20"/>
                <w:color w:val="auto"/>
              </w:rPr>
            </w:pPr>
            <w:r>
              <w:rPr>
                <w:rFonts w:ascii="Arial" w:cs="Arial" w:eastAsia="Arial" w:hAnsi="Arial"/>
                <w:sz w:val="18"/>
                <w:szCs w:val="18"/>
                <w:color w:val="auto"/>
              </w:rPr>
              <w:t>462,000</w:t>
            </w:r>
          </w:p>
        </w:tc>
        <w:tc>
          <w:tcPr>
            <w:tcW w:w="20" w:type="dxa"/>
            <w:vAlign w:val="bottom"/>
            <w:tcBorders>
              <w:bottom w:val="single" w:sz="8" w:color="E5E5E5"/>
            </w:tcBorders>
            <w:shd w:val="clear" w:color="auto" w:fill="E5E5E5"/>
          </w:tcPr>
          <w:p>
            <w:pPr>
              <w:spacing w:after="0"/>
              <w:rPr>
                <w:sz w:val="17"/>
                <w:szCs w:val="17"/>
                <w:color w:val="auto"/>
              </w:rPr>
            </w:pPr>
          </w:p>
        </w:tc>
        <w:tc>
          <w:tcPr>
            <w:tcW w:w="1420" w:type="dxa"/>
            <w:vAlign w:val="bottom"/>
            <w:tcBorders>
              <w:bottom w:val="single" w:sz="8" w:color="002060"/>
            </w:tcBorders>
            <w:shd w:val="clear" w:color="auto" w:fill="E5E5E5"/>
          </w:tcPr>
          <w:p>
            <w:pPr>
              <w:jc w:val="right"/>
              <w:ind w:right="253"/>
              <w:spacing w:after="0" w:line="196" w:lineRule="exact"/>
              <w:rPr>
                <w:sz w:val="20"/>
                <w:szCs w:val="20"/>
                <w:color w:val="auto"/>
              </w:rPr>
            </w:pPr>
            <w:r>
              <w:rPr>
                <w:rFonts w:ascii="Arial" w:cs="Arial" w:eastAsia="Arial" w:hAnsi="Arial"/>
                <w:sz w:val="18"/>
                <w:szCs w:val="18"/>
                <w:color w:val="auto"/>
              </w:rPr>
              <w:t>485,000</w:t>
            </w:r>
          </w:p>
        </w:tc>
        <w:tc>
          <w:tcPr>
            <w:tcW w:w="20" w:type="dxa"/>
            <w:vAlign w:val="bottom"/>
            <w:tcBorders>
              <w:bottom w:val="single" w:sz="8" w:color="E5E5E5"/>
            </w:tcBorders>
            <w:shd w:val="clear" w:color="auto" w:fill="E5E5E5"/>
          </w:tcPr>
          <w:p>
            <w:pPr>
              <w:spacing w:after="0"/>
              <w:rPr>
                <w:sz w:val="17"/>
                <w:szCs w:val="17"/>
                <w:color w:val="auto"/>
              </w:rPr>
            </w:pPr>
          </w:p>
        </w:tc>
        <w:tc>
          <w:tcPr>
            <w:tcW w:w="760" w:type="dxa"/>
            <w:vAlign w:val="bottom"/>
            <w:tcBorders>
              <w:bottom w:val="single" w:sz="8" w:color="002060"/>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23,000</w:t>
            </w:r>
          </w:p>
        </w:tc>
        <w:tc>
          <w:tcPr>
            <w:tcW w:w="40" w:type="dxa"/>
            <w:vAlign w:val="bottom"/>
            <w:tcBorders>
              <w:bottom w:val="single" w:sz="8" w:color="E5E5E5"/>
            </w:tcBorders>
            <w:shd w:val="clear" w:color="auto" w:fill="E5E5E5"/>
          </w:tcPr>
          <w:p>
            <w:pPr>
              <w:spacing w:after="0"/>
              <w:rPr>
                <w:sz w:val="17"/>
                <w:szCs w:val="17"/>
                <w:color w:val="auto"/>
              </w:rPr>
            </w:pPr>
          </w:p>
        </w:tc>
        <w:tc>
          <w:tcPr>
            <w:tcW w:w="760" w:type="dxa"/>
            <w:vAlign w:val="bottom"/>
            <w:tcBorders>
              <w:bottom w:val="single" w:sz="8" w:color="002060"/>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660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W. Jeffrey Hire</w:t>
            </w:r>
          </w:p>
        </w:tc>
        <w:tc>
          <w:tcPr>
            <w:tcW w:w="1400" w:type="dxa"/>
            <w:vAlign w:val="bottom"/>
            <w:tcBorders>
              <w:bottom w:val="single" w:sz="8" w:color="002060"/>
            </w:tcBorders>
            <w:shd w:val="clear" w:color="auto" w:fill="E5E5E5"/>
          </w:tcPr>
          <w:p>
            <w:pPr>
              <w:jc w:val="right"/>
              <w:ind w:right="253"/>
              <w:spacing w:after="0" w:line="196" w:lineRule="exact"/>
              <w:rPr>
                <w:sz w:val="20"/>
                <w:szCs w:val="20"/>
                <w:color w:val="auto"/>
              </w:rPr>
            </w:pPr>
            <w:r>
              <w:rPr>
                <w:rFonts w:ascii="Arial" w:cs="Arial" w:eastAsia="Arial" w:hAnsi="Arial"/>
                <w:sz w:val="18"/>
                <w:szCs w:val="18"/>
                <w:color w:val="auto"/>
              </w:rPr>
              <w:t>400,000</w:t>
            </w:r>
          </w:p>
        </w:tc>
        <w:tc>
          <w:tcPr>
            <w:tcW w:w="20" w:type="dxa"/>
            <w:vAlign w:val="bottom"/>
            <w:tcBorders>
              <w:bottom w:val="single" w:sz="8" w:color="E5E5E5"/>
            </w:tcBorders>
            <w:shd w:val="clear" w:color="auto" w:fill="E5E5E5"/>
          </w:tcPr>
          <w:p>
            <w:pPr>
              <w:spacing w:after="0"/>
              <w:rPr>
                <w:sz w:val="17"/>
                <w:szCs w:val="17"/>
                <w:color w:val="auto"/>
              </w:rPr>
            </w:pPr>
          </w:p>
        </w:tc>
        <w:tc>
          <w:tcPr>
            <w:tcW w:w="1420" w:type="dxa"/>
            <w:vAlign w:val="bottom"/>
            <w:tcBorders>
              <w:bottom w:val="single" w:sz="8" w:color="002060"/>
            </w:tcBorders>
            <w:shd w:val="clear" w:color="auto" w:fill="E5E5E5"/>
          </w:tcPr>
          <w:p>
            <w:pPr>
              <w:jc w:val="right"/>
              <w:ind w:right="253"/>
              <w:spacing w:after="0" w:line="196" w:lineRule="exact"/>
              <w:rPr>
                <w:sz w:val="20"/>
                <w:szCs w:val="20"/>
                <w:color w:val="auto"/>
              </w:rPr>
            </w:pPr>
            <w:r>
              <w:rPr>
                <w:rFonts w:ascii="Arial" w:cs="Arial" w:eastAsia="Arial" w:hAnsi="Arial"/>
                <w:sz w:val="18"/>
                <w:szCs w:val="18"/>
                <w:color w:val="auto"/>
              </w:rPr>
              <w:t>420,000</w:t>
            </w:r>
          </w:p>
        </w:tc>
        <w:tc>
          <w:tcPr>
            <w:tcW w:w="20" w:type="dxa"/>
            <w:vAlign w:val="bottom"/>
            <w:tcBorders>
              <w:bottom w:val="single" w:sz="8" w:color="E5E5E5"/>
            </w:tcBorders>
            <w:shd w:val="clear" w:color="auto" w:fill="E5E5E5"/>
          </w:tcPr>
          <w:p>
            <w:pPr>
              <w:spacing w:after="0"/>
              <w:rPr>
                <w:sz w:val="17"/>
                <w:szCs w:val="17"/>
                <w:color w:val="auto"/>
              </w:rPr>
            </w:pPr>
          </w:p>
        </w:tc>
        <w:tc>
          <w:tcPr>
            <w:tcW w:w="760" w:type="dxa"/>
            <w:vAlign w:val="bottom"/>
            <w:tcBorders>
              <w:bottom w:val="single" w:sz="8" w:color="002060"/>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20,000</w:t>
            </w:r>
          </w:p>
        </w:tc>
        <w:tc>
          <w:tcPr>
            <w:tcW w:w="40" w:type="dxa"/>
            <w:vAlign w:val="bottom"/>
            <w:tcBorders>
              <w:bottom w:val="single" w:sz="8" w:color="E5E5E5"/>
            </w:tcBorders>
            <w:shd w:val="clear" w:color="auto" w:fill="E5E5E5"/>
          </w:tcPr>
          <w:p>
            <w:pPr>
              <w:spacing w:after="0"/>
              <w:rPr>
                <w:sz w:val="17"/>
                <w:szCs w:val="17"/>
                <w:color w:val="auto"/>
              </w:rPr>
            </w:pPr>
          </w:p>
        </w:tc>
        <w:tc>
          <w:tcPr>
            <w:tcW w:w="760" w:type="dxa"/>
            <w:vAlign w:val="bottom"/>
            <w:tcBorders>
              <w:bottom w:val="single" w:sz="8" w:color="002060"/>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3"/>
        </w:trPr>
        <w:tc>
          <w:tcPr>
            <w:tcW w:w="660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Jason R. Niswonger</w:t>
            </w:r>
          </w:p>
        </w:tc>
        <w:tc>
          <w:tcPr>
            <w:tcW w:w="1400" w:type="dxa"/>
            <w:vAlign w:val="bottom"/>
            <w:tcBorders>
              <w:bottom w:val="single" w:sz="8" w:color="002060"/>
            </w:tcBorders>
            <w:shd w:val="clear" w:color="auto" w:fill="E5E5E5"/>
          </w:tcPr>
          <w:p>
            <w:pPr>
              <w:jc w:val="right"/>
              <w:ind w:right="253"/>
              <w:spacing w:after="0" w:line="196" w:lineRule="exact"/>
              <w:rPr>
                <w:sz w:val="20"/>
                <w:szCs w:val="20"/>
                <w:color w:val="auto"/>
              </w:rPr>
            </w:pPr>
            <w:r>
              <w:rPr>
                <w:rFonts w:ascii="Arial" w:cs="Arial" w:eastAsia="Arial" w:hAnsi="Arial"/>
                <w:sz w:val="18"/>
                <w:szCs w:val="18"/>
                <w:color w:val="auto"/>
              </w:rPr>
              <w:t>395,000</w:t>
            </w:r>
          </w:p>
        </w:tc>
        <w:tc>
          <w:tcPr>
            <w:tcW w:w="20" w:type="dxa"/>
            <w:vAlign w:val="bottom"/>
            <w:tcBorders>
              <w:bottom w:val="single" w:sz="8" w:color="002060"/>
            </w:tcBorders>
            <w:shd w:val="clear" w:color="auto" w:fill="E5E5E5"/>
          </w:tcPr>
          <w:p>
            <w:pPr>
              <w:spacing w:after="0"/>
              <w:rPr>
                <w:sz w:val="17"/>
                <w:szCs w:val="17"/>
                <w:color w:val="auto"/>
              </w:rPr>
            </w:pPr>
          </w:p>
        </w:tc>
        <w:tc>
          <w:tcPr>
            <w:tcW w:w="1420" w:type="dxa"/>
            <w:vAlign w:val="bottom"/>
            <w:tcBorders>
              <w:bottom w:val="single" w:sz="8" w:color="002060"/>
            </w:tcBorders>
            <w:shd w:val="clear" w:color="auto" w:fill="E5E5E5"/>
          </w:tcPr>
          <w:p>
            <w:pPr>
              <w:jc w:val="right"/>
              <w:ind w:right="253"/>
              <w:spacing w:after="0" w:line="196" w:lineRule="exact"/>
              <w:rPr>
                <w:sz w:val="20"/>
                <w:szCs w:val="20"/>
                <w:color w:val="auto"/>
              </w:rPr>
            </w:pPr>
            <w:r>
              <w:rPr>
                <w:rFonts w:ascii="Arial" w:cs="Arial" w:eastAsia="Arial" w:hAnsi="Arial"/>
                <w:sz w:val="18"/>
                <w:szCs w:val="18"/>
                <w:color w:val="auto"/>
              </w:rPr>
              <w:t>425,000</w:t>
            </w:r>
          </w:p>
        </w:tc>
        <w:tc>
          <w:tcPr>
            <w:tcW w:w="20" w:type="dxa"/>
            <w:vAlign w:val="bottom"/>
            <w:tcBorders>
              <w:bottom w:val="single" w:sz="8" w:color="002060"/>
            </w:tcBorders>
            <w:shd w:val="clear" w:color="auto" w:fill="E5E5E5"/>
          </w:tcPr>
          <w:p>
            <w:pPr>
              <w:spacing w:after="0"/>
              <w:rPr>
                <w:sz w:val="17"/>
                <w:szCs w:val="17"/>
                <w:color w:val="auto"/>
              </w:rPr>
            </w:pPr>
          </w:p>
        </w:tc>
        <w:tc>
          <w:tcPr>
            <w:tcW w:w="760" w:type="dxa"/>
            <w:vAlign w:val="bottom"/>
            <w:tcBorders>
              <w:bottom w:val="single" w:sz="8" w:color="002060"/>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30,000</w:t>
            </w:r>
          </w:p>
        </w:tc>
        <w:tc>
          <w:tcPr>
            <w:tcW w:w="40" w:type="dxa"/>
            <w:vAlign w:val="bottom"/>
            <w:tcBorders>
              <w:bottom w:val="single" w:sz="8" w:color="002060"/>
            </w:tcBorders>
            <w:shd w:val="clear" w:color="auto" w:fill="E5E5E5"/>
          </w:tcPr>
          <w:p>
            <w:pPr>
              <w:spacing w:after="0"/>
              <w:rPr>
                <w:sz w:val="17"/>
                <w:szCs w:val="17"/>
                <w:color w:val="auto"/>
              </w:rPr>
            </w:pPr>
          </w:p>
        </w:tc>
        <w:tc>
          <w:tcPr>
            <w:tcW w:w="760" w:type="dxa"/>
            <w:vAlign w:val="bottom"/>
            <w:tcBorders>
              <w:bottom w:val="single" w:sz="8" w:color="002060"/>
            </w:tcBorders>
            <w:shd w:val="clear" w:color="auto" w:fill="E5E5E5"/>
          </w:tcPr>
          <w:p>
            <w:pPr>
              <w:jc w:val="right"/>
              <w:spacing w:after="0" w:line="196" w:lineRule="exact"/>
              <w:rPr>
                <w:sz w:val="20"/>
                <w:szCs w:val="20"/>
                <w:color w:val="auto"/>
              </w:rPr>
            </w:pPr>
            <w:r>
              <w:rPr>
                <w:rFonts w:ascii="Arial" w:cs="Arial" w:eastAsia="Arial" w:hAnsi="Arial"/>
                <w:sz w:val="18"/>
                <w:szCs w:val="18"/>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-711200</wp:posOffset>
            </wp:positionV>
            <wp:extent cx="17145" cy="7118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145" cy="71183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-711200</wp:posOffset>
            </wp:positionV>
            <wp:extent cx="17145" cy="7118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7145" cy="71183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-711200</wp:posOffset>
            </wp:positionV>
            <wp:extent cx="17145" cy="7118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7145" cy="711835"/>
                    </a:xfrm>
                    <a:prstGeom prst="rect">
                      <a:avLst/>
                    </a:prstGeom>
                    <a:noFill/>
                  </pic:spPr>
                </pic:pic>
              </a:graphicData>
            </a:graphic>
          </wp:anchor>
        </w:drawing>
      </w:r>
    </w:p>
    <w:p>
      <w:pPr>
        <w:spacing w:after="0" w:line="177"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i w:val="1"/>
          <w:iCs w:val="1"/>
          <w:u w:val="single" w:color="auto"/>
          <w:color w:val="auto"/>
        </w:rPr>
        <w:t>2023 Performance-Based Cash Compensation</w:t>
      </w:r>
      <w:r>
        <w:rPr>
          <w:rFonts w:ascii="Arial" w:cs="Arial" w:eastAsia="Arial" w:hAnsi="Arial"/>
          <w:sz w:val="18"/>
          <w:szCs w:val="18"/>
          <w:color w:val="auto"/>
        </w:rPr>
        <w:t>. The Compensation and Human Capital Committee continued our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cash program for 2023 on substantially the same terms as the program approved by our stockholders in 2022, except that for both cash and restricted stock awards (i) if the target is not achieved at a level of at least 50%, then no incentive compensation is payable and (ii) the maximum performance-based awards that may be awarded are capped at 200% of target. Target awards for 2023 were increased according to market pay practices and to reward our NEOs for the financial and operational success of the Company.</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146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134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w w:val="99"/>
              </w:rPr>
              <w:t>2022 Target Cash</w:t>
            </w:r>
          </w:p>
        </w:tc>
      </w:tr>
      <w:tr>
        <w:trPr>
          <w:trHeight w:val="189"/>
        </w:trPr>
        <w:tc>
          <w:tcPr>
            <w:tcW w:w="5280" w:type="dxa"/>
            <w:vAlign w:val="bottom"/>
          </w:tcPr>
          <w:p>
            <w:pPr>
              <w:spacing w:after="0"/>
              <w:rPr>
                <w:sz w:val="16"/>
                <w:szCs w:val="16"/>
                <w:color w:val="auto"/>
              </w:rPr>
            </w:pPr>
          </w:p>
        </w:tc>
        <w:tc>
          <w:tcPr>
            <w:tcW w:w="14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5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34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w w:val="99"/>
              </w:rPr>
              <w:t>Bonus as</w:t>
            </w:r>
          </w:p>
        </w:tc>
      </w:tr>
      <w:tr>
        <w:trPr>
          <w:trHeight w:val="189"/>
        </w:trPr>
        <w:tc>
          <w:tcPr>
            <w:tcW w:w="5280" w:type="dxa"/>
            <w:vAlign w:val="bottom"/>
          </w:tcPr>
          <w:p>
            <w:pPr>
              <w:spacing w:after="0"/>
              <w:rPr>
                <w:sz w:val="16"/>
                <w:szCs w:val="16"/>
                <w:color w:val="auto"/>
              </w:rPr>
            </w:pPr>
          </w:p>
        </w:tc>
        <w:tc>
          <w:tcPr>
            <w:tcW w:w="14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50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340" w:type="dxa"/>
            <w:vAlign w:val="bottom"/>
            <w:shd w:val="clear" w:color="auto" w:fill="E5E5E5"/>
          </w:tcPr>
          <w:p>
            <w:pPr>
              <w:spacing w:after="0"/>
              <w:rPr>
                <w:sz w:val="16"/>
                <w:szCs w:val="16"/>
                <w:color w:val="auto"/>
              </w:rPr>
            </w:pPr>
          </w:p>
        </w:tc>
        <w:tc>
          <w:tcPr>
            <w:tcW w:w="40" w:type="dxa"/>
            <w:vAlign w:val="bottom"/>
            <w:shd w:val="clear" w:color="auto" w:fill="E5E5E5"/>
          </w:tcPr>
          <w:p>
            <w:pPr>
              <w:spacing w:after="0"/>
              <w:rPr>
                <w:sz w:val="16"/>
                <w:szCs w:val="16"/>
                <w:color w:val="auto"/>
              </w:rPr>
            </w:pP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rPr>
              <w:t>Percentage of</w:t>
            </w:r>
          </w:p>
        </w:tc>
      </w:tr>
      <w:tr>
        <w:trPr>
          <w:trHeight w:val="189"/>
        </w:trPr>
        <w:tc>
          <w:tcPr>
            <w:tcW w:w="5280" w:type="dxa"/>
            <w:vAlign w:val="bottom"/>
          </w:tcPr>
          <w:p>
            <w:pPr>
              <w:spacing w:after="0"/>
              <w:rPr>
                <w:sz w:val="16"/>
                <w:szCs w:val="16"/>
                <w:color w:val="auto"/>
              </w:rPr>
            </w:pPr>
          </w:p>
        </w:tc>
        <w:tc>
          <w:tcPr>
            <w:tcW w:w="148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w w:val="98"/>
              </w:rPr>
              <w:t>2022 Target</w:t>
            </w:r>
          </w:p>
        </w:tc>
        <w:tc>
          <w:tcPr>
            <w:tcW w:w="20" w:type="dxa"/>
            <w:vAlign w:val="bottom"/>
            <w:shd w:val="clear" w:color="auto" w:fill="E5E5E5"/>
          </w:tcPr>
          <w:p>
            <w:pPr>
              <w:spacing w:after="0"/>
              <w:rPr>
                <w:sz w:val="16"/>
                <w:szCs w:val="16"/>
                <w:color w:val="auto"/>
              </w:rPr>
            </w:pPr>
          </w:p>
        </w:tc>
        <w:tc>
          <w:tcPr>
            <w:tcW w:w="1520" w:type="dxa"/>
            <w:vAlign w:val="bottom"/>
            <w:gridSpan w:val="2"/>
            <w:shd w:val="clear" w:color="auto" w:fill="E5E5E5"/>
          </w:tcPr>
          <w:p>
            <w:pPr>
              <w:jc w:val="center"/>
              <w:ind w:right="20"/>
              <w:spacing w:after="0"/>
              <w:rPr>
                <w:sz w:val="20"/>
                <w:szCs w:val="20"/>
                <w:color w:val="auto"/>
              </w:rPr>
            </w:pPr>
            <w:r>
              <w:rPr>
                <w:rFonts w:ascii="Arial" w:cs="Arial" w:eastAsia="Arial" w:hAnsi="Arial"/>
                <w:sz w:val="16"/>
                <w:szCs w:val="16"/>
                <w:b w:val="1"/>
                <w:bCs w:val="1"/>
                <w:color w:val="002060"/>
              </w:rPr>
              <w:t>2023 Target</w:t>
            </w:r>
          </w:p>
        </w:tc>
        <w:tc>
          <w:tcPr>
            <w:tcW w:w="1380" w:type="dxa"/>
            <w:vAlign w:val="bottom"/>
            <w:gridSpan w:val="2"/>
            <w:shd w:val="clear" w:color="auto" w:fill="E5E5E5"/>
          </w:tcPr>
          <w:p>
            <w:pPr>
              <w:jc w:val="center"/>
              <w:ind w:right="20"/>
              <w:spacing w:after="0"/>
              <w:rPr>
                <w:sz w:val="20"/>
                <w:szCs w:val="20"/>
                <w:color w:val="auto"/>
              </w:rPr>
            </w:pPr>
            <w:r>
              <w:rPr>
                <w:rFonts w:ascii="Arial" w:cs="Arial" w:eastAsia="Arial" w:hAnsi="Arial"/>
                <w:sz w:val="16"/>
                <w:szCs w:val="16"/>
                <w:b w:val="1"/>
                <w:bCs w:val="1"/>
                <w:color w:val="002060"/>
              </w:rPr>
              <w:t>Increase /</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w w:val="98"/>
              </w:rPr>
              <w:t>Total Target</w:t>
            </w:r>
          </w:p>
        </w:tc>
      </w:tr>
      <w:tr>
        <w:trPr>
          <w:trHeight w:val="189"/>
        </w:trPr>
        <w:tc>
          <w:tcPr>
            <w:tcW w:w="5280" w:type="dxa"/>
            <w:vAlign w:val="bottom"/>
          </w:tcPr>
          <w:p>
            <w:pPr>
              <w:spacing w:after="0"/>
              <w:rPr>
                <w:sz w:val="16"/>
                <w:szCs w:val="16"/>
                <w:color w:val="auto"/>
              </w:rPr>
            </w:pPr>
          </w:p>
        </w:tc>
        <w:tc>
          <w:tcPr>
            <w:tcW w:w="1480" w:type="dxa"/>
            <w:vAlign w:val="bottom"/>
            <w:gridSpan w:val="2"/>
            <w:shd w:val="clear" w:color="auto" w:fill="E5E5E5"/>
          </w:tcPr>
          <w:p>
            <w:pPr>
              <w:jc w:val="center"/>
              <w:ind w:right="20"/>
              <w:spacing w:after="0"/>
              <w:rPr>
                <w:sz w:val="20"/>
                <w:szCs w:val="20"/>
                <w:color w:val="auto"/>
              </w:rPr>
            </w:pPr>
            <w:r>
              <w:rPr>
                <w:rFonts w:ascii="Arial" w:cs="Arial" w:eastAsia="Arial" w:hAnsi="Arial"/>
                <w:sz w:val="16"/>
                <w:szCs w:val="16"/>
                <w:b w:val="1"/>
                <w:bCs w:val="1"/>
                <w:color w:val="002060"/>
              </w:rPr>
              <w:t>Cash Bonus</w:t>
            </w:r>
          </w:p>
        </w:tc>
        <w:tc>
          <w:tcPr>
            <w:tcW w:w="20" w:type="dxa"/>
            <w:vAlign w:val="bottom"/>
            <w:shd w:val="clear" w:color="auto" w:fill="E5E5E5"/>
          </w:tcPr>
          <w:p>
            <w:pPr>
              <w:spacing w:after="0"/>
              <w:rPr>
                <w:sz w:val="16"/>
                <w:szCs w:val="16"/>
                <w:color w:val="auto"/>
              </w:rPr>
            </w:pPr>
          </w:p>
        </w:tc>
        <w:tc>
          <w:tcPr>
            <w:tcW w:w="1520" w:type="dxa"/>
            <w:vAlign w:val="bottom"/>
            <w:gridSpan w:val="2"/>
            <w:shd w:val="clear" w:color="auto" w:fill="E5E5E5"/>
          </w:tcPr>
          <w:p>
            <w:pPr>
              <w:jc w:val="center"/>
              <w:ind w:right="20"/>
              <w:spacing w:after="0"/>
              <w:rPr>
                <w:sz w:val="20"/>
                <w:szCs w:val="20"/>
                <w:color w:val="auto"/>
              </w:rPr>
            </w:pPr>
            <w:r>
              <w:rPr>
                <w:rFonts w:ascii="Arial" w:cs="Arial" w:eastAsia="Arial" w:hAnsi="Arial"/>
                <w:sz w:val="16"/>
                <w:szCs w:val="16"/>
                <w:b w:val="1"/>
                <w:bCs w:val="1"/>
                <w:color w:val="002060"/>
              </w:rPr>
              <w:t>Cash Bonus</w:t>
            </w:r>
          </w:p>
        </w:tc>
        <w:tc>
          <w:tcPr>
            <w:tcW w:w="1380" w:type="dxa"/>
            <w:vAlign w:val="bottom"/>
            <w:gridSpan w:val="2"/>
            <w:shd w:val="clear" w:color="auto" w:fill="E5E5E5"/>
          </w:tcPr>
          <w:p>
            <w:pPr>
              <w:jc w:val="center"/>
              <w:ind w:right="20"/>
              <w:spacing w:after="0"/>
              <w:rPr>
                <w:sz w:val="20"/>
                <w:szCs w:val="20"/>
                <w:color w:val="auto"/>
              </w:rPr>
            </w:pPr>
            <w:r>
              <w:rPr>
                <w:rFonts w:ascii="Arial" w:cs="Arial" w:eastAsia="Arial" w:hAnsi="Arial"/>
                <w:sz w:val="16"/>
                <w:szCs w:val="16"/>
                <w:b w:val="1"/>
                <w:bCs w:val="1"/>
                <w:color w:val="002060"/>
              </w:rPr>
              <w:t>Decrease</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rPr>
              <w:t>Compensation</w:t>
            </w:r>
          </w:p>
        </w:tc>
      </w:tr>
      <w:tr>
        <w:trPr>
          <w:trHeight w:val="224"/>
        </w:trPr>
        <w:tc>
          <w:tcPr>
            <w:tcW w:w="5280" w:type="dxa"/>
            <w:vAlign w:val="bottom"/>
            <w:tcBorders>
              <w:bottom w:val="single" w:sz="8" w:color="002060"/>
            </w:tcBorders>
          </w:tcPr>
          <w:p>
            <w:pPr>
              <w:spacing w:after="0"/>
              <w:rPr>
                <w:sz w:val="20"/>
                <w:szCs w:val="20"/>
                <w:color w:val="auto"/>
              </w:rPr>
            </w:pPr>
            <w:r>
              <w:rPr>
                <w:rFonts w:ascii="Arial" w:cs="Arial" w:eastAsia="Arial" w:hAnsi="Arial"/>
                <w:sz w:val="16"/>
                <w:szCs w:val="16"/>
                <w:b w:val="1"/>
                <w:bCs w:val="1"/>
                <w:color w:val="002060"/>
              </w:rPr>
              <w:t>Name</w:t>
            </w:r>
          </w:p>
        </w:tc>
        <w:tc>
          <w:tcPr>
            <w:tcW w:w="146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6"/>
                <w:szCs w:val="16"/>
                <w:b w:val="1"/>
                <w:bCs w:val="1"/>
                <w:color w:val="002060"/>
              </w:rPr>
              <w:t>($)</w:t>
            </w:r>
          </w:p>
        </w:tc>
        <w:tc>
          <w:tcPr>
            <w:tcW w:w="20" w:type="dxa"/>
            <w:vAlign w:val="bottom"/>
            <w:tcBorders>
              <w:bottom w:val="single" w:sz="8" w:color="002060"/>
            </w:tcBorders>
            <w:shd w:val="clear" w:color="auto" w:fill="E5E5E5"/>
          </w:tcPr>
          <w:p>
            <w:pPr>
              <w:spacing w:after="0"/>
              <w:rPr>
                <w:sz w:val="19"/>
                <w:szCs w:val="19"/>
                <w:color w:val="auto"/>
              </w:rPr>
            </w:pPr>
          </w:p>
        </w:tc>
        <w:tc>
          <w:tcPr>
            <w:tcW w:w="1520" w:type="dxa"/>
            <w:vAlign w:val="bottom"/>
            <w:tcBorders>
              <w:bottom w:val="single" w:sz="8" w:color="002060"/>
            </w:tcBorders>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w w:val="91"/>
              </w:rPr>
              <w:t>($)</w:t>
            </w:r>
          </w:p>
        </w:tc>
        <w:tc>
          <w:tcPr>
            <w:tcW w:w="20" w:type="dxa"/>
            <w:vAlign w:val="bottom"/>
            <w:tcBorders>
              <w:bottom w:val="single" w:sz="8" w:color="002060"/>
            </w:tcBorders>
            <w:shd w:val="clear" w:color="auto" w:fill="E5E5E5"/>
          </w:tcPr>
          <w:p>
            <w:pPr>
              <w:spacing w:after="0"/>
              <w:rPr>
                <w:sz w:val="19"/>
                <w:szCs w:val="19"/>
                <w:color w:val="auto"/>
              </w:rPr>
            </w:pPr>
          </w:p>
        </w:tc>
        <w:tc>
          <w:tcPr>
            <w:tcW w:w="134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6"/>
                <w:szCs w:val="16"/>
                <w:b w:val="1"/>
                <w:bCs w:val="1"/>
                <w:color w:val="002060"/>
              </w:rPr>
              <w:t>($)</w:t>
            </w:r>
          </w:p>
        </w:tc>
        <w:tc>
          <w:tcPr>
            <w:tcW w:w="40" w:type="dxa"/>
            <w:vAlign w:val="bottom"/>
            <w:tcBorders>
              <w:bottom w:val="single" w:sz="8" w:color="002060"/>
            </w:tcBorders>
            <w:shd w:val="clear" w:color="auto" w:fill="E5E5E5"/>
          </w:tcPr>
          <w:p>
            <w:pPr>
              <w:spacing w:after="0"/>
              <w:rPr>
                <w:sz w:val="19"/>
                <w:szCs w:val="19"/>
                <w:color w:val="auto"/>
              </w:rPr>
            </w:pPr>
          </w:p>
        </w:tc>
        <w:tc>
          <w:tcPr>
            <w:tcW w:w="134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6"/>
                <w:szCs w:val="16"/>
                <w:b w:val="1"/>
                <w:bCs w:val="1"/>
                <w:color w:val="002060"/>
                <w:w w:val="96"/>
              </w:rPr>
              <w:t>(%)</w:t>
            </w:r>
          </w:p>
        </w:tc>
      </w:tr>
      <w:tr>
        <w:trPr>
          <w:trHeight w:val="203"/>
        </w:trPr>
        <w:tc>
          <w:tcPr>
            <w:tcW w:w="5280" w:type="dxa"/>
            <w:vAlign w:val="bottom"/>
          </w:tcPr>
          <w:p>
            <w:pPr>
              <w:ind w:left="100"/>
              <w:spacing w:after="0" w:line="202" w:lineRule="exact"/>
              <w:rPr>
                <w:sz w:val="20"/>
                <w:szCs w:val="20"/>
                <w:color w:val="auto"/>
              </w:rPr>
            </w:pPr>
            <w:r>
              <w:rPr>
                <w:rFonts w:ascii="Arial" w:cs="Arial" w:eastAsia="Arial" w:hAnsi="Arial"/>
                <w:sz w:val="18"/>
                <w:szCs w:val="18"/>
                <w:color w:val="auto"/>
              </w:rPr>
              <w:t>Jeffrey W. Edwards</w:t>
            </w:r>
          </w:p>
        </w:tc>
        <w:tc>
          <w:tcPr>
            <w:tcW w:w="146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color w:val="auto"/>
              </w:rPr>
              <w:t>1,000,000</w:t>
            </w:r>
          </w:p>
        </w:tc>
        <w:tc>
          <w:tcPr>
            <w:tcW w:w="20" w:type="dxa"/>
            <w:vAlign w:val="bottom"/>
            <w:shd w:val="clear" w:color="auto" w:fill="E5E5E5"/>
          </w:tcPr>
          <w:p>
            <w:pPr>
              <w:spacing w:after="0"/>
              <w:rPr>
                <w:sz w:val="17"/>
                <w:szCs w:val="17"/>
                <w:color w:val="auto"/>
              </w:rPr>
            </w:pPr>
          </w:p>
        </w:tc>
        <w:tc>
          <w:tcPr>
            <w:tcW w:w="1520" w:type="dxa"/>
            <w:vAlign w:val="bottom"/>
            <w:gridSpan w:val="2"/>
            <w:shd w:val="clear" w:color="auto" w:fill="E5E5E5"/>
          </w:tcPr>
          <w:p>
            <w:pPr>
              <w:jc w:val="right"/>
              <w:ind w:right="253"/>
              <w:spacing w:after="0" w:line="202" w:lineRule="exact"/>
              <w:rPr>
                <w:sz w:val="20"/>
                <w:szCs w:val="20"/>
                <w:color w:val="auto"/>
              </w:rPr>
            </w:pPr>
            <w:r>
              <w:rPr>
                <w:rFonts w:ascii="Arial" w:cs="Arial" w:eastAsia="Arial" w:hAnsi="Arial"/>
                <w:sz w:val="18"/>
                <w:szCs w:val="18"/>
                <w:color w:val="auto"/>
              </w:rPr>
              <w:t>1,150,000</w:t>
            </w:r>
          </w:p>
        </w:tc>
        <w:tc>
          <w:tcPr>
            <w:tcW w:w="20" w:type="dxa"/>
            <w:vAlign w:val="bottom"/>
            <w:shd w:val="clear" w:color="auto" w:fill="E5E5E5"/>
          </w:tcPr>
          <w:p>
            <w:pPr>
              <w:spacing w:after="0"/>
              <w:rPr>
                <w:sz w:val="17"/>
                <w:szCs w:val="17"/>
                <w:color w:val="auto"/>
              </w:rPr>
            </w:pPr>
          </w:p>
        </w:tc>
        <w:tc>
          <w:tcPr>
            <w:tcW w:w="134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color w:val="auto"/>
              </w:rPr>
              <w:t>150,000</w:t>
            </w:r>
          </w:p>
        </w:tc>
        <w:tc>
          <w:tcPr>
            <w:tcW w:w="40" w:type="dxa"/>
            <w:vAlign w:val="bottom"/>
            <w:shd w:val="clear" w:color="auto" w:fill="E5E5E5"/>
          </w:tcPr>
          <w:p>
            <w:pPr>
              <w:spacing w:after="0"/>
              <w:rPr>
                <w:sz w:val="17"/>
                <w:szCs w:val="17"/>
                <w:color w:val="auto"/>
              </w:rPr>
            </w:pPr>
          </w:p>
        </w:tc>
        <w:tc>
          <w:tcPr>
            <w:tcW w:w="1340" w:type="dxa"/>
            <w:vAlign w:val="bottom"/>
            <w:shd w:val="clear" w:color="auto" w:fill="E5E5E5"/>
          </w:tcPr>
          <w:p>
            <w:pPr>
              <w:jc w:val="right"/>
              <w:ind w:right="275"/>
              <w:spacing w:after="0" w:line="202" w:lineRule="exact"/>
              <w:rPr>
                <w:sz w:val="20"/>
                <w:szCs w:val="20"/>
                <w:color w:val="auto"/>
              </w:rPr>
            </w:pPr>
            <w:r>
              <w:rPr>
                <w:rFonts w:ascii="Arial" w:cs="Arial" w:eastAsia="Arial" w:hAnsi="Arial"/>
                <w:sz w:val="18"/>
                <w:szCs w:val="18"/>
                <w:color w:val="auto"/>
              </w:rPr>
              <w:t>20.6%</w:t>
            </w:r>
          </w:p>
        </w:tc>
      </w:tr>
      <w:tr>
        <w:trPr>
          <w:trHeight w:val="196"/>
        </w:trPr>
        <w:tc>
          <w:tcPr>
            <w:tcW w:w="5280" w:type="dxa"/>
            <w:vAlign w:val="bottom"/>
            <w:tcBorders>
              <w:top w:val="single" w:sz="8" w:color="002060"/>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Michael T. Miller</w:t>
            </w:r>
          </w:p>
        </w:tc>
        <w:tc>
          <w:tcPr>
            <w:tcW w:w="1460" w:type="dxa"/>
            <w:vAlign w:val="bottom"/>
            <w:tcBorders>
              <w:top w:val="single" w:sz="8" w:color="002060"/>
              <w:bottom w:val="single" w:sz="8" w:color="002060"/>
            </w:tcBorders>
            <w:shd w:val="clear" w:color="auto" w:fill="E5E5E5"/>
          </w:tcPr>
          <w:p>
            <w:pPr>
              <w:jc w:val="right"/>
              <w:ind w:right="233"/>
              <w:spacing w:after="0" w:line="196" w:lineRule="exact"/>
              <w:rPr>
                <w:sz w:val="20"/>
                <w:szCs w:val="20"/>
                <w:color w:val="auto"/>
              </w:rPr>
            </w:pPr>
            <w:r>
              <w:rPr>
                <w:rFonts w:ascii="Arial" w:cs="Arial" w:eastAsia="Arial" w:hAnsi="Arial"/>
                <w:sz w:val="18"/>
                <w:szCs w:val="18"/>
                <w:color w:val="auto"/>
              </w:rPr>
              <w:t>380,000</w:t>
            </w:r>
          </w:p>
        </w:tc>
        <w:tc>
          <w:tcPr>
            <w:tcW w:w="20" w:type="dxa"/>
            <w:vAlign w:val="bottom"/>
            <w:tcBorders>
              <w:top w:val="single" w:sz="8" w:color="E5E5E5"/>
              <w:bottom w:val="single" w:sz="8" w:color="E5E5E5"/>
            </w:tcBorders>
            <w:shd w:val="clear" w:color="auto" w:fill="E5E5E5"/>
          </w:tcPr>
          <w:p>
            <w:pPr>
              <w:spacing w:after="0"/>
              <w:rPr>
                <w:sz w:val="17"/>
                <w:szCs w:val="17"/>
                <w:color w:val="auto"/>
              </w:rPr>
            </w:pPr>
          </w:p>
        </w:tc>
        <w:tc>
          <w:tcPr>
            <w:tcW w:w="20" w:type="dxa"/>
            <w:vAlign w:val="bottom"/>
            <w:tcBorders>
              <w:top w:val="single" w:sz="8" w:color="E5E5E5"/>
              <w:bottom w:val="single" w:sz="8" w:color="E5E5E5"/>
            </w:tcBorders>
            <w:shd w:val="clear" w:color="auto" w:fill="E5E5E5"/>
          </w:tcPr>
          <w:p>
            <w:pPr>
              <w:spacing w:after="0"/>
              <w:rPr>
                <w:sz w:val="17"/>
                <w:szCs w:val="17"/>
                <w:color w:val="auto"/>
              </w:rPr>
            </w:pPr>
          </w:p>
        </w:tc>
        <w:tc>
          <w:tcPr>
            <w:tcW w:w="1500" w:type="dxa"/>
            <w:vAlign w:val="bottom"/>
            <w:tcBorders>
              <w:top w:val="single" w:sz="8" w:color="002060"/>
              <w:bottom w:val="single" w:sz="8" w:color="002060"/>
            </w:tcBorders>
            <w:shd w:val="clear" w:color="auto" w:fill="E5E5E5"/>
          </w:tcPr>
          <w:p>
            <w:pPr>
              <w:jc w:val="right"/>
              <w:ind w:right="253"/>
              <w:spacing w:after="0" w:line="196" w:lineRule="exact"/>
              <w:rPr>
                <w:sz w:val="20"/>
                <w:szCs w:val="20"/>
                <w:color w:val="auto"/>
              </w:rPr>
            </w:pPr>
            <w:r>
              <w:rPr>
                <w:rFonts w:ascii="Arial" w:cs="Arial" w:eastAsia="Arial" w:hAnsi="Arial"/>
                <w:sz w:val="18"/>
                <w:szCs w:val="18"/>
                <w:color w:val="auto"/>
              </w:rPr>
              <w:t>430,000</w:t>
            </w:r>
          </w:p>
        </w:tc>
        <w:tc>
          <w:tcPr>
            <w:tcW w:w="20" w:type="dxa"/>
            <w:vAlign w:val="bottom"/>
            <w:tcBorders>
              <w:top w:val="single" w:sz="8" w:color="E5E5E5"/>
              <w:bottom w:val="single" w:sz="8" w:color="E5E5E5"/>
            </w:tcBorders>
            <w:shd w:val="clear" w:color="auto" w:fill="E5E5E5"/>
          </w:tcPr>
          <w:p>
            <w:pPr>
              <w:spacing w:after="0"/>
              <w:rPr>
                <w:sz w:val="17"/>
                <w:szCs w:val="17"/>
                <w:color w:val="auto"/>
              </w:rPr>
            </w:pPr>
          </w:p>
        </w:tc>
        <w:tc>
          <w:tcPr>
            <w:tcW w:w="1340" w:type="dxa"/>
            <w:vAlign w:val="bottom"/>
            <w:tcBorders>
              <w:top w:val="single" w:sz="8" w:color="002060"/>
              <w:bottom w:val="single" w:sz="8" w:color="002060"/>
            </w:tcBorders>
            <w:shd w:val="clear" w:color="auto" w:fill="E5E5E5"/>
          </w:tcPr>
          <w:p>
            <w:pPr>
              <w:jc w:val="right"/>
              <w:ind w:right="233"/>
              <w:spacing w:after="0" w:line="196" w:lineRule="exact"/>
              <w:rPr>
                <w:sz w:val="20"/>
                <w:szCs w:val="20"/>
                <w:color w:val="auto"/>
              </w:rPr>
            </w:pPr>
            <w:r>
              <w:rPr>
                <w:rFonts w:ascii="Arial" w:cs="Arial" w:eastAsia="Arial" w:hAnsi="Arial"/>
                <w:sz w:val="18"/>
                <w:szCs w:val="18"/>
                <w:color w:val="auto"/>
              </w:rPr>
              <w:t>50,000</w:t>
            </w:r>
          </w:p>
        </w:tc>
        <w:tc>
          <w:tcPr>
            <w:tcW w:w="40" w:type="dxa"/>
            <w:vAlign w:val="bottom"/>
            <w:tcBorders>
              <w:top w:val="single" w:sz="8" w:color="E5E5E5"/>
              <w:bottom w:val="single" w:sz="8" w:color="E5E5E5"/>
            </w:tcBorders>
            <w:shd w:val="clear" w:color="auto" w:fill="E5E5E5"/>
          </w:tcPr>
          <w:p>
            <w:pPr>
              <w:spacing w:after="0"/>
              <w:rPr>
                <w:sz w:val="17"/>
                <w:szCs w:val="17"/>
                <w:color w:val="auto"/>
              </w:rPr>
            </w:pPr>
          </w:p>
        </w:tc>
        <w:tc>
          <w:tcPr>
            <w:tcW w:w="1340" w:type="dxa"/>
            <w:vAlign w:val="bottom"/>
            <w:tcBorders>
              <w:top w:val="single" w:sz="8" w:color="002060"/>
              <w:bottom w:val="single" w:sz="8" w:color="002060"/>
            </w:tcBorders>
            <w:shd w:val="clear" w:color="auto" w:fill="E5E5E5"/>
          </w:tcPr>
          <w:p>
            <w:pPr>
              <w:jc w:val="right"/>
              <w:ind w:right="275"/>
              <w:spacing w:after="0" w:line="196" w:lineRule="exact"/>
              <w:rPr>
                <w:sz w:val="20"/>
                <w:szCs w:val="20"/>
                <w:color w:val="auto"/>
              </w:rPr>
            </w:pPr>
            <w:r>
              <w:rPr>
                <w:rFonts w:ascii="Arial" w:cs="Arial" w:eastAsia="Arial" w:hAnsi="Arial"/>
                <w:sz w:val="18"/>
                <w:szCs w:val="18"/>
                <w:color w:val="auto"/>
              </w:rPr>
              <w:t>21.1%</w:t>
            </w:r>
          </w:p>
        </w:tc>
      </w:tr>
      <w:tr>
        <w:trPr>
          <w:trHeight w:val="196"/>
        </w:trPr>
        <w:tc>
          <w:tcPr>
            <w:tcW w:w="528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Jay P. Elliott</w:t>
            </w:r>
          </w:p>
        </w:tc>
        <w:tc>
          <w:tcPr>
            <w:tcW w:w="1460" w:type="dxa"/>
            <w:vAlign w:val="bottom"/>
            <w:tcBorders>
              <w:bottom w:val="single" w:sz="8" w:color="002060"/>
            </w:tcBorders>
            <w:shd w:val="clear" w:color="auto" w:fill="E5E5E5"/>
          </w:tcPr>
          <w:p>
            <w:pPr>
              <w:jc w:val="right"/>
              <w:ind w:right="233"/>
              <w:spacing w:after="0" w:line="196" w:lineRule="exact"/>
              <w:rPr>
                <w:sz w:val="20"/>
                <w:szCs w:val="20"/>
                <w:color w:val="auto"/>
              </w:rPr>
            </w:pPr>
            <w:r>
              <w:rPr>
                <w:rFonts w:ascii="Arial" w:cs="Arial" w:eastAsia="Arial" w:hAnsi="Arial"/>
                <w:sz w:val="18"/>
                <w:szCs w:val="18"/>
                <w:color w:val="auto"/>
              </w:rPr>
              <w:t>280,000</w:t>
            </w:r>
          </w:p>
        </w:tc>
        <w:tc>
          <w:tcPr>
            <w:tcW w:w="20" w:type="dxa"/>
            <w:vAlign w:val="bottom"/>
            <w:tcBorders>
              <w:bottom w:val="single" w:sz="8" w:color="E5E5E5"/>
            </w:tcBorders>
            <w:shd w:val="clear" w:color="auto" w:fill="E5E5E5"/>
          </w:tcPr>
          <w:p>
            <w:pPr>
              <w:spacing w:after="0"/>
              <w:rPr>
                <w:sz w:val="17"/>
                <w:szCs w:val="17"/>
                <w:color w:val="auto"/>
              </w:rPr>
            </w:pPr>
          </w:p>
        </w:tc>
        <w:tc>
          <w:tcPr>
            <w:tcW w:w="20" w:type="dxa"/>
            <w:vAlign w:val="bottom"/>
            <w:tcBorders>
              <w:bottom w:val="single" w:sz="8" w:color="E5E5E5"/>
            </w:tcBorders>
            <w:shd w:val="clear" w:color="auto" w:fill="E5E5E5"/>
          </w:tcPr>
          <w:p>
            <w:pPr>
              <w:spacing w:after="0"/>
              <w:rPr>
                <w:sz w:val="17"/>
                <w:szCs w:val="17"/>
                <w:color w:val="auto"/>
              </w:rPr>
            </w:pPr>
          </w:p>
        </w:tc>
        <w:tc>
          <w:tcPr>
            <w:tcW w:w="1500" w:type="dxa"/>
            <w:vAlign w:val="bottom"/>
            <w:tcBorders>
              <w:bottom w:val="single" w:sz="8" w:color="002060"/>
            </w:tcBorders>
            <w:shd w:val="clear" w:color="auto" w:fill="E5E5E5"/>
          </w:tcPr>
          <w:p>
            <w:pPr>
              <w:jc w:val="right"/>
              <w:ind w:right="253"/>
              <w:spacing w:after="0" w:line="196" w:lineRule="exact"/>
              <w:rPr>
                <w:sz w:val="20"/>
                <w:szCs w:val="20"/>
                <w:color w:val="auto"/>
              </w:rPr>
            </w:pPr>
            <w:r>
              <w:rPr>
                <w:rFonts w:ascii="Arial" w:cs="Arial" w:eastAsia="Arial" w:hAnsi="Arial"/>
                <w:sz w:val="18"/>
                <w:szCs w:val="18"/>
                <w:color w:val="auto"/>
              </w:rPr>
              <w:t>325,000</w:t>
            </w:r>
          </w:p>
        </w:tc>
        <w:tc>
          <w:tcPr>
            <w:tcW w:w="20" w:type="dxa"/>
            <w:vAlign w:val="bottom"/>
            <w:tcBorders>
              <w:bottom w:val="single" w:sz="8" w:color="E5E5E5"/>
            </w:tcBorders>
            <w:shd w:val="clear" w:color="auto" w:fill="E5E5E5"/>
          </w:tcPr>
          <w:p>
            <w:pPr>
              <w:spacing w:after="0"/>
              <w:rPr>
                <w:sz w:val="17"/>
                <w:szCs w:val="17"/>
                <w:color w:val="auto"/>
              </w:rPr>
            </w:pPr>
          </w:p>
        </w:tc>
        <w:tc>
          <w:tcPr>
            <w:tcW w:w="1340" w:type="dxa"/>
            <w:vAlign w:val="bottom"/>
            <w:tcBorders>
              <w:bottom w:val="single" w:sz="8" w:color="002060"/>
            </w:tcBorders>
            <w:shd w:val="clear" w:color="auto" w:fill="E5E5E5"/>
          </w:tcPr>
          <w:p>
            <w:pPr>
              <w:jc w:val="right"/>
              <w:ind w:right="233"/>
              <w:spacing w:after="0" w:line="196" w:lineRule="exact"/>
              <w:rPr>
                <w:sz w:val="20"/>
                <w:szCs w:val="20"/>
                <w:color w:val="auto"/>
              </w:rPr>
            </w:pPr>
            <w:r>
              <w:rPr>
                <w:rFonts w:ascii="Arial" w:cs="Arial" w:eastAsia="Arial" w:hAnsi="Arial"/>
                <w:sz w:val="18"/>
                <w:szCs w:val="18"/>
                <w:color w:val="auto"/>
              </w:rPr>
              <w:t>45,000</w:t>
            </w:r>
          </w:p>
        </w:tc>
        <w:tc>
          <w:tcPr>
            <w:tcW w:w="40" w:type="dxa"/>
            <w:vAlign w:val="bottom"/>
            <w:tcBorders>
              <w:bottom w:val="single" w:sz="8" w:color="E5E5E5"/>
            </w:tcBorders>
            <w:shd w:val="clear" w:color="auto" w:fill="E5E5E5"/>
          </w:tcPr>
          <w:p>
            <w:pPr>
              <w:spacing w:after="0"/>
              <w:rPr>
                <w:sz w:val="17"/>
                <w:szCs w:val="17"/>
                <w:color w:val="auto"/>
              </w:rPr>
            </w:pPr>
          </w:p>
        </w:tc>
        <w:tc>
          <w:tcPr>
            <w:tcW w:w="1340" w:type="dxa"/>
            <w:vAlign w:val="bottom"/>
            <w:tcBorders>
              <w:bottom w:val="single" w:sz="8" w:color="002060"/>
            </w:tcBorders>
            <w:shd w:val="clear" w:color="auto" w:fill="E5E5E5"/>
          </w:tcPr>
          <w:p>
            <w:pPr>
              <w:jc w:val="right"/>
              <w:ind w:right="275"/>
              <w:spacing w:after="0" w:line="196" w:lineRule="exact"/>
              <w:rPr>
                <w:sz w:val="20"/>
                <w:szCs w:val="20"/>
                <w:color w:val="auto"/>
              </w:rPr>
            </w:pPr>
            <w:r>
              <w:rPr>
                <w:rFonts w:ascii="Arial" w:cs="Arial" w:eastAsia="Arial" w:hAnsi="Arial"/>
                <w:sz w:val="18"/>
                <w:szCs w:val="18"/>
                <w:color w:val="auto"/>
              </w:rPr>
              <w:t>16.2%</w:t>
            </w:r>
          </w:p>
        </w:tc>
      </w:tr>
      <w:tr>
        <w:trPr>
          <w:trHeight w:val="196"/>
        </w:trPr>
        <w:tc>
          <w:tcPr>
            <w:tcW w:w="528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W. Jeffrey Hire</w:t>
            </w:r>
          </w:p>
        </w:tc>
        <w:tc>
          <w:tcPr>
            <w:tcW w:w="1460" w:type="dxa"/>
            <w:vAlign w:val="bottom"/>
            <w:tcBorders>
              <w:bottom w:val="single" w:sz="8" w:color="002060"/>
            </w:tcBorders>
            <w:shd w:val="clear" w:color="auto" w:fill="E5E5E5"/>
          </w:tcPr>
          <w:p>
            <w:pPr>
              <w:jc w:val="right"/>
              <w:ind w:right="233"/>
              <w:spacing w:after="0" w:line="196" w:lineRule="exact"/>
              <w:rPr>
                <w:sz w:val="20"/>
                <w:szCs w:val="20"/>
                <w:color w:val="auto"/>
              </w:rPr>
            </w:pPr>
            <w:r>
              <w:rPr>
                <w:rFonts w:ascii="Arial" w:cs="Arial" w:eastAsia="Arial" w:hAnsi="Arial"/>
                <w:sz w:val="18"/>
                <w:szCs w:val="18"/>
                <w:color w:val="auto"/>
              </w:rPr>
              <w:t>150,000</w:t>
            </w:r>
          </w:p>
        </w:tc>
        <w:tc>
          <w:tcPr>
            <w:tcW w:w="20" w:type="dxa"/>
            <w:vAlign w:val="bottom"/>
            <w:tcBorders>
              <w:bottom w:val="single" w:sz="8" w:color="E5E5E5"/>
            </w:tcBorders>
            <w:shd w:val="clear" w:color="auto" w:fill="E5E5E5"/>
          </w:tcPr>
          <w:p>
            <w:pPr>
              <w:spacing w:after="0"/>
              <w:rPr>
                <w:sz w:val="17"/>
                <w:szCs w:val="17"/>
                <w:color w:val="auto"/>
              </w:rPr>
            </w:pPr>
          </w:p>
        </w:tc>
        <w:tc>
          <w:tcPr>
            <w:tcW w:w="20" w:type="dxa"/>
            <w:vAlign w:val="bottom"/>
            <w:tcBorders>
              <w:bottom w:val="single" w:sz="8" w:color="E5E5E5"/>
            </w:tcBorders>
            <w:shd w:val="clear" w:color="auto" w:fill="E5E5E5"/>
          </w:tcPr>
          <w:p>
            <w:pPr>
              <w:spacing w:after="0"/>
              <w:rPr>
                <w:sz w:val="17"/>
                <w:szCs w:val="17"/>
                <w:color w:val="auto"/>
              </w:rPr>
            </w:pPr>
          </w:p>
        </w:tc>
        <w:tc>
          <w:tcPr>
            <w:tcW w:w="1500" w:type="dxa"/>
            <w:vAlign w:val="bottom"/>
            <w:tcBorders>
              <w:bottom w:val="single" w:sz="8" w:color="002060"/>
            </w:tcBorders>
            <w:shd w:val="clear" w:color="auto" w:fill="E5E5E5"/>
          </w:tcPr>
          <w:p>
            <w:pPr>
              <w:jc w:val="right"/>
              <w:ind w:right="253"/>
              <w:spacing w:after="0" w:line="196" w:lineRule="exact"/>
              <w:rPr>
                <w:sz w:val="20"/>
                <w:szCs w:val="20"/>
                <w:color w:val="auto"/>
              </w:rPr>
            </w:pPr>
            <w:r>
              <w:rPr>
                <w:rFonts w:ascii="Arial" w:cs="Arial" w:eastAsia="Arial" w:hAnsi="Arial"/>
                <w:sz w:val="18"/>
                <w:szCs w:val="18"/>
                <w:color w:val="auto"/>
              </w:rPr>
              <w:t>200,000</w:t>
            </w:r>
          </w:p>
        </w:tc>
        <w:tc>
          <w:tcPr>
            <w:tcW w:w="20" w:type="dxa"/>
            <w:vAlign w:val="bottom"/>
            <w:tcBorders>
              <w:bottom w:val="single" w:sz="8" w:color="E5E5E5"/>
            </w:tcBorders>
            <w:shd w:val="clear" w:color="auto" w:fill="E5E5E5"/>
          </w:tcPr>
          <w:p>
            <w:pPr>
              <w:spacing w:after="0"/>
              <w:rPr>
                <w:sz w:val="17"/>
                <w:szCs w:val="17"/>
                <w:color w:val="auto"/>
              </w:rPr>
            </w:pPr>
          </w:p>
        </w:tc>
        <w:tc>
          <w:tcPr>
            <w:tcW w:w="1340" w:type="dxa"/>
            <w:vAlign w:val="bottom"/>
            <w:tcBorders>
              <w:bottom w:val="single" w:sz="8" w:color="002060"/>
            </w:tcBorders>
            <w:shd w:val="clear" w:color="auto" w:fill="E5E5E5"/>
          </w:tcPr>
          <w:p>
            <w:pPr>
              <w:jc w:val="right"/>
              <w:ind w:right="233"/>
              <w:spacing w:after="0" w:line="196" w:lineRule="exact"/>
              <w:rPr>
                <w:sz w:val="20"/>
                <w:szCs w:val="20"/>
                <w:color w:val="auto"/>
              </w:rPr>
            </w:pPr>
            <w:r>
              <w:rPr>
                <w:rFonts w:ascii="Arial" w:cs="Arial" w:eastAsia="Arial" w:hAnsi="Arial"/>
                <w:sz w:val="18"/>
                <w:szCs w:val="18"/>
                <w:color w:val="auto"/>
              </w:rPr>
              <w:t>50,000</w:t>
            </w:r>
          </w:p>
        </w:tc>
        <w:tc>
          <w:tcPr>
            <w:tcW w:w="40" w:type="dxa"/>
            <w:vAlign w:val="bottom"/>
            <w:tcBorders>
              <w:bottom w:val="single" w:sz="8" w:color="E5E5E5"/>
            </w:tcBorders>
            <w:shd w:val="clear" w:color="auto" w:fill="E5E5E5"/>
          </w:tcPr>
          <w:p>
            <w:pPr>
              <w:spacing w:after="0"/>
              <w:rPr>
                <w:sz w:val="17"/>
                <w:szCs w:val="17"/>
                <w:color w:val="auto"/>
              </w:rPr>
            </w:pPr>
          </w:p>
        </w:tc>
        <w:tc>
          <w:tcPr>
            <w:tcW w:w="1340" w:type="dxa"/>
            <w:vAlign w:val="bottom"/>
            <w:tcBorders>
              <w:bottom w:val="single" w:sz="8" w:color="002060"/>
            </w:tcBorders>
            <w:shd w:val="clear" w:color="auto" w:fill="E5E5E5"/>
          </w:tcPr>
          <w:p>
            <w:pPr>
              <w:jc w:val="right"/>
              <w:ind w:right="275"/>
              <w:spacing w:after="0" w:line="196" w:lineRule="exact"/>
              <w:rPr>
                <w:sz w:val="20"/>
                <w:szCs w:val="20"/>
                <w:color w:val="auto"/>
              </w:rPr>
            </w:pPr>
            <w:r>
              <w:rPr>
                <w:rFonts w:ascii="Arial" w:cs="Arial" w:eastAsia="Arial" w:hAnsi="Arial"/>
                <w:sz w:val="18"/>
                <w:szCs w:val="18"/>
                <w:color w:val="auto"/>
              </w:rPr>
              <w:t>23.0%</w:t>
            </w:r>
          </w:p>
        </w:tc>
      </w:tr>
      <w:tr>
        <w:trPr>
          <w:trHeight w:val="203"/>
        </w:trPr>
        <w:tc>
          <w:tcPr>
            <w:tcW w:w="528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Jason R. Niswonger</w:t>
            </w:r>
          </w:p>
        </w:tc>
        <w:tc>
          <w:tcPr>
            <w:tcW w:w="1460" w:type="dxa"/>
            <w:vAlign w:val="bottom"/>
            <w:tcBorders>
              <w:bottom w:val="single" w:sz="8" w:color="002060"/>
            </w:tcBorders>
            <w:shd w:val="clear" w:color="auto" w:fill="E5E5E5"/>
          </w:tcPr>
          <w:p>
            <w:pPr>
              <w:jc w:val="right"/>
              <w:ind w:right="233"/>
              <w:spacing w:after="0" w:line="196" w:lineRule="exact"/>
              <w:rPr>
                <w:sz w:val="20"/>
                <w:szCs w:val="20"/>
                <w:color w:val="auto"/>
              </w:rPr>
            </w:pPr>
            <w:r>
              <w:rPr>
                <w:rFonts w:ascii="Arial" w:cs="Arial" w:eastAsia="Arial" w:hAnsi="Arial"/>
                <w:sz w:val="18"/>
                <w:szCs w:val="18"/>
                <w:color w:val="auto"/>
              </w:rPr>
              <w:t>175,000</w:t>
            </w:r>
          </w:p>
        </w:tc>
        <w:tc>
          <w:tcPr>
            <w:tcW w:w="20" w:type="dxa"/>
            <w:vAlign w:val="bottom"/>
            <w:tcBorders>
              <w:bottom w:val="single" w:sz="8" w:color="002060"/>
            </w:tcBorders>
            <w:shd w:val="clear" w:color="auto" w:fill="E5E5E5"/>
          </w:tcPr>
          <w:p>
            <w:pPr>
              <w:spacing w:after="0"/>
              <w:rPr>
                <w:sz w:val="17"/>
                <w:szCs w:val="17"/>
                <w:color w:val="auto"/>
              </w:rPr>
            </w:pPr>
          </w:p>
        </w:tc>
        <w:tc>
          <w:tcPr>
            <w:tcW w:w="20" w:type="dxa"/>
            <w:vAlign w:val="bottom"/>
            <w:tcBorders>
              <w:bottom w:val="single" w:sz="8" w:color="002060"/>
            </w:tcBorders>
            <w:shd w:val="clear" w:color="auto" w:fill="E5E5E5"/>
          </w:tcPr>
          <w:p>
            <w:pPr>
              <w:spacing w:after="0"/>
              <w:rPr>
                <w:sz w:val="17"/>
                <w:szCs w:val="17"/>
                <w:color w:val="auto"/>
              </w:rPr>
            </w:pPr>
          </w:p>
        </w:tc>
        <w:tc>
          <w:tcPr>
            <w:tcW w:w="1500" w:type="dxa"/>
            <w:vAlign w:val="bottom"/>
            <w:tcBorders>
              <w:bottom w:val="single" w:sz="8" w:color="002060"/>
            </w:tcBorders>
            <w:shd w:val="clear" w:color="auto" w:fill="E5E5E5"/>
          </w:tcPr>
          <w:p>
            <w:pPr>
              <w:jc w:val="right"/>
              <w:ind w:right="253"/>
              <w:spacing w:after="0" w:line="196" w:lineRule="exact"/>
              <w:rPr>
                <w:sz w:val="20"/>
                <w:szCs w:val="20"/>
                <w:color w:val="auto"/>
              </w:rPr>
            </w:pPr>
            <w:r>
              <w:rPr>
                <w:rFonts w:ascii="Arial" w:cs="Arial" w:eastAsia="Arial" w:hAnsi="Arial"/>
                <w:sz w:val="18"/>
                <w:szCs w:val="18"/>
                <w:color w:val="auto"/>
              </w:rPr>
              <w:t>265,000</w:t>
            </w:r>
          </w:p>
        </w:tc>
        <w:tc>
          <w:tcPr>
            <w:tcW w:w="20" w:type="dxa"/>
            <w:vAlign w:val="bottom"/>
            <w:tcBorders>
              <w:bottom w:val="single" w:sz="8" w:color="002060"/>
            </w:tcBorders>
            <w:shd w:val="clear" w:color="auto" w:fill="E5E5E5"/>
          </w:tcPr>
          <w:p>
            <w:pPr>
              <w:spacing w:after="0"/>
              <w:rPr>
                <w:sz w:val="17"/>
                <w:szCs w:val="17"/>
                <w:color w:val="auto"/>
              </w:rPr>
            </w:pPr>
          </w:p>
        </w:tc>
        <w:tc>
          <w:tcPr>
            <w:tcW w:w="1340" w:type="dxa"/>
            <w:vAlign w:val="bottom"/>
            <w:tcBorders>
              <w:bottom w:val="single" w:sz="8" w:color="002060"/>
            </w:tcBorders>
            <w:shd w:val="clear" w:color="auto" w:fill="E5E5E5"/>
          </w:tcPr>
          <w:p>
            <w:pPr>
              <w:jc w:val="right"/>
              <w:ind w:right="233"/>
              <w:spacing w:after="0" w:line="196" w:lineRule="exact"/>
              <w:rPr>
                <w:sz w:val="20"/>
                <w:szCs w:val="20"/>
                <w:color w:val="auto"/>
              </w:rPr>
            </w:pPr>
            <w:r>
              <w:rPr>
                <w:rFonts w:ascii="Arial" w:cs="Arial" w:eastAsia="Arial" w:hAnsi="Arial"/>
                <w:sz w:val="18"/>
                <w:szCs w:val="18"/>
                <w:color w:val="auto"/>
              </w:rPr>
              <w:t>90,000</w:t>
            </w:r>
          </w:p>
        </w:tc>
        <w:tc>
          <w:tcPr>
            <w:tcW w:w="40" w:type="dxa"/>
            <w:vAlign w:val="bottom"/>
            <w:tcBorders>
              <w:bottom w:val="single" w:sz="8" w:color="002060"/>
            </w:tcBorders>
            <w:shd w:val="clear" w:color="auto" w:fill="E5E5E5"/>
          </w:tcPr>
          <w:p>
            <w:pPr>
              <w:spacing w:after="0"/>
              <w:rPr>
                <w:sz w:val="17"/>
                <w:szCs w:val="17"/>
                <w:color w:val="auto"/>
              </w:rPr>
            </w:pPr>
          </w:p>
        </w:tc>
        <w:tc>
          <w:tcPr>
            <w:tcW w:w="1340" w:type="dxa"/>
            <w:vAlign w:val="bottom"/>
            <w:tcBorders>
              <w:bottom w:val="single" w:sz="8" w:color="002060"/>
            </w:tcBorders>
            <w:shd w:val="clear" w:color="auto" w:fill="E5E5E5"/>
          </w:tcPr>
          <w:p>
            <w:pPr>
              <w:jc w:val="right"/>
              <w:ind w:right="275"/>
              <w:spacing w:after="0" w:line="196" w:lineRule="exact"/>
              <w:rPr>
                <w:sz w:val="20"/>
                <w:szCs w:val="20"/>
                <w:color w:val="auto"/>
              </w:rPr>
            </w:pPr>
            <w:r>
              <w:rPr>
                <w:rFonts w:ascii="Arial" w:cs="Arial" w:eastAsia="Arial" w:hAnsi="Arial"/>
                <w:sz w:val="18"/>
                <w:szCs w:val="18"/>
                <w:color w:val="auto"/>
              </w:rPr>
              <w:t>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-710565</wp:posOffset>
            </wp:positionV>
            <wp:extent cx="17145" cy="7112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7145" cy="71120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-710565</wp:posOffset>
            </wp:positionV>
            <wp:extent cx="17145" cy="7112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7145" cy="71120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-710565</wp:posOffset>
            </wp:positionV>
            <wp:extent cx="17145" cy="7112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7145" cy="711200"/>
                    </a:xfrm>
                    <a:prstGeom prst="rect">
                      <a:avLst/>
                    </a:prstGeom>
                    <a:noFill/>
                  </pic:spPr>
                </pic:pic>
              </a:graphicData>
            </a:graphic>
          </wp:anchor>
        </w:drawing>
      </w:r>
    </w:p>
    <w:p>
      <w:pPr>
        <w:spacing w:after="0" w:line="137"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i w:val="1"/>
          <w:iCs w:val="1"/>
          <w:u w:val="single" w:color="auto"/>
          <w:color w:val="auto"/>
        </w:rPr>
        <w:t>2023 Performance-Based Equity Compensation</w:t>
      </w:r>
      <w:r>
        <w:rPr>
          <w:rFonts w:ascii="Arial" w:cs="Arial" w:eastAsia="Arial" w:hAnsi="Arial"/>
          <w:sz w:val="18"/>
          <w:szCs w:val="18"/>
          <w:color w:val="auto"/>
        </w:rPr>
        <w:t>. The Compensation and Human Capital Committee determined that each NEO is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the target number of shares of restricted stock set forth in the table below, based on the achievement of performance goals. The performance metric and terms of the equity awards are the same as those used for incentive cash awards. If any restricted stock is earned, it will vest in two equal installments on April 20, 2025 and April 20, 2026, generally subject to the NEO’s continued employment on each vesting date. The restricted stock vests in full in the event of an NEO’s death. The Compensation and Human Capital Committee has discretion to adjust any award, even if fully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82550</wp:posOffset>
            </wp:positionV>
            <wp:extent cx="291465" cy="2654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204"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Compensation Discussion and Analysis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63</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15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15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rPr>
              <w:t>2023 Target</w:t>
            </w:r>
          </w:p>
        </w:tc>
      </w:tr>
      <w:tr>
        <w:trPr>
          <w:trHeight w:val="189"/>
        </w:trPr>
        <w:tc>
          <w:tcPr>
            <w:tcW w:w="4180" w:type="dxa"/>
            <w:vAlign w:val="bottom"/>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5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5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w w:val="99"/>
              </w:rPr>
              <w:t>Restricted</w:t>
            </w:r>
          </w:p>
        </w:tc>
      </w:tr>
      <w:tr>
        <w:trPr>
          <w:trHeight w:val="189"/>
        </w:trPr>
        <w:tc>
          <w:tcPr>
            <w:tcW w:w="4180" w:type="dxa"/>
            <w:vAlign w:val="bottom"/>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5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54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w w:val="99"/>
              </w:rPr>
              <w:t>Stock Grant</w:t>
            </w:r>
          </w:p>
        </w:tc>
      </w:tr>
      <w:tr>
        <w:trPr>
          <w:trHeight w:val="189"/>
        </w:trPr>
        <w:tc>
          <w:tcPr>
            <w:tcW w:w="4180" w:type="dxa"/>
            <w:vAlign w:val="bottom"/>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56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w w:val="98"/>
              </w:rPr>
              <w:t>2022 Target</w:t>
            </w:r>
          </w:p>
        </w:tc>
        <w:tc>
          <w:tcPr>
            <w:tcW w:w="11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56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w w:val="98"/>
              </w:rPr>
              <w:t>2023 Target</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rPr>
              <w:t>Date Fair</w:t>
            </w:r>
          </w:p>
        </w:tc>
      </w:tr>
      <w:tr>
        <w:trPr>
          <w:trHeight w:val="189"/>
        </w:trPr>
        <w:tc>
          <w:tcPr>
            <w:tcW w:w="4180" w:type="dxa"/>
            <w:vAlign w:val="bottom"/>
          </w:tcPr>
          <w:p>
            <w:pPr>
              <w:spacing w:after="0"/>
              <w:rPr>
                <w:sz w:val="16"/>
                <w:szCs w:val="16"/>
                <w:color w:val="auto"/>
              </w:rPr>
            </w:pPr>
          </w:p>
        </w:tc>
        <w:tc>
          <w:tcPr>
            <w:tcW w:w="11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56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Restricted</w:t>
            </w:r>
          </w:p>
        </w:tc>
        <w:tc>
          <w:tcPr>
            <w:tcW w:w="11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56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Restricted</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w w:val="99"/>
              </w:rPr>
              <w:t>Value as a</w:t>
            </w:r>
          </w:p>
        </w:tc>
      </w:tr>
      <w:tr>
        <w:trPr>
          <w:trHeight w:val="189"/>
        </w:trPr>
        <w:tc>
          <w:tcPr>
            <w:tcW w:w="4180" w:type="dxa"/>
            <w:vAlign w:val="bottom"/>
          </w:tcPr>
          <w:p>
            <w:pPr>
              <w:spacing w:after="0"/>
              <w:rPr>
                <w:sz w:val="16"/>
                <w:szCs w:val="16"/>
                <w:color w:val="auto"/>
              </w:rPr>
            </w:pPr>
          </w:p>
        </w:tc>
        <w:tc>
          <w:tcPr>
            <w:tcW w:w="118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2022 Target</w:t>
            </w:r>
          </w:p>
        </w:tc>
        <w:tc>
          <w:tcPr>
            <w:tcW w:w="156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Stock Fair</w:t>
            </w:r>
          </w:p>
        </w:tc>
        <w:tc>
          <w:tcPr>
            <w:tcW w:w="120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w w:val="98"/>
              </w:rPr>
              <w:t>2023 Target</w:t>
            </w:r>
          </w:p>
        </w:tc>
        <w:tc>
          <w:tcPr>
            <w:tcW w:w="156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Stock Fair</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rPr>
              <w:t>Percentage of</w:t>
            </w:r>
          </w:p>
        </w:tc>
      </w:tr>
      <w:tr>
        <w:trPr>
          <w:trHeight w:val="189"/>
        </w:trPr>
        <w:tc>
          <w:tcPr>
            <w:tcW w:w="4180" w:type="dxa"/>
            <w:vAlign w:val="bottom"/>
          </w:tcPr>
          <w:p>
            <w:pPr>
              <w:spacing w:after="0"/>
              <w:rPr>
                <w:sz w:val="16"/>
                <w:szCs w:val="16"/>
                <w:color w:val="auto"/>
              </w:rPr>
            </w:pPr>
          </w:p>
        </w:tc>
        <w:tc>
          <w:tcPr>
            <w:tcW w:w="118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w w:val="99"/>
              </w:rPr>
              <w:t>Restricted</w:t>
            </w:r>
          </w:p>
        </w:tc>
        <w:tc>
          <w:tcPr>
            <w:tcW w:w="156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Market Value</w:t>
            </w:r>
          </w:p>
        </w:tc>
        <w:tc>
          <w:tcPr>
            <w:tcW w:w="120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Restricted</w:t>
            </w:r>
          </w:p>
        </w:tc>
        <w:tc>
          <w:tcPr>
            <w:tcW w:w="156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Market Value</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w w:val="98"/>
              </w:rPr>
              <w:t>Total Target</w:t>
            </w:r>
          </w:p>
        </w:tc>
      </w:tr>
      <w:tr>
        <w:trPr>
          <w:trHeight w:val="189"/>
        </w:trPr>
        <w:tc>
          <w:tcPr>
            <w:tcW w:w="4180" w:type="dxa"/>
            <w:vAlign w:val="bottom"/>
          </w:tcPr>
          <w:p>
            <w:pPr>
              <w:spacing w:after="0"/>
              <w:rPr>
                <w:sz w:val="16"/>
                <w:szCs w:val="16"/>
                <w:color w:val="auto"/>
              </w:rPr>
            </w:pPr>
          </w:p>
        </w:tc>
        <w:tc>
          <w:tcPr>
            <w:tcW w:w="118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Stock Target</w:t>
            </w:r>
          </w:p>
        </w:tc>
        <w:tc>
          <w:tcPr>
            <w:tcW w:w="156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on Grant Date</w:t>
            </w:r>
          </w:p>
        </w:tc>
        <w:tc>
          <w:tcPr>
            <w:tcW w:w="120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w w:val="99"/>
              </w:rPr>
              <w:t>Stock Target</w:t>
            </w:r>
          </w:p>
        </w:tc>
        <w:tc>
          <w:tcPr>
            <w:tcW w:w="156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on Grant Date</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002060"/>
              </w:rPr>
              <w:t>Compensation</w:t>
            </w:r>
          </w:p>
        </w:tc>
      </w:tr>
      <w:tr>
        <w:trPr>
          <w:trHeight w:val="224"/>
        </w:trPr>
        <w:tc>
          <w:tcPr>
            <w:tcW w:w="4180" w:type="dxa"/>
            <w:vAlign w:val="bottom"/>
            <w:tcBorders>
              <w:bottom w:val="single" w:sz="8" w:color="002060"/>
            </w:tcBorders>
          </w:tcPr>
          <w:p>
            <w:pPr>
              <w:spacing w:after="0"/>
              <w:rPr>
                <w:sz w:val="20"/>
                <w:szCs w:val="20"/>
                <w:color w:val="auto"/>
              </w:rPr>
            </w:pPr>
            <w:r>
              <w:rPr>
                <w:rFonts w:ascii="Arial" w:cs="Arial" w:eastAsia="Arial" w:hAnsi="Arial"/>
                <w:sz w:val="16"/>
                <w:szCs w:val="16"/>
                <w:b w:val="1"/>
                <w:bCs w:val="1"/>
                <w:color w:val="002060"/>
              </w:rPr>
              <w:t>Name</w:t>
            </w:r>
          </w:p>
        </w:tc>
        <w:tc>
          <w:tcPr>
            <w:tcW w:w="116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6"/>
                <w:szCs w:val="16"/>
                <w:b w:val="1"/>
                <w:bCs w:val="1"/>
                <w:color w:val="002060"/>
              </w:rPr>
              <w:t>(#)</w:t>
            </w:r>
          </w:p>
        </w:tc>
        <w:tc>
          <w:tcPr>
            <w:tcW w:w="20" w:type="dxa"/>
            <w:vAlign w:val="bottom"/>
            <w:tcBorders>
              <w:bottom w:val="single" w:sz="8" w:color="002060"/>
            </w:tcBorders>
            <w:shd w:val="clear" w:color="auto" w:fill="E5E5E5"/>
          </w:tcPr>
          <w:p>
            <w:pPr>
              <w:spacing w:after="0"/>
              <w:rPr>
                <w:sz w:val="19"/>
                <w:szCs w:val="19"/>
                <w:color w:val="auto"/>
              </w:rPr>
            </w:pPr>
          </w:p>
        </w:tc>
        <w:tc>
          <w:tcPr>
            <w:tcW w:w="154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6"/>
                <w:szCs w:val="16"/>
                <w:b w:val="1"/>
                <w:bCs w:val="1"/>
                <w:color w:val="002060"/>
              </w:rPr>
              <w:t>($)</w:t>
            </w:r>
          </w:p>
        </w:tc>
        <w:tc>
          <w:tcPr>
            <w:tcW w:w="20" w:type="dxa"/>
            <w:vAlign w:val="bottom"/>
            <w:tcBorders>
              <w:bottom w:val="single" w:sz="8" w:color="002060"/>
            </w:tcBorders>
            <w:shd w:val="clear" w:color="auto" w:fill="E5E5E5"/>
          </w:tcPr>
          <w:p>
            <w:pPr>
              <w:spacing w:after="0"/>
              <w:rPr>
                <w:sz w:val="19"/>
                <w:szCs w:val="19"/>
                <w:color w:val="auto"/>
              </w:rPr>
            </w:pPr>
          </w:p>
        </w:tc>
        <w:tc>
          <w:tcPr>
            <w:tcW w:w="118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6"/>
                <w:szCs w:val="16"/>
                <w:b w:val="1"/>
                <w:bCs w:val="1"/>
                <w:color w:val="002060"/>
              </w:rPr>
              <w:t>(#)</w:t>
            </w:r>
          </w:p>
        </w:tc>
        <w:tc>
          <w:tcPr>
            <w:tcW w:w="20" w:type="dxa"/>
            <w:vAlign w:val="bottom"/>
            <w:tcBorders>
              <w:bottom w:val="single" w:sz="8" w:color="002060"/>
            </w:tcBorders>
            <w:shd w:val="clear" w:color="auto" w:fill="E5E5E5"/>
          </w:tcPr>
          <w:p>
            <w:pPr>
              <w:spacing w:after="0"/>
              <w:rPr>
                <w:sz w:val="19"/>
                <w:szCs w:val="19"/>
                <w:color w:val="auto"/>
              </w:rPr>
            </w:pPr>
          </w:p>
        </w:tc>
        <w:tc>
          <w:tcPr>
            <w:tcW w:w="154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6"/>
                <w:szCs w:val="16"/>
                <w:b w:val="1"/>
                <w:bCs w:val="1"/>
                <w:color w:val="002060"/>
              </w:rPr>
              <w:t>($)(1)</w:t>
            </w:r>
          </w:p>
        </w:tc>
        <w:tc>
          <w:tcPr>
            <w:tcW w:w="20" w:type="dxa"/>
            <w:vAlign w:val="bottom"/>
            <w:tcBorders>
              <w:bottom w:val="single" w:sz="8" w:color="002060"/>
            </w:tcBorders>
            <w:shd w:val="clear" w:color="auto" w:fill="E5E5E5"/>
          </w:tcPr>
          <w:p>
            <w:pPr>
              <w:spacing w:after="0"/>
              <w:rPr>
                <w:sz w:val="19"/>
                <w:szCs w:val="19"/>
                <w:color w:val="auto"/>
              </w:rPr>
            </w:pPr>
          </w:p>
        </w:tc>
        <w:tc>
          <w:tcPr>
            <w:tcW w:w="134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6"/>
                <w:szCs w:val="16"/>
                <w:b w:val="1"/>
                <w:bCs w:val="1"/>
                <w:color w:val="002060"/>
              </w:rPr>
              <w:t>(%)</w:t>
            </w:r>
          </w:p>
        </w:tc>
      </w:tr>
      <w:tr>
        <w:trPr>
          <w:trHeight w:val="203"/>
        </w:trPr>
        <w:tc>
          <w:tcPr>
            <w:tcW w:w="4180" w:type="dxa"/>
            <w:vAlign w:val="bottom"/>
            <w:tcBorders>
              <w:bottom w:val="single" w:sz="8" w:color="002060"/>
            </w:tcBorders>
          </w:tcPr>
          <w:p>
            <w:pPr>
              <w:ind w:left="100"/>
              <w:spacing w:after="0" w:line="202" w:lineRule="exact"/>
              <w:rPr>
                <w:sz w:val="20"/>
                <w:szCs w:val="20"/>
                <w:color w:val="auto"/>
              </w:rPr>
            </w:pPr>
            <w:r>
              <w:rPr>
                <w:rFonts w:ascii="Arial" w:cs="Arial" w:eastAsia="Arial" w:hAnsi="Arial"/>
                <w:sz w:val="18"/>
                <w:szCs w:val="18"/>
                <w:color w:val="auto"/>
              </w:rPr>
              <w:t>Jeffrey W. Edwards</w:t>
            </w:r>
          </w:p>
        </w:tc>
        <w:tc>
          <w:tcPr>
            <w:tcW w:w="1160" w:type="dxa"/>
            <w:vAlign w:val="bottom"/>
            <w:tcBorders>
              <w:bottom w:val="single" w:sz="8" w:color="002060"/>
            </w:tcBorders>
            <w:shd w:val="clear" w:color="auto" w:fill="E5E5E5"/>
          </w:tcPr>
          <w:p>
            <w:pPr>
              <w:jc w:val="right"/>
              <w:ind w:right="74"/>
              <w:spacing w:after="0" w:line="202" w:lineRule="exact"/>
              <w:rPr>
                <w:sz w:val="20"/>
                <w:szCs w:val="20"/>
                <w:color w:val="auto"/>
              </w:rPr>
            </w:pPr>
            <w:r>
              <w:rPr>
                <w:rFonts w:ascii="Arial" w:cs="Arial" w:eastAsia="Arial" w:hAnsi="Arial"/>
                <w:sz w:val="18"/>
                <w:szCs w:val="18"/>
                <w:color w:val="auto"/>
              </w:rPr>
              <w:t>29,131</w:t>
            </w:r>
          </w:p>
        </w:tc>
        <w:tc>
          <w:tcPr>
            <w:tcW w:w="20" w:type="dxa"/>
            <w:vAlign w:val="bottom"/>
            <w:tcBorders>
              <w:bottom w:val="single" w:sz="8" w:color="E5E5E5"/>
            </w:tcBorders>
            <w:shd w:val="clear" w:color="auto" w:fill="E5E5E5"/>
          </w:tcPr>
          <w:p>
            <w:pPr>
              <w:spacing w:after="0"/>
              <w:rPr>
                <w:sz w:val="17"/>
                <w:szCs w:val="17"/>
                <w:color w:val="auto"/>
              </w:rPr>
            </w:pPr>
          </w:p>
        </w:tc>
        <w:tc>
          <w:tcPr>
            <w:tcW w:w="1540" w:type="dxa"/>
            <w:vAlign w:val="bottom"/>
            <w:tcBorders>
              <w:bottom w:val="single" w:sz="8" w:color="002060"/>
            </w:tcBorders>
            <w:shd w:val="clear" w:color="auto" w:fill="E5E5E5"/>
          </w:tcPr>
          <w:p>
            <w:pPr>
              <w:jc w:val="right"/>
              <w:ind w:right="75"/>
              <w:spacing w:after="0" w:line="202" w:lineRule="exact"/>
              <w:rPr>
                <w:sz w:val="20"/>
                <w:szCs w:val="20"/>
                <w:color w:val="auto"/>
              </w:rPr>
            </w:pPr>
            <w:r>
              <w:rPr>
                <w:rFonts w:ascii="Arial" w:cs="Arial" w:eastAsia="Arial" w:hAnsi="Arial"/>
                <w:sz w:val="18"/>
                <w:szCs w:val="18"/>
                <w:color w:val="auto"/>
              </w:rPr>
              <w:t>2,999,910</w:t>
            </w:r>
          </w:p>
        </w:tc>
        <w:tc>
          <w:tcPr>
            <w:tcW w:w="20" w:type="dxa"/>
            <w:vAlign w:val="bottom"/>
            <w:tcBorders>
              <w:bottom w:val="single" w:sz="8" w:color="E5E5E5"/>
            </w:tcBorders>
            <w:shd w:val="clear" w:color="auto" w:fill="E5E5E5"/>
          </w:tcPr>
          <w:p>
            <w:pPr>
              <w:spacing w:after="0"/>
              <w:rPr>
                <w:sz w:val="17"/>
                <w:szCs w:val="17"/>
                <w:color w:val="auto"/>
              </w:rPr>
            </w:pPr>
          </w:p>
        </w:tc>
        <w:tc>
          <w:tcPr>
            <w:tcW w:w="1180" w:type="dxa"/>
            <w:vAlign w:val="bottom"/>
            <w:tcBorders>
              <w:bottom w:val="single" w:sz="8" w:color="002060"/>
            </w:tcBorders>
            <w:shd w:val="clear" w:color="auto" w:fill="E5E5E5"/>
          </w:tcPr>
          <w:p>
            <w:pPr>
              <w:jc w:val="right"/>
              <w:ind w:right="74"/>
              <w:spacing w:after="0" w:line="202" w:lineRule="exact"/>
              <w:rPr>
                <w:sz w:val="20"/>
                <w:szCs w:val="20"/>
                <w:color w:val="auto"/>
              </w:rPr>
            </w:pPr>
            <w:r>
              <w:rPr>
                <w:rFonts w:ascii="Arial" w:cs="Arial" w:eastAsia="Arial" w:hAnsi="Arial"/>
                <w:sz w:val="18"/>
                <w:szCs w:val="18"/>
                <w:color w:val="auto"/>
              </w:rPr>
              <w:t>32,798</w:t>
            </w:r>
          </w:p>
        </w:tc>
        <w:tc>
          <w:tcPr>
            <w:tcW w:w="20" w:type="dxa"/>
            <w:vAlign w:val="bottom"/>
            <w:tcBorders>
              <w:bottom w:val="single" w:sz="8" w:color="E5E5E5"/>
            </w:tcBorders>
            <w:shd w:val="clear" w:color="auto" w:fill="E5E5E5"/>
          </w:tcPr>
          <w:p>
            <w:pPr>
              <w:spacing w:after="0"/>
              <w:rPr>
                <w:sz w:val="17"/>
                <w:szCs w:val="17"/>
                <w:color w:val="auto"/>
              </w:rPr>
            </w:pPr>
          </w:p>
        </w:tc>
        <w:tc>
          <w:tcPr>
            <w:tcW w:w="1540" w:type="dxa"/>
            <w:vAlign w:val="bottom"/>
            <w:tcBorders>
              <w:bottom w:val="single" w:sz="8" w:color="002060"/>
            </w:tcBorders>
            <w:shd w:val="clear" w:color="auto" w:fill="E5E5E5"/>
          </w:tcPr>
          <w:p>
            <w:pPr>
              <w:jc w:val="right"/>
              <w:ind w:right="75"/>
              <w:spacing w:after="0" w:line="202" w:lineRule="exact"/>
              <w:rPr>
                <w:sz w:val="20"/>
                <w:szCs w:val="20"/>
                <w:color w:val="auto"/>
              </w:rPr>
            </w:pPr>
            <w:r>
              <w:rPr>
                <w:rFonts w:ascii="Arial" w:cs="Arial" w:eastAsia="Arial" w:hAnsi="Arial"/>
                <w:sz w:val="18"/>
                <w:szCs w:val="18"/>
                <w:color w:val="auto"/>
              </w:rPr>
              <w:t>3,599,908</w:t>
            </w:r>
          </w:p>
        </w:tc>
        <w:tc>
          <w:tcPr>
            <w:tcW w:w="20" w:type="dxa"/>
            <w:vAlign w:val="bottom"/>
            <w:tcBorders>
              <w:bottom w:val="single" w:sz="8" w:color="E5E5E5"/>
            </w:tcBorders>
            <w:shd w:val="clear" w:color="auto" w:fill="E5E5E5"/>
          </w:tcPr>
          <w:p>
            <w:pPr>
              <w:spacing w:after="0"/>
              <w:rPr>
                <w:sz w:val="17"/>
                <w:szCs w:val="17"/>
                <w:color w:val="auto"/>
              </w:rPr>
            </w:pPr>
          </w:p>
        </w:tc>
        <w:tc>
          <w:tcPr>
            <w:tcW w:w="1340" w:type="dxa"/>
            <w:vAlign w:val="bottom"/>
            <w:tcBorders>
              <w:bottom w:val="single" w:sz="8" w:color="002060"/>
            </w:tcBorders>
            <w:shd w:val="clear" w:color="auto" w:fill="E5E5E5"/>
          </w:tcPr>
          <w:p>
            <w:pPr>
              <w:jc w:val="right"/>
              <w:ind w:right="96"/>
              <w:spacing w:after="0" w:line="202" w:lineRule="exact"/>
              <w:rPr>
                <w:sz w:val="20"/>
                <w:szCs w:val="20"/>
                <w:color w:val="auto"/>
              </w:rPr>
            </w:pPr>
            <w:r>
              <w:rPr>
                <w:rFonts w:ascii="Arial" w:cs="Arial" w:eastAsia="Arial" w:hAnsi="Arial"/>
                <w:sz w:val="18"/>
                <w:szCs w:val="18"/>
                <w:color w:val="auto"/>
              </w:rPr>
              <w:t>64.4</w:t>
            </w:r>
          </w:p>
        </w:tc>
      </w:tr>
      <w:tr>
        <w:trPr>
          <w:trHeight w:val="196"/>
        </w:trPr>
        <w:tc>
          <w:tcPr>
            <w:tcW w:w="418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Michael T. Miller</w:t>
            </w:r>
          </w:p>
        </w:tc>
        <w:tc>
          <w:tcPr>
            <w:tcW w:w="1160" w:type="dxa"/>
            <w:vAlign w:val="bottom"/>
            <w:tcBorders>
              <w:bottom w:val="single" w:sz="8" w:color="002060"/>
            </w:tcBorders>
            <w:shd w:val="clear" w:color="auto" w:fill="E5E5E5"/>
          </w:tcPr>
          <w:p>
            <w:pPr>
              <w:jc w:val="right"/>
              <w:ind w:right="74"/>
              <w:spacing w:after="0" w:line="196" w:lineRule="exact"/>
              <w:rPr>
                <w:sz w:val="20"/>
                <w:szCs w:val="20"/>
                <w:color w:val="auto"/>
              </w:rPr>
            </w:pPr>
            <w:r>
              <w:rPr>
                <w:rFonts w:ascii="Arial" w:cs="Arial" w:eastAsia="Arial" w:hAnsi="Arial"/>
                <w:sz w:val="18"/>
                <w:szCs w:val="18"/>
                <w:color w:val="auto"/>
              </w:rPr>
              <w:t>9,370</w:t>
            </w:r>
          </w:p>
        </w:tc>
        <w:tc>
          <w:tcPr>
            <w:tcW w:w="20" w:type="dxa"/>
            <w:vAlign w:val="bottom"/>
            <w:tcBorders>
              <w:bottom w:val="single" w:sz="8" w:color="E5E5E5"/>
            </w:tcBorders>
            <w:shd w:val="clear" w:color="auto" w:fill="E5E5E5"/>
          </w:tcPr>
          <w:p>
            <w:pPr>
              <w:spacing w:after="0"/>
              <w:rPr>
                <w:sz w:val="17"/>
                <w:szCs w:val="17"/>
                <w:color w:val="auto"/>
              </w:rPr>
            </w:pPr>
          </w:p>
        </w:tc>
        <w:tc>
          <w:tcPr>
            <w:tcW w:w="1540" w:type="dxa"/>
            <w:vAlign w:val="bottom"/>
            <w:tcBorders>
              <w:bottom w:val="single" w:sz="8" w:color="002060"/>
            </w:tcBorders>
            <w:shd w:val="clear" w:color="auto" w:fill="E5E5E5"/>
          </w:tcPr>
          <w:p>
            <w:pPr>
              <w:jc w:val="right"/>
              <w:ind w:right="75"/>
              <w:spacing w:after="0" w:line="196" w:lineRule="exact"/>
              <w:rPr>
                <w:sz w:val="20"/>
                <w:szCs w:val="20"/>
                <w:color w:val="auto"/>
              </w:rPr>
            </w:pPr>
            <w:r>
              <w:rPr>
                <w:rFonts w:ascii="Arial" w:cs="Arial" w:eastAsia="Arial" w:hAnsi="Arial"/>
                <w:sz w:val="18"/>
                <w:szCs w:val="18"/>
                <w:color w:val="auto"/>
              </w:rPr>
              <w:t>964,923</w:t>
            </w:r>
          </w:p>
        </w:tc>
        <w:tc>
          <w:tcPr>
            <w:tcW w:w="20" w:type="dxa"/>
            <w:vAlign w:val="bottom"/>
            <w:tcBorders>
              <w:bottom w:val="single" w:sz="8" w:color="E5E5E5"/>
            </w:tcBorders>
            <w:shd w:val="clear" w:color="auto" w:fill="E5E5E5"/>
          </w:tcPr>
          <w:p>
            <w:pPr>
              <w:spacing w:after="0"/>
              <w:rPr>
                <w:sz w:val="17"/>
                <w:szCs w:val="17"/>
                <w:color w:val="auto"/>
              </w:rPr>
            </w:pPr>
          </w:p>
        </w:tc>
        <w:tc>
          <w:tcPr>
            <w:tcW w:w="1180" w:type="dxa"/>
            <w:vAlign w:val="bottom"/>
            <w:tcBorders>
              <w:bottom w:val="single" w:sz="8" w:color="002060"/>
            </w:tcBorders>
            <w:shd w:val="clear" w:color="auto" w:fill="E5E5E5"/>
          </w:tcPr>
          <w:p>
            <w:pPr>
              <w:jc w:val="right"/>
              <w:ind w:right="74"/>
              <w:spacing w:after="0" w:line="196" w:lineRule="exact"/>
              <w:rPr>
                <w:sz w:val="20"/>
                <w:szCs w:val="20"/>
                <w:color w:val="auto"/>
              </w:rPr>
            </w:pPr>
            <w:r>
              <w:rPr>
                <w:rFonts w:ascii="Arial" w:cs="Arial" w:eastAsia="Arial" w:hAnsi="Arial"/>
                <w:sz w:val="18"/>
                <w:szCs w:val="18"/>
                <w:color w:val="auto"/>
              </w:rPr>
              <w:t>10,568</w:t>
            </w:r>
          </w:p>
        </w:tc>
        <w:tc>
          <w:tcPr>
            <w:tcW w:w="20" w:type="dxa"/>
            <w:vAlign w:val="bottom"/>
            <w:tcBorders>
              <w:bottom w:val="single" w:sz="8" w:color="E5E5E5"/>
            </w:tcBorders>
            <w:shd w:val="clear" w:color="auto" w:fill="E5E5E5"/>
          </w:tcPr>
          <w:p>
            <w:pPr>
              <w:spacing w:after="0"/>
              <w:rPr>
                <w:sz w:val="17"/>
                <w:szCs w:val="17"/>
                <w:color w:val="auto"/>
              </w:rPr>
            </w:pPr>
          </w:p>
        </w:tc>
        <w:tc>
          <w:tcPr>
            <w:tcW w:w="1540" w:type="dxa"/>
            <w:vAlign w:val="bottom"/>
            <w:tcBorders>
              <w:bottom w:val="single" w:sz="8" w:color="002060"/>
            </w:tcBorders>
            <w:shd w:val="clear" w:color="auto" w:fill="E5E5E5"/>
          </w:tcPr>
          <w:p>
            <w:pPr>
              <w:jc w:val="right"/>
              <w:ind w:right="75"/>
              <w:spacing w:after="0" w:line="196" w:lineRule="exact"/>
              <w:rPr>
                <w:sz w:val="20"/>
                <w:szCs w:val="20"/>
                <w:color w:val="auto"/>
              </w:rPr>
            </w:pPr>
            <w:r>
              <w:rPr>
                <w:rFonts w:ascii="Arial" w:cs="Arial" w:eastAsia="Arial" w:hAnsi="Arial"/>
                <w:sz w:val="18"/>
                <w:szCs w:val="18"/>
                <w:color w:val="auto"/>
              </w:rPr>
              <w:t>1,159,944</w:t>
            </w:r>
          </w:p>
        </w:tc>
        <w:tc>
          <w:tcPr>
            <w:tcW w:w="20" w:type="dxa"/>
            <w:vAlign w:val="bottom"/>
            <w:tcBorders>
              <w:bottom w:val="single" w:sz="8" w:color="E5E5E5"/>
            </w:tcBorders>
            <w:shd w:val="clear" w:color="auto" w:fill="E5E5E5"/>
          </w:tcPr>
          <w:p>
            <w:pPr>
              <w:spacing w:after="0"/>
              <w:rPr>
                <w:sz w:val="17"/>
                <w:szCs w:val="17"/>
                <w:color w:val="auto"/>
              </w:rPr>
            </w:pPr>
          </w:p>
        </w:tc>
        <w:tc>
          <w:tcPr>
            <w:tcW w:w="1340" w:type="dxa"/>
            <w:vAlign w:val="bottom"/>
            <w:tcBorders>
              <w:bottom w:val="single" w:sz="8" w:color="002060"/>
            </w:tcBorders>
            <w:shd w:val="clear" w:color="auto" w:fill="E5E5E5"/>
          </w:tcPr>
          <w:p>
            <w:pPr>
              <w:jc w:val="right"/>
              <w:ind w:right="96"/>
              <w:spacing w:after="0" w:line="196" w:lineRule="exact"/>
              <w:rPr>
                <w:sz w:val="20"/>
                <w:szCs w:val="20"/>
                <w:color w:val="auto"/>
              </w:rPr>
            </w:pPr>
            <w:r>
              <w:rPr>
                <w:rFonts w:ascii="Arial" w:cs="Arial" w:eastAsia="Arial" w:hAnsi="Arial"/>
                <w:sz w:val="18"/>
                <w:szCs w:val="18"/>
                <w:color w:val="auto"/>
              </w:rPr>
              <w:t>57.0</w:t>
            </w:r>
          </w:p>
        </w:tc>
      </w:tr>
      <w:tr>
        <w:trPr>
          <w:trHeight w:val="196"/>
        </w:trPr>
        <w:tc>
          <w:tcPr>
            <w:tcW w:w="418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Jay P. Elliott</w:t>
            </w:r>
          </w:p>
        </w:tc>
        <w:tc>
          <w:tcPr>
            <w:tcW w:w="1160" w:type="dxa"/>
            <w:vAlign w:val="bottom"/>
            <w:tcBorders>
              <w:bottom w:val="single" w:sz="8" w:color="002060"/>
            </w:tcBorders>
            <w:shd w:val="clear" w:color="auto" w:fill="E5E5E5"/>
          </w:tcPr>
          <w:p>
            <w:pPr>
              <w:jc w:val="right"/>
              <w:ind w:right="74"/>
              <w:spacing w:after="0" w:line="196" w:lineRule="exact"/>
              <w:rPr>
                <w:sz w:val="20"/>
                <w:szCs w:val="20"/>
                <w:color w:val="auto"/>
              </w:rPr>
            </w:pPr>
            <w:r>
              <w:rPr>
                <w:rFonts w:ascii="Arial" w:cs="Arial" w:eastAsia="Arial" w:hAnsi="Arial"/>
                <w:sz w:val="18"/>
                <w:szCs w:val="18"/>
                <w:color w:val="auto"/>
              </w:rPr>
              <w:t>9,710</w:t>
            </w:r>
          </w:p>
        </w:tc>
        <w:tc>
          <w:tcPr>
            <w:tcW w:w="20" w:type="dxa"/>
            <w:vAlign w:val="bottom"/>
            <w:tcBorders>
              <w:bottom w:val="single" w:sz="8" w:color="E5E5E5"/>
            </w:tcBorders>
            <w:shd w:val="clear" w:color="auto" w:fill="E5E5E5"/>
          </w:tcPr>
          <w:p>
            <w:pPr>
              <w:spacing w:after="0"/>
              <w:rPr>
                <w:sz w:val="17"/>
                <w:szCs w:val="17"/>
                <w:color w:val="auto"/>
              </w:rPr>
            </w:pPr>
          </w:p>
        </w:tc>
        <w:tc>
          <w:tcPr>
            <w:tcW w:w="1540" w:type="dxa"/>
            <w:vAlign w:val="bottom"/>
            <w:tcBorders>
              <w:bottom w:val="single" w:sz="8" w:color="002060"/>
            </w:tcBorders>
            <w:shd w:val="clear" w:color="auto" w:fill="E5E5E5"/>
          </w:tcPr>
          <w:p>
            <w:pPr>
              <w:jc w:val="right"/>
              <w:ind w:right="75"/>
              <w:spacing w:after="0" w:line="196" w:lineRule="exact"/>
              <w:rPr>
                <w:sz w:val="20"/>
                <w:szCs w:val="20"/>
                <w:color w:val="auto"/>
              </w:rPr>
            </w:pPr>
            <w:r>
              <w:rPr>
                <w:rFonts w:ascii="Arial" w:cs="Arial" w:eastAsia="Arial" w:hAnsi="Arial"/>
                <w:sz w:val="18"/>
                <w:szCs w:val="18"/>
                <w:color w:val="auto"/>
              </w:rPr>
              <w:t>999,936</w:t>
            </w:r>
          </w:p>
        </w:tc>
        <w:tc>
          <w:tcPr>
            <w:tcW w:w="20" w:type="dxa"/>
            <w:vAlign w:val="bottom"/>
            <w:tcBorders>
              <w:bottom w:val="single" w:sz="8" w:color="E5E5E5"/>
            </w:tcBorders>
            <w:shd w:val="clear" w:color="auto" w:fill="E5E5E5"/>
          </w:tcPr>
          <w:p>
            <w:pPr>
              <w:spacing w:after="0"/>
              <w:rPr>
                <w:sz w:val="17"/>
                <w:szCs w:val="17"/>
                <w:color w:val="auto"/>
              </w:rPr>
            </w:pPr>
          </w:p>
        </w:tc>
        <w:tc>
          <w:tcPr>
            <w:tcW w:w="1180" w:type="dxa"/>
            <w:vAlign w:val="bottom"/>
            <w:tcBorders>
              <w:bottom w:val="single" w:sz="8" w:color="002060"/>
            </w:tcBorders>
            <w:shd w:val="clear" w:color="auto" w:fill="E5E5E5"/>
          </w:tcPr>
          <w:p>
            <w:pPr>
              <w:jc w:val="right"/>
              <w:ind w:right="74"/>
              <w:spacing w:after="0" w:line="196" w:lineRule="exact"/>
              <w:rPr>
                <w:sz w:val="20"/>
                <w:szCs w:val="20"/>
                <w:color w:val="auto"/>
              </w:rPr>
            </w:pPr>
            <w:r>
              <w:rPr>
                <w:rFonts w:ascii="Arial" w:cs="Arial" w:eastAsia="Arial" w:hAnsi="Arial"/>
                <w:sz w:val="18"/>
                <w:szCs w:val="18"/>
                <w:color w:val="auto"/>
              </w:rPr>
              <w:t>10,932</w:t>
            </w:r>
          </w:p>
        </w:tc>
        <w:tc>
          <w:tcPr>
            <w:tcW w:w="20" w:type="dxa"/>
            <w:vAlign w:val="bottom"/>
            <w:tcBorders>
              <w:bottom w:val="single" w:sz="8" w:color="E5E5E5"/>
            </w:tcBorders>
            <w:shd w:val="clear" w:color="auto" w:fill="E5E5E5"/>
          </w:tcPr>
          <w:p>
            <w:pPr>
              <w:spacing w:after="0"/>
              <w:rPr>
                <w:sz w:val="17"/>
                <w:szCs w:val="17"/>
                <w:color w:val="auto"/>
              </w:rPr>
            </w:pPr>
          </w:p>
        </w:tc>
        <w:tc>
          <w:tcPr>
            <w:tcW w:w="1540" w:type="dxa"/>
            <w:vAlign w:val="bottom"/>
            <w:tcBorders>
              <w:bottom w:val="single" w:sz="8" w:color="002060"/>
            </w:tcBorders>
            <w:shd w:val="clear" w:color="auto" w:fill="E5E5E5"/>
          </w:tcPr>
          <w:p>
            <w:pPr>
              <w:jc w:val="right"/>
              <w:ind w:right="75"/>
              <w:spacing w:after="0" w:line="196" w:lineRule="exact"/>
              <w:rPr>
                <w:sz w:val="20"/>
                <w:szCs w:val="20"/>
                <w:color w:val="auto"/>
              </w:rPr>
            </w:pPr>
            <w:r>
              <w:rPr>
                <w:rFonts w:ascii="Arial" w:cs="Arial" w:eastAsia="Arial" w:hAnsi="Arial"/>
                <w:sz w:val="18"/>
                <w:szCs w:val="18"/>
                <w:color w:val="auto"/>
              </w:rPr>
              <w:t>1,199,896</w:t>
            </w:r>
          </w:p>
        </w:tc>
        <w:tc>
          <w:tcPr>
            <w:tcW w:w="20" w:type="dxa"/>
            <w:vAlign w:val="bottom"/>
            <w:tcBorders>
              <w:bottom w:val="single" w:sz="8" w:color="E5E5E5"/>
            </w:tcBorders>
            <w:shd w:val="clear" w:color="auto" w:fill="E5E5E5"/>
          </w:tcPr>
          <w:p>
            <w:pPr>
              <w:spacing w:after="0"/>
              <w:rPr>
                <w:sz w:val="17"/>
                <w:szCs w:val="17"/>
                <w:color w:val="auto"/>
              </w:rPr>
            </w:pPr>
          </w:p>
        </w:tc>
        <w:tc>
          <w:tcPr>
            <w:tcW w:w="1340" w:type="dxa"/>
            <w:vAlign w:val="bottom"/>
            <w:tcBorders>
              <w:bottom w:val="single" w:sz="8" w:color="002060"/>
            </w:tcBorders>
            <w:shd w:val="clear" w:color="auto" w:fill="E5E5E5"/>
          </w:tcPr>
          <w:p>
            <w:pPr>
              <w:jc w:val="right"/>
              <w:ind w:right="96"/>
              <w:spacing w:after="0" w:line="196" w:lineRule="exact"/>
              <w:rPr>
                <w:sz w:val="20"/>
                <w:szCs w:val="20"/>
                <w:color w:val="auto"/>
              </w:rPr>
            </w:pPr>
            <w:r>
              <w:rPr>
                <w:rFonts w:ascii="Arial" w:cs="Arial" w:eastAsia="Arial" w:hAnsi="Arial"/>
                <w:sz w:val="18"/>
                <w:szCs w:val="18"/>
                <w:color w:val="auto"/>
              </w:rPr>
              <w:t>59.7</w:t>
            </w:r>
          </w:p>
        </w:tc>
      </w:tr>
      <w:tr>
        <w:trPr>
          <w:trHeight w:val="196"/>
        </w:trPr>
        <w:tc>
          <w:tcPr>
            <w:tcW w:w="418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W. Jeffrey Hire</w:t>
            </w:r>
          </w:p>
        </w:tc>
        <w:tc>
          <w:tcPr>
            <w:tcW w:w="1160" w:type="dxa"/>
            <w:vAlign w:val="bottom"/>
            <w:tcBorders>
              <w:bottom w:val="single" w:sz="8" w:color="002060"/>
            </w:tcBorders>
            <w:shd w:val="clear" w:color="auto" w:fill="E5E5E5"/>
          </w:tcPr>
          <w:p>
            <w:pPr>
              <w:jc w:val="right"/>
              <w:ind w:right="74"/>
              <w:spacing w:after="0" w:line="196" w:lineRule="exact"/>
              <w:rPr>
                <w:sz w:val="20"/>
                <w:szCs w:val="20"/>
                <w:color w:val="auto"/>
              </w:rPr>
            </w:pPr>
            <w:r>
              <w:rPr>
                <w:rFonts w:ascii="Arial" w:cs="Arial" w:eastAsia="Arial" w:hAnsi="Arial"/>
                <w:sz w:val="18"/>
                <w:szCs w:val="18"/>
                <w:color w:val="auto"/>
              </w:rPr>
              <w:t>1,942</w:t>
            </w:r>
          </w:p>
        </w:tc>
        <w:tc>
          <w:tcPr>
            <w:tcW w:w="20" w:type="dxa"/>
            <w:vAlign w:val="bottom"/>
            <w:tcBorders>
              <w:bottom w:val="single" w:sz="8" w:color="E5E5E5"/>
            </w:tcBorders>
            <w:shd w:val="clear" w:color="auto" w:fill="E5E5E5"/>
          </w:tcPr>
          <w:p>
            <w:pPr>
              <w:spacing w:after="0"/>
              <w:rPr>
                <w:sz w:val="17"/>
                <w:szCs w:val="17"/>
                <w:color w:val="auto"/>
              </w:rPr>
            </w:pPr>
          </w:p>
        </w:tc>
        <w:tc>
          <w:tcPr>
            <w:tcW w:w="1540" w:type="dxa"/>
            <w:vAlign w:val="bottom"/>
            <w:tcBorders>
              <w:bottom w:val="single" w:sz="8" w:color="002060"/>
            </w:tcBorders>
            <w:shd w:val="clear" w:color="auto" w:fill="E5E5E5"/>
          </w:tcPr>
          <w:p>
            <w:pPr>
              <w:jc w:val="right"/>
              <w:ind w:right="75"/>
              <w:spacing w:after="0" w:line="196" w:lineRule="exact"/>
              <w:rPr>
                <w:sz w:val="20"/>
                <w:szCs w:val="20"/>
                <w:color w:val="auto"/>
              </w:rPr>
            </w:pPr>
            <w:r>
              <w:rPr>
                <w:rFonts w:ascii="Arial" w:cs="Arial" w:eastAsia="Arial" w:hAnsi="Arial"/>
                <w:sz w:val="18"/>
                <w:szCs w:val="18"/>
                <w:color w:val="auto"/>
              </w:rPr>
              <w:t>199,987</w:t>
            </w:r>
          </w:p>
        </w:tc>
        <w:tc>
          <w:tcPr>
            <w:tcW w:w="20" w:type="dxa"/>
            <w:vAlign w:val="bottom"/>
            <w:tcBorders>
              <w:bottom w:val="single" w:sz="8" w:color="E5E5E5"/>
            </w:tcBorders>
            <w:shd w:val="clear" w:color="auto" w:fill="E5E5E5"/>
          </w:tcPr>
          <w:p>
            <w:pPr>
              <w:spacing w:after="0"/>
              <w:rPr>
                <w:sz w:val="17"/>
                <w:szCs w:val="17"/>
                <w:color w:val="auto"/>
              </w:rPr>
            </w:pPr>
          </w:p>
        </w:tc>
        <w:tc>
          <w:tcPr>
            <w:tcW w:w="1180" w:type="dxa"/>
            <w:vAlign w:val="bottom"/>
            <w:tcBorders>
              <w:bottom w:val="single" w:sz="8" w:color="002060"/>
            </w:tcBorders>
            <w:shd w:val="clear" w:color="auto" w:fill="E5E5E5"/>
          </w:tcPr>
          <w:p>
            <w:pPr>
              <w:jc w:val="right"/>
              <w:ind w:right="74"/>
              <w:spacing w:after="0" w:line="196" w:lineRule="exact"/>
              <w:rPr>
                <w:sz w:val="20"/>
                <w:szCs w:val="20"/>
                <w:color w:val="auto"/>
              </w:rPr>
            </w:pPr>
            <w:r>
              <w:rPr>
                <w:rFonts w:ascii="Arial" w:cs="Arial" w:eastAsia="Arial" w:hAnsi="Arial"/>
                <w:sz w:val="18"/>
                <w:szCs w:val="18"/>
                <w:color w:val="auto"/>
              </w:rPr>
              <w:t>2,277</w:t>
            </w:r>
          </w:p>
        </w:tc>
        <w:tc>
          <w:tcPr>
            <w:tcW w:w="20" w:type="dxa"/>
            <w:vAlign w:val="bottom"/>
            <w:tcBorders>
              <w:bottom w:val="single" w:sz="8" w:color="E5E5E5"/>
            </w:tcBorders>
            <w:shd w:val="clear" w:color="auto" w:fill="E5E5E5"/>
          </w:tcPr>
          <w:p>
            <w:pPr>
              <w:spacing w:after="0"/>
              <w:rPr>
                <w:sz w:val="17"/>
                <w:szCs w:val="17"/>
                <w:color w:val="auto"/>
              </w:rPr>
            </w:pPr>
          </w:p>
        </w:tc>
        <w:tc>
          <w:tcPr>
            <w:tcW w:w="1540" w:type="dxa"/>
            <w:vAlign w:val="bottom"/>
            <w:tcBorders>
              <w:bottom w:val="single" w:sz="8" w:color="002060"/>
            </w:tcBorders>
            <w:shd w:val="clear" w:color="auto" w:fill="E5E5E5"/>
          </w:tcPr>
          <w:p>
            <w:pPr>
              <w:jc w:val="right"/>
              <w:ind w:right="75"/>
              <w:spacing w:after="0" w:line="196" w:lineRule="exact"/>
              <w:rPr>
                <w:sz w:val="20"/>
                <w:szCs w:val="20"/>
                <w:color w:val="auto"/>
              </w:rPr>
            </w:pPr>
            <w:r>
              <w:rPr>
                <w:rFonts w:ascii="Arial" w:cs="Arial" w:eastAsia="Arial" w:hAnsi="Arial"/>
                <w:sz w:val="18"/>
                <w:szCs w:val="18"/>
                <w:color w:val="auto"/>
              </w:rPr>
              <w:t>249,924</w:t>
            </w:r>
          </w:p>
        </w:tc>
        <w:tc>
          <w:tcPr>
            <w:tcW w:w="20" w:type="dxa"/>
            <w:vAlign w:val="bottom"/>
            <w:tcBorders>
              <w:bottom w:val="single" w:sz="8" w:color="E5E5E5"/>
            </w:tcBorders>
            <w:shd w:val="clear" w:color="auto" w:fill="E5E5E5"/>
          </w:tcPr>
          <w:p>
            <w:pPr>
              <w:spacing w:after="0"/>
              <w:rPr>
                <w:sz w:val="17"/>
                <w:szCs w:val="17"/>
                <w:color w:val="auto"/>
              </w:rPr>
            </w:pPr>
          </w:p>
        </w:tc>
        <w:tc>
          <w:tcPr>
            <w:tcW w:w="1340" w:type="dxa"/>
            <w:vAlign w:val="bottom"/>
            <w:tcBorders>
              <w:bottom w:val="single" w:sz="8" w:color="002060"/>
            </w:tcBorders>
            <w:shd w:val="clear" w:color="auto" w:fill="E5E5E5"/>
          </w:tcPr>
          <w:p>
            <w:pPr>
              <w:jc w:val="right"/>
              <w:ind w:right="96"/>
              <w:spacing w:after="0" w:line="196" w:lineRule="exact"/>
              <w:rPr>
                <w:sz w:val="20"/>
                <w:szCs w:val="20"/>
                <w:color w:val="auto"/>
              </w:rPr>
            </w:pPr>
            <w:r>
              <w:rPr>
                <w:rFonts w:ascii="Arial" w:cs="Arial" w:eastAsia="Arial" w:hAnsi="Arial"/>
                <w:sz w:val="18"/>
                <w:szCs w:val="18"/>
                <w:color w:val="auto"/>
              </w:rPr>
              <w:t>28.7</w:t>
            </w:r>
          </w:p>
        </w:tc>
      </w:tr>
      <w:tr>
        <w:trPr>
          <w:trHeight w:val="203"/>
        </w:trPr>
        <w:tc>
          <w:tcPr>
            <w:tcW w:w="418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Jason R. Niswonger</w:t>
            </w:r>
          </w:p>
        </w:tc>
        <w:tc>
          <w:tcPr>
            <w:tcW w:w="1160" w:type="dxa"/>
            <w:vAlign w:val="bottom"/>
            <w:tcBorders>
              <w:bottom w:val="single" w:sz="8" w:color="002060"/>
            </w:tcBorders>
            <w:shd w:val="clear" w:color="auto" w:fill="E5E5E5"/>
          </w:tcPr>
          <w:p>
            <w:pPr>
              <w:jc w:val="right"/>
              <w:ind w:right="74"/>
              <w:spacing w:after="0" w:line="196" w:lineRule="exact"/>
              <w:rPr>
                <w:sz w:val="20"/>
                <w:szCs w:val="20"/>
                <w:color w:val="auto"/>
              </w:rPr>
            </w:pPr>
            <w:r>
              <w:rPr>
                <w:rFonts w:ascii="Arial" w:cs="Arial" w:eastAsia="Arial" w:hAnsi="Arial"/>
                <w:sz w:val="18"/>
                <w:szCs w:val="18"/>
                <w:color w:val="auto"/>
              </w:rPr>
              <w:t>2,718</w:t>
            </w:r>
          </w:p>
        </w:tc>
        <w:tc>
          <w:tcPr>
            <w:tcW w:w="20" w:type="dxa"/>
            <w:vAlign w:val="bottom"/>
            <w:tcBorders>
              <w:bottom w:val="single" w:sz="8" w:color="002060"/>
            </w:tcBorders>
            <w:shd w:val="clear" w:color="auto" w:fill="E5E5E5"/>
          </w:tcPr>
          <w:p>
            <w:pPr>
              <w:spacing w:after="0"/>
              <w:rPr>
                <w:sz w:val="17"/>
                <w:szCs w:val="17"/>
                <w:color w:val="auto"/>
              </w:rPr>
            </w:pPr>
          </w:p>
        </w:tc>
        <w:tc>
          <w:tcPr>
            <w:tcW w:w="1540" w:type="dxa"/>
            <w:vAlign w:val="bottom"/>
            <w:tcBorders>
              <w:bottom w:val="single" w:sz="8" w:color="002060"/>
            </w:tcBorders>
            <w:shd w:val="clear" w:color="auto" w:fill="E5E5E5"/>
          </w:tcPr>
          <w:p>
            <w:pPr>
              <w:jc w:val="right"/>
              <w:ind w:right="75"/>
              <w:spacing w:after="0" w:line="196" w:lineRule="exact"/>
              <w:rPr>
                <w:sz w:val="20"/>
                <w:szCs w:val="20"/>
                <w:color w:val="auto"/>
              </w:rPr>
            </w:pPr>
            <w:r>
              <w:rPr>
                <w:rFonts w:ascii="Arial" w:cs="Arial" w:eastAsia="Arial" w:hAnsi="Arial"/>
                <w:sz w:val="18"/>
                <w:szCs w:val="18"/>
                <w:color w:val="auto"/>
              </w:rPr>
              <w:t>279,900</w:t>
            </w:r>
          </w:p>
        </w:tc>
        <w:tc>
          <w:tcPr>
            <w:tcW w:w="20" w:type="dxa"/>
            <w:vAlign w:val="bottom"/>
            <w:tcBorders>
              <w:bottom w:val="single" w:sz="8" w:color="002060"/>
            </w:tcBorders>
            <w:shd w:val="clear" w:color="auto" w:fill="E5E5E5"/>
          </w:tcPr>
          <w:p>
            <w:pPr>
              <w:spacing w:after="0"/>
              <w:rPr>
                <w:sz w:val="17"/>
                <w:szCs w:val="17"/>
                <w:color w:val="auto"/>
              </w:rPr>
            </w:pPr>
          </w:p>
        </w:tc>
        <w:tc>
          <w:tcPr>
            <w:tcW w:w="1180" w:type="dxa"/>
            <w:vAlign w:val="bottom"/>
            <w:tcBorders>
              <w:bottom w:val="single" w:sz="8" w:color="002060"/>
            </w:tcBorders>
            <w:shd w:val="clear" w:color="auto" w:fill="E5E5E5"/>
          </w:tcPr>
          <w:p>
            <w:pPr>
              <w:jc w:val="right"/>
              <w:ind w:right="74"/>
              <w:spacing w:after="0" w:line="196" w:lineRule="exact"/>
              <w:rPr>
                <w:sz w:val="20"/>
                <w:szCs w:val="20"/>
                <w:color w:val="auto"/>
              </w:rPr>
            </w:pPr>
            <w:r>
              <w:rPr>
                <w:rFonts w:ascii="Arial" w:cs="Arial" w:eastAsia="Arial" w:hAnsi="Arial"/>
                <w:sz w:val="18"/>
                <w:szCs w:val="18"/>
                <w:color w:val="auto"/>
              </w:rPr>
              <w:t>3,735</w:t>
            </w:r>
          </w:p>
        </w:tc>
        <w:tc>
          <w:tcPr>
            <w:tcW w:w="20" w:type="dxa"/>
            <w:vAlign w:val="bottom"/>
            <w:tcBorders>
              <w:bottom w:val="single" w:sz="8" w:color="002060"/>
            </w:tcBorders>
            <w:shd w:val="clear" w:color="auto" w:fill="E5E5E5"/>
          </w:tcPr>
          <w:p>
            <w:pPr>
              <w:spacing w:after="0"/>
              <w:rPr>
                <w:sz w:val="17"/>
                <w:szCs w:val="17"/>
                <w:color w:val="auto"/>
              </w:rPr>
            </w:pPr>
          </w:p>
        </w:tc>
        <w:tc>
          <w:tcPr>
            <w:tcW w:w="1540" w:type="dxa"/>
            <w:vAlign w:val="bottom"/>
            <w:tcBorders>
              <w:bottom w:val="single" w:sz="8" w:color="002060"/>
            </w:tcBorders>
            <w:shd w:val="clear" w:color="auto" w:fill="E5E5E5"/>
          </w:tcPr>
          <w:p>
            <w:pPr>
              <w:jc w:val="right"/>
              <w:ind w:right="75"/>
              <w:spacing w:after="0" w:line="196" w:lineRule="exact"/>
              <w:rPr>
                <w:sz w:val="20"/>
                <w:szCs w:val="20"/>
                <w:color w:val="auto"/>
              </w:rPr>
            </w:pPr>
            <w:r>
              <w:rPr>
                <w:rFonts w:ascii="Arial" w:cs="Arial" w:eastAsia="Arial" w:hAnsi="Arial"/>
                <w:sz w:val="18"/>
                <w:szCs w:val="18"/>
                <w:color w:val="auto"/>
              </w:rPr>
              <w:t>409,954</w:t>
            </w:r>
          </w:p>
        </w:tc>
        <w:tc>
          <w:tcPr>
            <w:tcW w:w="20" w:type="dxa"/>
            <w:vAlign w:val="bottom"/>
            <w:tcBorders>
              <w:bottom w:val="single" w:sz="8" w:color="002060"/>
            </w:tcBorders>
            <w:shd w:val="clear" w:color="auto" w:fill="E5E5E5"/>
          </w:tcPr>
          <w:p>
            <w:pPr>
              <w:spacing w:after="0"/>
              <w:rPr>
                <w:sz w:val="17"/>
                <w:szCs w:val="17"/>
                <w:color w:val="auto"/>
              </w:rPr>
            </w:pPr>
          </w:p>
        </w:tc>
        <w:tc>
          <w:tcPr>
            <w:tcW w:w="1340" w:type="dxa"/>
            <w:vAlign w:val="bottom"/>
            <w:tcBorders>
              <w:bottom w:val="single" w:sz="8" w:color="002060"/>
            </w:tcBorders>
            <w:shd w:val="clear" w:color="auto" w:fill="E5E5E5"/>
          </w:tcPr>
          <w:p>
            <w:pPr>
              <w:jc w:val="right"/>
              <w:ind w:right="96"/>
              <w:spacing w:after="0" w:line="196" w:lineRule="exact"/>
              <w:rPr>
                <w:sz w:val="20"/>
                <w:szCs w:val="20"/>
                <w:color w:val="auto"/>
              </w:rPr>
            </w:pPr>
            <w:r>
              <w:rPr>
                <w:rFonts w:ascii="Arial" w:cs="Arial" w:eastAsia="Arial" w:hAnsi="Arial"/>
                <w:sz w:val="18"/>
                <w:szCs w:val="18"/>
                <w:color w:val="auto"/>
              </w:rPr>
              <w:t>37.3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-710565</wp:posOffset>
            </wp:positionV>
            <wp:extent cx="17145" cy="7112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145" cy="71120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-710565</wp:posOffset>
            </wp:positionV>
            <wp:extent cx="17145" cy="7112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145" cy="71120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-710565</wp:posOffset>
            </wp:positionV>
            <wp:extent cx="17145" cy="7112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7145" cy="71120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-710565</wp:posOffset>
            </wp:positionV>
            <wp:extent cx="17145" cy="7112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145" cy="711200"/>
                    </a:xfrm>
                    <a:prstGeom prst="rect">
                      <a:avLst/>
                    </a:prstGeom>
                    <a:noFill/>
                  </pic:spPr>
                </pic:pic>
              </a:graphicData>
            </a:graphic>
          </wp:anchor>
        </w:drawing>
      </w:r>
    </w:p>
    <w:p>
      <w:pPr>
        <w:spacing w:after="0" w:line="204" w:lineRule="exact"/>
        <w:rPr>
          <w:sz w:val="20"/>
          <w:szCs w:val="20"/>
          <w:color w:val="auto"/>
        </w:rPr>
      </w:pPr>
    </w:p>
    <w:p>
      <w:pPr>
        <w:ind w:left="540" w:right="400" w:hanging="424"/>
        <w:spacing w:after="0" w:line="271"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grant date fair value was determined by multiplying the closing price of the Company’s common stock on February 17, 2023 ($109.76) by the number of target shares.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002060"/>
        </w:rPr>
        <w:t>Section 5 – Other Compensation and Policies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Executive Benefits and Perquisites</w:t>
      </w:r>
    </w:p>
    <w:p>
      <w:pPr>
        <w:spacing w:after="0" w:line="185"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 xml:space="preserve">The Company offers no perquisites to our NEOs that are not generally available to salaried employees, other than auto leases or allowances (including insurance) and cell phones. Such perquisites do not play a significant role in our executive compensation program. The perquisites and other benefits provided to our named executive officers are set forth in the “All Other Compensation” column of the </w:t>
      </w: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below. From time to time, our NEOs may travel by Company-paid chartered aircraft services to facilitate</w:t>
      </w:r>
      <w:r>
        <w:rPr>
          <w:rFonts w:ascii="Arial" w:cs="Arial" w:eastAsia="Arial" w:hAnsi="Arial"/>
          <w:sz w:val="18"/>
          <w:szCs w:val="18"/>
          <w:i w:val="1"/>
          <w:iCs w:val="1"/>
          <w:color w:val="auto"/>
        </w:rPr>
        <w:t xml:space="preserve"> </w:t>
      </w:r>
      <w:r>
        <w:rPr>
          <w:rFonts w:ascii="Arial" w:cs="Arial" w:eastAsia="Arial" w:hAnsi="Arial"/>
          <w:sz w:val="18"/>
          <w:szCs w:val="18"/>
          <w:color w:val="auto"/>
        </w:rPr>
        <w:t>travel that is directly related to the performance of their duties.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Post-Termination Compensation</w:t>
      </w:r>
    </w:p>
    <w:p>
      <w:pPr>
        <w:spacing w:after="0" w:line="171"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We do not have severance or change-in-control arrangements with our named executive officers, except for Mr. Edwards. If a NEO’s employment is terminated due to retirement or disability, the Compensation and Human Capital Committee may, in the exercise of its discretion, determine to accelerate vesting of restricted stock awards and to waive any limitations placed on performance-based incentive cash awards. If an NEO’s employment is terminated due to the executive’s death, all earned but unvested restricted stock awards automatically vest in full.</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entered into an employment agreement with Mr. Edwards, the terms of which are more fully described below in</w:t>
      </w:r>
    </w:p>
    <w:p>
      <w:pPr>
        <w:spacing w:after="0" w:line="14"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Employment Agreement with Jeffrey W. Edwards</w:t>
      </w:r>
      <w:r>
        <w:rPr>
          <w:rFonts w:ascii="Arial" w:cs="Arial" w:eastAsia="Arial" w:hAnsi="Arial"/>
          <w:sz w:val="18"/>
          <w:szCs w:val="18"/>
          <w:color w:val="auto"/>
        </w:rPr>
        <w:t>.” Under the terms of his employment agreement, Mr. Edwards is entitled to certain severance benefits in the event his employment is terminated by the Company without “Cause” or by Mr. Edwards for “Good Reason,” as defined in the employment agreement. These benefits include salary continuation, a lump sum cash payment and payment of earned but unpaid or unissued performance-based incentive awards. Details of the arrangement with Mr. Edwards are described in more detail in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 We have entered into non-compete agreements with each of our named executive officers, which also contain confidentiality provisions.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Retirement / Post-Employment Benefits</w:t>
      </w:r>
    </w:p>
    <w:p>
      <w:pPr>
        <w:spacing w:after="0" w:line="171" w:lineRule="exact"/>
        <w:rPr>
          <w:sz w:val="20"/>
          <w:szCs w:val="20"/>
          <w:color w:val="auto"/>
        </w:rPr>
      </w:pPr>
    </w:p>
    <w:p>
      <w:pPr>
        <w:jc w:val="both"/>
        <w:ind w:left="120" w:right="360"/>
        <w:spacing w:after="0" w:line="253" w:lineRule="auto"/>
        <w:rPr>
          <w:sz w:val="20"/>
          <w:szCs w:val="20"/>
          <w:color w:val="auto"/>
        </w:rPr>
      </w:pPr>
      <w:r>
        <w:rPr>
          <w:rFonts w:ascii="Arial" w:cs="Arial" w:eastAsia="Arial" w:hAnsi="Arial"/>
          <w:sz w:val="18"/>
          <w:szCs w:val="18"/>
          <w:color w:val="auto"/>
        </w:rPr>
        <w:t>The Company does not provide retirement programs or similar benefits to its NEOs other than our 401(k) program, which is generally available to all of our qualifying employees, and our non-qualified deferred compensation plan, which allows our executive officers and other highly compensated employees to defer a portion of their eligible compensation above 401(k) plan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282575" cy="2654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194" w:lineRule="exact"/>
        <w:rPr>
          <w:sz w:val="20"/>
          <w:szCs w:val="20"/>
          <w:color w:val="auto"/>
        </w:rPr>
      </w:pPr>
    </w:p>
    <w:p>
      <w:pPr>
        <w:ind w:left="240"/>
        <w:spacing w:after="0"/>
        <w:tabs>
          <w:tab w:leader="none" w:pos="660" w:val="left"/>
          <w:tab w:leader="none" w:pos="8280" w:val="left"/>
        </w:tabs>
        <w:rPr>
          <w:sz w:val="20"/>
          <w:szCs w:val="20"/>
          <w:color w:val="auto"/>
        </w:rPr>
      </w:pPr>
      <w:r>
        <w:rPr>
          <w:rFonts w:ascii="Arial" w:cs="Arial" w:eastAsia="Arial" w:hAnsi="Arial"/>
          <w:sz w:val="16"/>
          <w:szCs w:val="16"/>
          <w:color w:val="FFFFFF"/>
        </w:rPr>
        <w:t>64</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Compensation Discussion and Analysis</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Equity Grant Practices</w:t>
      </w:r>
    </w:p>
    <w:p>
      <w:pPr>
        <w:spacing w:after="0" w:line="185"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The Compensation and Human Capital Committee’s practice has been to grant equity awards to our NEOs during the first quarter of each year. We do not engage in the practice of timing grants with the release of non-public information. In 2022, we did not grant any stock options or other stock-based compensation other than incentive restricted stock described herein.</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Tax Gross Ups and Other Considerations</w:t>
      </w:r>
    </w:p>
    <w:p>
      <w:pPr>
        <w:spacing w:after="0" w:line="17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We do not provide tax gross-ups for perquisites provided to our NEOs or for excise tax applied pursuant to Section 280G of the Code, and none of our NEOs received a tax gross-up for any benefits in 2022.</w:t>
      </w:r>
    </w:p>
    <w:p>
      <w:pPr>
        <w:spacing w:after="0" w:line="127"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The Compensation and Human Capital Committee believes that its responsibility is to provide a compensation program that attracts, retains and rewards executives essential to our success, and that compensation for our executive officers should be managed in accordance with the objectives outlined in our compensation philosophy and in the best overall interests of our stockholders. The Compensation and Human Capital Committee considers income tax and other consequences of compensation elements when analyzing the overall level of compensation and mix of compensation elements. The Compensation and Human Capital Committee may determine to award compensation that is not tax deductible, balancing the purposes and needs of our executive compensation program against potential tax and other implications.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Stock Ownership Guidelines</w:t>
      </w:r>
    </w:p>
    <w:p>
      <w:pPr>
        <w:spacing w:after="0" w:line="230" w:lineRule="exact"/>
        <w:rPr>
          <w:sz w:val="20"/>
          <w:szCs w:val="20"/>
          <w:color w:val="auto"/>
        </w:rPr>
      </w:pPr>
    </w:p>
    <w:tbl>
      <w:tblPr>
        <w:tblLayout w:type="fixed"/>
        <w:tblInd w:w="400" w:type="dxa"/>
        <w:tblCellMar>
          <w:top w:w="0" w:type="dxa"/>
          <w:left w:w="0" w:type="dxa"/>
          <w:bottom w:w="0" w:type="dxa"/>
          <w:right w:w="0" w:type="dxa"/>
        </w:tblCellMar>
      </w:tblPr>
      <w:tr>
        <w:trPr>
          <w:trHeight w:val="257"/>
        </w:trPr>
        <w:tc>
          <w:tcPr>
            <w:tcW w:w="6840" w:type="dxa"/>
            <w:vAlign w:val="bottom"/>
            <w:shd w:val="clear" w:color="auto" w:fill="0070C0"/>
          </w:tcPr>
          <w:p>
            <w:pPr>
              <w:ind w:left="100"/>
              <w:spacing w:after="0"/>
              <w:rPr>
                <w:sz w:val="20"/>
                <w:szCs w:val="20"/>
                <w:color w:val="auto"/>
              </w:rPr>
            </w:pPr>
            <w:r>
              <w:rPr>
                <w:rFonts w:ascii="Arial" w:cs="Arial" w:eastAsia="Arial" w:hAnsi="Arial"/>
                <w:sz w:val="18"/>
                <w:szCs w:val="18"/>
                <w:b w:val="1"/>
                <w:bCs w:val="1"/>
                <w:color w:val="FFFFFF"/>
              </w:rPr>
              <w:t>Position</w:t>
            </w:r>
          </w:p>
        </w:tc>
        <w:tc>
          <w:tcPr>
            <w:tcW w:w="3620" w:type="dxa"/>
            <w:vAlign w:val="bottom"/>
            <w:shd w:val="clear" w:color="auto" w:fill="0070C0"/>
          </w:tcPr>
          <w:p>
            <w:pPr>
              <w:ind w:left="1220"/>
              <w:spacing w:after="0"/>
              <w:rPr>
                <w:sz w:val="20"/>
                <w:szCs w:val="20"/>
                <w:color w:val="auto"/>
              </w:rPr>
            </w:pPr>
            <w:r>
              <w:rPr>
                <w:rFonts w:ascii="Arial" w:cs="Arial" w:eastAsia="Arial" w:hAnsi="Arial"/>
                <w:sz w:val="18"/>
                <w:szCs w:val="18"/>
                <w:b w:val="1"/>
                <w:bCs w:val="1"/>
                <w:color w:val="FFFFFF"/>
              </w:rPr>
              <w:t>Stock Ownership Level</w:t>
            </w:r>
          </w:p>
        </w:tc>
      </w:tr>
      <w:tr>
        <w:trPr>
          <w:trHeight w:val="288"/>
        </w:trPr>
        <w:tc>
          <w:tcPr>
            <w:tcW w:w="6840" w:type="dxa"/>
            <w:vAlign w:val="bottom"/>
          </w:tcPr>
          <w:p>
            <w:pPr>
              <w:ind w:left="180"/>
              <w:spacing w:after="0"/>
              <w:rPr>
                <w:sz w:val="20"/>
                <w:szCs w:val="20"/>
                <w:color w:val="auto"/>
              </w:rPr>
            </w:pPr>
            <w:r>
              <w:rPr>
                <w:rFonts w:ascii="Arial" w:cs="Arial" w:eastAsia="Arial" w:hAnsi="Arial"/>
                <w:sz w:val="18"/>
                <w:szCs w:val="18"/>
                <w:color w:val="auto"/>
              </w:rPr>
              <w:t>Chief Executive Officer</w:t>
            </w:r>
          </w:p>
        </w:tc>
        <w:tc>
          <w:tcPr>
            <w:tcW w:w="3620" w:type="dxa"/>
            <w:vAlign w:val="bottom"/>
          </w:tcPr>
          <w:p>
            <w:pPr>
              <w:ind w:left="1540"/>
              <w:spacing w:after="0"/>
              <w:rPr>
                <w:sz w:val="20"/>
                <w:szCs w:val="20"/>
                <w:color w:val="auto"/>
              </w:rPr>
            </w:pPr>
            <w:r>
              <w:rPr>
                <w:rFonts w:ascii="Arial" w:cs="Arial" w:eastAsia="Arial" w:hAnsi="Arial"/>
                <w:sz w:val="18"/>
                <w:szCs w:val="18"/>
                <w:color w:val="auto"/>
              </w:rPr>
              <w:t>5 times base salary</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Chief Financial Officer</w:t>
            </w:r>
          </w:p>
        </w:tc>
        <w:tc>
          <w:tcPr>
            <w:tcW w:w="3620" w:type="dxa"/>
            <w:vAlign w:val="bottom"/>
          </w:tcPr>
          <w:p>
            <w:pPr>
              <w:ind w:left="1540"/>
              <w:spacing w:after="0"/>
              <w:rPr>
                <w:sz w:val="20"/>
                <w:szCs w:val="20"/>
                <w:color w:val="auto"/>
              </w:rPr>
            </w:pPr>
            <w:r>
              <w:rPr>
                <w:rFonts w:ascii="Arial" w:cs="Arial" w:eastAsia="Arial" w:hAnsi="Arial"/>
                <w:sz w:val="18"/>
                <w:szCs w:val="18"/>
                <w:color w:val="auto"/>
              </w:rPr>
              <w:t>3 times base salary</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Chief Operating Officer</w:t>
            </w:r>
          </w:p>
        </w:tc>
        <w:tc>
          <w:tcPr>
            <w:tcW w:w="3620" w:type="dxa"/>
            <w:vAlign w:val="bottom"/>
          </w:tcPr>
          <w:p>
            <w:pPr>
              <w:ind w:left="1540"/>
              <w:spacing w:after="0"/>
              <w:rPr>
                <w:sz w:val="20"/>
                <w:szCs w:val="20"/>
                <w:color w:val="auto"/>
              </w:rPr>
            </w:pPr>
            <w:r>
              <w:rPr>
                <w:rFonts w:ascii="Arial" w:cs="Arial" w:eastAsia="Arial" w:hAnsi="Arial"/>
                <w:sz w:val="18"/>
                <w:szCs w:val="18"/>
                <w:color w:val="auto"/>
              </w:rPr>
              <w:t>3 times base salary</w:t>
            </w:r>
          </w:p>
        </w:tc>
      </w:tr>
      <w:tr>
        <w:trPr>
          <w:trHeight w:val="256"/>
        </w:trPr>
        <w:tc>
          <w:tcPr>
            <w:tcW w:w="6840" w:type="dxa"/>
            <w:vAlign w:val="bottom"/>
          </w:tcPr>
          <w:p>
            <w:pPr>
              <w:ind w:left="180"/>
              <w:spacing w:after="0"/>
              <w:rPr>
                <w:sz w:val="20"/>
                <w:szCs w:val="20"/>
                <w:color w:val="auto"/>
              </w:rPr>
            </w:pPr>
            <w:r>
              <w:rPr>
                <w:rFonts w:ascii="Arial" w:cs="Arial" w:eastAsia="Arial" w:hAnsi="Arial"/>
                <w:sz w:val="18"/>
                <w:szCs w:val="18"/>
                <w:color w:val="auto"/>
              </w:rPr>
              <w:t>Chief Accounting Officer and Treasurer</w:t>
            </w:r>
          </w:p>
        </w:tc>
        <w:tc>
          <w:tcPr>
            <w:tcW w:w="3620" w:type="dxa"/>
            <w:vAlign w:val="bottom"/>
          </w:tcPr>
          <w:p>
            <w:pPr>
              <w:ind w:left="1540"/>
              <w:spacing w:after="0"/>
              <w:rPr>
                <w:sz w:val="20"/>
                <w:szCs w:val="20"/>
                <w:color w:val="auto"/>
              </w:rPr>
            </w:pPr>
            <w:r>
              <w:rPr>
                <w:rFonts w:ascii="Arial" w:cs="Arial" w:eastAsia="Arial" w:hAnsi="Arial"/>
                <w:sz w:val="18"/>
                <w:szCs w:val="18"/>
                <w:color w:val="auto"/>
              </w:rPr>
              <w:t>1 times base salary</w:t>
            </w: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President, External Affairs</w:t>
            </w:r>
          </w:p>
        </w:tc>
        <w:tc>
          <w:tcPr>
            <w:tcW w:w="3620" w:type="dxa"/>
            <w:vAlign w:val="bottom"/>
          </w:tcPr>
          <w:p>
            <w:pPr>
              <w:ind w:left="1540"/>
              <w:spacing w:after="0"/>
              <w:rPr>
                <w:sz w:val="20"/>
                <w:szCs w:val="20"/>
                <w:color w:val="auto"/>
              </w:rPr>
            </w:pPr>
            <w:r>
              <w:rPr>
                <w:rFonts w:ascii="Arial" w:cs="Arial" w:eastAsia="Arial" w:hAnsi="Arial"/>
                <w:sz w:val="18"/>
                <w:szCs w:val="18"/>
                <w:color w:val="auto"/>
              </w:rPr>
              <w:t>1 times base salary</w:t>
            </w:r>
          </w:p>
        </w:tc>
      </w:tr>
      <w:tr>
        <w:trPr>
          <w:trHeight w:val="273"/>
        </w:trPr>
        <w:tc>
          <w:tcPr>
            <w:tcW w:w="6840" w:type="dxa"/>
            <w:vAlign w:val="bottom"/>
            <w:tcBorders>
              <w:bottom w:val="single" w:sz="8" w:color="002060"/>
            </w:tcBorders>
          </w:tcPr>
          <w:p>
            <w:pPr>
              <w:ind w:left="180"/>
              <w:spacing w:after="0"/>
              <w:rPr>
                <w:sz w:val="20"/>
                <w:szCs w:val="20"/>
                <w:color w:val="auto"/>
              </w:rPr>
            </w:pPr>
            <w:r>
              <w:rPr>
                <w:rFonts w:ascii="Arial" w:cs="Arial" w:eastAsia="Arial" w:hAnsi="Arial"/>
                <w:sz w:val="18"/>
                <w:szCs w:val="18"/>
                <w:color w:val="auto"/>
              </w:rPr>
              <w:t>Chief Administrative and Sustainability Officer</w:t>
            </w:r>
          </w:p>
        </w:tc>
        <w:tc>
          <w:tcPr>
            <w:tcW w:w="3620" w:type="dxa"/>
            <w:vAlign w:val="bottom"/>
            <w:tcBorders>
              <w:bottom w:val="single" w:sz="8" w:color="002060"/>
            </w:tcBorders>
          </w:tcPr>
          <w:p>
            <w:pPr>
              <w:ind w:left="1540"/>
              <w:spacing w:after="0"/>
              <w:rPr>
                <w:sz w:val="20"/>
                <w:szCs w:val="20"/>
                <w:color w:val="auto"/>
              </w:rPr>
            </w:pPr>
            <w:r>
              <w:rPr>
                <w:rFonts w:ascii="Arial" w:cs="Arial" w:eastAsia="Arial" w:hAnsi="Arial"/>
                <w:sz w:val="18"/>
                <w:szCs w:val="18"/>
                <w:color w:val="auto"/>
              </w:rPr>
              <w:t>1 times base salary</w:t>
            </w:r>
          </w:p>
        </w:tc>
      </w:tr>
    </w:tbl>
    <w:p>
      <w:pPr>
        <w:spacing w:after="0" w:line="15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following shares qualify for purposes of the ownership requirement: shares owned by the executive or held jointly with a spouse; shares held in a trust established for the benefit of the executive or his or her family; and shares of unvested restricted stock, excluding performance-based shares for which the performance metric has not been met. If an executive chooses to meet the ownership requirement using unvested shares of common stock issued under the Company’s incentive plan, the stock is valued for purposes of meeting the requirement at the greater of the closing price on the grant date or the closing price on the date on which ownership is measured (the last trading day of the year of measurement), unless the Compensation and Human Capital Committee determines that the closing price on the measurement date is not representative. Once an executive has satisfied the ownership requirement, a decrease in share price absent a sale of shares by the executive will not result in noncompliance with the policy. An executive has five years from the date being named as an executive officer, or if later, the date of an increase in the number of shares required to be held (e.g., due to an increase in salary), to meet this requirement. If an executive officer does not meet the ownership requirement at a measurement date, the executive is prohibited from selling any of our common stock, and fifty percent (50%) of his or her annual incentive bonus will be paid in the form of common stock in lieu of cash. All of our executive officers currently own shares in excess of the requirements.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Clawback Policy</w:t>
      </w:r>
    </w:p>
    <w:p>
      <w:pPr>
        <w:spacing w:after="0" w:line="17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The Board of Directors has adopted a compensation recoupment policy, or “clawback” policy, the purpose of which is to deter our executives from taking actions that could potentially harm the Company and our stockholders. The clawback policy applies to all incentive cash and equity compensation awards (and all other compensation) granted on or after the effective date of the policy to any current or former executive officer. Under the policy, if we are required to restate our financial statements due to material noncompliance with financial reporting requirements under the securities laws where the restatement was caused, or substantially caused, by the intentional misconduct of the executive officer, then the amount, if any, of the incentive-based cash and equity compensation paid during the three-year period preceding the restatement in excess of what would have been paid under the restatement is subject to recoupment.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86360</wp:posOffset>
            </wp:positionV>
            <wp:extent cx="291465" cy="2660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91465" cy="266065"/>
                    </a:xfrm>
                    <a:prstGeom prst="rect">
                      <a:avLst/>
                    </a:prstGeom>
                    <a:noFill/>
                  </pic:spPr>
                </pic:pic>
              </a:graphicData>
            </a:graphic>
          </wp:anchor>
        </w:drawing>
      </w:r>
    </w:p>
    <w:p>
      <w:pPr>
        <w:spacing w:after="0" w:line="210"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Compensation Discussion and Analysis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65</w:t>
      </w:r>
    </w:p>
    <w:p>
      <w:pPr>
        <w:sectPr>
          <w:pgSz w:w="11900" w:h="16838" w:orient="portrait"/>
          <w:cols w:equalWidth="0" w:num="1">
            <w:col w:w="11080"/>
          </w:cols>
          <w:pgMar w:left="320" w:top="482"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20" w:right="220"/>
        <w:spacing w:after="0" w:line="255" w:lineRule="auto"/>
        <w:rPr>
          <w:sz w:val="20"/>
          <w:szCs w:val="20"/>
          <w:color w:val="auto"/>
        </w:rPr>
      </w:pPr>
      <w:r>
        <w:rPr>
          <w:rFonts w:ascii="Arial" w:cs="Arial" w:eastAsia="Arial" w:hAnsi="Arial"/>
          <w:sz w:val="17"/>
          <w:szCs w:val="17"/>
          <w:color w:val="auto"/>
        </w:rPr>
        <w:t>In addition, if the Compensation and Human Capital Committee reasonably determines that an executive officer has engaged in grossly negligent or intentional misconduct that was a significant contributing factor to an accounting restatement, any significant increase in the value of such executive’s incentive compensation or any substantial financial or reputational harm to the Company, the committee may</w:t>
      </w:r>
    </w:p>
    <w:p>
      <w:pPr>
        <w:spacing w:after="0" w:line="2" w:lineRule="exact"/>
        <w:rPr>
          <w:sz w:val="20"/>
          <w:szCs w:val="20"/>
          <w:color w:val="auto"/>
        </w:rPr>
      </w:pPr>
    </w:p>
    <w:p>
      <w:pPr>
        <w:ind w:left="120" w:right="100" w:hanging="4"/>
        <w:spacing w:after="0" w:line="239" w:lineRule="auto"/>
        <w:tabs>
          <w:tab w:leader="none" w:pos="3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recover any incentive-based compensation awards or other compensation of any kind paid prior to the date of determination, (ii) cancel any compensation of any kind not paid or otherwise settled prior to the date of the determination, and (iii) withhold or eliminate any compensation of any kind that could be paid or awarded after the date of determination. The Compensation and Human Capital Committee may also dismiss the executive officer, authorize legal action against the executive for breach of fiduciary duty or other violation of law, and/or take such other action as the committee may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391795</wp:posOffset>
            </wp:positionV>
            <wp:extent cx="6463665" cy="40290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463665"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40"/>
        <w:spacing w:after="0"/>
        <w:tabs>
          <w:tab w:leader="none" w:pos="660" w:val="left"/>
          <w:tab w:leader="none" w:pos="8280" w:val="left"/>
        </w:tabs>
        <w:rPr>
          <w:sz w:val="20"/>
          <w:szCs w:val="20"/>
          <w:color w:val="auto"/>
        </w:rPr>
      </w:pPr>
      <w:r>
        <w:rPr>
          <w:rFonts w:ascii="Arial" w:cs="Arial" w:eastAsia="Arial" w:hAnsi="Arial"/>
          <w:sz w:val="16"/>
          <w:szCs w:val="16"/>
          <w:color w:val="FFFFFF"/>
        </w:rPr>
        <w:t>66</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Compensation Discussion and Analysis</w:t>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40"/>
        <w:spacing w:after="0"/>
        <w:rPr>
          <w:sz w:val="20"/>
          <w:szCs w:val="20"/>
          <w:color w:val="auto"/>
        </w:rPr>
      </w:pPr>
      <w:r>
        <w:rPr>
          <w:rFonts w:ascii="Arial" w:cs="Arial" w:eastAsia="Arial" w:hAnsi="Arial"/>
          <w:sz w:val="40"/>
          <w:szCs w:val="40"/>
          <w:b w:val="1"/>
          <w:bCs w:val="1"/>
          <w:color w:val="0070C0"/>
        </w:rPr>
        <w:t>EXECUTIVE COMPENSATION</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Executive Compensation Tables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Summary Compensation Table</w:t>
      </w:r>
    </w:p>
    <w:p>
      <w:pPr>
        <w:spacing w:after="0" w:line="212"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The following table contains information regarding the compensation paid to or earned by each of our named executive officers during the three most recently completed fiscal years:</w:t>
      </w:r>
    </w:p>
    <w:p>
      <w:pPr>
        <w:spacing w:after="0" w:line="199" w:lineRule="exact"/>
        <w:rPr>
          <w:sz w:val="20"/>
          <w:szCs w:val="20"/>
          <w:color w:val="auto"/>
        </w:rPr>
      </w:pPr>
    </w:p>
    <w:tbl>
      <w:tblPr>
        <w:tblLayout w:type="fixed"/>
        <w:tblInd w:w="280" w:type="dxa"/>
        <w:tblCellMar>
          <w:top w:w="0" w:type="dxa"/>
          <w:left w:w="0" w:type="dxa"/>
          <w:bottom w:w="0" w:type="dxa"/>
          <w:right w:w="0" w:type="dxa"/>
        </w:tblCellMar>
      </w:tblPr>
      <w:tr>
        <w:trPr>
          <w:trHeight w:val="364"/>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700" w:type="dxa"/>
            <w:vAlign w:val="bottom"/>
            <w:shd w:val="clear" w:color="auto" w:fill="E5E5E5"/>
          </w:tcPr>
          <w:p>
            <w:pPr>
              <w:spacing w:after="0"/>
              <w:rPr>
                <w:sz w:val="24"/>
                <w:szCs w:val="24"/>
                <w:color w:val="auto"/>
              </w:rPr>
            </w:pPr>
          </w:p>
        </w:tc>
        <w:tc>
          <w:tcPr>
            <w:tcW w:w="1180" w:type="dxa"/>
            <w:vAlign w:val="bottom"/>
            <w:shd w:val="clear" w:color="auto" w:fill="E5E5E5"/>
          </w:tcPr>
          <w:p>
            <w:pPr>
              <w:spacing w:after="0"/>
              <w:rPr>
                <w:sz w:val="24"/>
                <w:szCs w:val="24"/>
                <w:color w:val="auto"/>
              </w:rPr>
            </w:pPr>
          </w:p>
        </w:tc>
        <w:tc>
          <w:tcPr>
            <w:tcW w:w="1140" w:type="dxa"/>
            <w:vAlign w:val="bottom"/>
            <w:shd w:val="clear" w:color="auto" w:fill="E5E5E5"/>
          </w:tcPr>
          <w:p>
            <w:pPr>
              <w:spacing w:after="0"/>
              <w:rPr>
                <w:sz w:val="24"/>
                <w:szCs w:val="24"/>
                <w:color w:val="auto"/>
              </w:rPr>
            </w:pPr>
          </w:p>
        </w:tc>
        <w:tc>
          <w:tcPr>
            <w:tcW w:w="14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Non-Equity</w:t>
            </w:r>
          </w:p>
        </w:tc>
        <w:tc>
          <w:tcPr>
            <w:tcW w:w="1300" w:type="dxa"/>
            <w:vAlign w:val="bottom"/>
            <w:shd w:val="clear" w:color="auto" w:fill="E5E5E5"/>
          </w:tcPr>
          <w:p>
            <w:pPr>
              <w:spacing w:after="0"/>
              <w:rPr>
                <w:sz w:val="24"/>
                <w:szCs w:val="24"/>
                <w:color w:val="auto"/>
              </w:rPr>
            </w:pPr>
          </w:p>
        </w:tc>
        <w:tc>
          <w:tcPr>
            <w:tcW w:w="1040" w:type="dxa"/>
            <w:vAlign w:val="bottom"/>
            <w:shd w:val="clear" w:color="auto" w:fill="E5E5E5"/>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Stock</w:t>
            </w:r>
          </w:p>
        </w:tc>
        <w:tc>
          <w:tcPr>
            <w:tcW w:w="14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Incentive Plan</w:t>
            </w: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All Other</w:t>
            </w:r>
          </w:p>
        </w:tc>
        <w:tc>
          <w:tcPr>
            <w:tcW w:w="1040" w:type="dxa"/>
            <w:vAlign w:val="bottom"/>
            <w:shd w:val="clear" w:color="auto" w:fill="E5E5E5"/>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1180" w:type="dxa"/>
            <w:vAlign w:val="bottom"/>
            <w:shd w:val="clear" w:color="auto" w:fill="E5E5E5"/>
          </w:tcPr>
          <w:p>
            <w:pPr>
              <w:spacing w:after="0"/>
              <w:rPr>
                <w:sz w:val="16"/>
                <w:szCs w:val="16"/>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Awards</w:t>
            </w:r>
          </w:p>
        </w:tc>
        <w:tc>
          <w:tcPr>
            <w:tcW w:w="14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Compensation</w:t>
            </w: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Compensation</w:t>
            </w:r>
          </w:p>
        </w:tc>
        <w:tc>
          <w:tcPr>
            <w:tcW w:w="1040" w:type="dxa"/>
            <w:vAlign w:val="bottom"/>
            <w:shd w:val="clear" w:color="auto" w:fill="E5E5E5"/>
          </w:tcPr>
          <w:p>
            <w:pPr>
              <w:jc w:val="right"/>
              <w:ind w:right="231"/>
              <w:spacing w:after="0"/>
              <w:rPr>
                <w:sz w:val="20"/>
                <w:szCs w:val="20"/>
                <w:color w:val="auto"/>
              </w:rPr>
            </w:pPr>
            <w:r>
              <w:rPr>
                <w:rFonts w:ascii="Arial" w:cs="Arial" w:eastAsia="Arial" w:hAnsi="Arial"/>
                <w:sz w:val="16"/>
                <w:szCs w:val="16"/>
                <w:b w:val="1"/>
                <w:bCs w:val="1"/>
                <w:color w:val="1F4E79"/>
              </w:rPr>
              <w:t>Total</w:t>
            </w:r>
          </w:p>
        </w:tc>
      </w:tr>
      <w:tr>
        <w:trPr>
          <w:trHeight w:val="291"/>
        </w:trPr>
        <w:tc>
          <w:tcPr>
            <w:tcW w:w="3920" w:type="dxa"/>
            <w:vAlign w:val="bottom"/>
            <w:gridSpan w:val="2"/>
          </w:tcPr>
          <w:p>
            <w:pPr>
              <w:spacing w:after="0"/>
              <w:rPr>
                <w:sz w:val="20"/>
                <w:szCs w:val="20"/>
                <w:color w:val="auto"/>
              </w:rPr>
            </w:pPr>
            <w:r>
              <w:rPr>
                <w:rFonts w:ascii="Arial" w:cs="Arial" w:eastAsia="Arial" w:hAnsi="Arial"/>
                <w:sz w:val="16"/>
                <w:szCs w:val="16"/>
                <w:b w:val="1"/>
                <w:bCs w:val="1"/>
                <w:color w:val="1F4E79"/>
              </w:rPr>
              <w:t>Name and Principal Position</w:t>
            </w:r>
          </w:p>
        </w:tc>
        <w:tc>
          <w:tcPr>
            <w:tcW w:w="700" w:type="dxa"/>
            <w:vAlign w:val="bottom"/>
            <w:tcBorders>
              <w:bottom w:val="single" w:sz="8" w:color="E5E5E5"/>
            </w:tcBorders>
            <w:shd w:val="clear" w:color="auto" w:fill="E5E5E5"/>
          </w:tcPr>
          <w:p>
            <w:pPr>
              <w:ind w:left="240"/>
              <w:spacing w:after="0"/>
              <w:rPr>
                <w:sz w:val="20"/>
                <w:szCs w:val="20"/>
                <w:color w:val="auto"/>
              </w:rPr>
            </w:pPr>
            <w:r>
              <w:rPr>
                <w:rFonts w:ascii="Arial" w:cs="Arial" w:eastAsia="Arial" w:hAnsi="Arial"/>
                <w:sz w:val="16"/>
                <w:szCs w:val="16"/>
                <w:b w:val="1"/>
                <w:bCs w:val="1"/>
                <w:color w:val="1F4E79"/>
              </w:rPr>
              <w:t>Year</w:t>
            </w:r>
          </w:p>
        </w:tc>
        <w:tc>
          <w:tcPr>
            <w:tcW w:w="1180" w:type="dxa"/>
            <w:vAlign w:val="bottom"/>
            <w:tcBorders>
              <w:bottom w:val="single" w:sz="8" w:color="E5E5E5"/>
            </w:tcBorders>
            <w:shd w:val="clear" w:color="auto" w:fill="E5E5E5"/>
          </w:tcPr>
          <w:p>
            <w:pPr>
              <w:jc w:val="right"/>
              <w:ind w:right="91"/>
              <w:spacing w:after="0"/>
              <w:rPr>
                <w:sz w:val="20"/>
                <w:szCs w:val="20"/>
                <w:color w:val="auto"/>
              </w:rPr>
            </w:pPr>
            <w:r>
              <w:rPr>
                <w:rFonts w:ascii="Arial" w:cs="Arial" w:eastAsia="Arial" w:hAnsi="Arial"/>
                <w:sz w:val="16"/>
                <w:szCs w:val="16"/>
                <w:b w:val="1"/>
                <w:bCs w:val="1"/>
                <w:color w:val="1F4E79"/>
              </w:rPr>
              <w:t>Salary ($)</w:t>
            </w:r>
          </w:p>
        </w:tc>
        <w:tc>
          <w:tcPr>
            <w:tcW w:w="11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b w:val="1"/>
                <w:bCs w:val="1"/>
                <w:color w:val="1F4E79"/>
              </w:rPr>
              <w:t>($)(1)</w:t>
            </w:r>
          </w:p>
        </w:tc>
        <w:tc>
          <w:tcPr>
            <w:tcW w:w="14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b w:val="1"/>
                <w:bCs w:val="1"/>
                <w:color w:val="1F4E79"/>
              </w:rPr>
              <w:t>($)(2)</w:t>
            </w:r>
          </w:p>
        </w:tc>
        <w:tc>
          <w:tcPr>
            <w:tcW w:w="13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b w:val="1"/>
                <w:bCs w:val="1"/>
                <w:color w:val="1F4E79"/>
              </w:rPr>
              <w:t>($)(3)</w:t>
            </w:r>
          </w:p>
        </w:tc>
        <w:tc>
          <w:tcPr>
            <w:tcW w:w="1040" w:type="dxa"/>
            <w:vAlign w:val="bottom"/>
            <w:tcBorders>
              <w:bottom w:val="single" w:sz="8" w:color="E5E5E5"/>
            </w:tcBorders>
            <w:shd w:val="clear" w:color="auto" w:fill="E5E5E5"/>
          </w:tcPr>
          <w:p>
            <w:pPr>
              <w:jc w:val="right"/>
              <w:ind w:right="331"/>
              <w:spacing w:after="0"/>
              <w:rPr>
                <w:sz w:val="20"/>
                <w:szCs w:val="20"/>
                <w:color w:val="auto"/>
              </w:rPr>
            </w:pPr>
            <w:r>
              <w:rPr>
                <w:rFonts w:ascii="Arial" w:cs="Arial" w:eastAsia="Arial" w:hAnsi="Arial"/>
                <w:sz w:val="16"/>
                <w:szCs w:val="16"/>
                <w:b w:val="1"/>
                <w:bCs w:val="1"/>
                <w:color w:val="1F4E79"/>
              </w:rPr>
              <w:t>($)</w:t>
            </w:r>
          </w:p>
        </w:tc>
      </w:tr>
      <w:tr>
        <w:trPr>
          <w:trHeight w:val="197"/>
        </w:trPr>
        <w:tc>
          <w:tcPr>
            <w:tcW w:w="20" w:type="dxa"/>
            <w:vAlign w:val="bottom"/>
          </w:tcPr>
          <w:p>
            <w:pPr>
              <w:spacing w:after="0"/>
              <w:rPr>
                <w:sz w:val="17"/>
                <w:szCs w:val="17"/>
                <w:color w:val="auto"/>
              </w:rPr>
            </w:pPr>
          </w:p>
        </w:tc>
        <w:tc>
          <w:tcPr>
            <w:tcW w:w="3900" w:type="dxa"/>
            <w:vAlign w:val="bottom"/>
            <w:tcBorders>
              <w:top w:val="single" w:sz="8" w:color="002060"/>
            </w:tcBorders>
          </w:tcPr>
          <w:p>
            <w:pPr>
              <w:ind w:left="40"/>
              <w:spacing w:after="0" w:line="197" w:lineRule="exact"/>
              <w:rPr>
                <w:sz w:val="20"/>
                <w:szCs w:val="20"/>
                <w:color w:val="auto"/>
              </w:rPr>
            </w:pPr>
            <w:r>
              <w:rPr>
                <w:rFonts w:ascii="Arial" w:cs="Arial" w:eastAsia="Arial" w:hAnsi="Arial"/>
                <w:sz w:val="18"/>
                <w:szCs w:val="18"/>
                <w:color w:val="002060"/>
              </w:rPr>
              <w:t>Jeffrey W. Edwards</w:t>
            </w:r>
          </w:p>
        </w:tc>
        <w:tc>
          <w:tcPr>
            <w:tcW w:w="700" w:type="dxa"/>
            <w:vAlign w:val="bottom"/>
            <w:tcBorders>
              <w:top w:val="single" w:sz="8" w:color="002060"/>
            </w:tcBorders>
            <w:shd w:val="clear" w:color="auto" w:fill="E5E5E5"/>
          </w:tcPr>
          <w:p>
            <w:pPr>
              <w:ind w:left="240"/>
              <w:spacing w:after="0" w:line="197" w:lineRule="exact"/>
              <w:rPr>
                <w:sz w:val="20"/>
                <w:szCs w:val="20"/>
                <w:color w:val="auto"/>
              </w:rPr>
            </w:pPr>
            <w:r>
              <w:rPr>
                <w:rFonts w:ascii="Arial" w:cs="Arial" w:eastAsia="Arial" w:hAnsi="Arial"/>
                <w:sz w:val="18"/>
                <w:szCs w:val="18"/>
                <w:color w:val="auto"/>
              </w:rPr>
              <w:t>2022</w:t>
            </w:r>
          </w:p>
        </w:tc>
        <w:tc>
          <w:tcPr>
            <w:tcW w:w="1180" w:type="dxa"/>
            <w:vAlign w:val="bottom"/>
            <w:tcBorders>
              <w:top w:val="single" w:sz="8" w:color="002060"/>
            </w:tcBorders>
            <w:shd w:val="clear" w:color="auto" w:fill="E5E5E5"/>
          </w:tcPr>
          <w:p>
            <w:pPr>
              <w:jc w:val="right"/>
              <w:ind w:right="171"/>
              <w:spacing w:after="0" w:line="197" w:lineRule="exact"/>
              <w:rPr>
                <w:sz w:val="20"/>
                <w:szCs w:val="20"/>
                <w:color w:val="auto"/>
              </w:rPr>
            </w:pPr>
            <w:r>
              <w:rPr>
                <w:rFonts w:ascii="Arial" w:cs="Arial" w:eastAsia="Arial" w:hAnsi="Arial"/>
                <w:sz w:val="18"/>
                <w:szCs w:val="18"/>
                <w:color w:val="auto"/>
              </w:rPr>
              <w:t>786,731</w:t>
            </w:r>
          </w:p>
        </w:tc>
        <w:tc>
          <w:tcPr>
            <w:tcW w:w="1140" w:type="dxa"/>
            <w:vAlign w:val="bottom"/>
            <w:tcBorders>
              <w:top w:val="single" w:sz="8" w:color="002060"/>
            </w:tcBorders>
            <w:shd w:val="clear" w:color="auto" w:fill="E5E5E5"/>
          </w:tcPr>
          <w:p>
            <w:pPr>
              <w:jc w:val="right"/>
              <w:ind w:right="92"/>
              <w:spacing w:after="0" w:line="197" w:lineRule="exact"/>
              <w:rPr>
                <w:sz w:val="20"/>
                <w:szCs w:val="20"/>
                <w:color w:val="auto"/>
              </w:rPr>
            </w:pPr>
            <w:r>
              <w:rPr>
                <w:rFonts w:ascii="Arial" w:cs="Arial" w:eastAsia="Arial" w:hAnsi="Arial"/>
                <w:sz w:val="18"/>
                <w:szCs w:val="18"/>
                <w:color w:val="auto"/>
              </w:rPr>
              <w:t>3,377,950</w:t>
            </w:r>
          </w:p>
        </w:tc>
        <w:tc>
          <w:tcPr>
            <w:tcW w:w="1400" w:type="dxa"/>
            <w:vAlign w:val="bottom"/>
            <w:tcBorders>
              <w:top w:val="single" w:sz="8" w:color="002060"/>
            </w:tcBorders>
            <w:shd w:val="clear" w:color="auto" w:fill="E5E5E5"/>
          </w:tcPr>
          <w:p>
            <w:pPr>
              <w:jc w:val="right"/>
              <w:ind w:right="192"/>
              <w:spacing w:after="0" w:line="197" w:lineRule="exact"/>
              <w:rPr>
                <w:sz w:val="20"/>
                <w:szCs w:val="20"/>
                <w:color w:val="auto"/>
              </w:rPr>
            </w:pPr>
            <w:r>
              <w:rPr>
                <w:rFonts w:ascii="Arial" w:cs="Arial" w:eastAsia="Arial" w:hAnsi="Arial"/>
                <w:sz w:val="18"/>
                <w:szCs w:val="18"/>
                <w:color w:val="auto"/>
              </w:rPr>
              <w:t>1,126,000</w:t>
            </w:r>
          </w:p>
        </w:tc>
        <w:tc>
          <w:tcPr>
            <w:tcW w:w="1300" w:type="dxa"/>
            <w:vAlign w:val="bottom"/>
            <w:tcBorders>
              <w:top w:val="single" w:sz="8" w:color="002060"/>
            </w:tcBorders>
            <w:shd w:val="clear" w:color="auto" w:fill="E5E5E5"/>
          </w:tcPr>
          <w:p>
            <w:pPr>
              <w:jc w:val="right"/>
              <w:ind w:right="232"/>
              <w:spacing w:after="0" w:line="197" w:lineRule="exact"/>
              <w:rPr>
                <w:sz w:val="20"/>
                <w:szCs w:val="20"/>
                <w:color w:val="auto"/>
              </w:rPr>
            </w:pPr>
            <w:r>
              <w:rPr>
                <w:rFonts w:ascii="Arial" w:cs="Arial" w:eastAsia="Arial" w:hAnsi="Arial"/>
                <w:sz w:val="18"/>
                <w:szCs w:val="18"/>
                <w:color w:val="auto"/>
              </w:rPr>
              <w:t>40,353</w:t>
            </w:r>
          </w:p>
        </w:tc>
        <w:tc>
          <w:tcPr>
            <w:tcW w:w="1040" w:type="dxa"/>
            <w:vAlign w:val="bottom"/>
            <w:tcBorders>
              <w:top w:val="single" w:sz="8" w:color="002060"/>
            </w:tcBorders>
            <w:shd w:val="clear" w:color="auto" w:fill="E5E5E5"/>
          </w:tcPr>
          <w:p>
            <w:pPr>
              <w:jc w:val="right"/>
              <w:ind w:right="71"/>
              <w:spacing w:after="0" w:line="197" w:lineRule="exact"/>
              <w:rPr>
                <w:sz w:val="20"/>
                <w:szCs w:val="20"/>
                <w:color w:val="auto"/>
              </w:rPr>
            </w:pPr>
            <w:r>
              <w:rPr>
                <w:rFonts w:ascii="Arial" w:cs="Arial" w:eastAsia="Arial" w:hAnsi="Arial"/>
                <w:sz w:val="18"/>
                <w:szCs w:val="18"/>
                <w:color w:val="auto"/>
              </w:rPr>
              <w:t>5,331,034</w:t>
            </w:r>
          </w:p>
        </w:tc>
      </w:tr>
      <w:tr>
        <w:trPr>
          <w:trHeight w:val="203"/>
        </w:trPr>
        <w:tc>
          <w:tcPr>
            <w:tcW w:w="20" w:type="dxa"/>
            <w:vAlign w:val="bottom"/>
          </w:tcPr>
          <w:p>
            <w:pPr>
              <w:spacing w:after="0"/>
              <w:rPr>
                <w:sz w:val="17"/>
                <w:szCs w:val="17"/>
                <w:color w:val="auto"/>
              </w:rPr>
            </w:pP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President, Chief Executive Officer and</w:t>
            </w:r>
          </w:p>
        </w:tc>
        <w:tc>
          <w:tcPr>
            <w:tcW w:w="70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2021</w:t>
            </w:r>
          </w:p>
        </w:tc>
        <w:tc>
          <w:tcPr>
            <w:tcW w:w="1180" w:type="dxa"/>
            <w:vAlign w:val="bottom"/>
            <w:shd w:val="clear" w:color="auto" w:fill="E5E5E5"/>
          </w:tcPr>
          <w:p>
            <w:pPr>
              <w:jc w:val="right"/>
              <w:ind w:right="171"/>
              <w:spacing w:after="0" w:line="202" w:lineRule="exact"/>
              <w:rPr>
                <w:sz w:val="20"/>
                <w:szCs w:val="20"/>
                <w:color w:val="auto"/>
              </w:rPr>
            </w:pPr>
            <w:r>
              <w:rPr>
                <w:rFonts w:ascii="Arial" w:cs="Arial" w:eastAsia="Arial" w:hAnsi="Arial"/>
                <w:sz w:val="18"/>
                <w:szCs w:val="18"/>
                <w:color w:val="auto"/>
              </w:rPr>
              <w:t>741,692</w:t>
            </w:r>
          </w:p>
        </w:tc>
        <w:tc>
          <w:tcPr>
            <w:tcW w:w="114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2,703,051</w:t>
            </w:r>
          </w:p>
        </w:tc>
        <w:tc>
          <w:tcPr>
            <w:tcW w:w="1400" w:type="dxa"/>
            <w:vAlign w:val="bottom"/>
            <w:shd w:val="clear" w:color="auto" w:fill="E5E5E5"/>
          </w:tcPr>
          <w:p>
            <w:pPr>
              <w:jc w:val="right"/>
              <w:ind w:right="192"/>
              <w:spacing w:after="0" w:line="202" w:lineRule="exact"/>
              <w:rPr>
                <w:sz w:val="20"/>
                <w:szCs w:val="20"/>
                <w:color w:val="auto"/>
              </w:rPr>
            </w:pPr>
            <w:r>
              <w:rPr>
                <w:rFonts w:ascii="Arial" w:cs="Arial" w:eastAsia="Arial" w:hAnsi="Arial"/>
                <w:sz w:val="18"/>
                <w:szCs w:val="18"/>
                <w:color w:val="auto"/>
              </w:rPr>
              <w:t>878,514</w:t>
            </w:r>
          </w:p>
        </w:tc>
        <w:tc>
          <w:tcPr>
            <w:tcW w:w="1300" w:type="dxa"/>
            <w:vAlign w:val="bottom"/>
            <w:shd w:val="clear" w:color="auto" w:fill="E5E5E5"/>
          </w:tcPr>
          <w:p>
            <w:pPr>
              <w:jc w:val="right"/>
              <w:ind w:right="232"/>
              <w:spacing w:after="0" w:line="202" w:lineRule="exact"/>
              <w:rPr>
                <w:sz w:val="20"/>
                <w:szCs w:val="20"/>
                <w:color w:val="auto"/>
              </w:rPr>
            </w:pPr>
            <w:r>
              <w:rPr>
                <w:rFonts w:ascii="Arial" w:cs="Arial" w:eastAsia="Arial" w:hAnsi="Arial"/>
                <w:sz w:val="18"/>
                <w:szCs w:val="18"/>
                <w:color w:val="auto"/>
              </w:rPr>
              <w:t>28,020</w:t>
            </w:r>
          </w:p>
        </w:tc>
        <w:tc>
          <w:tcPr>
            <w:tcW w:w="1040" w:type="dxa"/>
            <w:vAlign w:val="bottom"/>
            <w:shd w:val="clear" w:color="auto" w:fill="E5E5E5"/>
          </w:tcPr>
          <w:p>
            <w:pPr>
              <w:jc w:val="right"/>
              <w:ind w:right="71"/>
              <w:spacing w:after="0" w:line="202" w:lineRule="exact"/>
              <w:rPr>
                <w:sz w:val="20"/>
                <w:szCs w:val="20"/>
                <w:color w:val="auto"/>
              </w:rPr>
            </w:pPr>
            <w:r>
              <w:rPr>
                <w:rFonts w:ascii="Arial" w:cs="Arial" w:eastAsia="Arial" w:hAnsi="Arial"/>
                <w:sz w:val="18"/>
                <w:szCs w:val="18"/>
                <w:color w:val="auto"/>
              </w:rPr>
              <w:t>4,351,277</w:t>
            </w:r>
          </w:p>
        </w:tc>
      </w:tr>
      <w:tr>
        <w:trPr>
          <w:trHeight w:val="235"/>
        </w:trPr>
        <w:tc>
          <w:tcPr>
            <w:tcW w:w="20" w:type="dxa"/>
            <w:vAlign w:val="bottom"/>
          </w:tcPr>
          <w:p>
            <w:pPr>
              <w:spacing w:after="0"/>
              <w:rPr>
                <w:sz w:val="20"/>
                <w:szCs w:val="20"/>
                <w:color w:val="auto"/>
              </w:rPr>
            </w:pPr>
          </w:p>
        </w:tc>
        <w:tc>
          <w:tcPr>
            <w:tcW w:w="3900" w:type="dxa"/>
            <w:vAlign w:val="bottom"/>
            <w:tcBorders>
              <w:bottom w:val="single" w:sz="8" w:color="002060"/>
            </w:tcBorders>
          </w:tcPr>
          <w:p>
            <w:pPr>
              <w:ind w:left="220"/>
              <w:spacing w:after="0"/>
              <w:rPr>
                <w:sz w:val="20"/>
                <w:szCs w:val="20"/>
                <w:color w:val="auto"/>
              </w:rPr>
            </w:pPr>
            <w:r>
              <w:rPr>
                <w:rFonts w:ascii="Arial" w:cs="Arial" w:eastAsia="Arial" w:hAnsi="Arial"/>
                <w:sz w:val="18"/>
                <w:szCs w:val="18"/>
                <w:color w:val="auto"/>
              </w:rPr>
              <w:t>Chairman</w:t>
            </w:r>
          </w:p>
        </w:tc>
        <w:tc>
          <w:tcPr>
            <w:tcW w:w="700" w:type="dxa"/>
            <w:vAlign w:val="bottom"/>
            <w:tcBorders>
              <w:bottom w:val="single" w:sz="8" w:color="002060"/>
            </w:tcBorders>
            <w:shd w:val="clear" w:color="auto" w:fill="E5E5E5"/>
          </w:tcPr>
          <w:p>
            <w:pPr>
              <w:ind w:left="240"/>
              <w:spacing w:after="0"/>
              <w:rPr>
                <w:sz w:val="20"/>
                <w:szCs w:val="20"/>
                <w:color w:val="auto"/>
              </w:rPr>
            </w:pPr>
            <w:r>
              <w:rPr>
                <w:rFonts w:ascii="Arial" w:cs="Arial" w:eastAsia="Arial" w:hAnsi="Arial"/>
                <w:sz w:val="18"/>
                <w:szCs w:val="18"/>
                <w:color w:val="auto"/>
              </w:rPr>
              <w:t>2020</w:t>
            </w:r>
          </w:p>
        </w:tc>
        <w:tc>
          <w:tcPr>
            <w:tcW w:w="1180" w:type="dxa"/>
            <w:vAlign w:val="bottom"/>
            <w:tcBorders>
              <w:bottom w:val="single" w:sz="8" w:color="002060"/>
            </w:tcBorders>
            <w:shd w:val="clear" w:color="auto" w:fill="E5E5E5"/>
          </w:tcPr>
          <w:p>
            <w:pPr>
              <w:jc w:val="right"/>
              <w:ind w:right="171"/>
              <w:spacing w:after="0"/>
              <w:rPr>
                <w:sz w:val="20"/>
                <w:szCs w:val="20"/>
                <w:color w:val="auto"/>
              </w:rPr>
            </w:pPr>
            <w:r>
              <w:rPr>
                <w:rFonts w:ascii="Arial" w:cs="Arial" w:eastAsia="Arial" w:hAnsi="Arial"/>
                <w:sz w:val="18"/>
                <w:szCs w:val="18"/>
                <w:color w:val="auto"/>
              </w:rPr>
              <w:t>720,539</w:t>
            </w:r>
          </w:p>
        </w:tc>
        <w:tc>
          <w:tcPr>
            <w:tcW w:w="114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2,502,713</w:t>
            </w:r>
          </w:p>
        </w:tc>
        <w:tc>
          <w:tcPr>
            <w:tcW w:w="1400" w:type="dxa"/>
            <w:vAlign w:val="bottom"/>
            <w:tcBorders>
              <w:bottom w:val="single" w:sz="8" w:color="002060"/>
            </w:tcBorders>
            <w:shd w:val="clear" w:color="auto" w:fill="E5E5E5"/>
          </w:tcPr>
          <w:p>
            <w:pPr>
              <w:jc w:val="right"/>
              <w:ind w:right="192"/>
              <w:spacing w:after="0"/>
              <w:rPr>
                <w:sz w:val="20"/>
                <w:szCs w:val="20"/>
                <w:color w:val="auto"/>
              </w:rPr>
            </w:pPr>
            <w:r>
              <w:rPr>
                <w:rFonts w:ascii="Arial" w:cs="Arial" w:eastAsia="Arial" w:hAnsi="Arial"/>
                <w:sz w:val="18"/>
                <w:szCs w:val="18"/>
                <w:color w:val="auto"/>
              </w:rPr>
              <w:t>862,650</w:t>
            </w:r>
          </w:p>
        </w:tc>
        <w:tc>
          <w:tcPr>
            <w:tcW w:w="1300" w:type="dxa"/>
            <w:vAlign w:val="bottom"/>
            <w:tcBorders>
              <w:bottom w:val="single" w:sz="8" w:color="002060"/>
            </w:tcBorders>
            <w:shd w:val="clear" w:color="auto" w:fill="E5E5E5"/>
          </w:tcPr>
          <w:p>
            <w:pPr>
              <w:jc w:val="right"/>
              <w:ind w:right="232"/>
              <w:spacing w:after="0"/>
              <w:rPr>
                <w:sz w:val="20"/>
                <w:szCs w:val="20"/>
                <w:color w:val="auto"/>
              </w:rPr>
            </w:pPr>
            <w:r>
              <w:rPr>
                <w:rFonts w:ascii="Arial" w:cs="Arial" w:eastAsia="Arial" w:hAnsi="Arial"/>
                <w:sz w:val="18"/>
                <w:szCs w:val="18"/>
                <w:color w:val="auto"/>
              </w:rPr>
              <w:t>11,473</w:t>
            </w:r>
          </w:p>
        </w:tc>
        <w:tc>
          <w:tcPr>
            <w:tcW w:w="1040" w:type="dxa"/>
            <w:vAlign w:val="bottom"/>
            <w:tcBorders>
              <w:bottom w:val="single" w:sz="8" w:color="002060"/>
            </w:tcBorders>
            <w:shd w:val="clear" w:color="auto" w:fill="E5E5E5"/>
          </w:tcPr>
          <w:p>
            <w:pPr>
              <w:jc w:val="right"/>
              <w:ind w:right="71"/>
              <w:spacing w:after="0"/>
              <w:rPr>
                <w:sz w:val="20"/>
                <w:szCs w:val="20"/>
                <w:color w:val="auto"/>
              </w:rPr>
            </w:pPr>
            <w:r>
              <w:rPr>
                <w:rFonts w:ascii="Arial" w:cs="Arial" w:eastAsia="Arial" w:hAnsi="Arial"/>
                <w:sz w:val="18"/>
                <w:szCs w:val="18"/>
                <w:color w:val="auto"/>
              </w:rPr>
              <w:t>4,097,375</w:t>
            </w:r>
          </w:p>
        </w:tc>
      </w:tr>
      <w:tr>
        <w:trPr>
          <w:trHeight w:val="191"/>
        </w:trPr>
        <w:tc>
          <w:tcPr>
            <w:tcW w:w="20" w:type="dxa"/>
            <w:vAlign w:val="bottom"/>
          </w:tcPr>
          <w:p>
            <w:pPr>
              <w:spacing w:after="0"/>
              <w:rPr>
                <w:sz w:val="16"/>
                <w:szCs w:val="16"/>
                <w:color w:val="auto"/>
              </w:rPr>
            </w:pPr>
          </w:p>
        </w:tc>
        <w:tc>
          <w:tcPr>
            <w:tcW w:w="3900" w:type="dxa"/>
            <w:vAlign w:val="bottom"/>
          </w:tcPr>
          <w:p>
            <w:pPr>
              <w:ind w:left="40"/>
              <w:spacing w:after="0" w:line="191" w:lineRule="exact"/>
              <w:rPr>
                <w:sz w:val="20"/>
                <w:szCs w:val="20"/>
                <w:color w:val="auto"/>
              </w:rPr>
            </w:pPr>
            <w:r>
              <w:rPr>
                <w:rFonts w:ascii="Arial" w:cs="Arial" w:eastAsia="Arial" w:hAnsi="Arial"/>
                <w:sz w:val="18"/>
                <w:szCs w:val="18"/>
                <w:color w:val="002060"/>
              </w:rPr>
              <w:t>Michael T. Miller</w:t>
            </w:r>
          </w:p>
        </w:tc>
        <w:tc>
          <w:tcPr>
            <w:tcW w:w="700" w:type="dxa"/>
            <w:vAlign w:val="bottom"/>
            <w:shd w:val="clear" w:color="auto" w:fill="E5E5E5"/>
          </w:tcPr>
          <w:p>
            <w:pPr>
              <w:ind w:left="240"/>
              <w:spacing w:after="0" w:line="191" w:lineRule="exact"/>
              <w:rPr>
                <w:sz w:val="20"/>
                <w:szCs w:val="20"/>
                <w:color w:val="auto"/>
              </w:rPr>
            </w:pPr>
            <w:r>
              <w:rPr>
                <w:rFonts w:ascii="Arial" w:cs="Arial" w:eastAsia="Arial" w:hAnsi="Arial"/>
                <w:sz w:val="18"/>
                <w:szCs w:val="18"/>
                <w:color w:val="auto"/>
              </w:rPr>
              <w:t>2022</w:t>
            </w:r>
          </w:p>
        </w:tc>
        <w:tc>
          <w:tcPr>
            <w:tcW w:w="1180" w:type="dxa"/>
            <w:vAlign w:val="bottom"/>
            <w:shd w:val="clear" w:color="auto" w:fill="E5E5E5"/>
          </w:tcPr>
          <w:p>
            <w:pPr>
              <w:jc w:val="right"/>
              <w:ind w:right="171"/>
              <w:spacing w:after="0" w:line="191" w:lineRule="exact"/>
              <w:rPr>
                <w:sz w:val="20"/>
                <w:szCs w:val="20"/>
                <w:color w:val="auto"/>
              </w:rPr>
            </w:pPr>
            <w:r>
              <w:rPr>
                <w:rFonts w:ascii="Arial" w:cs="Arial" w:eastAsia="Arial" w:hAnsi="Arial"/>
                <w:sz w:val="18"/>
                <w:szCs w:val="18"/>
                <w:color w:val="auto"/>
              </w:rPr>
              <w:t>411,731</w:t>
            </w:r>
          </w:p>
        </w:tc>
        <w:tc>
          <w:tcPr>
            <w:tcW w:w="1140" w:type="dxa"/>
            <w:vAlign w:val="bottom"/>
            <w:shd w:val="clear" w:color="auto" w:fill="E5E5E5"/>
          </w:tcPr>
          <w:p>
            <w:pPr>
              <w:jc w:val="right"/>
              <w:ind w:right="92"/>
              <w:spacing w:after="0" w:line="191" w:lineRule="exact"/>
              <w:rPr>
                <w:sz w:val="20"/>
                <w:szCs w:val="20"/>
                <w:color w:val="auto"/>
              </w:rPr>
            </w:pPr>
            <w:r>
              <w:rPr>
                <w:rFonts w:ascii="Arial" w:cs="Arial" w:eastAsia="Arial" w:hAnsi="Arial"/>
                <w:sz w:val="18"/>
                <w:szCs w:val="18"/>
                <w:color w:val="auto"/>
              </w:rPr>
              <w:t>1,086,542</w:t>
            </w:r>
          </w:p>
        </w:tc>
        <w:tc>
          <w:tcPr>
            <w:tcW w:w="1400" w:type="dxa"/>
            <w:vAlign w:val="bottom"/>
            <w:shd w:val="clear" w:color="auto" w:fill="E5E5E5"/>
          </w:tcPr>
          <w:p>
            <w:pPr>
              <w:jc w:val="right"/>
              <w:ind w:right="192"/>
              <w:spacing w:after="0" w:line="191" w:lineRule="exact"/>
              <w:rPr>
                <w:sz w:val="20"/>
                <w:szCs w:val="20"/>
                <w:color w:val="auto"/>
              </w:rPr>
            </w:pPr>
            <w:r>
              <w:rPr>
                <w:rFonts w:ascii="Arial" w:cs="Arial" w:eastAsia="Arial" w:hAnsi="Arial"/>
                <w:sz w:val="18"/>
                <w:szCs w:val="18"/>
                <w:color w:val="auto"/>
              </w:rPr>
              <w:t>427,880</w:t>
            </w:r>
          </w:p>
        </w:tc>
        <w:tc>
          <w:tcPr>
            <w:tcW w:w="1300" w:type="dxa"/>
            <w:vAlign w:val="bottom"/>
            <w:shd w:val="clear" w:color="auto" w:fill="E5E5E5"/>
          </w:tcPr>
          <w:p>
            <w:pPr>
              <w:jc w:val="right"/>
              <w:ind w:right="232"/>
              <w:spacing w:after="0" w:line="191" w:lineRule="exact"/>
              <w:rPr>
                <w:sz w:val="20"/>
                <w:szCs w:val="20"/>
                <w:color w:val="auto"/>
              </w:rPr>
            </w:pPr>
            <w:r>
              <w:rPr>
                <w:rFonts w:ascii="Arial" w:cs="Arial" w:eastAsia="Arial" w:hAnsi="Arial"/>
                <w:sz w:val="18"/>
                <w:szCs w:val="18"/>
                <w:color w:val="auto"/>
              </w:rPr>
              <w:t>23,111</w:t>
            </w:r>
          </w:p>
        </w:tc>
        <w:tc>
          <w:tcPr>
            <w:tcW w:w="1040" w:type="dxa"/>
            <w:vAlign w:val="bottom"/>
            <w:shd w:val="clear" w:color="auto" w:fill="E5E5E5"/>
          </w:tcPr>
          <w:p>
            <w:pPr>
              <w:jc w:val="right"/>
              <w:ind w:right="71"/>
              <w:spacing w:after="0" w:line="191" w:lineRule="exact"/>
              <w:rPr>
                <w:sz w:val="20"/>
                <w:szCs w:val="20"/>
                <w:color w:val="auto"/>
              </w:rPr>
            </w:pPr>
            <w:r>
              <w:rPr>
                <w:rFonts w:ascii="Arial" w:cs="Arial" w:eastAsia="Arial" w:hAnsi="Arial"/>
                <w:sz w:val="18"/>
                <w:szCs w:val="18"/>
                <w:color w:val="auto"/>
              </w:rPr>
              <w:t>1,949,264</w:t>
            </w:r>
          </w:p>
        </w:tc>
      </w:tr>
      <w:tr>
        <w:trPr>
          <w:trHeight w:val="203"/>
        </w:trPr>
        <w:tc>
          <w:tcPr>
            <w:tcW w:w="20" w:type="dxa"/>
            <w:vAlign w:val="bottom"/>
          </w:tcPr>
          <w:p>
            <w:pPr>
              <w:spacing w:after="0"/>
              <w:rPr>
                <w:sz w:val="17"/>
                <w:szCs w:val="17"/>
                <w:color w:val="auto"/>
              </w:rPr>
            </w:pP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Executive Vice President and Chief Financial</w:t>
            </w:r>
          </w:p>
        </w:tc>
        <w:tc>
          <w:tcPr>
            <w:tcW w:w="70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2021</w:t>
            </w:r>
          </w:p>
        </w:tc>
        <w:tc>
          <w:tcPr>
            <w:tcW w:w="1180" w:type="dxa"/>
            <w:vAlign w:val="bottom"/>
            <w:shd w:val="clear" w:color="auto" w:fill="E5E5E5"/>
          </w:tcPr>
          <w:p>
            <w:pPr>
              <w:jc w:val="right"/>
              <w:ind w:right="171"/>
              <w:spacing w:after="0" w:line="202" w:lineRule="exact"/>
              <w:rPr>
                <w:sz w:val="20"/>
                <w:szCs w:val="20"/>
                <w:color w:val="auto"/>
              </w:rPr>
            </w:pPr>
            <w:r>
              <w:rPr>
                <w:rFonts w:ascii="Arial" w:cs="Arial" w:eastAsia="Arial" w:hAnsi="Arial"/>
                <w:sz w:val="18"/>
                <w:szCs w:val="18"/>
                <w:color w:val="auto"/>
              </w:rPr>
              <w:t>370,500</w:t>
            </w:r>
          </w:p>
        </w:tc>
        <w:tc>
          <w:tcPr>
            <w:tcW w:w="114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931,559</w:t>
            </w:r>
          </w:p>
        </w:tc>
        <w:tc>
          <w:tcPr>
            <w:tcW w:w="1400" w:type="dxa"/>
            <w:vAlign w:val="bottom"/>
            <w:shd w:val="clear" w:color="auto" w:fill="E5E5E5"/>
          </w:tcPr>
          <w:p>
            <w:pPr>
              <w:jc w:val="right"/>
              <w:ind w:right="192"/>
              <w:spacing w:after="0" w:line="202" w:lineRule="exact"/>
              <w:rPr>
                <w:sz w:val="20"/>
                <w:szCs w:val="20"/>
                <w:color w:val="auto"/>
              </w:rPr>
            </w:pPr>
            <w:r>
              <w:rPr>
                <w:rFonts w:ascii="Arial" w:cs="Arial" w:eastAsia="Arial" w:hAnsi="Arial"/>
                <w:sz w:val="18"/>
                <w:szCs w:val="18"/>
                <w:color w:val="auto"/>
              </w:rPr>
              <w:t>342,717</w:t>
            </w:r>
          </w:p>
        </w:tc>
        <w:tc>
          <w:tcPr>
            <w:tcW w:w="1300" w:type="dxa"/>
            <w:vAlign w:val="bottom"/>
            <w:shd w:val="clear" w:color="auto" w:fill="E5E5E5"/>
          </w:tcPr>
          <w:p>
            <w:pPr>
              <w:jc w:val="right"/>
              <w:ind w:right="232"/>
              <w:spacing w:after="0" w:line="202" w:lineRule="exact"/>
              <w:rPr>
                <w:sz w:val="20"/>
                <w:szCs w:val="20"/>
                <w:color w:val="auto"/>
              </w:rPr>
            </w:pPr>
            <w:r>
              <w:rPr>
                <w:rFonts w:ascii="Arial" w:cs="Arial" w:eastAsia="Arial" w:hAnsi="Arial"/>
                <w:sz w:val="18"/>
                <w:szCs w:val="18"/>
                <w:color w:val="auto"/>
              </w:rPr>
              <w:t>22,693</w:t>
            </w:r>
          </w:p>
        </w:tc>
        <w:tc>
          <w:tcPr>
            <w:tcW w:w="1040" w:type="dxa"/>
            <w:vAlign w:val="bottom"/>
            <w:shd w:val="clear" w:color="auto" w:fill="E5E5E5"/>
          </w:tcPr>
          <w:p>
            <w:pPr>
              <w:jc w:val="right"/>
              <w:ind w:right="71"/>
              <w:spacing w:after="0" w:line="202" w:lineRule="exact"/>
              <w:rPr>
                <w:sz w:val="20"/>
                <w:szCs w:val="20"/>
                <w:color w:val="auto"/>
              </w:rPr>
            </w:pPr>
            <w:r>
              <w:rPr>
                <w:rFonts w:ascii="Arial" w:cs="Arial" w:eastAsia="Arial" w:hAnsi="Arial"/>
                <w:sz w:val="18"/>
                <w:szCs w:val="18"/>
                <w:color w:val="auto"/>
              </w:rPr>
              <w:t>1,667,470</w:t>
            </w:r>
          </w:p>
        </w:tc>
      </w:tr>
      <w:tr>
        <w:trPr>
          <w:trHeight w:val="235"/>
        </w:trPr>
        <w:tc>
          <w:tcPr>
            <w:tcW w:w="20" w:type="dxa"/>
            <w:vAlign w:val="bottom"/>
          </w:tcPr>
          <w:p>
            <w:pPr>
              <w:spacing w:after="0"/>
              <w:rPr>
                <w:sz w:val="20"/>
                <w:szCs w:val="20"/>
                <w:color w:val="auto"/>
              </w:rPr>
            </w:pPr>
          </w:p>
        </w:tc>
        <w:tc>
          <w:tcPr>
            <w:tcW w:w="3900" w:type="dxa"/>
            <w:vAlign w:val="bottom"/>
            <w:tcBorders>
              <w:bottom w:val="single" w:sz="8" w:color="002060"/>
            </w:tcBorders>
          </w:tcPr>
          <w:p>
            <w:pPr>
              <w:ind w:left="40"/>
              <w:spacing w:after="0"/>
              <w:rPr>
                <w:sz w:val="20"/>
                <w:szCs w:val="20"/>
                <w:color w:val="auto"/>
              </w:rPr>
            </w:pPr>
            <w:r>
              <w:rPr>
                <w:rFonts w:ascii="Arial" w:cs="Arial" w:eastAsia="Arial" w:hAnsi="Arial"/>
                <w:sz w:val="18"/>
                <w:szCs w:val="18"/>
                <w:color w:val="auto"/>
              </w:rPr>
              <w:t>Officer</w:t>
            </w:r>
          </w:p>
        </w:tc>
        <w:tc>
          <w:tcPr>
            <w:tcW w:w="700" w:type="dxa"/>
            <w:vAlign w:val="bottom"/>
            <w:tcBorders>
              <w:bottom w:val="single" w:sz="8" w:color="002060"/>
            </w:tcBorders>
            <w:shd w:val="clear" w:color="auto" w:fill="E5E5E5"/>
          </w:tcPr>
          <w:p>
            <w:pPr>
              <w:ind w:left="240"/>
              <w:spacing w:after="0"/>
              <w:rPr>
                <w:sz w:val="20"/>
                <w:szCs w:val="20"/>
                <w:color w:val="auto"/>
              </w:rPr>
            </w:pPr>
            <w:r>
              <w:rPr>
                <w:rFonts w:ascii="Arial" w:cs="Arial" w:eastAsia="Arial" w:hAnsi="Arial"/>
                <w:sz w:val="18"/>
                <w:szCs w:val="18"/>
                <w:color w:val="auto"/>
              </w:rPr>
              <w:t>2020</w:t>
            </w:r>
          </w:p>
        </w:tc>
        <w:tc>
          <w:tcPr>
            <w:tcW w:w="1180" w:type="dxa"/>
            <w:vAlign w:val="bottom"/>
            <w:tcBorders>
              <w:bottom w:val="single" w:sz="8" w:color="002060"/>
            </w:tcBorders>
            <w:shd w:val="clear" w:color="auto" w:fill="E5E5E5"/>
          </w:tcPr>
          <w:p>
            <w:pPr>
              <w:jc w:val="right"/>
              <w:ind w:right="171"/>
              <w:spacing w:after="0"/>
              <w:rPr>
                <w:sz w:val="20"/>
                <w:szCs w:val="20"/>
                <w:color w:val="auto"/>
              </w:rPr>
            </w:pPr>
            <w:r>
              <w:rPr>
                <w:rFonts w:ascii="Arial" w:cs="Arial" w:eastAsia="Arial" w:hAnsi="Arial"/>
                <w:sz w:val="18"/>
                <w:szCs w:val="18"/>
                <w:color w:val="auto"/>
              </w:rPr>
              <w:t>353,731</w:t>
            </w:r>
          </w:p>
        </w:tc>
        <w:tc>
          <w:tcPr>
            <w:tcW w:w="114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875,969</w:t>
            </w:r>
          </w:p>
        </w:tc>
        <w:tc>
          <w:tcPr>
            <w:tcW w:w="1400" w:type="dxa"/>
            <w:vAlign w:val="bottom"/>
            <w:tcBorders>
              <w:bottom w:val="single" w:sz="8" w:color="002060"/>
            </w:tcBorders>
            <w:shd w:val="clear" w:color="auto" w:fill="E5E5E5"/>
          </w:tcPr>
          <w:p>
            <w:pPr>
              <w:jc w:val="right"/>
              <w:ind w:right="192"/>
              <w:spacing w:after="0"/>
              <w:rPr>
                <w:sz w:val="20"/>
                <w:szCs w:val="20"/>
                <w:color w:val="auto"/>
              </w:rPr>
            </w:pPr>
            <w:r>
              <w:rPr>
                <w:rFonts w:ascii="Arial" w:cs="Arial" w:eastAsia="Arial" w:hAnsi="Arial"/>
                <w:sz w:val="18"/>
                <w:szCs w:val="18"/>
                <w:color w:val="auto"/>
              </w:rPr>
              <w:t>335,475</w:t>
            </w:r>
          </w:p>
        </w:tc>
        <w:tc>
          <w:tcPr>
            <w:tcW w:w="1300" w:type="dxa"/>
            <w:vAlign w:val="bottom"/>
            <w:tcBorders>
              <w:bottom w:val="single" w:sz="8" w:color="002060"/>
            </w:tcBorders>
            <w:shd w:val="clear" w:color="auto" w:fill="E5E5E5"/>
          </w:tcPr>
          <w:p>
            <w:pPr>
              <w:jc w:val="right"/>
              <w:ind w:right="232"/>
              <w:spacing w:after="0"/>
              <w:rPr>
                <w:sz w:val="20"/>
                <w:szCs w:val="20"/>
                <w:color w:val="auto"/>
              </w:rPr>
            </w:pPr>
            <w:r>
              <w:rPr>
                <w:rFonts w:ascii="Arial" w:cs="Arial" w:eastAsia="Arial" w:hAnsi="Arial"/>
                <w:sz w:val="18"/>
                <w:szCs w:val="18"/>
                <w:color w:val="auto"/>
              </w:rPr>
              <w:t>22,486</w:t>
            </w:r>
          </w:p>
        </w:tc>
        <w:tc>
          <w:tcPr>
            <w:tcW w:w="1040" w:type="dxa"/>
            <w:vAlign w:val="bottom"/>
            <w:tcBorders>
              <w:bottom w:val="single" w:sz="8" w:color="002060"/>
            </w:tcBorders>
            <w:shd w:val="clear" w:color="auto" w:fill="E5E5E5"/>
          </w:tcPr>
          <w:p>
            <w:pPr>
              <w:jc w:val="right"/>
              <w:ind w:right="71"/>
              <w:spacing w:after="0"/>
              <w:rPr>
                <w:sz w:val="20"/>
                <w:szCs w:val="20"/>
                <w:color w:val="auto"/>
              </w:rPr>
            </w:pPr>
            <w:r>
              <w:rPr>
                <w:rFonts w:ascii="Arial" w:cs="Arial" w:eastAsia="Arial" w:hAnsi="Arial"/>
                <w:sz w:val="18"/>
                <w:szCs w:val="18"/>
                <w:color w:val="auto"/>
              </w:rPr>
              <w:t>1,587,661</w:t>
            </w:r>
          </w:p>
        </w:tc>
      </w:tr>
      <w:tr>
        <w:trPr>
          <w:trHeight w:val="191"/>
        </w:trPr>
        <w:tc>
          <w:tcPr>
            <w:tcW w:w="20" w:type="dxa"/>
            <w:vAlign w:val="bottom"/>
          </w:tcPr>
          <w:p>
            <w:pPr>
              <w:spacing w:after="0"/>
              <w:rPr>
                <w:sz w:val="16"/>
                <w:szCs w:val="16"/>
                <w:color w:val="auto"/>
              </w:rPr>
            </w:pPr>
          </w:p>
        </w:tc>
        <w:tc>
          <w:tcPr>
            <w:tcW w:w="3900" w:type="dxa"/>
            <w:vAlign w:val="bottom"/>
          </w:tcPr>
          <w:p>
            <w:pPr>
              <w:ind w:left="40"/>
              <w:spacing w:after="0" w:line="191" w:lineRule="exact"/>
              <w:rPr>
                <w:sz w:val="20"/>
                <w:szCs w:val="20"/>
                <w:color w:val="auto"/>
              </w:rPr>
            </w:pPr>
            <w:r>
              <w:rPr>
                <w:rFonts w:ascii="Arial" w:cs="Arial" w:eastAsia="Arial" w:hAnsi="Arial"/>
                <w:sz w:val="18"/>
                <w:szCs w:val="18"/>
                <w:color w:val="002060"/>
              </w:rPr>
              <w:t>Jay P. Elliott</w:t>
            </w:r>
          </w:p>
        </w:tc>
        <w:tc>
          <w:tcPr>
            <w:tcW w:w="700" w:type="dxa"/>
            <w:vAlign w:val="bottom"/>
            <w:shd w:val="clear" w:color="auto" w:fill="E5E5E5"/>
          </w:tcPr>
          <w:p>
            <w:pPr>
              <w:ind w:left="240"/>
              <w:spacing w:after="0" w:line="191" w:lineRule="exact"/>
              <w:rPr>
                <w:sz w:val="20"/>
                <w:szCs w:val="20"/>
                <w:color w:val="auto"/>
              </w:rPr>
            </w:pPr>
            <w:r>
              <w:rPr>
                <w:rFonts w:ascii="Arial" w:cs="Arial" w:eastAsia="Arial" w:hAnsi="Arial"/>
                <w:sz w:val="18"/>
                <w:szCs w:val="18"/>
                <w:color w:val="auto"/>
              </w:rPr>
              <w:t>2022</w:t>
            </w:r>
          </w:p>
        </w:tc>
        <w:tc>
          <w:tcPr>
            <w:tcW w:w="1180" w:type="dxa"/>
            <w:vAlign w:val="bottom"/>
            <w:shd w:val="clear" w:color="auto" w:fill="E5E5E5"/>
          </w:tcPr>
          <w:p>
            <w:pPr>
              <w:jc w:val="right"/>
              <w:ind w:right="171"/>
              <w:spacing w:after="0" w:line="191" w:lineRule="exact"/>
              <w:rPr>
                <w:sz w:val="20"/>
                <w:szCs w:val="20"/>
                <w:color w:val="auto"/>
              </w:rPr>
            </w:pPr>
            <w:r>
              <w:rPr>
                <w:rFonts w:ascii="Arial" w:cs="Arial" w:eastAsia="Arial" w:hAnsi="Arial"/>
                <w:sz w:val="18"/>
                <w:szCs w:val="18"/>
                <w:color w:val="auto"/>
              </w:rPr>
              <w:t>456,162</w:t>
            </w:r>
          </w:p>
        </w:tc>
        <w:tc>
          <w:tcPr>
            <w:tcW w:w="1140" w:type="dxa"/>
            <w:vAlign w:val="bottom"/>
            <w:shd w:val="clear" w:color="auto" w:fill="E5E5E5"/>
          </w:tcPr>
          <w:p>
            <w:pPr>
              <w:jc w:val="right"/>
              <w:ind w:right="92"/>
              <w:spacing w:after="0" w:line="191" w:lineRule="exact"/>
              <w:rPr>
                <w:sz w:val="20"/>
                <w:szCs w:val="20"/>
                <w:color w:val="auto"/>
              </w:rPr>
            </w:pPr>
            <w:r>
              <w:rPr>
                <w:rFonts w:ascii="Arial" w:cs="Arial" w:eastAsia="Arial" w:hAnsi="Arial"/>
                <w:sz w:val="18"/>
                <w:szCs w:val="18"/>
                <w:color w:val="auto"/>
              </w:rPr>
              <w:t>1,125,880</w:t>
            </w:r>
          </w:p>
        </w:tc>
        <w:tc>
          <w:tcPr>
            <w:tcW w:w="1400" w:type="dxa"/>
            <w:vAlign w:val="bottom"/>
            <w:shd w:val="clear" w:color="auto" w:fill="E5E5E5"/>
          </w:tcPr>
          <w:p>
            <w:pPr>
              <w:jc w:val="right"/>
              <w:ind w:right="192"/>
              <w:spacing w:after="0" w:line="191" w:lineRule="exact"/>
              <w:rPr>
                <w:sz w:val="20"/>
                <w:szCs w:val="20"/>
                <w:color w:val="auto"/>
              </w:rPr>
            </w:pPr>
            <w:r>
              <w:rPr>
                <w:rFonts w:ascii="Arial" w:cs="Arial" w:eastAsia="Arial" w:hAnsi="Arial"/>
                <w:sz w:val="18"/>
                <w:szCs w:val="18"/>
                <w:color w:val="auto"/>
              </w:rPr>
              <w:t>315,280</w:t>
            </w:r>
          </w:p>
        </w:tc>
        <w:tc>
          <w:tcPr>
            <w:tcW w:w="1300" w:type="dxa"/>
            <w:vAlign w:val="bottom"/>
            <w:shd w:val="clear" w:color="auto" w:fill="E5E5E5"/>
          </w:tcPr>
          <w:p>
            <w:pPr>
              <w:jc w:val="right"/>
              <w:ind w:right="232"/>
              <w:spacing w:after="0" w:line="191" w:lineRule="exact"/>
              <w:rPr>
                <w:sz w:val="20"/>
                <w:szCs w:val="20"/>
                <w:color w:val="auto"/>
              </w:rPr>
            </w:pPr>
            <w:r>
              <w:rPr>
                <w:rFonts w:ascii="Arial" w:cs="Arial" w:eastAsia="Arial" w:hAnsi="Arial"/>
                <w:sz w:val="18"/>
                <w:szCs w:val="18"/>
                <w:color w:val="auto"/>
              </w:rPr>
              <w:t>21,901</w:t>
            </w:r>
          </w:p>
        </w:tc>
        <w:tc>
          <w:tcPr>
            <w:tcW w:w="1040" w:type="dxa"/>
            <w:vAlign w:val="bottom"/>
            <w:shd w:val="clear" w:color="auto" w:fill="E5E5E5"/>
          </w:tcPr>
          <w:p>
            <w:pPr>
              <w:jc w:val="right"/>
              <w:ind w:right="71"/>
              <w:spacing w:after="0" w:line="191" w:lineRule="exact"/>
              <w:rPr>
                <w:sz w:val="20"/>
                <w:szCs w:val="20"/>
                <w:color w:val="auto"/>
              </w:rPr>
            </w:pPr>
            <w:r>
              <w:rPr>
                <w:rFonts w:ascii="Arial" w:cs="Arial" w:eastAsia="Arial" w:hAnsi="Arial"/>
                <w:sz w:val="18"/>
                <w:szCs w:val="18"/>
                <w:color w:val="auto"/>
              </w:rPr>
              <w:t>1,919,223</w:t>
            </w:r>
          </w:p>
        </w:tc>
      </w:tr>
      <w:tr>
        <w:trPr>
          <w:trHeight w:val="203"/>
        </w:trPr>
        <w:tc>
          <w:tcPr>
            <w:tcW w:w="20" w:type="dxa"/>
            <w:vAlign w:val="bottom"/>
          </w:tcPr>
          <w:p>
            <w:pPr>
              <w:spacing w:after="0"/>
              <w:rPr>
                <w:sz w:val="17"/>
                <w:szCs w:val="17"/>
                <w:color w:val="auto"/>
              </w:rPr>
            </w:pP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Chief Operating Officer</w:t>
            </w:r>
          </w:p>
        </w:tc>
        <w:tc>
          <w:tcPr>
            <w:tcW w:w="70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2021</w:t>
            </w:r>
          </w:p>
        </w:tc>
        <w:tc>
          <w:tcPr>
            <w:tcW w:w="1180" w:type="dxa"/>
            <w:vAlign w:val="bottom"/>
            <w:shd w:val="clear" w:color="auto" w:fill="E5E5E5"/>
          </w:tcPr>
          <w:p>
            <w:pPr>
              <w:jc w:val="right"/>
              <w:ind w:right="171"/>
              <w:spacing w:after="0" w:line="202" w:lineRule="exact"/>
              <w:rPr>
                <w:sz w:val="20"/>
                <w:szCs w:val="20"/>
                <w:color w:val="auto"/>
              </w:rPr>
            </w:pPr>
            <w:r>
              <w:rPr>
                <w:rFonts w:ascii="Arial" w:cs="Arial" w:eastAsia="Arial" w:hAnsi="Arial"/>
                <w:sz w:val="18"/>
                <w:szCs w:val="18"/>
                <w:color w:val="auto"/>
              </w:rPr>
              <w:t>435,385</w:t>
            </w:r>
          </w:p>
        </w:tc>
        <w:tc>
          <w:tcPr>
            <w:tcW w:w="114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1,003,948</w:t>
            </w:r>
          </w:p>
        </w:tc>
        <w:tc>
          <w:tcPr>
            <w:tcW w:w="1400" w:type="dxa"/>
            <w:vAlign w:val="bottom"/>
            <w:shd w:val="clear" w:color="auto" w:fill="E5E5E5"/>
          </w:tcPr>
          <w:p>
            <w:pPr>
              <w:jc w:val="right"/>
              <w:ind w:right="192"/>
              <w:spacing w:after="0" w:line="202" w:lineRule="exact"/>
              <w:rPr>
                <w:sz w:val="20"/>
                <w:szCs w:val="20"/>
                <w:color w:val="auto"/>
              </w:rPr>
            </w:pPr>
            <w:r>
              <w:rPr>
                <w:rFonts w:ascii="Arial" w:cs="Arial" w:eastAsia="Arial" w:hAnsi="Arial"/>
                <w:sz w:val="18"/>
                <w:szCs w:val="18"/>
                <w:color w:val="auto"/>
              </w:rPr>
              <w:t>429,603</w:t>
            </w:r>
          </w:p>
        </w:tc>
        <w:tc>
          <w:tcPr>
            <w:tcW w:w="1300" w:type="dxa"/>
            <w:vAlign w:val="bottom"/>
            <w:shd w:val="clear" w:color="auto" w:fill="E5E5E5"/>
          </w:tcPr>
          <w:p>
            <w:pPr>
              <w:jc w:val="right"/>
              <w:ind w:right="232"/>
              <w:spacing w:after="0" w:line="202" w:lineRule="exact"/>
              <w:rPr>
                <w:sz w:val="20"/>
                <w:szCs w:val="20"/>
                <w:color w:val="auto"/>
              </w:rPr>
            </w:pPr>
            <w:r>
              <w:rPr>
                <w:rFonts w:ascii="Arial" w:cs="Arial" w:eastAsia="Arial" w:hAnsi="Arial"/>
                <w:sz w:val="18"/>
                <w:szCs w:val="18"/>
                <w:color w:val="auto"/>
              </w:rPr>
              <w:t>15,961</w:t>
            </w:r>
          </w:p>
        </w:tc>
        <w:tc>
          <w:tcPr>
            <w:tcW w:w="1040" w:type="dxa"/>
            <w:vAlign w:val="bottom"/>
            <w:shd w:val="clear" w:color="auto" w:fill="E5E5E5"/>
          </w:tcPr>
          <w:p>
            <w:pPr>
              <w:jc w:val="right"/>
              <w:ind w:right="71"/>
              <w:spacing w:after="0" w:line="202" w:lineRule="exact"/>
              <w:rPr>
                <w:sz w:val="20"/>
                <w:szCs w:val="20"/>
                <w:color w:val="auto"/>
              </w:rPr>
            </w:pPr>
            <w:r>
              <w:rPr>
                <w:rFonts w:ascii="Arial" w:cs="Arial" w:eastAsia="Arial" w:hAnsi="Arial"/>
                <w:sz w:val="18"/>
                <w:szCs w:val="18"/>
                <w:color w:val="auto"/>
              </w:rPr>
              <w:t>1,884,897</w:t>
            </w:r>
          </w:p>
        </w:tc>
      </w:tr>
      <w:tr>
        <w:trPr>
          <w:trHeight w:val="221"/>
        </w:trPr>
        <w:tc>
          <w:tcPr>
            <w:tcW w:w="20" w:type="dxa"/>
            <w:vAlign w:val="bottom"/>
          </w:tcPr>
          <w:p>
            <w:pPr>
              <w:spacing w:after="0"/>
              <w:rPr>
                <w:sz w:val="19"/>
                <w:szCs w:val="19"/>
                <w:color w:val="auto"/>
              </w:rPr>
            </w:pPr>
          </w:p>
        </w:tc>
        <w:tc>
          <w:tcPr>
            <w:tcW w:w="3900" w:type="dxa"/>
            <w:vAlign w:val="bottom"/>
            <w:tcBorders>
              <w:bottom w:val="single" w:sz="8" w:color="002060"/>
            </w:tcBorders>
          </w:tcPr>
          <w:p>
            <w:pPr>
              <w:spacing w:after="0"/>
              <w:rPr>
                <w:sz w:val="19"/>
                <w:szCs w:val="19"/>
                <w:color w:val="auto"/>
              </w:rPr>
            </w:pPr>
          </w:p>
        </w:tc>
        <w:tc>
          <w:tcPr>
            <w:tcW w:w="700" w:type="dxa"/>
            <w:vAlign w:val="bottom"/>
            <w:tcBorders>
              <w:bottom w:val="single" w:sz="8" w:color="002060"/>
            </w:tcBorders>
            <w:shd w:val="clear" w:color="auto" w:fill="E5E5E5"/>
          </w:tcPr>
          <w:p>
            <w:pPr>
              <w:ind w:left="240"/>
              <w:spacing w:after="0"/>
              <w:rPr>
                <w:sz w:val="20"/>
                <w:szCs w:val="20"/>
                <w:color w:val="auto"/>
              </w:rPr>
            </w:pPr>
            <w:r>
              <w:rPr>
                <w:rFonts w:ascii="Arial" w:cs="Arial" w:eastAsia="Arial" w:hAnsi="Arial"/>
                <w:sz w:val="18"/>
                <w:szCs w:val="18"/>
                <w:color w:val="auto"/>
              </w:rPr>
              <w:t>2020</w:t>
            </w:r>
          </w:p>
        </w:tc>
        <w:tc>
          <w:tcPr>
            <w:tcW w:w="1180" w:type="dxa"/>
            <w:vAlign w:val="bottom"/>
            <w:tcBorders>
              <w:bottom w:val="single" w:sz="8" w:color="002060"/>
            </w:tcBorders>
            <w:shd w:val="clear" w:color="auto" w:fill="E5E5E5"/>
          </w:tcPr>
          <w:p>
            <w:pPr>
              <w:jc w:val="right"/>
              <w:ind w:right="171"/>
              <w:spacing w:after="0"/>
              <w:rPr>
                <w:sz w:val="20"/>
                <w:szCs w:val="20"/>
                <w:color w:val="auto"/>
              </w:rPr>
            </w:pPr>
            <w:r>
              <w:rPr>
                <w:rFonts w:ascii="Arial" w:cs="Arial" w:eastAsia="Arial" w:hAnsi="Arial"/>
                <w:sz w:val="18"/>
                <w:szCs w:val="18"/>
                <w:color w:val="auto"/>
              </w:rPr>
              <w:t>423,846</w:t>
            </w:r>
          </w:p>
        </w:tc>
        <w:tc>
          <w:tcPr>
            <w:tcW w:w="114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938,488</w:t>
            </w:r>
          </w:p>
        </w:tc>
        <w:tc>
          <w:tcPr>
            <w:tcW w:w="1400" w:type="dxa"/>
            <w:vAlign w:val="bottom"/>
            <w:tcBorders>
              <w:bottom w:val="single" w:sz="8" w:color="002060"/>
            </w:tcBorders>
            <w:shd w:val="clear" w:color="auto" w:fill="E5E5E5"/>
          </w:tcPr>
          <w:p>
            <w:pPr>
              <w:jc w:val="right"/>
              <w:ind w:right="192"/>
              <w:spacing w:after="0"/>
              <w:rPr>
                <w:sz w:val="20"/>
                <w:szCs w:val="20"/>
                <w:color w:val="auto"/>
              </w:rPr>
            </w:pPr>
            <w:r>
              <w:rPr>
                <w:rFonts w:ascii="Arial" w:cs="Arial" w:eastAsia="Arial" w:hAnsi="Arial"/>
                <w:sz w:val="18"/>
                <w:szCs w:val="18"/>
                <w:color w:val="auto"/>
              </w:rPr>
              <w:t>419,344</w:t>
            </w:r>
          </w:p>
        </w:tc>
        <w:tc>
          <w:tcPr>
            <w:tcW w:w="1300" w:type="dxa"/>
            <w:vAlign w:val="bottom"/>
            <w:tcBorders>
              <w:bottom w:val="single" w:sz="8" w:color="002060"/>
            </w:tcBorders>
            <w:shd w:val="clear" w:color="auto" w:fill="E5E5E5"/>
          </w:tcPr>
          <w:p>
            <w:pPr>
              <w:jc w:val="right"/>
              <w:ind w:right="232"/>
              <w:spacing w:after="0"/>
              <w:rPr>
                <w:sz w:val="20"/>
                <w:szCs w:val="20"/>
                <w:color w:val="auto"/>
              </w:rPr>
            </w:pPr>
            <w:r>
              <w:rPr>
                <w:rFonts w:ascii="Arial" w:cs="Arial" w:eastAsia="Arial" w:hAnsi="Arial"/>
                <w:sz w:val="18"/>
                <w:szCs w:val="18"/>
                <w:color w:val="auto"/>
              </w:rPr>
              <w:t>17,062</w:t>
            </w:r>
          </w:p>
        </w:tc>
        <w:tc>
          <w:tcPr>
            <w:tcW w:w="1040" w:type="dxa"/>
            <w:vAlign w:val="bottom"/>
            <w:tcBorders>
              <w:bottom w:val="single" w:sz="8" w:color="002060"/>
            </w:tcBorders>
            <w:shd w:val="clear" w:color="auto" w:fill="E5E5E5"/>
          </w:tcPr>
          <w:p>
            <w:pPr>
              <w:jc w:val="right"/>
              <w:ind w:right="71"/>
              <w:spacing w:after="0"/>
              <w:rPr>
                <w:sz w:val="20"/>
                <w:szCs w:val="20"/>
                <w:color w:val="auto"/>
              </w:rPr>
            </w:pPr>
            <w:r>
              <w:rPr>
                <w:rFonts w:ascii="Arial" w:cs="Arial" w:eastAsia="Arial" w:hAnsi="Arial"/>
                <w:sz w:val="18"/>
                <w:szCs w:val="18"/>
                <w:color w:val="auto"/>
              </w:rPr>
              <w:t>1,798,740</w:t>
            </w:r>
          </w:p>
        </w:tc>
      </w:tr>
      <w:tr>
        <w:trPr>
          <w:trHeight w:val="191"/>
        </w:trPr>
        <w:tc>
          <w:tcPr>
            <w:tcW w:w="20" w:type="dxa"/>
            <w:vAlign w:val="bottom"/>
          </w:tcPr>
          <w:p>
            <w:pPr>
              <w:spacing w:after="0"/>
              <w:rPr>
                <w:sz w:val="16"/>
                <w:szCs w:val="16"/>
                <w:color w:val="auto"/>
              </w:rPr>
            </w:pPr>
          </w:p>
        </w:tc>
        <w:tc>
          <w:tcPr>
            <w:tcW w:w="3900" w:type="dxa"/>
            <w:vAlign w:val="bottom"/>
          </w:tcPr>
          <w:p>
            <w:pPr>
              <w:ind w:left="40"/>
              <w:spacing w:after="0" w:line="191" w:lineRule="exact"/>
              <w:rPr>
                <w:sz w:val="20"/>
                <w:szCs w:val="20"/>
                <w:color w:val="auto"/>
              </w:rPr>
            </w:pPr>
            <w:r>
              <w:rPr>
                <w:rFonts w:ascii="Arial" w:cs="Arial" w:eastAsia="Arial" w:hAnsi="Arial"/>
                <w:sz w:val="18"/>
                <w:szCs w:val="18"/>
                <w:color w:val="002060"/>
              </w:rPr>
              <w:t>W. Jeffrey Hire</w:t>
            </w:r>
          </w:p>
        </w:tc>
        <w:tc>
          <w:tcPr>
            <w:tcW w:w="700" w:type="dxa"/>
            <w:vAlign w:val="bottom"/>
            <w:shd w:val="clear" w:color="auto" w:fill="E5E5E5"/>
          </w:tcPr>
          <w:p>
            <w:pPr>
              <w:ind w:left="240"/>
              <w:spacing w:after="0" w:line="191" w:lineRule="exact"/>
              <w:rPr>
                <w:sz w:val="20"/>
                <w:szCs w:val="20"/>
                <w:color w:val="auto"/>
              </w:rPr>
            </w:pPr>
            <w:r>
              <w:rPr>
                <w:rFonts w:ascii="Arial" w:cs="Arial" w:eastAsia="Arial" w:hAnsi="Arial"/>
                <w:sz w:val="18"/>
                <w:szCs w:val="18"/>
                <w:color w:val="auto"/>
              </w:rPr>
              <w:t>2022</w:t>
            </w:r>
          </w:p>
        </w:tc>
        <w:tc>
          <w:tcPr>
            <w:tcW w:w="1180" w:type="dxa"/>
            <w:vAlign w:val="bottom"/>
            <w:shd w:val="clear" w:color="auto" w:fill="E5E5E5"/>
          </w:tcPr>
          <w:p>
            <w:pPr>
              <w:jc w:val="right"/>
              <w:ind w:right="171"/>
              <w:spacing w:after="0" w:line="191" w:lineRule="exact"/>
              <w:rPr>
                <w:sz w:val="20"/>
                <w:szCs w:val="20"/>
                <w:color w:val="auto"/>
              </w:rPr>
            </w:pPr>
            <w:r>
              <w:rPr>
                <w:rFonts w:ascii="Arial" w:cs="Arial" w:eastAsia="Arial" w:hAnsi="Arial"/>
                <w:sz w:val="18"/>
                <w:szCs w:val="18"/>
                <w:color w:val="auto"/>
              </w:rPr>
              <w:t>393,365</w:t>
            </w:r>
          </w:p>
        </w:tc>
        <w:tc>
          <w:tcPr>
            <w:tcW w:w="1140" w:type="dxa"/>
            <w:vAlign w:val="bottom"/>
            <w:shd w:val="clear" w:color="auto" w:fill="E5E5E5"/>
          </w:tcPr>
          <w:p>
            <w:pPr>
              <w:jc w:val="right"/>
              <w:ind w:right="92"/>
              <w:spacing w:after="0" w:line="191" w:lineRule="exact"/>
              <w:rPr>
                <w:sz w:val="20"/>
                <w:szCs w:val="20"/>
                <w:color w:val="auto"/>
              </w:rPr>
            </w:pPr>
            <w:r>
              <w:rPr>
                <w:rFonts w:ascii="Arial" w:cs="Arial" w:eastAsia="Arial" w:hAnsi="Arial"/>
                <w:sz w:val="18"/>
                <w:szCs w:val="18"/>
                <w:color w:val="auto"/>
              </w:rPr>
              <w:t>225,217</w:t>
            </w:r>
          </w:p>
        </w:tc>
        <w:tc>
          <w:tcPr>
            <w:tcW w:w="1400" w:type="dxa"/>
            <w:vAlign w:val="bottom"/>
            <w:shd w:val="clear" w:color="auto" w:fill="E5E5E5"/>
          </w:tcPr>
          <w:p>
            <w:pPr>
              <w:jc w:val="right"/>
              <w:ind w:right="192"/>
              <w:spacing w:after="0" w:line="191" w:lineRule="exact"/>
              <w:rPr>
                <w:sz w:val="20"/>
                <w:szCs w:val="20"/>
                <w:color w:val="auto"/>
              </w:rPr>
            </w:pPr>
            <w:r>
              <w:rPr>
                <w:rFonts w:ascii="Arial" w:cs="Arial" w:eastAsia="Arial" w:hAnsi="Arial"/>
                <w:sz w:val="18"/>
                <w:szCs w:val="18"/>
                <w:color w:val="auto"/>
              </w:rPr>
              <w:t>168,900</w:t>
            </w:r>
          </w:p>
        </w:tc>
        <w:tc>
          <w:tcPr>
            <w:tcW w:w="1300" w:type="dxa"/>
            <w:vAlign w:val="bottom"/>
            <w:shd w:val="clear" w:color="auto" w:fill="E5E5E5"/>
          </w:tcPr>
          <w:p>
            <w:pPr>
              <w:jc w:val="right"/>
              <w:ind w:right="232"/>
              <w:spacing w:after="0" w:line="191" w:lineRule="exact"/>
              <w:rPr>
                <w:sz w:val="20"/>
                <w:szCs w:val="20"/>
                <w:color w:val="auto"/>
              </w:rPr>
            </w:pPr>
            <w:r>
              <w:rPr>
                <w:rFonts w:ascii="Arial" w:cs="Arial" w:eastAsia="Arial" w:hAnsi="Arial"/>
                <w:sz w:val="18"/>
                <w:szCs w:val="18"/>
                <w:color w:val="auto"/>
              </w:rPr>
              <w:t>31,511</w:t>
            </w:r>
          </w:p>
        </w:tc>
        <w:tc>
          <w:tcPr>
            <w:tcW w:w="1040" w:type="dxa"/>
            <w:vAlign w:val="bottom"/>
            <w:shd w:val="clear" w:color="auto" w:fill="E5E5E5"/>
          </w:tcPr>
          <w:p>
            <w:pPr>
              <w:jc w:val="right"/>
              <w:ind w:right="71"/>
              <w:spacing w:after="0" w:line="191" w:lineRule="exact"/>
              <w:rPr>
                <w:sz w:val="20"/>
                <w:szCs w:val="20"/>
                <w:color w:val="auto"/>
              </w:rPr>
            </w:pPr>
            <w:r>
              <w:rPr>
                <w:rFonts w:ascii="Arial" w:cs="Arial" w:eastAsia="Arial" w:hAnsi="Arial"/>
                <w:sz w:val="18"/>
                <w:szCs w:val="18"/>
                <w:color w:val="auto"/>
              </w:rPr>
              <w:t>818,994</w:t>
            </w:r>
          </w:p>
        </w:tc>
      </w:tr>
      <w:tr>
        <w:trPr>
          <w:trHeight w:val="203"/>
        </w:trPr>
        <w:tc>
          <w:tcPr>
            <w:tcW w:w="20" w:type="dxa"/>
            <w:vAlign w:val="bottom"/>
          </w:tcPr>
          <w:p>
            <w:pPr>
              <w:spacing w:after="0"/>
              <w:rPr>
                <w:sz w:val="17"/>
                <w:szCs w:val="17"/>
                <w:color w:val="auto"/>
              </w:rPr>
            </w:pP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President, External Affairs</w:t>
            </w:r>
          </w:p>
        </w:tc>
        <w:tc>
          <w:tcPr>
            <w:tcW w:w="70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2021</w:t>
            </w:r>
          </w:p>
        </w:tc>
        <w:tc>
          <w:tcPr>
            <w:tcW w:w="1180" w:type="dxa"/>
            <w:vAlign w:val="bottom"/>
            <w:shd w:val="clear" w:color="auto" w:fill="E5E5E5"/>
          </w:tcPr>
          <w:p>
            <w:pPr>
              <w:jc w:val="right"/>
              <w:ind w:right="171"/>
              <w:spacing w:after="0" w:line="202" w:lineRule="exact"/>
              <w:rPr>
                <w:sz w:val="20"/>
                <w:szCs w:val="20"/>
                <w:color w:val="auto"/>
              </w:rPr>
            </w:pPr>
            <w:r>
              <w:rPr>
                <w:rFonts w:ascii="Arial" w:cs="Arial" w:eastAsia="Arial" w:hAnsi="Arial"/>
                <w:sz w:val="18"/>
                <w:szCs w:val="18"/>
                <w:color w:val="auto"/>
              </w:rPr>
              <w:t>367,154</w:t>
            </w:r>
          </w:p>
        </w:tc>
        <w:tc>
          <w:tcPr>
            <w:tcW w:w="114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144,778</w:t>
            </w:r>
          </w:p>
        </w:tc>
        <w:tc>
          <w:tcPr>
            <w:tcW w:w="1400" w:type="dxa"/>
            <w:vAlign w:val="bottom"/>
            <w:shd w:val="clear" w:color="auto" w:fill="E5E5E5"/>
          </w:tcPr>
          <w:p>
            <w:pPr>
              <w:jc w:val="right"/>
              <w:ind w:right="192"/>
              <w:spacing w:after="0" w:line="202" w:lineRule="exact"/>
              <w:rPr>
                <w:sz w:val="20"/>
                <w:szCs w:val="20"/>
                <w:color w:val="auto"/>
              </w:rPr>
            </w:pPr>
            <w:r>
              <w:rPr>
                <w:rFonts w:ascii="Arial" w:cs="Arial" w:eastAsia="Arial" w:hAnsi="Arial"/>
                <w:sz w:val="18"/>
                <w:szCs w:val="18"/>
                <w:color w:val="auto"/>
              </w:rPr>
              <w:t>125,502</w:t>
            </w:r>
          </w:p>
        </w:tc>
        <w:tc>
          <w:tcPr>
            <w:tcW w:w="1300" w:type="dxa"/>
            <w:vAlign w:val="bottom"/>
            <w:shd w:val="clear" w:color="auto" w:fill="E5E5E5"/>
          </w:tcPr>
          <w:p>
            <w:pPr>
              <w:jc w:val="right"/>
              <w:ind w:right="232"/>
              <w:spacing w:after="0" w:line="202" w:lineRule="exact"/>
              <w:rPr>
                <w:sz w:val="20"/>
                <w:szCs w:val="20"/>
                <w:color w:val="auto"/>
              </w:rPr>
            </w:pPr>
            <w:r>
              <w:rPr>
                <w:rFonts w:ascii="Arial" w:cs="Arial" w:eastAsia="Arial" w:hAnsi="Arial"/>
                <w:sz w:val="18"/>
                <w:szCs w:val="18"/>
                <w:color w:val="auto"/>
              </w:rPr>
              <w:t>31,172</w:t>
            </w:r>
          </w:p>
        </w:tc>
        <w:tc>
          <w:tcPr>
            <w:tcW w:w="1040" w:type="dxa"/>
            <w:vAlign w:val="bottom"/>
            <w:shd w:val="clear" w:color="auto" w:fill="E5E5E5"/>
          </w:tcPr>
          <w:p>
            <w:pPr>
              <w:jc w:val="right"/>
              <w:ind w:right="71"/>
              <w:spacing w:after="0" w:line="202" w:lineRule="exact"/>
              <w:rPr>
                <w:sz w:val="20"/>
                <w:szCs w:val="20"/>
                <w:color w:val="auto"/>
              </w:rPr>
            </w:pPr>
            <w:r>
              <w:rPr>
                <w:rFonts w:ascii="Arial" w:cs="Arial" w:eastAsia="Arial" w:hAnsi="Arial"/>
                <w:sz w:val="18"/>
                <w:szCs w:val="18"/>
                <w:color w:val="auto"/>
              </w:rPr>
              <w:t>668,605</w:t>
            </w:r>
          </w:p>
        </w:tc>
      </w:tr>
      <w:tr>
        <w:trPr>
          <w:trHeight w:val="221"/>
        </w:trPr>
        <w:tc>
          <w:tcPr>
            <w:tcW w:w="20" w:type="dxa"/>
            <w:vAlign w:val="bottom"/>
          </w:tcPr>
          <w:p>
            <w:pPr>
              <w:spacing w:after="0"/>
              <w:rPr>
                <w:sz w:val="19"/>
                <w:szCs w:val="19"/>
                <w:color w:val="auto"/>
              </w:rPr>
            </w:pPr>
          </w:p>
        </w:tc>
        <w:tc>
          <w:tcPr>
            <w:tcW w:w="3900" w:type="dxa"/>
            <w:vAlign w:val="bottom"/>
            <w:tcBorders>
              <w:bottom w:val="single" w:sz="8" w:color="002060"/>
            </w:tcBorders>
          </w:tcPr>
          <w:p>
            <w:pPr>
              <w:spacing w:after="0"/>
              <w:rPr>
                <w:sz w:val="19"/>
                <w:szCs w:val="19"/>
                <w:color w:val="auto"/>
              </w:rPr>
            </w:pPr>
          </w:p>
        </w:tc>
        <w:tc>
          <w:tcPr>
            <w:tcW w:w="700" w:type="dxa"/>
            <w:vAlign w:val="bottom"/>
            <w:tcBorders>
              <w:bottom w:val="single" w:sz="8" w:color="002060"/>
            </w:tcBorders>
            <w:shd w:val="clear" w:color="auto" w:fill="E5E5E5"/>
          </w:tcPr>
          <w:p>
            <w:pPr>
              <w:ind w:left="240"/>
              <w:spacing w:after="0"/>
              <w:rPr>
                <w:sz w:val="20"/>
                <w:szCs w:val="20"/>
                <w:color w:val="auto"/>
              </w:rPr>
            </w:pPr>
            <w:r>
              <w:rPr>
                <w:rFonts w:ascii="Arial" w:cs="Arial" w:eastAsia="Arial" w:hAnsi="Arial"/>
                <w:sz w:val="18"/>
                <w:szCs w:val="18"/>
                <w:color w:val="auto"/>
              </w:rPr>
              <w:t>2020</w:t>
            </w:r>
          </w:p>
        </w:tc>
        <w:tc>
          <w:tcPr>
            <w:tcW w:w="1180" w:type="dxa"/>
            <w:vAlign w:val="bottom"/>
            <w:tcBorders>
              <w:bottom w:val="single" w:sz="8" w:color="002060"/>
            </w:tcBorders>
            <w:shd w:val="clear" w:color="auto" w:fill="E5E5E5"/>
          </w:tcPr>
          <w:p>
            <w:pPr>
              <w:jc w:val="right"/>
              <w:ind w:right="171"/>
              <w:spacing w:after="0"/>
              <w:rPr>
                <w:sz w:val="20"/>
                <w:szCs w:val="20"/>
                <w:color w:val="auto"/>
              </w:rPr>
            </w:pPr>
            <w:r>
              <w:rPr>
                <w:rFonts w:ascii="Arial" w:cs="Arial" w:eastAsia="Arial" w:hAnsi="Arial"/>
                <w:sz w:val="18"/>
                <w:szCs w:val="18"/>
                <w:color w:val="auto"/>
              </w:rPr>
              <w:t>335,038</w:t>
            </w:r>
          </w:p>
        </w:tc>
        <w:tc>
          <w:tcPr>
            <w:tcW w:w="114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140,804</w:t>
            </w:r>
          </w:p>
        </w:tc>
        <w:tc>
          <w:tcPr>
            <w:tcW w:w="1400" w:type="dxa"/>
            <w:vAlign w:val="bottom"/>
            <w:tcBorders>
              <w:bottom w:val="single" w:sz="8" w:color="002060"/>
            </w:tcBorders>
            <w:shd w:val="clear" w:color="auto" w:fill="E5E5E5"/>
          </w:tcPr>
          <w:p>
            <w:pPr>
              <w:jc w:val="right"/>
              <w:ind w:right="192"/>
              <w:spacing w:after="0"/>
              <w:rPr>
                <w:sz w:val="20"/>
                <w:szCs w:val="20"/>
                <w:color w:val="auto"/>
              </w:rPr>
            </w:pPr>
            <w:r>
              <w:rPr>
                <w:rFonts w:ascii="Arial" w:cs="Arial" w:eastAsia="Arial" w:hAnsi="Arial"/>
                <w:sz w:val="18"/>
                <w:szCs w:val="18"/>
                <w:color w:val="auto"/>
              </w:rPr>
              <w:t>119,813</w:t>
            </w:r>
          </w:p>
        </w:tc>
        <w:tc>
          <w:tcPr>
            <w:tcW w:w="1300" w:type="dxa"/>
            <w:vAlign w:val="bottom"/>
            <w:tcBorders>
              <w:bottom w:val="single" w:sz="8" w:color="002060"/>
            </w:tcBorders>
            <w:shd w:val="clear" w:color="auto" w:fill="E5E5E5"/>
          </w:tcPr>
          <w:p>
            <w:pPr>
              <w:jc w:val="right"/>
              <w:ind w:right="232"/>
              <w:spacing w:after="0"/>
              <w:rPr>
                <w:sz w:val="20"/>
                <w:szCs w:val="20"/>
                <w:color w:val="auto"/>
              </w:rPr>
            </w:pPr>
            <w:r>
              <w:rPr>
                <w:rFonts w:ascii="Arial" w:cs="Arial" w:eastAsia="Arial" w:hAnsi="Arial"/>
                <w:sz w:val="18"/>
                <w:szCs w:val="18"/>
                <w:color w:val="auto"/>
              </w:rPr>
              <w:t>30,389</w:t>
            </w:r>
          </w:p>
        </w:tc>
        <w:tc>
          <w:tcPr>
            <w:tcW w:w="1040" w:type="dxa"/>
            <w:vAlign w:val="bottom"/>
            <w:tcBorders>
              <w:bottom w:val="single" w:sz="8" w:color="002060"/>
            </w:tcBorders>
            <w:shd w:val="clear" w:color="auto" w:fill="E5E5E5"/>
          </w:tcPr>
          <w:p>
            <w:pPr>
              <w:jc w:val="right"/>
              <w:ind w:right="71"/>
              <w:spacing w:after="0"/>
              <w:rPr>
                <w:sz w:val="20"/>
                <w:szCs w:val="20"/>
                <w:color w:val="auto"/>
              </w:rPr>
            </w:pPr>
            <w:r>
              <w:rPr>
                <w:rFonts w:ascii="Arial" w:cs="Arial" w:eastAsia="Arial" w:hAnsi="Arial"/>
                <w:sz w:val="18"/>
                <w:szCs w:val="18"/>
                <w:color w:val="auto"/>
              </w:rPr>
              <w:t>626,044</w:t>
            </w:r>
          </w:p>
        </w:tc>
      </w:tr>
      <w:tr>
        <w:trPr>
          <w:trHeight w:val="191"/>
        </w:trPr>
        <w:tc>
          <w:tcPr>
            <w:tcW w:w="20" w:type="dxa"/>
            <w:vAlign w:val="bottom"/>
          </w:tcPr>
          <w:p>
            <w:pPr>
              <w:spacing w:after="0"/>
              <w:rPr>
                <w:sz w:val="16"/>
                <w:szCs w:val="16"/>
                <w:color w:val="auto"/>
              </w:rPr>
            </w:pPr>
          </w:p>
        </w:tc>
        <w:tc>
          <w:tcPr>
            <w:tcW w:w="3900" w:type="dxa"/>
            <w:vAlign w:val="bottom"/>
          </w:tcPr>
          <w:p>
            <w:pPr>
              <w:ind w:left="40"/>
              <w:spacing w:after="0" w:line="191" w:lineRule="exact"/>
              <w:rPr>
                <w:sz w:val="20"/>
                <w:szCs w:val="20"/>
                <w:color w:val="auto"/>
              </w:rPr>
            </w:pPr>
            <w:r>
              <w:rPr>
                <w:rFonts w:ascii="Arial" w:cs="Arial" w:eastAsia="Arial" w:hAnsi="Arial"/>
                <w:sz w:val="18"/>
                <w:szCs w:val="18"/>
                <w:color w:val="002060"/>
              </w:rPr>
              <w:t>Jason R. Niswonger</w:t>
            </w:r>
          </w:p>
        </w:tc>
        <w:tc>
          <w:tcPr>
            <w:tcW w:w="700" w:type="dxa"/>
            <w:vAlign w:val="bottom"/>
            <w:shd w:val="clear" w:color="auto" w:fill="E5E5E5"/>
          </w:tcPr>
          <w:p>
            <w:pPr>
              <w:ind w:left="240"/>
              <w:spacing w:after="0" w:line="191" w:lineRule="exact"/>
              <w:rPr>
                <w:sz w:val="20"/>
                <w:szCs w:val="20"/>
                <w:color w:val="auto"/>
              </w:rPr>
            </w:pPr>
            <w:r>
              <w:rPr>
                <w:rFonts w:ascii="Arial" w:cs="Arial" w:eastAsia="Arial" w:hAnsi="Arial"/>
                <w:sz w:val="18"/>
                <w:szCs w:val="18"/>
                <w:color w:val="auto"/>
              </w:rPr>
              <w:t>2022</w:t>
            </w:r>
          </w:p>
        </w:tc>
        <w:tc>
          <w:tcPr>
            <w:tcW w:w="1180" w:type="dxa"/>
            <w:vAlign w:val="bottom"/>
            <w:shd w:val="clear" w:color="auto" w:fill="E5E5E5"/>
          </w:tcPr>
          <w:p>
            <w:pPr>
              <w:jc w:val="right"/>
              <w:ind w:right="171"/>
              <w:spacing w:after="0" w:line="191" w:lineRule="exact"/>
              <w:rPr>
                <w:sz w:val="20"/>
                <w:szCs w:val="20"/>
                <w:color w:val="auto"/>
              </w:rPr>
            </w:pPr>
            <w:r>
              <w:rPr>
                <w:rFonts w:ascii="Arial" w:cs="Arial" w:eastAsia="Arial" w:hAnsi="Arial"/>
                <w:sz w:val="18"/>
                <w:szCs w:val="18"/>
                <w:color w:val="auto"/>
              </w:rPr>
              <w:t>384,385</w:t>
            </w:r>
          </w:p>
        </w:tc>
        <w:tc>
          <w:tcPr>
            <w:tcW w:w="1140" w:type="dxa"/>
            <w:vAlign w:val="bottom"/>
            <w:shd w:val="clear" w:color="auto" w:fill="E5E5E5"/>
          </w:tcPr>
          <w:p>
            <w:pPr>
              <w:jc w:val="right"/>
              <w:ind w:right="92"/>
              <w:spacing w:after="0" w:line="191" w:lineRule="exact"/>
              <w:rPr>
                <w:sz w:val="20"/>
                <w:szCs w:val="20"/>
                <w:color w:val="auto"/>
              </w:rPr>
            </w:pPr>
            <w:r>
              <w:rPr>
                <w:rFonts w:ascii="Arial" w:cs="Arial" w:eastAsia="Arial" w:hAnsi="Arial"/>
                <w:sz w:val="18"/>
                <w:szCs w:val="18"/>
                <w:color w:val="auto"/>
              </w:rPr>
              <w:t>315,119</w:t>
            </w:r>
          </w:p>
        </w:tc>
        <w:tc>
          <w:tcPr>
            <w:tcW w:w="1400" w:type="dxa"/>
            <w:vAlign w:val="bottom"/>
            <w:shd w:val="clear" w:color="auto" w:fill="E5E5E5"/>
          </w:tcPr>
          <w:p>
            <w:pPr>
              <w:jc w:val="right"/>
              <w:ind w:right="192"/>
              <w:spacing w:after="0" w:line="191" w:lineRule="exact"/>
              <w:rPr>
                <w:sz w:val="20"/>
                <w:szCs w:val="20"/>
                <w:color w:val="auto"/>
              </w:rPr>
            </w:pPr>
            <w:r>
              <w:rPr>
                <w:rFonts w:ascii="Arial" w:cs="Arial" w:eastAsia="Arial" w:hAnsi="Arial"/>
                <w:sz w:val="18"/>
                <w:szCs w:val="18"/>
                <w:color w:val="auto"/>
              </w:rPr>
              <w:t>197,050</w:t>
            </w:r>
          </w:p>
        </w:tc>
        <w:tc>
          <w:tcPr>
            <w:tcW w:w="1300" w:type="dxa"/>
            <w:vAlign w:val="bottom"/>
            <w:shd w:val="clear" w:color="auto" w:fill="E5E5E5"/>
          </w:tcPr>
          <w:p>
            <w:pPr>
              <w:jc w:val="right"/>
              <w:ind w:right="232"/>
              <w:spacing w:after="0" w:line="191" w:lineRule="exact"/>
              <w:rPr>
                <w:sz w:val="20"/>
                <w:szCs w:val="20"/>
                <w:color w:val="auto"/>
              </w:rPr>
            </w:pPr>
            <w:r>
              <w:rPr>
                <w:rFonts w:ascii="Arial" w:cs="Arial" w:eastAsia="Arial" w:hAnsi="Arial"/>
                <w:sz w:val="18"/>
                <w:szCs w:val="18"/>
                <w:color w:val="auto"/>
              </w:rPr>
              <w:t>12,153</w:t>
            </w:r>
          </w:p>
        </w:tc>
        <w:tc>
          <w:tcPr>
            <w:tcW w:w="1040" w:type="dxa"/>
            <w:vAlign w:val="bottom"/>
            <w:shd w:val="clear" w:color="auto" w:fill="E5E5E5"/>
          </w:tcPr>
          <w:p>
            <w:pPr>
              <w:jc w:val="right"/>
              <w:ind w:right="71"/>
              <w:spacing w:after="0" w:line="191" w:lineRule="exact"/>
              <w:rPr>
                <w:sz w:val="20"/>
                <w:szCs w:val="20"/>
                <w:color w:val="auto"/>
              </w:rPr>
            </w:pPr>
            <w:r>
              <w:rPr>
                <w:rFonts w:ascii="Arial" w:cs="Arial" w:eastAsia="Arial" w:hAnsi="Arial"/>
                <w:sz w:val="18"/>
                <w:szCs w:val="18"/>
                <w:color w:val="auto"/>
              </w:rPr>
              <w:t>908,706</w:t>
            </w:r>
          </w:p>
        </w:tc>
      </w:tr>
      <w:tr>
        <w:trPr>
          <w:trHeight w:val="203"/>
        </w:trPr>
        <w:tc>
          <w:tcPr>
            <w:tcW w:w="20" w:type="dxa"/>
            <w:vAlign w:val="bottom"/>
          </w:tcPr>
          <w:p>
            <w:pPr>
              <w:spacing w:after="0"/>
              <w:rPr>
                <w:sz w:val="17"/>
                <w:szCs w:val="17"/>
                <w:color w:val="auto"/>
              </w:rPr>
            </w:pP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Chief Administrative and Sustainability Officer</w:t>
            </w:r>
          </w:p>
        </w:tc>
        <w:tc>
          <w:tcPr>
            <w:tcW w:w="70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2021</w:t>
            </w:r>
          </w:p>
        </w:tc>
        <w:tc>
          <w:tcPr>
            <w:tcW w:w="1180" w:type="dxa"/>
            <w:vAlign w:val="bottom"/>
            <w:shd w:val="clear" w:color="auto" w:fill="E5E5E5"/>
          </w:tcPr>
          <w:p>
            <w:pPr>
              <w:jc w:val="right"/>
              <w:ind w:right="171"/>
              <w:spacing w:after="0" w:line="202" w:lineRule="exact"/>
              <w:rPr>
                <w:sz w:val="20"/>
                <w:szCs w:val="20"/>
                <w:color w:val="auto"/>
              </w:rPr>
            </w:pPr>
            <w:r>
              <w:rPr>
                <w:rFonts w:ascii="Arial" w:cs="Arial" w:eastAsia="Arial" w:hAnsi="Arial"/>
                <w:sz w:val="18"/>
                <w:szCs w:val="18"/>
                <w:color w:val="auto"/>
              </w:rPr>
              <w:t>346,692</w:t>
            </w:r>
          </w:p>
        </w:tc>
        <w:tc>
          <w:tcPr>
            <w:tcW w:w="114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144,778</w:t>
            </w:r>
          </w:p>
        </w:tc>
        <w:tc>
          <w:tcPr>
            <w:tcW w:w="1400" w:type="dxa"/>
            <w:vAlign w:val="bottom"/>
            <w:shd w:val="clear" w:color="auto" w:fill="E5E5E5"/>
          </w:tcPr>
          <w:p>
            <w:pPr>
              <w:jc w:val="right"/>
              <w:ind w:right="192"/>
              <w:spacing w:after="0" w:line="202" w:lineRule="exact"/>
              <w:rPr>
                <w:sz w:val="20"/>
                <w:szCs w:val="20"/>
                <w:color w:val="auto"/>
              </w:rPr>
            </w:pPr>
            <w:r>
              <w:rPr>
                <w:rFonts w:ascii="Arial" w:cs="Arial" w:eastAsia="Arial" w:hAnsi="Arial"/>
                <w:sz w:val="18"/>
                <w:szCs w:val="18"/>
                <w:color w:val="auto"/>
              </w:rPr>
              <w:t>125,502</w:t>
            </w:r>
          </w:p>
        </w:tc>
        <w:tc>
          <w:tcPr>
            <w:tcW w:w="1300" w:type="dxa"/>
            <w:vAlign w:val="bottom"/>
            <w:shd w:val="clear" w:color="auto" w:fill="E5E5E5"/>
          </w:tcPr>
          <w:p>
            <w:pPr>
              <w:jc w:val="right"/>
              <w:ind w:right="232"/>
              <w:spacing w:after="0" w:line="202" w:lineRule="exact"/>
              <w:rPr>
                <w:sz w:val="20"/>
                <w:szCs w:val="20"/>
                <w:color w:val="auto"/>
              </w:rPr>
            </w:pPr>
            <w:r>
              <w:rPr>
                <w:rFonts w:ascii="Arial" w:cs="Arial" w:eastAsia="Arial" w:hAnsi="Arial"/>
                <w:sz w:val="18"/>
                <w:szCs w:val="18"/>
                <w:color w:val="auto"/>
              </w:rPr>
              <w:t>15,330</w:t>
            </w:r>
          </w:p>
        </w:tc>
        <w:tc>
          <w:tcPr>
            <w:tcW w:w="1040" w:type="dxa"/>
            <w:vAlign w:val="bottom"/>
            <w:shd w:val="clear" w:color="auto" w:fill="E5E5E5"/>
          </w:tcPr>
          <w:p>
            <w:pPr>
              <w:jc w:val="right"/>
              <w:ind w:right="71"/>
              <w:spacing w:after="0" w:line="202" w:lineRule="exact"/>
              <w:rPr>
                <w:sz w:val="20"/>
                <w:szCs w:val="20"/>
                <w:color w:val="auto"/>
              </w:rPr>
            </w:pPr>
            <w:r>
              <w:rPr>
                <w:rFonts w:ascii="Arial" w:cs="Arial" w:eastAsia="Arial" w:hAnsi="Arial"/>
                <w:sz w:val="18"/>
                <w:szCs w:val="18"/>
                <w:color w:val="auto"/>
              </w:rPr>
              <w:t>632,302</w:t>
            </w:r>
          </w:p>
        </w:tc>
      </w:tr>
      <w:tr>
        <w:trPr>
          <w:trHeight w:val="255"/>
        </w:trPr>
        <w:tc>
          <w:tcPr>
            <w:tcW w:w="20" w:type="dxa"/>
            <w:vAlign w:val="bottom"/>
          </w:tcPr>
          <w:p>
            <w:pPr>
              <w:spacing w:after="0"/>
              <w:rPr>
                <w:sz w:val="22"/>
                <w:szCs w:val="22"/>
                <w:color w:val="auto"/>
              </w:rPr>
            </w:pPr>
          </w:p>
        </w:tc>
        <w:tc>
          <w:tcPr>
            <w:tcW w:w="3900" w:type="dxa"/>
            <w:vAlign w:val="bottom"/>
            <w:tcBorders>
              <w:bottom w:val="single" w:sz="8" w:color="002060"/>
            </w:tcBorders>
          </w:tcPr>
          <w:p>
            <w:pPr>
              <w:spacing w:after="0"/>
              <w:rPr>
                <w:sz w:val="22"/>
                <w:szCs w:val="22"/>
                <w:color w:val="auto"/>
              </w:rPr>
            </w:pPr>
          </w:p>
        </w:tc>
        <w:tc>
          <w:tcPr>
            <w:tcW w:w="700" w:type="dxa"/>
            <w:vAlign w:val="bottom"/>
            <w:tcBorders>
              <w:bottom w:val="single" w:sz="8" w:color="002060"/>
            </w:tcBorders>
            <w:shd w:val="clear" w:color="auto" w:fill="E5E5E5"/>
          </w:tcPr>
          <w:p>
            <w:pPr>
              <w:ind w:left="240"/>
              <w:spacing w:after="0"/>
              <w:rPr>
                <w:sz w:val="20"/>
                <w:szCs w:val="20"/>
                <w:color w:val="auto"/>
              </w:rPr>
            </w:pPr>
            <w:r>
              <w:rPr>
                <w:rFonts w:ascii="Arial" w:cs="Arial" w:eastAsia="Arial" w:hAnsi="Arial"/>
                <w:sz w:val="18"/>
                <w:szCs w:val="18"/>
                <w:color w:val="auto"/>
              </w:rPr>
              <w:t>2020</w:t>
            </w:r>
          </w:p>
        </w:tc>
        <w:tc>
          <w:tcPr>
            <w:tcW w:w="1180" w:type="dxa"/>
            <w:vAlign w:val="bottom"/>
            <w:tcBorders>
              <w:bottom w:val="single" w:sz="8" w:color="002060"/>
            </w:tcBorders>
            <w:shd w:val="clear" w:color="auto" w:fill="E5E5E5"/>
          </w:tcPr>
          <w:p>
            <w:pPr>
              <w:jc w:val="right"/>
              <w:ind w:right="171"/>
              <w:spacing w:after="0"/>
              <w:rPr>
                <w:sz w:val="20"/>
                <w:szCs w:val="20"/>
                <w:color w:val="auto"/>
              </w:rPr>
            </w:pPr>
            <w:r>
              <w:rPr>
                <w:rFonts w:ascii="Arial" w:cs="Arial" w:eastAsia="Arial" w:hAnsi="Arial"/>
                <w:sz w:val="18"/>
                <w:szCs w:val="18"/>
                <w:color w:val="auto"/>
              </w:rPr>
              <w:t>313,423</w:t>
            </w:r>
          </w:p>
        </w:tc>
        <w:tc>
          <w:tcPr>
            <w:tcW w:w="114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134,622</w:t>
            </w:r>
          </w:p>
        </w:tc>
        <w:tc>
          <w:tcPr>
            <w:tcW w:w="1400" w:type="dxa"/>
            <w:vAlign w:val="bottom"/>
            <w:tcBorders>
              <w:bottom w:val="single" w:sz="8" w:color="002060"/>
            </w:tcBorders>
            <w:shd w:val="clear" w:color="auto" w:fill="E5E5E5"/>
          </w:tcPr>
          <w:p>
            <w:pPr>
              <w:jc w:val="right"/>
              <w:ind w:right="192"/>
              <w:spacing w:after="0"/>
              <w:rPr>
                <w:sz w:val="20"/>
                <w:szCs w:val="20"/>
                <w:color w:val="auto"/>
              </w:rPr>
            </w:pPr>
            <w:r>
              <w:rPr>
                <w:rFonts w:ascii="Arial" w:cs="Arial" w:eastAsia="Arial" w:hAnsi="Arial"/>
                <w:sz w:val="18"/>
                <w:szCs w:val="18"/>
                <w:color w:val="auto"/>
              </w:rPr>
              <w:t>119,813</w:t>
            </w:r>
          </w:p>
        </w:tc>
        <w:tc>
          <w:tcPr>
            <w:tcW w:w="1300" w:type="dxa"/>
            <w:vAlign w:val="bottom"/>
            <w:tcBorders>
              <w:bottom w:val="single" w:sz="8" w:color="002060"/>
            </w:tcBorders>
            <w:shd w:val="clear" w:color="auto" w:fill="E5E5E5"/>
          </w:tcPr>
          <w:p>
            <w:pPr>
              <w:jc w:val="right"/>
              <w:ind w:right="232"/>
              <w:spacing w:after="0"/>
              <w:rPr>
                <w:sz w:val="20"/>
                <w:szCs w:val="20"/>
                <w:color w:val="auto"/>
              </w:rPr>
            </w:pPr>
            <w:r>
              <w:rPr>
                <w:rFonts w:ascii="Arial" w:cs="Arial" w:eastAsia="Arial" w:hAnsi="Arial"/>
                <w:sz w:val="18"/>
                <w:szCs w:val="18"/>
                <w:color w:val="auto"/>
              </w:rPr>
              <w:t>16,442</w:t>
            </w:r>
          </w:p>
        </w:tc>
        <w:tc>
          <w:tcPr>
            <w:tcW w:w="1040" w:type="dxa"/>
            <w:vAlign w:val="bottom"/>
            <w:tcBorders>
              <w:bottom w:val="single" w:sz="8" w:color="002060"/>
            </w:tcBorders>
            <w:shd w:val="clear" w:color="auto" w:fill="E5E5E5"/>
          </w:tcPr>
          <w:p>
            <w:pPr>
              <w:jc w:val="right"/>
              <w:ind w:right="71"/>
              <w:spacing w:after="0"/>
              <w:rPr>
                <w:sz w:val="20"/>
                <w:szCs w:val="20"/>
                <w:color w:val="auto"/>
              </w:rPr>
            </w:pPr>
            <w:r>
              <w:rPr>
                <w:rFonts w:ascii="Arial" w:cs="Arial" w:eastAsia="Arial" w:hAnsi="Arial"/>
                <w:sz w:val="18"/>
                <w:szCs w:val="18"/>
                <w:color w:val="auto"/>
              </w:rPr>
              <w:t>584,300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-2056765</wp:posOffset>
            </wp:positionV>
            <wp:extent cx="8255" cy="2040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2040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-2056765</wp:posOffset>
            </wp:positionV>
            <wp:extent cx="8255" cy="2040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2040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-2056765</wp:posOffset>
            </wp:positionV>
            <wp:extent cx="8255" cy="2040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2040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-2056765</wp:posOffset>
            </wp:positionV>
            <wp:extent cx="8890" cy="2040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2040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-2056765</wp:posOffset>
            </wp:positionV>
            <wp:extent cx="8890" cy="2040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2040255"/>
                    </a:xfrm>
                    <a:prstGeom prst="rect">
                      <a:avLst/>
                    </a:prstGeom>
                    <a:noFill/>
                  </pic:spPr>
                </pic:pic>
              </a:graphicData>
            </a:graphic>
          </wp:anchor>
        </w:drawing>
      </w:r>
    </w:p>
    <w:p>
      <w:pPr>
        <w:spacing w:after="0" w:line="29" w:lineRule="exact"/>
        <w:rPr>
          <w:sz w:val="20"/>
          <w:szCs w:val="20"/>
          <w:color w:val="auto"/>
        </w:rPr>
      </w:pPr>
    </w:p>
    <w:p>
      <w:pPr>
        <w:ind w:left="540" w:right="20" w:hanging="424"/>
        <w:spacing w:after="0" w:line="244"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in this column for 2022 represent the aggregate grant date fair value of performance-based restricted stock awards granted February 22, 2022 based on 2021 performance, computed in accordance with FASB ASC Topic 718. The grant date fair value was determined by multiplying the number of shares of common stock by the closing price of $102.98 on the grant date. See “</w:t>
      </w:r>
      <w:r>
        <w:rPr>
          <w:rFonts w:ascii="Arial" w:cs="Arial" w:eastAsia="Arial" w:hAnsi="Arial"/>
          <w:sz w:val="18"/>
          <w:szCs w:val="18"/>
          <w:i w:val="1"/>
          <w:iCs w:val="1"/>
          <w:color w:val="auto"/>
        </w:rPr>
        <w:t>2022</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Performance-Based Incentive Equity Awards</w:t>
      </w:r>
      <w:r>
        <w:rPr>
          <w:rFonts w:ascii="Arial" w:cs="Arial" w:eastAsia="Arial" w:hAnsi="Arial"/>
          <w:sz w:val="18"/>
          <w:szCs w:val="18"/>
          <w:color w:val="auto"/>
        </w:rPr>
        <w:t>” above, “</w:t>
      </w:r>
      <w:r>
        <w:rPr>
          <w:rFonts w:ascii="Arial" w:cs="Arial" w:eastAsia="Arial" w:hAnsi="Arial"/>
          <w:sz w:val="18"/>
          <w:szCs w:val="18"/>
          <w:i w:val="1"/>
          <w:iCs w:val="1"/>
          <w:color w:val="auto"/>
        </w:rPr>
        <w:t>Grants of Plan-Based Awards for 2022</w:t>
      </w:r>
      <w:r>
        <w:rPr>
          <w:rFonts w:ascii="Arial" w:cs="Arial" w:eastAsia="Arial" w:hAnsi="Arial"/>
          <w:sz w:val="18"/>
          <w:szCs w:val="18"/>
          <w:color w:val="auto"/>
        </w:rPr>
        <w:t>” and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below for more information concerning the restricted stock awarded in 2022.</w:t>
      </w:r>
    </w:p>
    <w:p>
      <w:pPr>
        <w:spacing w:after="0" w:line="81" w:lineRule="exact"/>
        <w:rPr>
          <w:rFonts w:ascii="Arial" w:cs="Arial" w:eastAsia="Arial" w:hAnsi="Arial"/>
          <w:sz w:val="18"/>
          <w:szCs w:val="18"/>
          <w:color w:val="auto"/>
        </w:rPr>
      </w:pPr>
    </w:p>
    <w:p>
      <w:pPr>
        <w:jc w:val="both"/>
        <w:ind w:left="540" w:hanging="424"/>
        <w:spacing w:after="0" w:line="253"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in this column represent the performance-based cash incentives earned in the applicable fiscal year. The amounts reported for 2020 were not actually paid to Messrs. Edwards, Miller and Elliott, who agreed in advance to waive their performance-based cash awards in that year to assist funding awards made by our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76200</wp:posOffset>
            </wp:positionV>
            <wp:extent cx="291465" cy="2654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194"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Executive Compensation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67</w:t>
      </w:r>
    </w:p>
    <w:p>
      <w:pPr>
        <w:sectPr>
          <w:pgSz w:w="11900" w:h="16838" w:orient="portrait"/>
          <w:cols w:equalWidth="0" w:num="1">
            <w:col w:w="11100"/>
          </w:cols>
          <w:pgMar w:left="320" w:top="482"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table describes each component of the “All Other Compensation” column for 2022:</w:t>
      </w:r>
    </w:p>
    <w:p>
      <w:pPr>
        <w:spacing w:after="0" w:line="257" w:lineRule="exact"/>
        <w:rPr>
          <w:sz w:val="20"/>
          <w:szCs w:val="20"/>
          <w:color w:val="auto"/>
        </w:rPr>
      </w:pPr>
    </w:p>
    <w:tbl>
      <w:tblPr>
        <w:tblLayout w:type="fixed"/>
        <w:tblInd w:w="400" w:type="dxa"/>
        <w:tblCellMar>
          <w:top w:w="0" w:type="dxa"/>
          <w:left w:w="0" w:type="dxa"/>
          <w:bottom w:w="0" w:type="dxa"/>
          <w:right w:w="0" w:type="dxa"/>
        </w:tblCellMar>
      </w:tblPr>
      <w:tr>
        <w:trPr>
          <w:trHeight w:val="296"/>
        </w:trPr>
        <w:tc>
          <w:tcPr>
            <w:tcW w:w="4380" w:type="dxa"/>
            <w:vAlign w:val="bottom"/>
          </w:tcPr>
          <w:p>
            <w:pPr>
              <w:spacing w:after="0"/>
              <w:rPr>
                <w:sz w:val="24"/>
                <w:szCs w:val="24"/>
                <w:color w:val="auto"/>
              </w:rPr>
            </w:pPr>
          </w:p>
        </w:tc>
        <w:tc>
          <w:tcPr>
            <w:tcW w:w="980" w:type="dxa"/>
            <w:vAlign w:val="bottom"/>
            <w:shd w:val="clear" w:color="auto" w:fill="E5E5E5"/>
          </w:tcPr>
          <w:p>
            <w:pPr>
              <w:spacing w:after="0"/>
              <w:rPr>
                <w:sz w:val="24"/>
                <w:szCs w:val="24"/>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Company</w:t>
            </w:r>
          </w:p>
        </w:tc>
        <w:tc>
          <w:tcPr>
            <w:tcW w:w="98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Company</w:t>
            </w:r>
          </w:p>
        </w:tc>
        <w:tc>
          <w:tcPr>
            <w:tcW w:w="760" w:type="dxa"/>
            <w:vAlign w:val="bottom"/>
            <w:shd w:val="clear" w:color="auto" w:fill="E5E5E5"/>
          </w:tcPr>
          <w:p>
            <w:pPr>
              <w:spacing w:after="0"/>
              <w:rPr>
                <w:sz w:val="24"/>
                <w:szCs w:val="24"/>
                <w:color w:val="auto"/>
              </w:rPr>
            </w:pPr>
          </w:p>
        </w:tc>
        <w:tc>
          <w:tcPr>
            <w:tcW w:w="98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Company</w:t>
            </w:r>
          </w:p>
        </w:tc>
        <w:tc>
          <w:tcPr>
            <w:tcW w:w="1300" w:type="dxa"/>
            <w:vAlign w:val="bottom"/>
            <w:shd w:val="clear" w:color="auto" w:fill="E5E5E5"/>
          </w:tcPr>
          <w:p>
            <w:pPr>
              <w:spacing w:after="0"/>
              <w:rPr>
                <w:sz w:val="24"/>
                <w:szCs w:val="24"/>
                <w:color w:val="auto"/>
              </w:rPr>
            </w:pPr>
          </w:p>
        </w:tc>
      </w:tr>
      <w:tr>
        <w:trPr>
          <w:trHeight w:val="189"/>
        </w:trPr>
        <w:tc>
          <w:tcPr>
            <w:tcW w:w="4380" w:type="dxa"/>
            <w:vAlign w:val="bottom"/>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Paid Car</w:t>
            </w:r>
          </w:p>
        </w:tc>
        <w:tc>
          <w:tcPr>
            <w:tcW w:w="98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Paid</w:t>
            </w:r>
          </w:p>
        </w:tc>
        <w:tc>
          <w:tcPr>
            <w:tcW w:w="76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401(K)</w:t>
            </w:r>
          </w:p>
        </w:tc>
        <w:tc>
          <w:tcPr>
            <w:tcW w:w="98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Paid</w:t>
            </w: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All Other</w:t>
            </w:r>
          </w:p>
        </w:tc>
      </w:tr>
      <w:tr>
        <w:trPr>
          <w:trHeight w:val="189"/>
        </w:trPr>
        <w:tc>
          <w:tcPr>
            <w:tcW w:w="4380" w:type="dxa"/>
            <w:vAlign w:val="bottom"/>
          </w:tcPr>
          <w:p>
            <w:pPr>
              <w:spacing w:after="0"/>
              <w:rPr>
                <w:sz w:val="16"/>
                <w:szCs w:val="16"/>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1F4E79"/>
              </w:rPr>
              <w:t>Company</w:t>
            </w:r>
          </w:p>
        </w:tc>
        <w:tc>
          <w:tcPr>
            <w:tcW w:w="1080" w:type="dxa"/>
            <w:vAlign w:val="bottom"/>
            <w:shd w:val="clear" w:color="auto" w:fill="E5E5E5"/>
          </w:tcPr>
          <w:p>
            <w:pPr>
              <w:jc w:val="right"/>
              <w:ind w:right="54"/>
              <w:spacing w:after="0"/>
              <w:rPr>
                <w:sz w:val="20"/>
                <w:szCs w:val="20"/>
                <w:color w:val="auto"/>
              </w:rPr>
            </w:pPr>
            <w:r>
              <w:rPr>
                <w:rFonts w:ascii="Arial" w:cs="Arial" w:eastAsia="Arial" w:hAnsi="Arial"/>
                <w:sz w:val="16"/>
                <w:szCs w:val="16"/>
                <w:b w:val="1"/>
                <w:bCs w:val="1"/>
                <w:color w:val="1F4E79"/>
              </w:rPr>
              <w:t>Insurance</w:t>
            </w:r>
          </w:p>
        </w:tc>
        <w:tc>
          <w:tcPr>
            <w:tcW w:w="98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Parking</w:t>
            </w:r>
          </w:p>
        </w:tc>
        <w:tc>
          <w:tcPr>
            <w:tcW w:w="760" w:type="dxa"/>
            <w:vAlign w:val="bottom"/>
            <w:shd w:val="clear" w:color="auto" w:fill="E5E5E5"/>
          </w:tcPr>
          <w:p>
            <w:pPr>
              <w:jc w:val="right"/>
              <w:ind w:right="73"/>
              <w:spacing w:after="0"/>
              <w:rPr>
                <w:sz w:val="20"/>
                <w:szCs w:val="20"/>
                <w:color w:val="auto"/>
              </w:rPr>
            </w:pPr>
            <w:r>
              <w:rPr>
                <w:rFonts w:ascii="Arial" w:cs="Arial" w:eastAsia="Arial" w:hAnsi="Arial"/>
                <w:sz w:val="16"/>
                <w:szCs w:val="16"/>
                <w:b w:val="1"/>
                <w:bCs w:val="1"/>
                <w:color w:val="1F4E79"/>
              </w:rPr>
              <w:t>Match</w:t>
            </w:r>
          </w:p>
        </w:tc>
        <w:tc>
          <w:tcPr>
            <w:tcW w:w="98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w w:val="98"/>
              </w:rPr>
              <w:t>Mobile</w:t>
            </w: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Compensation</w:t>
            </w:r>
          </w:p>
        </w:tc>
      </w:tr>
      <w:tr>
        <w:trPr>
          <w:trHeight w:val="278"/>
        </w:trPr>
        <w:tc>
          <w:tcPr>
            <w:tcW w:w="4380" w:type="dxa"/>
            <w:vAlign w:val="bottom"/>
          </w:tcPr>
          <w:p>
            <w:pPr>
              <w:spacing w:after="0"/>
              <w:rPr>
                <w:sz w:val="20"/>
                <w:szCs w:val="20"/>
                <w:color w:val="auto"/>
              </w:rPr>
            </w:pPr>
            <w:r>
              <w:rPr>
                <w:rFonts w:ascii="Arial" w:cs="Arial" w:eastAsia="Arial" w:hAnsi="Arial"/>
                <w:sz w:val="16"/>
                <w:szCs w:val="16"/>
                <w:b w:val="1"/>
                <w:bCs w:val="1"/>
                <w:color w:val="1F4E79"/>
              </w:rPr>
              <w:t>Name</w:t>
            </w:r>
          </w:p>
        </w:tc>
        <w:tc>
          <w:tcPr>
            <w:tcW w:w="980" w:type="dxa"/>
            <w:vAlign w:val="bottom"/>
            <w:tcBorders>
              <w:bottom w:val="single" w:sz="8" w:color="E5E5E5"/>
            </w:tcBorders>
            <w:shd w:val="clear" w:color="auto" w:fill="E5E5E5"/>
          </w:tcPr>
          <w:p>
            <w:pPr>
              <w:jc w:val="right"/>
              <w:ind w:right="93"/>
              <w:spacing w:after="0"/>
              <w:rPr>
                <w:sz w:val="20"/>
                <w:szCs w:val="20"/>
                <w:color w:val="auto"/>
              </w:rPr>
            </w:pPr>
            <w:r>
              <w:rPr>
                <w:rFonts w:ascii="Arial" w:cs="Arial" w:eastAsia="Arial" w:hAnsi="Arial"/>
                <w:sz w:val="16"/>
                <w:szCs w:val="16"/>
                <w:b w:val="1"/>
                <w:bCs w:val="1"/>
                <w:color w:val="1F4E79"/>
              </w:rPr>
              <w:t>Car ($)</w:t>
            </w:r>
          </w:p>
        </w:tc>
        <w:tc>
          <w:tcPr>
            <w:tcW w:w="10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b w:val="1"/>
                <w:bCs w:val="1"/>
                <w:color w:val="1F4E79"/>
              </w:rPr>
              <w:t>($)</w:t>
            </w:r>
          </w:p>
        </w:tc>
        <w:tc>
          <w:tcPr>
            <w:tcW w:w="9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b w:val="1"/>
                <w:bCs w:val="1"/>
                <w:color w:val="1F4E79"/>
              </w:rPr>
              <w:t>($)</w:t>
            </w:r>
          </w:p>
        </w:tc>
        <w:tc>
          <w:tcPr>
            <w:tcW w:w="760" w:type="dxa"/>
            <w:vAlign w:val="bottom"/>
            <w:tcBorders>
              <w:bottom w:val="single" w:sz="8" w:color="E5E5E5"/>
            </w:tcBorders>
            <w:shd w:val="clear" w:color="auto" w:fill="E5E5E5"/>
          </w:tcPr>
          <w:p>
            <w:pPr>
              <w:jc w:val="right"/>
              <w:ind w:right="193"/>
              <w:spacing w:after="0"/>
              <w:rPr>
                <w:sz w:val="20"/>
                <w:szCs w:val="20"/>
                <w:color w:val="auto"/>
              </w:rPr>
            </w:pPr>
            <w:r>
              <w:rPr>
                <w:rFonts w:ascii="Arial" w:cs="Arial" w:eastAsia="Arial" w:hAnsi="Arial"/>
                <w:sz w:val="16"/>
                <w:szCs w:val="16"/>
                <w:b w:val="1"/>
                <w:bCs w:val="1"/>
                <w:color w:val="1F4E79"/>
              </w:rPr>
              <w:t>($)</w:t>
            </w:r>
          </w:p>
        </w:tc>
        <w:tc>
          <w:tcPr>
            <w:tcW w:w="9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b w:val="1"/>
                <w:bCs w:val="1"/>
                <w:color w:val="1F4E79"/>
              </w:rPr>
              <w:t>Phone ($)</w:t>
            </w:r>
          </w:p>
        </w:tc>
        <w:tc>
          <w:tcPr>
            <w:tcW w:w="13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b w:val="1"/>
                <w:bCs w:val="1"/>
                <w:color w:val="1F4E79"/>
              </w:rPr>
              <w:t>($)</w:t>
            </w:r>
          </w:p>
        </w:tc>
      </w:tr>
      <w:tr>
        <w:trPr>
          <w:trHeight w:val="241"/>
        </w:trPr>
        <w:tc>
          <w:tcPr>
            <w:tcW w:w="4380" w:type="dxa"/>
            <w:vAlign w:val="bottom"/>
            <w:tcBorders>
              <w:top w:val="single" w:sz="8" w:color="002060"/>
              <w:bottom w:val="single" w:sz="8" w:color="002060"/>
            </w:tcBorders>
          </w:tcPr>
          <w:p>
            <w:pPr>
              <w:ind w:left="80"/>
              <w:spacing w:after="0"/>
              <w:rPr>
                <w:sz w:val="20"/>
                <w:szCs w:val="20"/>
                <w:color w:val="auto"/>
              </w:rPr>
            </w:pPr>
            <w:r>
              <w:rPr>
                <w:rFonts w:ascii="Arial" w:cs="Arial" w:eastAsia="Arial" w:hAnsi="Arial"/>
                <w:sz w:val="18"/>
                <w:szCs w:val="18"/>
                <w:color w:val="auto"/>
              </w:rPr>
              <w:t>Jeffrey W. Edwards</w:t>
            </w:r>
          </w:p>
        </w:tc>
        <w:tc>
          <w:tcPr>
            <w:tcW w:w="980" w:type="dxa"/>
            <w:vAlign w:val="bottom"/>
            <w:tcBorders>
              <w:top w:val="single" w:sz="8" w:color="002060"/>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30,399</w:t>
            </w:r>
          </w:p>
        </w:tc>
        <w:tc>
          <w:tcPr>
            <w:tcW w:w="1080" w:type="dxa"/>
            <w:vAlign w:val="bottom"/>
            <w:tcBorders>
              <w:top w:val="single" w:sz="8" w:color="002060"/>
              <w:bottom w:val="single" w:sz="8" w:color="002060"/>
            </w:tcBorders>
            <w:shd w:val="clear" w:color="auto" w:fill="E5E5E5"/>
          </w:tcPr>
          <w:p>
            <w:pPr>
              <w:jc w:val="right"/>
              <w:ind w:right="34"/>
              <w:spacing w:after="0"/>
              <w:rPr>
                <w:sz w:val="20"/>
                <w:szCs w:val="20"/>
                <w:color w:val="auto"/>
              </w:rPr>
            </w:pPr>
            <w:r>
              <w:rPr>
                <w:rFonts w:ascii="Arial" w:cs="Arial" w:eastAsia="Arial" w:hAnsi="Arial"/>
                <w:sz w:val="18"/>
                <w:szCs w:val="18"/>
                <w:color w:val="auto"/>
              </w:rPr>
              <w:t>2,721</w:t>
            </w:r>
          </w:p>
        </w:tc>
        <w:tc>
          <w:tcPr>
            <w:tcW w:w="980" w:type="dxa"/>
            <w:vAlign w:val="bottom"/>
            <w:tcBorders>
              <w:top w:val="single" w:sz="8" w:color="002060"/>
              <w:bottom w:val="single" w:sz="8" w:color="002060"/>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002060"/>
              <w:bottom w:val="single" w:sz="8" w:color="002060"/>
            </w:tcBorders>
            <w:shd w:val="clear" w:color="auto" w:fill="E5E5E5"/>
          </w:tcPr>
          <w:p>
            <w:pPr>
              <w:jc w:val="right"/>
              <w:ind w:right="33"/>
              <w:spacing w:after="0"/>
              <w:rPr>
                <w:sz w:val="20"/>
                <w:szCs w:val="20"/>
                <w:color w:val="auto"/>
              </w:rPr>
            </w:pPr>
            <w:r>
              <w:rPr>
                <w:rFonts w:ascii="Arial" w:cs="Arial" w:eastAsia="Arial" w:hAnsi="Arial"/>
                <w:sz w:val="18"/>
                <w:szCs w:val="18"/>
                <w:color w:val="auto"/>
              </w:rPr>
              <w:t>1,534</w:t>
            </w:r>
          </w:p>
        </w:tc>
        <w:tc>
          <w:tcPr>
            <w:tcW w:w="980" w:type="dxa"/>
            <w:vAlign w:val="bottom"/>
            <w:tcBorders>
              <w:top w:val="single" w:sz="8" w:color="002060"/>
              <w:bottom w:val="single" w:sz="8" w:color="002060"/>
            </w:tcBorders>
            <w:shd w:val="clear" w:color="auto" w:fill="E5E5E5"/>
          </w:tcPr>
          <w:p>
            <w:pPr>
              <w:jc w:val="right"/>
              <w:ind w:right="34"/>
              <w:spacing w:after="0"/>
              <w:rPr>
                <w:sz w:val="20"/>
                <w:szCs w:val="20"/>
                <w:color w:val="auto"/>
              </w:rPr>
            </w:pPr>
            <w:r>
              <w:rPr>
                <w:rFonts w:ascii="Arial" w:cs="Arial" w:eastAsia="Arial" w:hAnsi="Arial"/>
                <w:sz w:val="18"/>
                <w:szCs w:val="18"/>
                <w:color w:val="auto"/>
              </w:rPr>
              <w:t>5,698</w:t>
            </w:r>
          </w:p>
        </w:tc>
        <w:tc>
          <w:tcPr>
            <w:tcW w:w="1300" w:type="dxa"/>
            <w:vAlign w:val="bottom"/>
            <w:tcBorders>
              <w:top w:val="single" w:sz="8" w:color="002060"/>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40,353</w:t>
            </w:r>
          </w:p>
        </w:tc>
      </w:tr>
      <w:tr>
        <w:trPr>
          <w:trHeight w:val="236"/>
        </w:trPr>
        <w:tc>
          <w:tcPr>
            <w:tcW w:w="438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Michael T. Miller</w:t>
            </w:r>
          </w:p>
        </w:tc>
        <w:tc>
          <w:tcPr>
            <w:tcW w:w="98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15,451</w:t>
            </w:r>
          </w:p>
        </w:tc>
        <w:tc>
          <w:tcPr>
            <w:tcW w:w="1080" w:type="dxa"/>
            <w:vAlign w:val="bottom"/>
            <w:tcBorders>
              <w:bottom w:val="single" w:sz="8" w:color="002060"/>
            </w:tcBorders>
            <w:shd w:val="clear" w:color="auto" w:fill="E5E5E5"/>
          </w:tcPr>
          <w:p>
            <w:pPr>
              <w:jc w:val="right"/>
              <w:ind w:right="34"/>
              <w:spacing w:after="0"/>
              <w:rPr>
                <w:sz w:val="20"/>
                <w:szCs w:val="20"/>
                <w:color w:val="auto"/>
              </w:rPr>
            </w:pPr>
            <w:r>
              <w:rPr>
                <w:rFonts w:ascii="Arial" w:cs="Arial" w:eastAsia="Arial" w:hAnsi="Arial"/>
                <w:sz w:val="18"/>
                <w:szCs w:val="18"/>
                <w:color w:val="auto"/>
              </w:rPr>
              <w:t>2,721</w:t>
            </w:r>
          </w:p>
        </w:tc>
        <w:tc>
          <w:tcPr>
            <w:tcW w:w="980" w:type="dxa"/>
            <w:vAlign w:val="bottom"/>
            <w:tcBorders>
              <w:bottom w:val="single" w:sz="8" w:color="002060"/>
            </w:tcBorders>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002060"/>
            </w:tcBorders>
            <w:shd w:val="clear" w:color="auto" w:fill="E5E5E5"/>
          </w:tcPr>
          <w:p>
            <w:pPr>
              <w:jc w:val="right"/>
              <w:ind w:right="33"/>
              <w:spacing w:after="0"/>
              <w:rPr>
                <w:sz w:val="20"/>
                <w:szCs w:val="20"/>
                <w:color w:val="auto"/>
              </w:rPr>
            </w:pPr>
            <w:r>
              <w:rPr>
                <w:rFonts w:ascii="Arial" w:cs="Arial" w:eastAsia="Arial" w:hAnsi="Arial"/>
                <w:sz w:val="18"/>
                <w:szCs w:val="18"/>
                <w:color w:val="auto"/>
              </w:rPr>
              <w:t>4,204</w:t>
            </w:r>
          </w:p>
        </w:tc>
        <w:tc>
          <w:tcPr>
            <w:tcW w:w="980" w:type="dxa"/>
            <w:vAlign w:val="bottom"/>
            <w:tcBorders>
              <w:bottom w:val="single" w:sz="8" w:color="002060"/>
            </w:tcBorders>
            <w:shd w:val="clear" w:color="auto" w:fill="E5E5E5"/>
          </w:tcPr>
          <w:p>
            <w:pPr>
              <w:jc w:val="right"/>
              <w:ind w:right="34"/>
              <w:spacing w:after="0"/>
              <w:rPr>
                <w:sz w:val="20"/>
                <w:szCs w:val="20"/>
                <w:color w:val="auto"/>
              </w:rPr>
            </w:pPr>
            <w:r>
              <w:rPr>
                <w:rFonts w:ascii="Arial" w:cs="Arial" w:eastAsia="Arial" w:hAnsi="Arial"/>
                <w:sz w:val="18"/>
                <w:szCs w:val="18"/>
                <w:color w:val="auto"/>
              </w:rPr>
              <w:t>735</w:t>
            </w:r>
          </w:p>
        </w:tc>
        <w:tc>
          <w:tcPr>
            <w:tcW w:w="130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23,111</w:t>
            </w:r>
          </w:p>
        </w:tc>
      </w:tr>
      <w:tr>
        <w:trPr>
          <w:trHeight w:val="237"/>
        </w:trPr>
        <w:tc>
          <w:tcPr>
            <w:tcW w:w="438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Jay P. Elliott</w:t>
            </w:r>
          </w:p>
        </w:tc>
        <w:tc>
          <w:tcPr>
            <w:tcW w:w="98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12,074</w:t>
            </w:r>
          </w:p>
        </w:tc>
        <w:tc>
          <w:tcPr>
            <w:tcW w:w="1080" w:type="dxa"/>
            <w:vAlign w:val="bottom"/>
            <w:tcBorders>
              <w:bottom w:val="single" w:sz="8" w:color="002060"/>
            </w:tcBorders>
            <w:shd w:val="clear" w:color="auto" w:fill="E5E5E5"/>
          </w:tcPr>
          <w:p>
            <w:pPr>
              <w:jc w:val="right"/>
              <w:ind w:right="34"/>
              <w:spacing w:after="0"/>
              <w:rPr>
                <w:sz w:val="20"/>
                <w:szCs w:val="20"/>
                <w:color w:val="auto"/>
              </w:rPr>
            </w:pPr>
            <w:r>
              <w:rPr>
                <w:rFonts w:ascii="Arial" w:cs="Arial" w:eastAsia="Arial" w:hAnsi="Arial"/>
                <w:sz w:val="18"/>
                <w:szCs w:val="18"/>
                <w:color w:val="auto"/>
              </w:rPr>
              <w:t>2,721</w:t>
            </w:r>
          </w:p>
        </w:tc>
        <w:tc>
          <w:tcPr>
            <w:tcW w:w="980" w:type="dxa"/>
            <w:vAlign w:val="bottom"/>
            <w:tcBorders>
              <w:bottom w:val="single" w:sz="8" w:color="002060"/>
            </w:tcBorders>
            <w:shd w:val="clear" w:color="auto" w:fill="E5E5E5"/>
          </w:tcPr>
          <w:p>
            <w:pPr>
              <w:jc w:val="right"/>
              <w:ind w:right="34"/>
              <w:spacing w:after="0"/>
              <w:rPr>
                <w:sz w:val="20"/>
                <w:szCs w:val="20"/>
                <w:color w:val="auto"/>
              </w:rPr>
            </w:pPr>
            <w:r>
              <w:rPr>
                <w:rFonts w:ascii="Arial" w:cs="Arial" w:eastAsia="Arial" w:hAnsi="Arial"/>
                <w:sz w:val="18"/>
                <w:szCs w:val="18"/>
                <w:color w:val="auto"/>
              </w:rPr>
              <w:t>1,920</w:t>
            </w:r>
          </w:p>
        </w:tc>
        <w:tc>
          <w:tcPr>
            <w:tcW w:w="760" w:type="dxa"/>
            <w:vAlign w:val="bottom"/>
            <w:tcBorders>
              <w:bottom w:val="single" w:sz="8" w:color="002060"/>
            </w:tcBorders>
            <w:shd w:val="clear" w:color="auto" w:fill="E5E5E5"/>
          </w:tcPr>
          <w:p>
            <w:pPr>
              <w:jc w:val="right"/>
              <w:ind w:right="33"/>
              <w:spacing w:after="0"/>
              <w:rPr>
                <w:sz w:val="20"/>
                <w:szCs w:val="20"/>
                <w:color w:val="auto"/>
              </w:rPr>
            </w:pPr>
            <w:r>
              <w:rPr>
                <w:rFonts w:ascii="Arial" w:cs="Arial" w:eastAsia="Arial" w:hAnsi="Arial"/>
                <w:sz w:val="18"/>
                <w:szCs w:val="18"/>
                <w:color w:val="auto"/>
              </w:rPr>
              <w:t>3,991</w:t>
            </w:r>
          </w:p>
        </w:tc>
        <w:tc>
          <w:tcPr>
            <w:tcW w:w="980" w:type="dxa"/>
            <w:vAlign w:val="bottom"/>
            <w:tcBorders>
              <w:bottom w:val="single" w:sz="8" w:color="002060"/>
            </w:tcBorders>
            <w:shd w:val="clear" w:color="auto" w:fill="E5E5E5"/>
          </w:tcPr>
          <w:p>
            <w:pPr>
              <w:jc w:val="right"/>
              <w:ind w:right="34"/>
              <w:spacing w:after="0"/>
              <w:rPr>
                <w:sz w:val="20"/>
                <w:szCs w:val="20"/>
                <w:color w:val="auto"/>
              </w:rPr>
            </w:pPr>
            <w:r>
              <w:rPr>
                <w:rFonts w:ascii="Arial" w:cs="Arial" w:eastAsia="Arial" w:hAnsi="Arial"/>
                <w:sz w:val="18"/>
                <w:szCs w:val="18"/>
                <w:color w:val="auto"/>
              </w:rPr>
              <w:t>1,195</w:t>
            </w:r>
          </w:p>
        </w:tc>
        <w:tc>
          <w:tcPr>
            <w:tcW w:w="130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21,901</w:t>
            </w:r>
          </w:p>
        </w:tc>
      </w:tr>
      <w:tr>
        <w:trPr>
          <w:trHeight w:val="237"/>
        </w:trPr>
        <w:tc>
          <w:tcPr>
            <w:tcW w:w="4380" w:type="dxa"/>
            <w:vAlign w:val="bottom"/>
            <w:tcBorders>
              <w:bottom w:val="single" w:sz="8" w:color="002060"/>
            </w:tcBorders>
          </w:tcPr>
          <w:p>
            <w:pPr>
              <w:ind w:left="80"/>
              <w:spacing w:after="0"/>
              <w:rPr>
                <w:sz w:val="20"/>
                <w:szCs w:val="20"/>
                <w:color w:val="auto"/>
              </w:rPr>
            </w:pPr>
            <w:r>
              <w:rPr>
                <w:rFonts w:ascii="Arial" w:cs="Arial" w:eastAsia="Arial" w:hAnsi="Arial"/>
                <w:sz w:val="18"/>
                <w:szCs w:val="18"/>
                <w:color w:val="auto"/>
              </w:rPr>
              <w:t>W. Jeffrey Hire</w:t>
            </w:r>
          </w:p>
        </w:tc>
        <w:tc>
          <w:tcPr>
            <w:tcW w:w="98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21,103</w:t>
            </w:r>
          </w:p>
        </w:tc>
        <w:tc>
          <w:tcPr>
            <w:tcW w:w="1080" w:type="dxa"/>
            <w:vAlign w:val="bottom"/>
            <w:tcBorders>
              <w:bottom w:val="single" w:sz="8" w:color="002060"/>
            </w:tcBorders>
            <w:shd w:val="clear" w:color="auto" w:fill="E5E5E5"/>
          </w:tcPr>
          <w:p>
            <w:pPr>
              <w:jc w:val="right"/>
              <w:ind w:right="34"/>
              <w:spacing w:after="0"/>
              <w:rPr>
                <w:sz w:val="20"/>
                <w:szCs w:val="20"/>
                <w:color w:val="auto"/>
              </w:rPr>
            </w:pPr>
            <w:r>
              <w:rPr>
                <w:rFonts w:ascii="Arial" w:cs="Arial" w:eastAsia="Arial" w:hAnsi="Arial"/>
                <w:sz w:val="18"/>
                <w:szCs w:val="18"/>
                <w:color w:val="auto"/>
              </w:rPr>
              <w:t>2,721</w:t>
            </w:r>
          </w:p>
        </w:tc>
        <w:tc>
          <w:tcPr>
            <w:tcW w:w="980" w:type="dxa"/>
            <w:vAlign w:val="bottom"/>
            <w:tcBorders>
              <w:bottom w:val="single" w:sz="8" w:color="002060"/>
            </w:tcBorders>
            <w:shd w:val="clear" w:color="auto" w:fill="E5E5E5"/>
          </w:tcPr>
          <w:p>
            <w:pPr>
              <w:jc w:val="right"/>
              <w:ind w:right="34"/>
              <w:spacing w:after="0"/>
              <w:rPr>
                <w:sz w:val="20"/>
                <w:szCs w:val="20"/>
                <w:color w:val="auto"/>
              </w:rPr>
            </w:pPr>
            <w:r>
              <w:rPr>
                <w:rFonts w:ascii="Arial" w:cs="Arial" w:eastAsia="Arial" w:hAnsi="Arial"/>
                <w:sz w:val="18"/>
                <w:szCs w:val="18"/>
                <w:color w:val="auto"/>
              </w:rPr>
              <w:t>1,920</w:t>
            </w:r>
          </w:p>
        </w:tc>
        <w:tc>
          <w:tcPr>
            <w:tcW w:w="760" w:type="dxa"/>
            <w:vAlign w:val="bottom"/>
            <w:tcBorders>
              <w:bottom w:val="single" w:sz="8" w:color="002060"/>
            </w:tcBorders>
            <w:shd w:val="clear" w:color="auto" w:fill="E5E5E5"/>
          </w:tcPr>
          <w:p>
            <w:pPr>
              <w:jc w:val="right"/>
              <w:ind w:right="33"/>
              <w:spacing w:after="0"/>
              <w:rPr>
                <w:sz w:val="20"/>
                <w:szCs w:val="20"/>
                <w:color w:val="auto"/>
              </w:rPr>
            </w:pPr>
            <w:r>
              <w:rPr>
                <w:rFonts w:ascii="Arial" w:cs="Arial" w:eastAsia="Arial" w:hAnsi="Arial"/>
                <w:sz w:val="18"/>
                <w:szCs w:val="18"/>
                <w:color w:val="auto"/>
              </w:rPr>
              <w:t>5,125</w:t>
            </w:r>
          </w:p>
        </w:tc>
        <w:tc>
          <w:tcPr>
            <w:tcW w:w="980" w:type="dxa"/>
            <w:vAlign w:val="bottom"/>
            <w:tcBorders>
              <w:bottom w:val="single" w:sz="8" w:color="002060"/>
            </w:tcBorders>
            <w:shd w:val="clear" w:color="auto" w:fill="E5E5E5"/>
          </w:tcPr>
          <w:p>
            <w:pPr>
              <w:jc w:val="right"/>
              <w:ind w:right="34"/>
              <w:spacing w:after="0"/>
              <w:rPr>
                <w:sz w:val="20"/>
                <w:szCs w:val="20"/>
                <w:color w:val="auto"/>
              </w:rPr>
            </w:pPr>
            <w:r>
              <w:rPr>
                <w:rFonts w:ascii="Arial" w:cs="Arial" w:eastAsia="Arial" w:hAnsi="Arial"/>
                <w:sz w:val="18"/>
                <w:szCs w:val="18"/>
                <w:color w:val="auto"/>
              </w:rPr>
              <w:t>643</w:t>
            </w:r>
          </w:p>
        </w:tc>
        <w:tc>
          <w:tcPr>
            <w:tcW w:w="130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31,511</w:t>
            </w:r>
          </w:p>
        </w:tc>
      </w:tr>
      <w:tr>
        <w:trPr>
          <w:trHeight w:val="259"/>
        </w:trPr>
        <w:tc>
          <w:tcPr>
            <w:tcW w:w="4380" w:type="dxa"/>
            <w:vAlign w:val="bottom"/>
          </w:tcPr>
          <w:p>
            <w:pPr>
              <w:ind w:left="80"/>
              <w:spacing w:after="0"/>
              <w:rPr>
                <w:sz w:val="20"/>
                <w:szCs w:val="20"/>
                <w:color w:val="auto"/>
              </w:rPr>
            </w:pPr>
            <w:r>
              <w:rPr>
                <w:rFonts w:ascii="Arial" w:cs="Arial" w:eastAsia="Arial" w:hAnsi="Arial"/>
                <w:sz w:val="18"/>
                <w:szCs w:val="18"/>
                <w:color w:val="auto"/>
              </w:rPr>
              <w:t>Jason R. Niswonger</w:t>
            </w: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4,152</w:t>
            </w:r>
          </w:p>
        </w:tc>
        <w:tc>
          <w:tcPr>
            <w:tcW w:w="1080" w:type="dxa"/>
            <w:vAlign w:val="bottom"/>
            <w:tcBorders>
              <w:bottom w:val="single" w:sz="8" w:color="E5E5E5"/>
            </w:tcBorders>
            <w:shd w:val="clear" w:color="auto" w:fill="E5E5E5"/>
          </w:tcPr>
          <w:p>
            <w:pPr>
              <w:jc w:val="right"/>
              <w:ind w:right="34"/>
              <w:spacing w:after="0"/>
              <w:rPr>
                <w:sz w:val="20"/>
                <w:szCs w:val="20"/>
                <w:color w:val="auto"/>
              </w:rPr>
            </w:pPr>
            <w:r>
              <w:rPr>
                <w:rFonts w:ascii="Arial" w:cs="Arial" w:eastAsia="Arial" w:hAnsi="Arial"/>
                <w:sz w:val="18"/>
                <w:szCs w:val="18"/>
                <w:color w:val="auto"/>
              </w:rPr>
              <w:t>2,721</w:t>
            </w:r>
          </w:p>
        </w:tc>
        <w:tc>
          <w:tcPr>
            <w:tcW w:w="980" w:type="dxa"/>
            <w:vAlign w:val="bottom"/>
            <w:tcBorders>
              <w:bottom w:val="single" w:sz="8" w:color="E5E5E5"/>
            </w:tcBorders>
            <w:shd w:val="clear" w:color="auto" w:fill="E5E5E5"/>
          </w:tcPr>
          <w:p>
            <w:pPr>
              <w:jc w:val="right"/>
              <w:ind w:right="34"/>
              <w:spacing w:after="0"/>
              <w:rPr>
                <w:sz w:val="20"/>
                <w:szCs w:val="20"/>
                <w:color w:val="auto"/>
              </w:rPr>
            </w:pPr>
            <w:r>
              <w:rPr>
                <w:rFonts w:ascii="Arial" w:cs="Arial" w:eastAsia="Arial" w:hAnsi="Arial"/>
                <w:sz w:val="18"/>
                <w:szCs w:val="18"/>
                <w:color w:val="auto"/>
              </w:rPr>
              <w:t>1,920</w:t>
            </w:r>
          </w:p>
        </w:tc>
        <w:tc>
          <w:tcPr>
            <w:tcW w:w="760" w:type="dxa"/>
            <w:vAlign w:val="bottom"/>
            <w:tcBorders>
              <w:bottom w:val="single" w:sz="8" w:color="E5E5E5"/>
            </w:tcBorders>
            <w:shd w:val="clear" w:color="auto" w:fill="E5E5E5"/>
          </w:tcPr>
          <w:p>
            <w:pPr>
              <w:jc w:val="right"/>
              <w:ind w:right="33"/>
              <w:spacing w:after="0"/>
              <w:rPr>
                <w:sz w:val="20"/>
                <w:szCs w:val="20"/>
                <w:color w:val="auto"/>
              </w:rPr>
            </w:pPr>
            <w:r>
              <w:rPr>
                <w:rFonts w:ascii="Arial" w:cs="Arial" w:eastAsia="Arial" w:hAnsi="Arial"/>
                <w:sz w:val="18"/>
                <w:szCs w:val="18"/>
                <w:color w:val="auto"/>
              </w:rPr>
              <w:t>1,960</w:t>
            </w:r>
          </w:p>
        </w:tc>
        <w:tc>
          <w:tcPr>
            <w:tcW w:w="980" w:type="dxa"/>
            <w:vAlign w:val="bottom"/>
            <w:tcBorders>
              <w:bottom w:val="single" w:sz="8" w:color="E5E5E5"/>
            </w:tcBorders>
            <w:shd w:val="clear" w:color="auto" w:fill="E5E5E5"/>
          </w:tcPr>
          <w:p>
            <w:pPr>
              <w:jc w:val="right"/>
              <w:ind w:right="34"/>
              <w:spacing w:after="0"/>
              <w:rPr>
                <w:sz w:val="20"/>
                <w:szCs w:val="20"/>
                <w:color w:val="auto"/>
              </w:rPr>
            </w:pPr>
            <w:r>
              <w:rPr>
                <w:rFonts w:ascii="Arial" w:cs="Arial" w:eastAsia="Arial" w:hAnsi="Arial"/>
                <w:sz w:val="18"/>
                <w:szCs w:val="18"/>
                <w:color w:val="auto"/>
              </w:rPr>
              <w:t>1,400</w:t>
            </w:r>
          </w:p>
        </w:tc>
        <w:tc>
          <w:tcPr>
            <w:tcW w:w="13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12,153</w:t>
            </w:r>
          </w:p>
        </w:tc>
      </w:tr>
      <w:tr>
        <w:trPr>
          <w:trHeight w:val="27"/>
        </w:trPr>
        <w:tc>
          <w:tcPr>
            <w:tcW w:w="4380" w:type="dxa"/>
            <w:vAlign w:val="bottom"/>
            <w:shd w:val="clear" w:color="auto" w:fill="002060"/>
          </w:tcPr>
          <w:p>
            <w:pPr>
              <w:spacing w:after="0"/>
              <w:rPr>
                <w:sz w:val="2"/>
                <w:szCs w:val="2"/>
                <w:color w:val="auto"/>
              </w:rPr>
            </w:pPr>
          </w:p>
        </w:tc>
        <w:tc>
          <w:tcPr>
            <w:tcW w:w="980" w:type="dxa"/>
            <w:vAlign w:val="bottom"/>
            <w:shd w:val="clear" w:color="auto" w:fill="002060"/>
          </w:tcPr>
          <w:p>
            <w:pPr>
              <w:spacing w:after="0"/>
              <w:rPr>
                <w:sz w:val="2"/>
                <w:szCs w:val="2"/>
                <w:color w:val="auto"/>
              </w:rPr>
            </w:pPr>
          </w:p>
        </w:tc>
        <w:tc>
          <w:tcPr>
            <w:tcW w:w="1080" w:type="dxa"/>
            <w:vAlign w:val="bottom"/>
            <w:shd w:val="clear" w:color="auto" w:fill="002060"/>
          </w:tcPr>
          <w:p>
            <w:pPr>
              <w:spacing w:after="0"/>
              <w:rPr>
                <w:sz w:val="2"/>
                <w:szCs w:val="2"/>
                <w:color w:val="auto"/>
              </w:rPr>
            </w:pPr>
          </w:p>
        </w:tc>
        <w:tc>
          <w:tcPr>
            <w:tcW w:w="980" w:type="dxa"/>
            <w:vAlign w:val="bottom"/>
            <w:shd w:val="clear" w:color="auto" w:fill="002060"/>
          </w:tcPr>
          <w:p>
            <w:pPr>
              <w:spacing w:after="0"/>
              <w:rPr>
                <w:sz w:val="2"/>
                <w:szCs w:val="2"/>
                <w:color w:val="auto"/>
              </w:rPr>
            </w:pPr>
          </w:p>
        </w:tc>
        <w:tc>
          <w:tcPr>
            <w:tcW w:w="760" w:type="dxa"/>
            <w:vAlign w:val="bottom"/>
            <w:shd w:val="clear" w:color="auto" w:fill="002060"/>
          </w:tcPr>
          <w:p>
            <w:pPr>
              <w:spacing w:after="0"/>
              <w:rPr>
                <w:sz w:val="2"/>
                <w:szCs w:val="2"/>
                <w:color w:val="auto"/>
              </w:rPr>
            </w:pPr>
          </w:p>
        </w:tc>
        <w:tc>
          <w:tcPr>
            <w:tcW w:w="980" w:type="dxa"/>
            <w:vAlign w:val="bottom"/>
            <w:shd w:val="clear" w:color="auto" w:fill="002060"/>
          </w:tcPr>
          <w:p>
            <w:pPr>
              <w:spacing w:after="0"/>
              <w:rPr>
                <w:sz w:val="2"/>
                <w:szCs w:val="2"/>
                <w:color w:val="auto"/>
              </w:rPr>
            </w:pPr>
          </w:p>
        </w:tc>
        <w:tc>
          <w:tcPr>
            <w:tcW w:w="1300" w:type="dxa"/>
            <w:vAlign w:val="bottom"/>
            <w:shd w:val="clear" w:color="auto" w:fill="00206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-848360</wp:posOffset>
            </wp:positionV>
            <wp:extent cx="8255" cy="8312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312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-848360</wp:posOffset>
            </wp:positionV>
            <wp:extent cx="8255" cy="8312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312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-848360</wp:posOffset>
            </wp:positionV>
            <wp:extent cx="8890" cy="8312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3121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-848360</wp:posOffset>
            </wp:positionV>
            <wp:extent cx="8890" cy="8312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3121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-848360</wp:posOffset>
            </wp:positionV>
            <wp:extent cx="8890" cy="8312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31215"/>
                    </a:xfrm>
                    <a:prstGeom prst="rect">
                      <a:avLst/>
                    </a:prstGeom>
                    <a:noFill/>
                  </pic:spPr>
                </pic:pic>
              </a:graphicData>
            </a:graphic>
          </wp:anchor>
        </w:drawing>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Grants of Plan-Based Awards for 2022</w:t>
      </w:r>
    </w:p>
    <w:p>
      <w:pPr>
        <w:spacing w:after="0" w:line="212"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The following table contains information regarding grants of plan-based incentive awards granted to each of our NEOs for 2022 under our 2014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126365</wp:posOffset>
            </wp:positionV>
            <wp:extent cx="17145" cy="23145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7145" cy="2314575"/>
                    </a:xfrm>
                    <a:prstGeom prst="rect">
                      <a:avLst/>
                    </a:prstGeom>
                    <a:noFill/>
                  </pic:spPr>
                </pic:pic>
              </a:graphicData>
            </a:graphic>
          </wp:anchor>
        </w:drawing>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380" w:type="dxa"/>
            <w:vAlign w:val="bottom"/>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3220" w:type="dxa"/>
            <w:vAlign w:val="bottom"/>
            <w:gridSpan w:val="4"/>
            <w:shd w:val="clear" w:color="auto" w:fill="E5E5E5"/>
          </w:tcPr>
          <w:p>
            <w:pPr>
              <w:ind w:left="320"/>
              <w:spacing w:after="0"/>
              <w:rPr>
                <w:sz w:val="20"/>
                <w:szCs w:val="20"/>
                <w:color w:val="auto"/>
              </w:rPr>
            </w:pPr>
            <w:r>
              <w:rPr>
                <w:rFonts w:ascii="Arial" w:cs="Arial" w:eastAsia="Arial" w:hAnsi="Arial"/>
                <w:sz w:val="16"/>
                <w:szCs w:val="16"/>
                <w:b w:val="1"/>
                <w:bCs w:val="1"/>
                <w:color w:val="1F4E79"/>
              </w:rPr>
              <w:t>Estimated Future Payments Under</w:t>
            </w:r>
          </w:p>
        </w:tc>
        <w:tc>
          <w:tcPr>
            <w:tcW w:w="3300" w:type="dxa"/>
            <w:vAlign w:val="bottom"/>
            <w:gridSpan w:val="3"/>
            <w:shd w:val="clear" w:color="auto" w:fill="E5E5E5"/>
          </w:tcPr>
          <w:p>
            <w:pPr>
              <w:jc w:val="center"/>
              <w:spacing w:after="0"/>
              <w:rPr>
                <w:sz w:val="20"/>
                <w:szCs w:val="20"/>
                <w:color w:val="auto"/>
              </w:rPr>
            </w:pPr>
            <w:r>
              <w:rPr>
                <w:rFonts w:ascii="Arial" w:cs="Arial" w:eastAsia="Arial" w:hAnsi="Arial"/>
                <w:sz w:val="16"/>
                <w:szCs w:val="16"/>
                <w:b w:val="1"/>
                <w:bCs w:val="1"/>
                <w:color w:val="1F4E79"/>
              </w:rPr>
              <w:t>Estimated Future Payments</w:t>
            </w:r>
          </w:p>
        </w:tc>
        <w:tc>
          <w:tcPr>
            <w:tcW w:w="1080" w:type="dxa"/>
            <w:vAlign w:val="bottom"/>
            <w:shd w:val="clear" w:color="auto" w:fill="E5E5E5"/>
          </w:tcPr>
          <w:p>
            <w:pPr>
              <w:jc w:val="center"/>
              <w:ind w:left="15"/>
              <w:spacing w:after="0"/>
              <w:rPr>
                <w:sz w:val="20"/>
                <w:szCs w:val="20"/>
                <w:color w:val="auto"/>
              </w:rPr>
            </w:pPr>
            <w:r>
              <w:rPr>
                <w:rFonts w:ascii="Arial" w:cs="Arial" w:eastAsia="Arial" w:hAnsi="Arial"/>
                <w:sz w:val="16"/>
                <w:szCs w:val="16"/>
                <w:b w:val="1"/>
                <w:bCs w:val="1"/>
                <w:color w:val="1F4E79"/>
              </w:rPr>
              <w:t>Grant Date</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3220" w:type="dxa"/>
            <w:vAlign w:val="bottom"/>
            <w:gridSpan w:val="4"/>
            <w:shd w:val="clear" w:color="auto" w:fill="E5E5E5"/>
          </w:tcPr>
          <w:p>
            <w:pPr>
              <w:jc w:val="center"/>
              <w:spacing w:after="0"/>
              <w:rPr>
                <w:sz w:val="20"/>
                <w:szCs w:val="20"/>
                <w:color w:val="auto"/>
              </w:rPr>
            </w:pPr>
            <w:r>
              <w:rPr>
                <w:rFonts w:ascii="Arial" w:cs="Arial" w:eastAsia="Arial" w:hAnsi="Arial"/>
                <w:sz w:val="16"/>
                <w:szCs w:val="16"/>
                <w:b w:val="1"/>
                <w:bCs w:val="1"/>
                <w:color w:val="1F4E79"/>
              </w:rPr>
              <w:t>Non-Equity Incentive Plan Awards(1)</w:t>
            </w:r>
          </w:p>
        </w:tc>
        <w:tc>
          <w:tcPr>
            <w:tcW w:w="3300" w:type="dxa"/>
            <w:vAlign w:val="bottom"/>
            <w:gridSpan w:val="3"/>
            <w:shd w:val="clear" w:color="auto" w:fill="E5E5E5"/>
          </w:tcPr>
          <w:p>
            <w:pPr>
              <w:jc w:val="center"/>
              <w:ind w:left="14"/>
              <w:spacing w:after="0"/>
              <w:rPr>
                <w:sz w:val="20"/>
                <w:szCs w:val="20"/>
                <w:color w:val="auto"/>
              </w:rPr>
            </w:pPr>
            <w:r>
              <w:rPr>
                <w:rFonts w:ascii="Arial" w:cs="Arial" w:eastAsia="Arial" w:hAnsi="Arial"/>
                <w:sz w:val="16"/>
                <w:szCs w:val="16"/>
                <w:b w:val="1"/>
                <w:bCs w:val="1"/>
                <w:color w:val="1F4E79"/>
              </w:rPr>
              <w:t>Under Equity Incentive Plan Awards(2)</w:t>
            </w:r>
          </w:p>
        </w:tc>
        <w:tc>
          <w:tcPr>
            <w:tcW w:w="108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w w:val="99"/>
              </w:rPr>
              <w:t>Fair Value</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1040" w:type="dxa"/>
            <w:vAlign w:val="bottom"/>
            <w:tcBorders>
              <w:bottom w:val="single" w:sz="8" w:color="E5E5E5"/>
            </w:tcBorders>
            <w:shd w:val="clear" w:color="auto" w:fill="E5E5E5"/>
          </w:tcPr>
          <w:p>
            <w:pPr>
              <w:spacing w:after="0"/>
              <w:rPr>
                <w:sz w:val="8"/>
                <w:szCs w:val="8"/>
                <w:color w:val="auto"/>
              </w:rPr>
            </w:pPr>
          </w:p>
        </w:tc>
        <w:tc>
          <w:tcPr>
            <w:tcW w:w="1160" w:type="dxa"/>
            <w:vAlign w:val="bottom"/>
            <w:tcBorders>
              <w:bottom w:val="single" w:sz="8" w:color="002060"/>
            </w:tcBorders>
            <w:shd w:val="clear" w:color="auto" w:fill="E5E5E5"/>
          </w:tcPr>
          <w:p>
            <w:pPr>
              <w:spacing w:after="0"/>
              <w:rPr>
                <w:sz w:val="8"/>
                <w:szCs w:val="8"/>
                <w:color w:val="auto"/>
              </w:rPr>
            </w:pPr>
          </w:p>
        </w:tc>
        <w:tc>
          <w:tcPr>
            <w:tcW w:w="1080" w:type="dxa"/>
            <w:vAlign w:val="bottom"/>
            <w:tcBorders>
              <w:bottom w:val="single" w:sz="8" w:color="002060"/>
            </w:tcBorders>
            <w:shd w:val="clear" w:color="auto" w:fill="E5E5E5"/>
          </w:tcPr>
          <w:p>
            <w:pPr>
              <w:spacing w:after="0"/>
              <w:rPr>
                <w:sz w:val="8"/>
                <w:szCs w:val="8"/>
                <w:color w:val="auto"/>
              </w:rPr>
            </w:pPr>
          </w:p>
        </w:tc>
        <w:tc>
          <w:tcPr>
            <w:tcW w:w="960" w:type="dxa"/>
            <w:vAlign w:val="bottom"/>
            <w:tcBorders>
              <w:bottom w:val="single" w:sz="8" w:color="002060"/>
            </w:tcBorders>
            <w:shd w:val="clear" w:color="auto" w:fill="E5E5E5"/>
          </w:tcPr>
          <w:p>
            <w:pPr>
              <w:spacing w:after="0"/>
              <w:rPr>
                <w:sz w:val="8"/>
                <w:szCs w:val="8"/>
                <w:color w:val="auto"/>
              </w:rPr>
            </w:pPr>
          </w:p>
        </w:tc>
        <w:tc>
          <w:tcPr>
            <w:tcW w:w="20" w:type="dxa"/>
            <w:vAlign w:val="bottom"/>
            <w:tcBorders>
              <w:bottom w:val="single" w:sz="8" w:color="002060"/>
            </w:tcBorders>
            <w:shd w:val="clear" w:color="auto" w:fill="E5E5E5"/>
          </w:tcPr>
          <w:p>
            <w:pPr>
              <w:spacing w:after="0"/>
              <w:rPr>
                <w:sz w:val="8"/>
                <w:szCs w:val="8"/>
                <w:color w:val="auto"/>
              </w:rPr>
            </w:pPr>
          </w:p>
        </w:tc>
        <w:tc>
          <w:tcPr>
            <w:tcW w:w="1280" w:type="dxa"/>
            <w:vAlign w:val="bottom"/>
            <w:tcBorders>
              <w:bottom w:val="single" w:sz="8" w:color="002060"/>
            </w:tcBorders>
            <w:shd w:val="clear" w:color="auto" w:fill="E5E5E5"/>
          </w:tcPr>
          <w:p>
            <w:pPr>
              <w:spacing w:after="0"/>
              <w:rPr>
                <w:sz w:val="8"/>
                <w:szCs w:val="8"/>
                <w:color w:val="auto"/>
              </w:rPr>
            </w:pPr>
          </w:p>
        </w:tc>
        <w:tc>
          <w:tcPr>
            <w:tcW w:w="960" w:type="dxa"/>
            <w:vAlign w:val="bottom"/>
            <w:tcBorders>
              <w:bottom w:val="single" w:sz="8" w:color="002060"/>
            </w:tcBorders>
            <w:shd w:val="clear" w:color="auto" w:fill="E5E5E5"/>
          </w:tcPr>
          <w:p>
            <w:pPr>
              <w:spacing w:after="0"/>
              <w:rPr>
                <w:sz w:val="8"/>
                <w:szCs w:val="8"/>
                <w:color w:val="auto"/>
              </w:rPr>
            </w:pPr>
          </w:p>
        </w:tc>
        <w:tc>
          <w:tcPr>
            <w:tcW w:w="1060" w:type="dxa"/>
            <w:vAlign w:val="bottom"/>
            <w:tcBorders>
              <w:bottom w:val="single" w:sz="8" w:color="002060"/>
            </w:tcBorders>
            <w:shd w:val="clear" w:color="auto" w:fill="E5E5E5"/>
          </w:tcPr>
          <w:p>
            <w:pPr>
              <w:spacing w:after="0"/>
              <w:rPr>
                <w:sz w:val="8"/>
                <w:szCs w:val="8"/>
                <w:color w:val="auto"/>
              </w:rPr>
            </w:pPr>
          </w:p>
        </w:tc>
        <w:tc>
          <w:tcPr>
            <w:tcW w:w="1080" w:type="dxa"/>
            <w:vAlign w:val="bottom"/>
            <w:tcBorders>
              <w:bottom w:val="single" w:sz="8" w:color="E5E5E5"/>
            </w:tcBorders>
            <w:vMerge w:val="restart"/>
            <w:shd w:val="clear" w:color="auto" w:fill="E5E5E5"/>
          </w:tcPr>
          <w:p>
            <w:pPr>
              <w:jc w:val="center"/>
              <w:spacing w:after="0" w:line="175" w:lineRule="exact"/>
              <w:rPr>
                <w:sz w:val="20"/>
                <w:szCs w:val="20"/>
                <w:color w:val="auto"/>
              </w:rPr>
            </w:pPr>
            <w:r>
              <w:rPr>
                <w:rFonts w:ascii="Arial" w:cs="Arial" w:eastAsia="Arial" w:hAnsi="Arial"/>
                <w:sz w:val="16"/>
                <w:szCs w:val="16"/>
                <w:b w:val="1"/>
                <w:bCs w:val="1"/>
                <w:color w:val="1F4E79"/>
              </w:rPr>
              <w:t>of Stock</w:t>
            </w:r>
          </w:p>
        </w:tc>
        <w:tc>
          <w:tcPr>
            <w:tcW w:w="0" w:type="dxa"/>
            <w:vAlign w:val="bottom"/>
          </w:tcPr>
          <w:p>
            <w:pPr>
              <w:spacing w:after="0"/>
              <w:rPr>
                <w:sz w:val="1"/>
                <w:szCs w:val="1"/>
                <w:color w:val="auto"/>
              </w:rPr>
            </w:pPr>
          </w:p>
        </w:tc>
      </w:tr>
      <w:tr>
        <w:trPr>
          <w:trHeight w:val="53"/>
        </w:trPr>
        <w:tc>
          <w:tcPr>
            <w:tcW w:w="2380" w:type="dxa"/>
            <w:vAlign w:val="bottom"/>
          </w:tcPr>
          <w:p>
            <w:pPr>
              <w:spacing w:after="0"/>
              <w:rPr>
                <w:sz w:val="4"/>
                <w:szCs w:val="4"/>
                <w:color w:val="auto"/>
              </w:rPr>
            </w:pPr>
          </w:p>
        </w:tc>
        <w:tc>
          <w:tcPr>
            <w:tcW w:w="1040" w:type="dxa"/>
            <w:vAlign w:val="bottom"/>
            <w:shd w:val="clear" w:color="auto" w:fill="E5E5E5"/>
          </w:tcPr>
          <w:p>
            <w:pPr>
              <w:spacing w:after="0"/>
              <w:rPr>
                <w:sz w:val="4"/>
                <w:szCs w:val="4"/>
                <w:color w:val="auto"/>
              </w:rPr>
            </w:pPr>
          </w:p>
        </w:tc>
        <w:tc>
          <w:tcPr>
            <w:tcW w:w="1160" w:type="dxa"/>
            <w:vAlign w:val="bottom"/>
            <w:vMerge w:val="restart"/>
            <w:shd w:val="clear" w:color="auto" w:fill="E5E5E5"/>
          </w:tcPr>
          <w:p>
            <w:pPr>
              <w:ind w:left="180"/>
              <w:spacing w:after="0"/>
              <w:rPr>
                <w:sz w:val="20"/>
                <w:szCs w:val="20"/>
                <w:color w:val="auto"/>
              </w:rPr>
            </w:pPr>
            <w:r>
              <w:rPr>
                <w:rFonts w:ascii="Arial" w:cs="Arial" w:eastAsia="Arial" w:hAnsi="Arial"/>
                <w:sz w:val="16"/>
                <w:szCs w:val="16"/>
                <w:b w:val="1"/>
                <w:bCs w:val="1"/>
                <w:color w:val="1F4E79"/>
              </w:rPr>
              <w:t>Threshold</w:t>
            </w:r>
          </w:p>
        </w:tc>
        <w:tc>
          <w:tcPr>
            <w:tcW w:w="1080" w:type="dxa"/>
            <w:vAlign w:val="bottom"/>
            <w:vMerge w:val="restart"/>
            <w:shd w:val="clear" w:color="auto" w:fill="E5E5E5"/>
          </w:tcPr>
          <w:p>
            <w:pPr>
              <w:jc w:val="center"/>
              <w:spacing w:after="0"/>
              <w:rPr>
                <w:sz w:val="20"/>
                <w:szCs w:val="20"/>
                <w:color w:val="auto"/>
              </w:rPr>
            </w:pPr>
            <w:r>
              <w:rPr>
                <w:rFonts w:ascii="Arial" w:cs="Arial" w:eastAsia="Arial" w:hAnsi="Arial"/>
                <w:sz w:val="16"/>
                <w:szCs w:val="16"/>
                <w:b w:val="1"/>
                <w:bCs w:val="1"/>
                <w:color w:val="1F4E79"/>
                <w:w w:val="98"/>
              </w:rPr>
              <w:t>Target</w:t>
            </w:r>
          </w:p>
        </w:tc>
        <w:tc>
          <w:tcPr>
            <w:tcW w:w="980" w:type="dxa"/>
            <w:vAlign w:val="bottom"/>
            <w:gridSpan w:val="2"/>
            <w:vMerge w:val="restart"/>
            <w:shd w:val="clear" w:color="auto" w:fill="E5E5E5"/>
          </w:tcPr>
          <w:p>
            <w:pPr>
              <w:ind w:left="120"/>
              <w:spacing w:after="0"/>
              <w:rPr>
                <w:sz w:val="20"/>
                <w:szCs w:val="20"/>
                <w:color w:val="auto"/>
              </w:rPr>
            </w:pPr>
            <w:r>
              <w:rPr>
                <w:rFonts w:ascii="Arial" w:cs="Arial" w:eastAsia="Arial" w:hAnsi="Arial"/>
                <w:sz w:val="16"/>
                <w:szCs w:val="16"/>
                <w:b w:val="1"/>
                <w:bCs w:val="1"/>
                <w:color w:val="1F4E79"/>
              </w:rPr>
              <w:t>Maximum</w:t>
            </w:r>
          </w:p>
        </w:tc>
        <w:tc>
          <w:tcPr>
            <w:tcW w:w="1280" w:type="dxa"/>
            <w:vAlign w:val="bottom"/>
            <w:vMerge w:val="restart"/>
            <w:shd w:val="clear" w:color="auto" w:fill="E5E5E5"/>
          </w:tcPr>
          <w:p>
            <w:pPr>
              <w:jc w:val="right"/>
              <w:ind w:right="174"/>
              <w:spacing w:after="0"/>
              <w:rPr>
                <w:sz w:val="20"/>
                <w:szCs w:val="20"/>
                <w:color w:val="auto"/>
              </w:rPr>
            </w:pPr>
            <w:r>
              <w:rPr>
                <w:rFonts w:ascii="Arial" w:cs="Arial" w:eastAsia="Arial" w:hAnsi="Arial"/>
                <w:sz w:val="16"/>
                <w:szCs w:val="16"/>
                <w:b w:val="1"/>
                <w:bCs w:val="1"/>
                <w:color w:val="1F4E79"/>
              </w:rPr>
              <w:t>Threshold</w:t>
            </w:r>
          </w:p>
        </w:tc>
        <w:tc>
          <w:tcPr>
            <w:tcW w:w="960" w:type="dxa"/>
            <w:vAlign w:val="bottom"/>
            <w:vMerge w:val="restart"/>
            <w:shd w:val="clear" w:color="auto" w:fill="E5E5E5"/>
          </w:tcPr>
          <w:p>
            <w:pPr>
              <w:jc w:val="center"/>
              <w:ind w:right="73"/>
              <w:spacing w:after="0"/>
              <w:rPr>
                <w:sz w:val="20"/>
                <w:szCs w:val="20"/>
                <w:color w:val="auto"/>
              </w:rPr>
            </w:pPr>
            <w:r>
              <w:rPr>
                <w:rFonts w:ascii="Arial" w:cs="Arial" w:eastAsia="Arial" w:hAnsi="Arial"/>
                <w:sz w:val="16"/>
                <w:szCs w:val="16"/>
                <w:b w:val="1"/>
                <w:bCs w:val="1"/>
                <w:color w:val="1F4E79"/>
                <w:w w:val="98"/>
              </w:rPr>
              <w:t>Target</w:t>
            </w:r>
          </w:p>
        </w:tc>
        <w:tc>
          <w:tcPr>
            <w:tcW w:w="1060" w:type="dxa"/>
            <w:vAlign w:val="bottom"/>
            <w:vMerge w:val="restart"/>
            <w:shd w:val="clear" w:color="auto" w:fill="E5E5E5"/>
          </w:tcPr>
          <w:p>
            <w:pPr>
              <w:ind w:left="160"/>
              <w:spacing w:after="0"/>
              <w:rPr>
                <w:sz w:val="20"/>
                <w:szCs w:val="20"/>
                <w:color w:val="auto"/>
              </w:rPr>
            </w:pPr>
            <w:r>
              <w:rPr>
                <w:rFonts w:ascii="Arial" w:cs="Arial" w:eastAsia="Arial" w:hAnsi="Arial"/>
                <w:sz w:val="16"/>
                <w:szCs w:val="16"/>
                <w:b w:val="1"/>
                <w:bCs w:val="1"/>
                <w:color w:val="1F4E79"/>
              </w:rPr>
              <w:t>Maximum</w:t>
            </w:r>
          </w:p>
        </w:tc>
        <w:tc>
          <w:tcPr>
            <w:tcW w:w="1080" w:type="dxa"/>
            <w:vAlign w:val="bottom"/>
            <w:vMerge w:val="continue"/>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380" w:type="dxa"/>
            <w:vAlign w:val="bottom"/>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1160" w:type="dxa"/>
            <w:vAlign w:val="bottom"/>
            <w:vMerge w:val="continue"/>
            <w:shd w:val="clear" w:color="auto" w:fill="E5E5E5"/>
          </w:tcPr>
          <w:p>
            <w:pPr>
              <w:spacing w:after="0"/>
              <w:rPr>
                <w:sz w:val="15"/>
                <w:szCs w:val="15"/>
                <w:color w:val="auto"/>
              </w:rPr>
            </w:pPr>
          </w:p>
        </w:tc>
        <w:tc>
          <w:tcPr>
            <w:tcW w:w="1080" w:type="dxa"/>
            <w:vAlign w:val="bottom"/>
            <w:vMerge w:val="continue"/>
            <w:shd w:val="clear" w:color="auto" w:fill="E5E5E5"/>
          </w:tcPr>
          <w:p>
            <w:pPr>
              <w:spacing w:after="0"/>
              <w:rPr>
                <w:sz w:val="15"/>
                <w:szCs w:val="15"/>
                <w:color w:val="auto"/>
              </w:rPr>
            </w:pPr>
          </w:p>
        </w:tc>
        <w:tc>
          <w:tcPr>
            <w:tcW w:w="980" w:type="dxa"/>
            <w:vAlign w:val="bottom"/>
            <w:gridSpan w:val="2"/>
            <w:vMerge w:val="continue"/>
            <w:shd w:val="clear" w:color="auto" w:fill="E5E5E5"/>
          </w:tcPr>
          <w:p>
            <w:pPr>
              <w:spacing w:after="0"/>
              <w:rPr>
                <w:sz w:val="15"/>
                <w:szCs w:val="15"/>
                <w:color w:val="auto"/>
              </w:rPr>
            </w:pPr>
          </w:p>
        </w:tc>
        <w:tc>
          <w:tcPr>
            <w:tcW w:w="1280" w:type="dxa"/>
            <w:vAlign w:val="bottom"/>
            <w:vMerge w:val="continue"/>
            <w:shd w:val="clear" w:color="auto" w:fill="E5E5E5"/>
          </w:tcPr>
          <w:p>
            <w:pPr>
              <w:spacing w:after="0"/>
              <w:rPr>
                <w:sz w:val="15"/>
                <w:szCs w:val="15"/>
                <w:color w:val="auto"/>
              </w:rPr>
            </w:pPr>
          </w:p>
        </w:tc>
        <w:tc>
          <w:tcPr>
            <w:tcW w:w="960" w:type="dxa"/>
            <w:vAlign w:val="bottom"/>
            <w:vMerge w:val="continue"/>
            <w:shd w:val="clear" w:color="auto" w:fill="E5E5E5"/>
          </w:tcPr>
          <w:p>
            <w:pPr>
              <w:spacing w:after="0"/>
              <w:rPr>
                <w:sz w:val="15"/>
                <w:szCs w:val="15"/>
                <w:color w:val="auto"/>
              </w:rPr>
            </w:pPr>
          </w:p>
        </w:tc>
        <w:tc>
          <w:tcPr>
            <w:tcW w:w="1060" w:type="dxa"/>
            <w:vAlign w:val="bottom"/>
            <w:vMerge w:val="continue"/>
            <w:shd w:val="clear" w:color="auto" w:fill="E5E5E5"/>
          </w:tcPr>
          <w:p>
            <w:pPr>
              <w:spacing w:after="0"/>
              <w:rPr>
                <w:sz w:val="15"/>
                <w:szCs w:val="15"/>
                <w:color w:val="auto"/>
              </w:rPr>
            </w:pPr>
          </w:p>
        </w:tc>
        <w:tc>
          <w:tcPr>
            <w:tcW w:w="1080" w:type="dxa"/>
            <w:vAlign w:val="bottom"/>
            <w:shd w:val="clear" w:color="auto" w:fill="E5E5E5"/>
          </w:tcPr>
          <w:p>
            <w:pPr>
              <w:jc w:val="center"/>
              <w:ind w:left="15"/>
              <w:spacing w:after="0" w:line="175" w:lineRule="exact"/>
              <w:rPr>
                <w:sz w:val="20"/>
                <w:szCs w:val="20"/>
                <w:color w:val="auto"/>
              </w:rPr>
            </w:pPr>
            <w:r>
              <w:rPr>
                <w:rFonts w:ascii="Arial" w:cs="Arial" w:eastAsia="Arial" w:hAnsi="Arial"/>
                <w:sz w:val="16"/>
                <w:szCs w:val="16"/>
                <w:b w:val="1"/>
                <w:bCs w:val="1"/>
                <w:color w:val="1F4E79"/>
              </w:rPr>
              <w:t>Awards</w:t>
            </w:r>
          </w:p>
        </w:tc>
        <w:tc>
          <w:tcPr>
            <w:tcW w:w="0" w:type="dxa"/>
            <w:vAlign w:val="bottom"/>
          </w:tcPr>
          <w:p>
            <w:pPr>
              <w:spacing w:after="0"/>
              <w:rPr>
                <w:sz w:val="1"/>
                <w:szCs w:val="1"/>
                <w:color w:val="auto"/>
              </w:rPr>
            </w:pPr>
          </w:p>
        </w:tc>
      </w:tr>
      <w:tr>
        <w:trPr>
          <w:trHeight w:val="278"/>
        </w:trPr>
        <w:tc>
          <w:tcPr>
            <w:tcW w:w="2380" w:type="dxa"/>
            <w:vAlign w:val="bottom"/>
          </w:tcPr>
          <w:p>
            <w:pPr>
              <w:ind w:left="960"/>
              <w:spacing w:after="0"/>
              <w:rPr>
                <w:sz w:val="20"/>
                <w:szCs w:val="20"/>
                <w:color w:val="auto"/>
              </w:rPr>
            </w:pPr>
            <w:r>
              <w:rPr>
                <w:rFonts w:ascii="Arial" w:cs="Arial" w:eastAsia="Arial" w:hAnsi="Arial"/>
                <w:sz w:val="16"/>
                <w:szCs w:val="16"/>
                <w:b w:val="1"/>
                <w:bCs w:val="1"/>
                <w:color w:val="1F4E79"/>
              </w:rPr>
              <w:t>Name</w:t>
            </w:r>
          </w:p>
        </w:tc>
        <w:tc>
          <w:tcPr>
            <w:tcW w:w="10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b w:val="1"/>
                <w:bCs w:val="1"/>
                <w:color w:val="1F4E79"/>
              </w:rPr>
              <w:t>Grant Date</w:t>
            </w:r>
          </w:p>
        </w:tc>
        <w:tc>
          <w:tcPr>
            <w:tcW w:w="1160" w:type="dxa"/>
            <w:vAlign w:val="bottom"/>
            <w:tcBorders>
              <w:bottom w:val="single" w:sz="8" w:color="E5E5E5"/>
            </w:tcBorders>
            <w:shd w:val="clear" w:color="auto" w:fill="E5E5E5"/>
          </w:tcPr>
          <w:p>
            <w:pPr>
              <w:ind w:left="480"/>
              <w:spacing w:after="0"/>
              <w:rPr>
                <w:sz w:val="20"/>
                <w:szCs w:val="20"/>
                <w:color w:val="auto"/>
              </w:rPr>
            </w:pPr>
            <w:r>
              <w:rPr>
                <w:rFonts w:ascii="Arial" w:cs="Arial" w:eastAsia="Arial" w:hAnsi="Arial"/>
                <w:sz w:val="16"/>
                <w:szCs w:val="16"/>
                <w:b w:val="1"/>
                <w:bCs w:val="1"/>
                <w:color w:val="1F4E79"/>
              </w:rPr>
              <w:t>($)</w:t>
            </w:r>
          </w:p>
        </w:tc>
        <w:tc>
          <w:tcPr>
            <w:tcW w:w="10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b w:val="1"/>
                <w:bCs w:val="1"/>
                <w:color w:val="1F4E79"/>
              </w:rPr>
              <w:t>($)</w:t>
            </w:r>
          </w:p>
        </w:tc>
        <w:tc>
          <w:tcPr>
            <w:tcW w:w="960" w:type="dxa"/>
            <w:vAlign w:val="bottom"/>
            <w:tcBorders>
              <w:bottom w:val="single" w:sz="8" w:color="E5E5E5"/>
            </w:tcBorders>
            <w:shd w:val="clear" w:color="auto" w:fill="E5E5E5"/>
          </w:tcPr>
          <w:p>
            <w:pPr>
              <w:ind w:left="380"/>
              <w:spacing w:after="0"/>
              <w:rPr>
                <w:sz w:val="20"/>
                <w:szCs w:val="20"/>
                <w:color w:val="auto"/>
              </w:rPr>
            </w:pPr>
            <w:r>
              <w:rPr>
                <w:rFonts w:ascii="Arial" w:cs="Arial" w:eastAsia="Arial" w:hAnsi="Arial"/>
                <w:sz w:val="16"/>
                <w:szCs w:val="16"/>
                <w:b w:val="1"/>
                <w:bCs w:val="1"/>
                <w:color w:val="1F4E79"/>
              </w:rPr>
              <w:t>($)</w:t>
            </w:r>
          </w:p>
        </w:tc>
        <w:tc>
          <w:tcPr>
            <w:tcW w:w="20" w:type="dxa"/>
            <w:vAlign w:val="bottom"/>
            <w:tcBorders>
              <w:bottom w:val="single" w:sz="8" w:color="E5E5E5"/>
            </w:tcBorders>
            <w:shd w:val="clear" w:color="auto" w:fill="E5E5E5"/>
          </w:tcPr>
          <w:p>
            <w:pPr>
              <w:spacing w:after="0"/>
              <w:rPr>
                <w:sz w:val="24"/>
                <w:szCs w:val="24"/>
                <w:color w:val="auto"/>
              </w:rPr>
            </w:pPr>
          </w:p>
        </w:tc>
        <w:tc>
          <w:tcPr>
            <w:tcW w:w="1280" w:type="dxa"/>
            <w:vAlign w:val="bottom"/>
            <w:tcBorders>
              <w:bottom w:val="single" w:sz="8" w:color="E5E5E5"/>
            </w:tcBorders>
            <w:shd w:val="clear" w:color="auto" w:fill="E5E5E5"/>
          </w:tcPr>
          <w:p>
            <w:pPr>
              <w:jc w:val="right"/>
              <w:ind w:right="474"/>
              <w:spacing w:after="0"/>
              <w:rPr>
                <w:sz w:val="20"/>
                <w:szCs w:val="20"/>
                <w:color w:val="auto"/>
              </w:rPr>
            </w:pPr>
            <w:r>
              <w:rPr>
                <w:rFonts w:ascii="Arial" w:cs="Arial" w:eastAsia="Arial" w:hAnsi="Arial"/>
                <w:sz w:val="16"/>
                <w:szCs w:val="16"/>
                <w:b w:val="1"/>
                <w:bCs w:val="1"/>
                <w:color w:val="1F4E79"/>
              </w:rPr>
              <w:t>(#)</w:t>
            </w:r>
          </w:p>
        </w:tc>
        <w:tc>
          <w:tcPr>
            <w:tcW w:w="960" w:type="dxa"/>
            <w:vAlign w:val="bottom"/>
            <w:tcBorders>
              <w:bottom w:val="single" w:sz="8" w:color="E5E5E5"/>
            </w:tcBorders>
            <w:shd w:val="clear" w:color="auto" w:fill="E5E5E5"/>
          </w:tcPr>
          <w:p>
            <w:pPr>
              <w:jc w:val="center"/>
              <w:ind w:right="73"/>
              <w:spacing w:after="0"/>
              <w:rPr>
                <w:sz w:val="20"/>
                <w:szCs w:val="20"/>
                <w:color w:val="auto"/>
              </w:rPr>
            </w:pPr>
            <w:r>
              <w:rPr>
                <w:rFonts w:ascii="Arial" w:cs="Arial" w:eastAsia="Arial" w:hAnsi="Arial"/>
                <w:sz w:val="16"/>
                <w:szCs w:val="16"/>
                <w:b w:val="1"/>
                <w:bCs w:val="1"/>
                <w:color w:val="1F4E79"/>
              </w:rPr>
              <w:t>(#)</w:t>
            </w:r>
          </w:p>
        </w:tc>
        <w:tc>
          <w:tcPr>
            <w:tcW w:w="1060" w:type="dxa"/>
            <w:vAlign w:val="bottom"/>
            <w:tcBorders>
              <w:bottom w:val="single" w:sz="8" w:color="E5E5E5"/>
            </w:tcBorders>
            <w:shd w:val="clear" w:color="auto" w:fill="E5E5E5"/>
          </w:tcPr>
          <w:p>
            <w:pPr>
              <w:ind w:left="440"/>
              <w:spacing w:after="0"/>
              <w:rPr>
                <w:sz w:val="20"/>
                <w:szCs w:val="20"/>
                <w:color w:val="auto"/>
              </w:rPr>
            </w:pPr>
            <w:r>
              <w:rPr>
                <w:rFonts w:ascii="Arial" w:cs="Arial" w:eastAsia="Arial" w:hAnsi="Arial"/>
                <w:sz w:val="16"/>
                <w:szCs w:val="16"/>
                <w:b w:val="1"/>
                <w:bCs w:val="1"/>
                <w:color w:val="1F4E79"/>
              </w:rPr>
              <w:t>(#)</w:t>
            </w:r>
          </w:p>
        </w:tc>
        <w:tc>
          <w:tcPr>
            <w:tcW w:w="10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b w:val="1"/>
                <w:bCs w:val="1"/>
                <w:color w:val="1F4E79"/>
              </w:rPr>
              <w:t>($)(3)</w:t>
            </w:r>
          </w:p>
        </w:tc>
        <w:tc>
          <w:tcPr>
            <w:tcW w:w="0" w:type="dxa"/>
            <w:vAlign w:val="bottom"/>
          </w:tcPr>
          <w:p>
            <w:pPr>
              <w:spacing w:after="0"/>
              <w:rPr>
                <w:sz w:val="1"/>
                <w:szCs w:val="1"/>
                <w:color w:val="auto"/>
              </w:rPr>
            </w:pPr>
          </w:p>
        </w:tc>
      </w:tr>
      <w:tr>
        <w:trPr>
          <w:trHeight w:val="239"/>
        </w:trPr>
        <w:tc>
          <w:tcPr>
            <w:tcW w:w="2380" w:type="dxa"/>
            <w:vAlign w:val="bottom"/>
            <w:tcBorders>
              <w:top w:val="single" w:sz="8" w:color="002060"/>
            </w:tcBorders>
          </w:tcPr>
          <w:p>
            <w:pPr>
              <w:ind w:left="80"/>
              <w:spacing w:after="0"/>
              <w:rPr>
                <w:sz w:val="20"/>
                <w:szCs w:val="20"/>
                <w:color w:val="auto"/>
              </w:rPr>
            </w:pPr>
            <w:r>
              <w:rPr>
                <w:rFonts w:ascii="Arial" w:cs="Arial" w:eastAsia="Arial" w:hAnsi="Arial"/>
                <w:sz w:val="18"/>
                <w:szCs w:val="18"/>
                <w:color w:val="auto"/>
              </w:rPr>
              <w:t>Jeffrey W. Edwards</w:t>
            </w:r>
          </w:p>
        </w:tc>
        <w:tc>
          <w:tcPr>
            <w:tcW w:w="1040" w:type="dxa"/>
            <w:vAlign w:val="bottom"/>
            <w:tcBorders>
              <w:top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002060"/>
            </w:tcBorders>
            <w:shd w:val="clear" w:color="auto" w:fill="E5E5E5"/>
          </w:tcPr>
          <w:p>
            <w:pPr>
              <w:ind w:left="340"/>
              <w:spacing w:after="0"/>
              <w:rPr>
                <w:sz w:val="20"/>
                <w:szCs w:val="20"/>
                <w:color w:val="auto"/>
              </w:rPr>
            </w:pPr>
            <w:r>
              <w:rPr>
                <w:rFonts w:ascii="Arial" w:cs="Arial" w:eastAsia="Arial" w:hAnsi="Arial"/>
                <w:sz w:val="18"/>
                <w:szCs w:val="18"/>
                <w:color w:val="auto"/>
              </w:rPr>
              <w:t>800,000</w:t>
            </w:r>
          </w:p>
        </w:tc>
        <w:tc>
          <w:tcPr>
            <w:tcW w:w="1080" w:type="dxa"/>
            <w:vAlign w:val="bottom"/>
            <w:tcBorders>
              <w:top w:val="single" w:sz="8" w:color="002060"/>
            </w:tcBorders>
            <w:shd w:val="clear" w:color="auto" w:fill="E5E5E5"/>
          </w:tcPr>
          <w:p>
            <w:pPr>
              <w:jc w:val="right"/>
              <w:ind w:right="33"/>
              <w:spacing w:after="0"/>
              <w:rPr>
                <w:sz w:val="20"/>
                <w:szCs w:val="20"/>
                <w:color w:val="auto"/>
              </w:rPr>
            </w:pPr>
            <w:r>
              <w:rPr>
                <w:rFonts w:ascii="Arial" w:cs="Arial" w:eastAsia="Arial" w:hAnsi="Arial"/>
                <w:sz w:val="18"/>
                <w:szCs w:val="18"/>
                <w:color w:val="auto"/>
              </w:rPr>
              <w:t>1,000,000</w:t>
            </w:r>
          </w:p>
        </w:tc>
        <w:tc>
          <w:tcPr>
            <w:tcW w:w="980" w:type="dxa"/>
            <w:vAlign w:val="bottom"/>
            <w:tcBorders>
              <w:top w:val="single" w:sz="8" w:color="002060"/>
            </w:tcBorders>
            <w:gridSpan w:val="2"/>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002060"/>
            </w:tcBorders>
            <w:shd w:val="clear" w:color="auto" w:fill="E5E5E5"/>
          </w:tcPr>
          <w:p>
            <w:pPr>
              <w:spacing w:after="0"/>
              <w:rPr>
                <w:sz w:val="20"/>
                <w:szCs w:val="20"/>
                <w:color w:val="auto"/>
              </w:rPr>
            </w:pPr>
          </w:p>
        </w:tc>
        <w:tc>
          <w:tcPr>
            <w:tcW w:w="960" w:type="dxa"/>
            <w:vAlign w:val="bottom"/>
            <w:tcBorders>
              <w:top w:val="single" w:sz="8" w:color="002060"/>
            </w:tcBorders>
            <w:shd w:val="clear" w:color="auto" w:fill="E5E5E5"/>
          </w:tcPr>
          <w:p>
            <w:pPr>
              <w:spacing w:after="0"/>
              <w:rPr>
                <w:sz w:val="20"/>
                <w:szCs w:val="20"/>
                <w:color w:val="auto"/>
              </w:rPr>
            </w:pPr>
          </w:p>
        </w:tc>
        <w:tc>
          <w:tcPr>
            <w:tcW w:w="1060" w:type="dxa"/>
            <w:vAlign w:val="bottom"/>
            <w:tcBorders>
              <w:top w:val="single" w:sz="8" w:color="002060"/>
            </w:tcBorders>
            <w:shd w:val="clear" w:color="auto" w:fill="E5E5E5"/>
          </w:tcPr>
          <w:p>
            <w:pPr>
              <w:spacing w:after="0"/>
              <w:rPr>
                <w:sz w:val="20"/>
                <w:szCs w:val="20"/>
                <w:color w:val="auto"/>
              </w:rPr>
            </w:pPr>
          </w:p>
        </w:tc>
        <w:tc>
          <w:tcPr>
            <w:tcW w:w="1080" w:type="dxa"/>
            <w:vAlign w:val="bottom"/>
            <w:tcBorders>
              <w:top w:val="single" w:sz="8" w:color="002060"/>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002060"/>
            </w:tcBorders>
          </w:tcPr>
          <w:p>
            <w:pPr>
              <w:ind w:left="360"/>
              <w:spacing w:after="0"/>
              <w:rPr>
                <w:sz w:val="20"/>
                <w:szCs w:val="20"/>
                <w:color w:val="auto"/>
              </w:rPr>
            </w:pPr>
            <w:r>
              <w:rPr>
                <w:rFonts w:ascii="Arial" w:cs="Arial" w:eastAsia="Arial" w:hAnsi="Arial"/>
                <w:sz w:val="18"/>
                <w:szCs w:val="18"/>
                <w:color w:val="auto"/>
              </w:rPr>
              <w:t>Performance-Based</w:t>
            </w:r>
          </w:p>
        </w:tc>
        <w:tc>
          <w:tcPr>
            <w:tcW w:w="104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2/22/2022</w:t>
            </w:r>
          </w:p>
        </w:tc>
        <w:tc>
          <w:tcPr>
            <w:tcW w:w="1160" w:type="dxa"/>
            <w:vAlign w:val="bottom"/>
            <w:tcBorders>
              <w:bottom w:val="single" w:sz="8" w:color="002060"/>
            </w:tcBorders>
            <w:shd w:val="clear" w:color="auto" w:fill="E5E5E5"/>
          </w:tcPr>
          <w:p>
            <w:pPr>
              <w:spacing w:after="0"/>
              <w:rPr>
                <w:sz w:val="22"/>
                <w:szCs w:val="22"/>
                <w:color w:val="auto"/>
              </w:rPr>
            </w:pPr>
          </w:p>
        </w:tc>
        <w:tc>
          <w:tcPr>
            <w:tcW w:w="1080" w:type="dxa"/>
            <w:vAlign w:val="bottom"/>
            <w:tcBorders>
              <w:bottom w:val="single" w:sz="8" w:color="002060"/>
            </w:tcBorders>
            <w:shd w:val="clear" w:color="auto" w:fill="E5E5E5"/>
          </w:tcPr>
          <w:p>
            <w:pPr>
              <w:spacing w:after="0"/>
              <w:rPr>
                <w:sz w:val="22"/>
                <w:szCs w:val="22"/>
                <w:color w:val="auto"/>
              </w:rPr>
            </w:pPr>
          </w:p>
        </w:tc>
        <w:tc>
          <w:tcPr>
            <w:tcW w:w="960" w:type="dxa"/>
            <w:vAlign w:val="bottom"/>
            <w:tcBorders>
              <w:bottom w:val="single" w:sz="8" w:color="002060"/>
            </w:tcBorders>
            <w:shd w:val="clear" w:color="auto" w:fill="E5E5E5"/>
          </w:tcPr>
          <w:p>
            <w:pPr>
              <w:spacing w:after="0"/>
              <w:rPr>
                <w:sz w:val="22"/>
                <w:szCs w:val="22"/>
                <w:color w:val="auto"/>
              </w:rPr>
            </w:pPr>
          </w:p>
        </w:tc>
        <w:tc>
          <w:tcPr>
            <w:tcW w:w="20" w:type="dxa"/>
            <w:vAlign w:val="bottom"/>
            <w:tcBorders>
              <w:bottom w:val="single" w:sz="8" w:color="E5E5E5"/>
            </w:tcBorders>
            <w:shd w:val="clear" w:color="auto" w:fill="E5E5E5"/>
          </w:tcPr>
          <w:p>
            <w:pPr>
              <w:spacing w:after="0"/>
              <w:rPr>
                <w:sz w:val="22"/>
                <w:szCs w:val="22"/>
                <w:color w:val="auto"/>
              </w:rPr>
            </w:pPr>
          </w:p>
        </w:tc>
        <w:tc>
          <w:tcPr>
            <w:tcW w:w="1280" w:type="dxa"/>
            <w:vAlign w:val="bottom"/>
            <w:tcBorders>
              <w:bottom w:val="single" w:sz="8" w:color="002060"/>
            </w:tcBorders>
            <w:shd w:val="clear" w:color="auto" w:fill="E5E5E5"/>
          </w:tcPr>
          <w:p>
            <w:pPr>
              <w:jc w:val="right"/>
              <w:ind w:right="94"/>
              <w:spacing w:after="0"/>
              <w:rPr>
                <w:sz w:val="20"/>
                <w:szCs w:val="20"/>
                <w:color w:val="auto"/>
              </w:rPr>
            </w:pPr>
            <w:r>
              <w:rPr>
                <w:rFonts w:ascii="Arial" w:cs="Arial" w:eastAsia="Arial" w:hAnsi="Arial"/>
                <w:sz w:val="18"/>
                <w:szCs w:val="18"/>
                <w:color w:val="auto"/>
              </w:rPr>
              <w:t>23,305</w:t>
            </w:r>
          </w:p>
        </w:tc>
        <w:tc>
          <w:tcPr>
            <w:tcW w:w="960" w:type="dxa"/>
            <w:vAlign w:val="bottom"/>
            <w:tcBorders>
              <w:bottom w:val="single" w:sz="8" w:color="002060"/>
            </w:tcBorders>
            <w:shd w:val="clear" w:color="auto" w:fill="E5E5E5"/>
          </w:tcPr>
          <w:p>
            <w:pPr>
              <w:jc w:val="right"/>
              <w:ind w:right="93"/>
              <w:spacing w:after="0"/>
              <w:rPr>
                <w:sz w:val="20"/>
                <w:szCs w:val="20"/>
                <w:color w:val="auto"/>
              </w:rPr>
            </w:pPr>
            <w:r>
              <w:rPr>
                <w:rFonts w:ascii="Arial" w:cs="Arial" w:eastAsia="Arial" w:hAnsi="Arial"/>
                <w:sz w:val="18"/>
                <w:szCs w:val="18"/>
                <w:color w:val="auto"/>
              </w:rPr>
              <w:t>29,131</w:t>
            </w:r>
          </w:p>
        </w:tc>
        <w:tc>
          <w:tcPr>
            <w:tcW w:w="1060" w:type="dxa"/>
            <w:vAlign w:val="bottom"/>
            <w:tcBorders>
              <w:bottom w:val="single" w:sz="8" w:color="002060"/>
            </w:tcBorders>
            <w:shd w:val="clear" w:color="auto" w:fill="E5E5E5"/>
          </w:tcPr>
          <w:p>
            <w:pPr>
              <w:ind w:left="8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3,377,950</w:t>
            </w:r>
          </w:p>
        </w:tc>
        <w:tc>
          <w:tcPr>
            <w:tcW w:w="0" w:type="dxa"/>
            <w:vAlign w:val="bottom"/>
          </w:tcPr>
          <w:p>
            <w:pPr>
              <w:spacing w:after="0"/>
              <w:rPr>
                <w:sz w:val="1"/>
                <w:szCs w:val="1"/>
                <w:color w:val="auto"/>
              </w:rPr>
            </w:pPr>
          </w:p>
        </w:tc>
      </w:tr>
      <w:tr>
        <w:trPr>
          <w:trHeight w:val="237"/>
        </w:trPr>
        <w:tc>
          <w:tcPr>
            <w:tcW w:w="2380" w:type="dxa"/>
            <w:vAlign w:val="bottom"/>
          </w:tcPr>
          <w:p>
            <w:pPr>
              <w:ind w:left="80"/>
              <w:spacing w:after="0"/>
              <w:rPr>
                <w:sz w:val="20"/>
                <w:szCs w:val="20"/>
                <w:color w:val="auto"/>
              </w:rPr>
            </w:pPr>
            <w:r>
              <w:rPr>
                <w:rFonts w:ascii="Arial" w:cs="Arial" w:eastAsia="Arial" w:hAnsi="Arial"/>
                <w:sz w:val="18"/>
                <w:szCs w:val="18"/>
                <w:color w:val="auto"/>
              </w:rPr>
              <w:t>Michael T. Miller</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ind w:left="340"/>
              <w:spacing w:after="0"/>
              <w:rPr>
                <w:sz w:val="20"/>
                <w:szCs w:val="20"/>
                <w:color w:val="auto"/>
              </w:rPr>
            </w:pPr>
            <w:r>
              <w:rPr>
                <w:rFonts w:ascii="Arial" w:cs="Arial" w:eastAsia="Arial" w:hAnsi="Arial"/>
                <w:sz w:val="18"/>
                <w:szCs w:val="18"/>
                <w:color w:val="auto"/>
              </w:rPr>
              <w:t>304,000</w:t>
            </w:r>
          </w:p>
        </w:tc>
        <w:tc>
          <w:tcPr>
            <w:tcW w:w="10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380,000</w:t>
            </w:r>
          </w:p>
        </w:tc>
        <w:tc>
          <w:tcPr>
            <w:tcW w:w="980" w:type="dxa"/>
            <w:vAlign w:val="bottom"/>
            <w:gridSpan w:val="2"/>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spacing w:after="0"/>
              <w:rPr>
                <w:sz w:val="20"/>
                <w:szCs w:val="20"/>
                <w:color w:val="auto"/>
              </w:rPr>
            </w:pPr>
          </w:p>
        </w:tc>
        <w:tc>
          <w:tcPr>
            <w:tcW w:w="960" w:type="dxa"/>
            <w:vAlign w:val="bottom"/>
            <w:shd w:val="clear" w:color="auto" w:fill="E5E5E5"/>
          </w:tcPr>
          <w:p>
            <w:pPr>
              <w:spacing w:after="0"/>
              <w:rPr>
                <w:sz w:val="20"/>
                <w:szCs w:val="20"/>
                <w:color w:val="auto"/>
              </w:rPr>
            </w:pPr>
          </w:p>
        </w:tc>
        <w:tc>
          <w:tcPr>
            <w:tcW w:w="106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002060"/>
            </w:tcBorders>
          </w:tcPr>
          <w:p>
            <w:pPr>
              <w:ind w:left="360"/>
              <w:spacing w:after="0"/>
              <w:rPr>
                <w:sz w:val="20"/>
                <w:szCs w:val="20"/>
                <w:color w:val="auto"/>
              </w:rPr>
            </w:pPr>
            <w:r>
              <w:rPr>
                <w:rFonts w:ascii="Arial" w:cs="Arial" w:eastAsia="Arial" w:hAnsi="Arial"/>
                <w:sz w:val="18"/>
                <w:szCs w:val="18"/>
                <w:color w:val="auto"/>
              </w:rPr>
              <w:t>Performance-Based</w:t>
            </w:r>
          </w:p>
        </w:tc>
        <w:tc>
          <w:tcPr>
            <w:tcW w:w="104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2/22/2022</w:t>
            </w:r>
          </w:p>
        </w:tc>
        <w:tc>
          <w:tcPr>
            <w:tcW w:w="1160" w:type="dxa"/>
            <w:vAlign w:val="bottom"/>
            <w:tcBorders>
              <w:bottom w:val="single" w:sz="8" w:color="002060"/>
            </w:tcBorders>
            <w:shd w:val="clear" w:color="auto" w:fill="E5E5E5"/>
          </w:tcPr>
          <w:p>
            <w:pPr>
              <w:spacing w:after="0"/>
              <w:rPr>
                <w:sz w:val="22"/>
                <w:szCs w:val="22"/>
                <w:color w:val="auto"/>
              </w:rPr>
            </w:pPr>
          </w:p>
        </w:tc>
        <w:tc>
          <w:tcPr>
            <w:tcW w:w="1080" w:type="dxa"/>
            <w:vAlign w:val="bottom"/>
            <w:tcBorders>
              <w:bottom w:val="single" w:sz="8" w:color="002060"/>
            </w:tcBorders>
            <w:shd w:val="clear" w:color="auto" w:fill="E5E5E5"/>
          </w:tcPr>
          <w:p>
            <w:pPr>
              <w:spacing w:after="0"/>
              <w:rPr>
                <w:sz w:val="22"/>
                <w:szCs w:val="22"/>
                <w:color w:val="auto"/>
              </w:rPr>
            </w:pPr>
          </w:p>
        </w:tc>
        <w:tc>
          <w:tcPr>
            <w:tcW w:w="960" w:type="dxa"/>
            <w:vAlign w:val="bottom"/>
            <w:tcBorders>
              <w:bottom w:val="single" w:sz="8" w:color="002060"/>
            </w:tcBorders>
            <w:shd w:val="clear" w:color="auto" w:fill="E5E5E5"/>
          </w:tcPr>
          <w:p>
            <w:pPr>
              <w:spacing w:after="0"/>
              <w:rPr>
                <w:sz w:val="22"/>
                <w:szCs w:val="22"/>
                <w:color w:val="auto"/>
              </w:rPr>
            </w:pPr>
          </w:p>
        </w:tc>
        <w:tc>
          <w:tcPr>
            <w:tcW w:w="20" w:type="dxa"/>
            <w:vAlign w:val="bottom"/>
            <w:tcBorders>
              <w:bottom w:val="single" w:sz="8" w:color="E5E5E5"/>
            </w:tcBorders>
            <w:shd w:val="clear" w:color="auto" w:fill="E5E5E5"/>
          </w:tcPr>
          <w:p>
            <w:pPr>
              <w:spacing w:after="0"/>
              <w:rPr>
                <w:sz w:val="22"/>
                <w:szCs w:val="22"/>
                <w:color w:val="auto"/>
              </w:rPr>
            </w:pPr>
          </w:p>
        </w:tc>
        <w:tc>
          <w:tcPr>
            <w:tcW w:w="1280" w:type="dxa"/>
            <w:vAlign w:val="bottom"/>
            <w:tcBorders>
              <w:bottom w:val="single" w:sz="8" w:color="002060"/>
            </w:tcBorders>
            <w:shd w:val="clear" w:color="auto" w:fill="E5E5E5"/>
          </w:tcPr>
          <w:p>
            <w:pPr>
              <w:jc w:val="right"/>
              <w:ind w:right="94"/>
              <w:spacing w:after="0"/>
              <w:rPr>
                <w:sz w:val="20"/>
                <w:szCs w:val="20"/>
                <w:color w:val="auto"/>
              </w:rPr>
            </w:pPr>
            <w:r>
              <w:rPr>
                <w:rFonts w:ascii="Arial" w:cs="Arial" w:eastAsia="Arial" w:hAnsi="Arial"/>
                <w:sz w:val="18"/>
                <w:szCs w:val="18"/>
                <w:color w:val="auto"/>
              </w:rPr>
              <w:t>7,496</w:t>
            </w:r>
          </w:p>
        </w:tc>
        <w:tc>
          <w:tcPr>
            <w:tcW w:w="960" w:type="dxa"/>
            <w:vAlign w:val="bottom"/>
            <w:tcBorders>
              <w:bottom w:val="single" w:sz="8" w:color="002060"/>
            </w:tcBorders>
            <w:shd w:val="clear" w:color="auto" w:fill="E5E5E5"/>
          </w:tcPr>
          <w:p>
            <w:pPr>
              <w:jc w:val="right"/>
              <w:ind w:right="93"/>
              <w:spacing w:after="0"/>
              <w:rPr>
                <w:sz w:val="20"/>
                <w:szCs w:val="20"/>
                <w:color w:val="auto"/>
              </w:rPr>
            </w:pPr>
            <w:r>
              <w:rPr>
                <w:rFonts w:ascii="Arial" w:cs="Arial" w:eastAsia="Arial" w:hAnsi="Arial"/>
                <w:sz w:val="18"/>
                <w:szCs w:val="18"/>
                <w:color w:val="auto"/>
              </w:rPr>
              <w:t>9,370</w:t>
            </w:r>
          </w:p>
        </w:tc>
        <w:tc>
          <w:tcPr>
            <w:tcW w:w="1060" w:type="dxa"/>
            <w:vAlign w:val="bottom"/>
            <w:tcBorders>
              <w:bottom w:val="single" w:sz="8" w:color="002060"/>
            </w:tcBorders>
            <w:shd w:val="clear" w:color="auto" w:fill="E5E5E5"/>
          </w:tcPr>
          <w:p>
            <w:pPr>
              <w:ind w:left="8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1,086,542</w:t>
            </w:r>
          </w:p>
        </w:tc>
        <w:tc>
          <w:tcPr>
            <w:tcW w:w="0" w:type="dxa"/>
            <w:vAlign w:val="bottom"/>
          </w:tcPr>
          <w:p>
            <w:pPr>
              <w:spacing w:after="0"/>
              <w:rPr>
                <w:sz w:val="1"/>
                <w:szCs w:val="1"/>
                <w:color w:val="auto"/>
              </w:rPr>
            </w:pPr>
          </w:p>
        </w:tc>
      </w:tr>
      <w:tr>
        <w:trPr>
          <w:trHeight w:val="237"/>
        </w:trPr>
        <w:tc>
          <w:tcPr>
            <w:tcW w:w="2380" w:type="dxa"/>
            <w:vAlign w:val="bottom"/>
          </w:tcPr>
          <w:p>
            <w:pPr>
              <w:ind w:left="80"/>
              <w:spacing w:after="0"/>
              <w:rPr>
                <w:sz w:val="20"/>
                <w:szCs w:val="20"/>
                <w:color w:val="auto"/>
              </w:rPr>
            </w:pPr>
            <w:r>
              <w:rPr>
                <w:rFonts w:ascii="Arial" w:cs="Arial" w:eastAsia="Arial" w:hAnsi="Arial"/>
                <w:sz w:val="18"/>
                <w:szCs w:val="18"/>
                <w:color w:val="auto"/>
              </w:rPr>
              <w:t>Jay P. Elliott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ind w:left="340"/>
              <w:spacing w:after="0"/>
              <w:rPr>
                <w:sz w:val="20"/>
                <w:szCs w:val="20"/>
                <w:color w:val="auto"/>
              </w:rPr>
            </w:pPr>
            <w:r>
              <w:rPr>
                <w:rFonts w:ascii="Arial" w:cs="Arial" w:eastAsia="Arial" w:hAnsi="Arial"/>
                <w:sz w:val="18"/>
                <w:szCs w:val="18"/>
                <w:color w:val="auto"/>
              </w:rPr>
              <w:t>224,000</w:t>
            </w:r>
          </w:p>
        </w:tc>
        <w:tc>
          <w:tcPr>
            <w:tcW w:w="10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280,000</w:t>
            </w:r>
          </w:p>
        </w:tc>
        <w:tc>
          <w:tcPr>
            <w:tcW w:w="980" w:type="dxa"/>
            <w:vAlign w:val="bottom"/>
            <w:gridSpan w:val="2"/>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spacing w:after="0"/>
              <w:rPr>
                <w:sz w:val="20"/>
                <w:szCs w:val="20"/>
                <w:color w:val="auto"/>
              </w:rPr>
            </w:pPr>
          </w:p>
        </w:tc>
        <w:tc>
          <w:tcPr>
            <w:tcW w:w="960" w:type="dxa"/>
            <w:vAlign w:val="bottom"/>
            <w:shd w:val="clear" w:color="auto" w:fill="E5E5E5"/>
          </w:tcPr>
          <w:p>
            <w:pPr>
              <w:spacing w:after="0"/>
              <w:rPr>
                <w:sz w:val="20"/>
                <w:szCs w:val="20"/>
                <w:color w:val="auto"/>
              </w:rPr>
            </w:pPr>
          </w:p>
        </w:tc>
        <w:tc>
          <w:tcPr>
            <w:tcW w:w="106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002060"/>
            </w:tcBorders>
          </w:tcPr>
          <w:p>
            <w:pPr>
              <w:ind w:left="360"/>
              <w:spacing w:after="0"/>
              <w:rPr>
                <w:sz w:val="20"/>
                <w:szCs w:val="20"/>
                <w:color w:val="auto"/>
              </w:rPr>
            </w:pPr>
            <w:r>
              <w:rPr>
                <w:rFonts w:ascii="Arial" w:cs="Arial" w:eastAsia="Arial" w:hAnsi="Arial"/>
                <w:sz w:val="18"/>
                <w:szCs w:val="18"/>
                <w:color w:val="auto"/>
              </w:rPr>
              <w:t>Performance-Based</w:t>
            </w:r>
          </w:p>
        </w:tc>
        <w:tc>
          <w:tcPr>
            <w:tcW w:w="104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2/22/2022</w:t>
            </w:r>
          </w:p>
        </w:tc>
        <w:tc>
          <w:tcPr>
            <w:tcW w:w="1160" w:type="dxa"/>
            <w:vAlign w:val="bottom"/>
            <w:tcBorders>
              <w:bottom w:val="single" w:sz="8" w:color="002060"/>
            </w:tcBorders>
            <w:shd w:val="clear" w:color="auto" w:fill="E5E5E5"/>
          </w:tcPr>
          <w:p>
            <w:pPr>
              <w:spacing w:after="0"/>
              <w:rPr>
                <w:sz w:val="22"/>
                <w:szCs w:val="22"/>
                <w:color w:val="auto"/>
              </w:rPr>
            </w:pPr>
          </w:p>
        </w:tc>
        <w:tc>
          <w:tcPr>
            <w:tcW w:w="1080" w:type="dxa"/>
            <w:vAlign w:val="bottom"/>
            <w:tcBorders>
              <w:bottom w:val="single" w:sz="8" w:color="002060"/>
            </w:tcBorders>
            <w:shd w:val="clear" w:color="auto" w:fill="E5E5E5"/>
          </w:tcPr>
          <w:p>
            <w:pPr>
              <w:spacing w:after="0"/>
              <w:rPr>
                <w:sz w:val="22"/>
                <w:szCs w:val="22"/>
                <w:color w:val="auto"/>
              </w:rPr>
            </w:pPr>
          </w:p>
        </w:tc>
        <w:tc>
          <w:tcPr>
            <w:tcW w:w="960" w:type="dxa"/>
            <w:vAlign w:val="bottom"/>
            <w:tcBorders>
              <w:bottom w:val="single" w:sz="8" w:color="002060"/>
            </w:tcBorders>
            <w:shd w:val="clear" w:color="auto" w:fill="E5E5E5"/>
          </w:tcPr>
          <w:p>
            <w:pPr>
              <w:spacing w:after="0"/>
              <w:rPr>
                <w:sz w:val="22"/>
                <w:szCs w:val="22"/>
                <w:color w:val="auto"/>
              </w:rPr>
            </w:pPr>
          </w:p>
        </w:tc>
        <w:tc>
          <w:tcPr>
            <w:tcW w:w="20" w:type="dxa"/>
            <w:vAlign w:val="bottom"/>
            <w:tcBorders>
              <w:bottom w:val="single" w:sz="8" w:color="E5E5E5"/>
            </w:tcBorders>
            <w:shd w:val="clear" w:color="auto" w:fill="E5E5E5"/>
          </w:tcPr>
          <w:p>
            <w:pPr>
              <w:spacing w:after="0"/>
              <w:rPr>
                <w:sz w:val="22"/>
                <w:szCs w:val="22"/>
                <w:color w:val="auto"/>
              </w:rPr>
            </w:pPr>
          </w:p>
        </w:tc>
        <w:tc>
          <w:tcPr>
            <w:tcW w:w="1280" w:type="dxa"/>
            <w:vAlign w:val="bottom"/>
            <w:tcBorders>
              <w:bottom w:val="single" w:sz="8" w:color="002060"/>
            </w:tcBorders>
            <w:shd w:val="clear" w:color="auto" w:fill="E5E5E5"/>
          </w:tcPr>
          <w:p>
            <w:pPr>
              <w:jc w:val="right"/>
              <w:ind w:right="94"/>
              <w:spacing w:after="0"/>
              <w:rPr>
                <w:sz w:val="20"/>
                <w:szCs w:val="20"/>
                <w:color w:val="auto"/>
              </w:rPr>
            </w:pPr>
            <w:r>
              <w:rPr>
                <w:rFonts w:ascii="Arial" w:cs="Arial" w:eastAsia="Arial" w:hAnsi="Arial"/>
                <w:sz w:val="18"/>
                <w:szCs w:val="18"/>
                <w:color w:val="auto"/>
              </w:rPr>
              <w:t>7,768</w:t>
            </w:r>
          </w:p>
        </w:tc>
        <w:tc>
          <w:tcPr>
            <w:tcW w:w="960" w:type="dxa"/>
            <w:vAlign w:val="bottom"/>
            <w:tcBorders>
              <w:bottom w:val="single" w:sz="8" w:color="002060"/>
            </w:tcBorders>
            <w:shd w:val="clear" w:color="auto" w:fill="E5E5E5"/>
          </w:tcPr>
          <w:p>
            <w:pPr>
              <w:jc w:val="right"/>
              <w:ind w:right="93"/>
              <w:spacing w:after="0"/>
              <w:rPr>
                <w:sz w:val="20"/>
                <w:szCs w:val="20"/>
                <w:color w:val="auto"/>
              </w:rPr>
            </w:pPr>
            <w:r>
              <w:rPr>
                <w:rFonts w:ascii="Arial" w:cs="Arial" w:eastAsia="Arial" w:hAnsi="Arial"/>
                <w:sz w:val="18"/>
                <w:szCs w:val="18"/>
                <w:color w:val="auto"/>
              </w:rPr>
              <w:t>9,710</w:t>
            </w:r>
          </w:p>
        </w:tc>
        <w:tc>
          <w:tcPr>
            <w:tcW w:w="1060" w:type="dxa"/>
            <w:vAlign w:val="bottom"/>
            <w:tcBorders>
              <w:bottom w:val="single" w:sz="8" w:color="002060"/>
            </w:tcBorders>
            <w:shd w:val="clear" w:color="auto" w:fill="E5E5E5"/>
          </w:tcPr>
          <w:p>
            <w:pPr>
              <w:ind w:left="8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1,125,880</w:t>
            </w:r>
          </w:p>
        </w:tc>
        <w:tc>
          <w:tcPr>
            <w:tcW w:w="0" w:type="dxa"/>
            <w:vAlign w:val="bottom"/>
          </w:tcPr>
          <w:p>
            <w:pPr>
              <w:spacing w:after="0"/>
              <w:rPr>
                <w:sz w:val="1"/>
                <w:szCs w:val="1"/>
                <w:color w:val="auto"/>
              </w:rPr>
            </w:pPr>
          </w:p>
        </w:tc>
      </w:tr>
      <w:tr>
        <w:trPr>
          <w:trHeight w:val="237"/>
        </w:trPr>
        <w:tc>
          <w:tcPr>
            <w:tcW w:w="2380" w:type="dxa"/>
            <w:vAlign w:val="bottom"/>
          </w:tcPr>
          <w:p>
            <w:pPr>
              <w:ind w:left="80"/>
              <w:spacing w:after="0"/>
              <w:rPr>
                <w:sz w:val="20"/>
                <w:szCs w:val="20"/>
                <w:color w:val="auto"/>
              </w:rPr>
            </w:pPr>
            <w:r>
              <w:rPr>
                <w:rFonts w:ascii="Arial" w:cs="Arial" w:eastAsia="Arial" w:hAnsi="Arial"/>
                <w:sz w:val="18"/>
                <w:szCs w:val="18"/>
                <w:color w:val="auto"/>
              </w:rPr>
              <w:t>W. Jeffrey Hire</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ind w:left="340"/>
              <w:spacing w:after="0"/>
              <w:rPr>
                <w:sz w:val="20"/>
                <w:szCs w:val="20"/>
                <w:color w:val="auto"/>
              </w:rPr>
            </w:pPr>
            <w:r>
              <w:rPr>
                <w:rFonts w:ascii="Arial" w:cs="Arial" w:eastAsia="Arial" w:hAnsi="Arial"/>
                <w:sz w:val="18"/>
                <w:szCs w:val="18"/>
                <w:color w:val="auto"/>
              </w:rPr>
              <w:t>120,000</w:t>
            </w:r>
          </w:p>
        </w:tc>
        <w:tc>
          <w:tcPr>
            <w:tcW w:w="10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150,000</w:t>
            </w:r>
          </w:p>
        </w:tc>
        <w:tc>
          <w:tcPr>
            <w:tcW w:w="980" w:type="dxa"/>
            <w:vAlign w:val="bottom"/>
            <w:gridSpan w:val="2"/>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spacing w:after="0"/>
              <w:rPr>
                <w:sz w:val="20"/>
                <w:szCs w:val="20"/>
                <w:color w:val="auto"/>
              </w:rPr>
            </w:pPr>
          </w:p>
        </w:tc>
        <w:tc>
          <w:tcPr>
            <w:tcW w:w="960" w:type="dxa"/>
            <w:vAlign w:val="bottom"/>
            <w:shd w:val="clear" w:color="auto" w:fill="E5E5E5"/>
          </w:tcPr>
          <w:p>
            <w:pPr>
              <w:spacing w:after="0"/>
              <w:rPr>
                <w:sz w:val="20"/>
                <w:szCs w:val="20"/>
                <w:color w:val="auto"/>
              </w:rPr>
            </w:pPr>
          </w:p>
        </w:tc>
        <w:tc>
          <w:tcPr>
            <w:tcW w:w="106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002060"/>
            </w:tcBorders>
          </w:tcPr>
          <w:p>
            <w:pPr>
              <w:ind w:left="360"/>
              <w:spacing w:after="0"/>
              <w:rPr>
                <w:sz w:val="20"/>
                <w:szCs w:val="20"/>
                <w:color w:val="auto"/>
              </w:rPr>
            </w:pPr>
            <w:r>
              <w:rPr>
                <w:rFonts w:ascii="Arial" w:cs="Arial" w:eastAsia="Arial" w:hAnsi="Arial"/>
                <w:sz w:val="18"/>
                <w:szCs w:val="18"/>
                <w:color w:val="auto"/>
              </w:rPr>
              <w:t>Performance-Based</w:t>
            </w:r>
          </w:p>
        </w:tc>
        <w:tc>
          <w:tcPr>
            <w:tcW w:w="104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2/22/2022</w:t>
            </w:r>
          </w:p>
        </w:tc>
        <w:tc>
          <w:tcPr>
            <w:tcW w:w="1160" w:type="dxa"/>
            <w:vAlign w:val="bottom"/>
            <w:tcBorders>
              <w:bottom w:val="single" w:sz="8" w:color="002060"/>
            </w:tcBorders>
            <w:shd w:val="clear" w:color="auto" w:fill="E5E5E5"/>
          </w:tcPr>
          <w:p>
            <w:pPr>
              <w:spacing w:after="0"/>
              <w:rPr>
                <w:sz w:val="22"/>
                <w:szCs w:val="22"/>
                <w:color w:val="auto"/>
              </w:rPr>
            </w:pPr>
          </w:p>
        </w:tc>
        <w:tc>
          <w:tcPr>
            <w:tcW w:w="1080" w:type="dxa"/>
            <w:vAlign w:val="bottom"/>
            <w:tcBorders>
              <w:bottom w:val="single" w:sz="8" w:color="002060"/>
            </w:tcBorders>
            <w:shd w:val="clear" w:color="auto" w:fill="E5E5E5"/>
          </w:tcPr>
          <w:p>
            <w:pPr>
              <w:spacing w:after="0"/>
              <w:rPr>
                <w:sz w:val="22"/>
                <w:szCs w:val="22"/>
                <w:color w:val="auto"/>
              </w:rPr>
            </w:pPr>
          </w:p>
        </w:tc>
        <w:tc>
          <w:tcPr>
            <w:tcW w:w="960" w:type="dxa"/>
            <w:vAlign w:val="bottom"/>
            <w:tcBorders>
              <w:bottom w:val="single" w:sz="8" w:color="002060"/>
            </w:tcBorders>
            <w:shd w:val="clear" w:color="auto" w:fill="E5E5E5"/>
          </w:tcPr>
          <w:p>
            <w:pPr>
              <w:spacing w:after="0"/>
              <w:rPr>
                <w:sz w:val="22"/>
                <w:szCs w:val="22"/>
                <w:color w:val="auto"/>
              </w:rPr>
            </w:pPr>
          </w:p>
        </w:tc>
        <w:tc>
          <w:tcPr>
            <w:tcW w:w="20" w:type="dxa"/>
            <w:vAlign w:val="bottom"/>
            <w:tcBorders>
              <w:bottom w:val="single" w:sz="8" w:color="E5E5E5"/>
            </w:tcBorders>
            <w:shd w:val="clear" w:color="auto" w:fill="E5E5E5"/>
          </w:tcPr>
          <w:p>
            <w:pPr>
              <w:spacing w:after="0"/>
              <w:rPr>
                <w:sz w:val="22"/>
                <w:szCs w:val="22"/>
                <w:color w:val="auto"/>
              </w:rPr>
            </w:pPr>
          </w:p>
        </w:tc>
        <w:tc>
          <w:tcPr>
            <w:tcW w:w="1280" w:type="dxa"/>
            <w:vAlign w:val="bottom"/>
            <w:tcBorders>
              <w:bottom w:val="single" w:sz="8" w:color="002060"/>
            </w:tcBorders>
            <w:shd w:val="clear" w:color="auto" w:fill="E5E5E5"/>
          </w:tcPr>
          <w:p>
            <w:pPr>
              <w:jc w:val="right"/>
              <w:ind w:right="94"/>
              <w:spacing w:after="0"/>
              <w:rPr>
                <w:sz w:val="20"/>
                <w:szCs w:val="20"/>
                <w:color w:val="auto"/>
              </w:rPr>
            </w:pPr>
            <w:r>
              <w:rPr>
                <w:rFonts w:ascii="Arial" w:cs="Arial" w:eastAsia="Arial" w:hAnsi="Arial"/>
                <w:sz w:val="18"/>
                <w:szCs w:val="18"/>
                <w:color w:val="auto"/>
              </w:rPr>
              <w:t>1,554</w:t>
            </w:r>
          </w:p>
        </w:tc>
        <w:tc>
          <w:tcPr>
            <w:tcW w:w="960" w:type="dxa"/>
            <w:vAlign w:val="bottom"/>
            <w:tcBorders>
              <w:bottom w:val="single" w:sz="8" w:color="002060"/>
            </w:tcBorders>
            <w:shd w:val="clear" w:color="auto" w:fill="E5E5E5"/>
          </w:tcPr>
          <w:p>
            <w:pPr>
              <w:jc w:val="right"/>
              <w:ind w:right="93"/>
              <w:spacing w:after="0"/>
              <w:rPr>
                <w:sz w:val="20"/>
                <w:szCs w:val="20"/>
                <w:color w:val="auto"/>
              </w:rPr>
            </w:pPr>
            <w:r>
              <w:rPr>
                <w:rFonts w:ascii="Arial" w:cs="Arial" w:eastAsia="Arial" w:hAnsi="Arial"/>
                <w:sz w:val="18"/>
                <w:szCs w:val="18"/>
                <w:color w:val="auto"/>
              </w:rPr>
              <w:t>1,942</w:t>
            </w:r>
          </w:p>
        </w:tc>
        <w:tc>
          <w:tcPr>
            <w:tcW w:w="1060" w:type="dxa"/>
            <w:vAlign w:val="bottom"/>
            <w:tcBorders>
              <w:bottom w:val="single" w:sz="8" w:color="002060"/>
            </w:tcBorders>
            <w:shd w:val="clear" w:color="auto" w:fill="E5E5E5"/>
          </w:tcPr>
          <w:p>
            <w:pPr>
              <w:ind w:left="8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225,217</w:t>
            </w:r>
          </w:p>
        </w:tc>
        <w:tc>
          <w:tcPr>
            <w:tcW w:w="0" w:type="dxa"/>
            <w:vAlign w:val="bottom"/>
          </w:tcPr>
          <w:p>
            <w:pPr>
              <w:spacing w:after="0"/>
              <w:rPr>
                <w:sz w:val="1"/>
                <w:szCs w:val="1"/>
                <w:color w:val="auto"/>
              </w:rPr>
            </w:pPr>
          </w:p>
        </w:tc>
      </w:tr>
      <w:tr>
        <w:trPr>
          <w:trHeight w:val="237"/>
        </w:trPr>
        <w:tc>
          <w:tcPr>
            <w:tcW w:w="2380" w:type="dxa"/>
            <w:vAlign w:val="bottom"/>
          </w:tcPr>
          <w:p>
            <w:pPr>
              <w:ind w:left="80"/>
              <w:spacing w:after="0"/>
              <w:rPr>
                <w:sz w:val="20"/>
                <w:szCs w:val="20"/>
                <w:color w:val="auto"/>
              </w:rPr>
            </w:pPr>
            <w:r>
              <w:rPr>
                <w:rFonts w:ascii="Arial" w:cs="Arial" w:eastAsia="Arial" w:hAnsi="Arial"/>
                <w:sz w:val="18"/>
                <w:szCs w:val="18"/>
                <w:color w:val="auto"/>
              </w:rPr>
              <w:t>Jason R. Niswonger</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ind w:left="340"/>
              <w:spacing w:after="0"/>
              <w:rPr>
                <w:sz w:val="20"/>
                <w:szCs w:val="20"/>
                <w:color w:val="auto"/>
              </w:rPr>
            </w:pPr>
            <w:r>
              <w:rPr>
                <w:rFonts w:ascii="Arial" w:cs="Arial" w:eastAsia="Arial" w:hAnsi="Arial"/>
                <w:sz w:val="18"/>
                <w:szCs w:val="18"/>
                <w:color w:val="auto"/>
              </w:rPr>
              <w:t>140,000</w:t>
            </w:r>
          </w:p>
        </w:tc>
        <w:tc>
          <w:tcPr>
            <w:tcW w:w="10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175,000</w:t>
            </w:r>
          </w:p>
        </w:tc>
        <w:tc>
          <w:tcPr>
            <w:tcW w:w="980" w:type="dxa"/>
            <w:vAlign w:val="bottom"/>
            <w:gridSpan w:val="2"/>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spacing w:after="0"/>
              <w:rPr>
                <w:sz w:val="20"/>
                <w:szCs w:val="20"/>
                <w:color w:val="auto"/>
              </w:rPr>
            </w:pPr>
          </w:p>
        </w:tc>
        <w:tc>
          <w:tcPr>
            <w:tcW w:w="960" w:type="dxa"/>
            <w:vAlign w:val="bottom"/>
            <w:shd w:val="clear" w:color="auto" w:fill="E5E5E5"/>
          </w:tcPr>
          <w:p>
            <w:pPr>
              <w:spacing w:after="0"/>
              <w:rPr>
                <w:sz w:val="20"/>
                <w:szCs w:val="20"/>
                <w:color w:val="auto"/>
              </w:rPr>
            </w:pPr>
          </w:p>
        </w:tc>
        <w:tc>
          <w:tcPr>
            <w:tcW w:w="106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380" w:type="dxa"/>
            <w:vAlign w:val="bottom"/>
          </w:tcPr>
          <w:p>
            <w:pPr>
              <w:ind w:left="360"/>
              <w:spacing w:after="0"/>
              <w:rPr>
                <w:sz w:val="20"/>
                <w:szCs w:val="20"/>
                <w:color w:val="auto"/>
              </w:rPr>
            </w:pPr>
            <w:r>
              <w:rPr>
                <w:rFonts w:ascii="Arial" w:cs="Arial" w:eastAsia="Arial" w:hAnsi="Arial"/>
                <w:sz w:val="18"/>
                <w:szCs w:val="18"/>
                <w:color w:val="auto"/>
              </w:rPr>
              <w:t>Performance-Based</w:t>
            </w:r>
          </w:p>
        </w:tc>
        <w:tc>
          <w:tcPr>
            <w:tcW w:w="10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2/22/2022</w:t>
            </w:r>
          </w:p>
        </w:tc>
        <w:tc>
          <w:tcPr>
            <w:tcW w:w="1160" w:type="dxa"/>
            <w:vAlign w:val="bottom"/>
            <w:tcBorders>
              <w:bottom w:val="single" w:sz="8" w:color="E5E5E5"/>
            </w:tcBorders>
            <w:shd w:val="clear" w:color="auto" w:fill="E5E5E5"/>
          </w:tcPr>
          <w:p>
            <w:pPr>
              <w:spacing w:after="0"/>
              <w:rPr>
                <w:sz w:val="24"/>
                <w:szCs w:val="24"/>
                <w:color w:val="auto"/>
              </w:rPr>
            </w:pPr>
          </w:p>
        </w:tc>
        <w:tc>
          <w:tcPr>
            <w:tcW w:w="1080" w:type="dxa"/>
            <w:vAlign w:val="bottom"/>
            <w:tcBorders>
              <w:bottom w:val="single" w:sz="8" w:color="E5E5E5"/>
            </w:tcBorders>
            <w:shd w:val="clear" w:color="auto" w:fill="E5E5E5"/>
          </w:tcPr>
          <w:p>
            <w:pPr>
              <w:spacing w:after="0"/>
              <w:rPr>
                <w:sz w:val="24"/>
                <w:szCs w:val="24"/>
                <w:color w:val="auto"/>
              </w:rPr>
            </w:pPr>
          </w:p>
        </w:tc>
        <w:tc>
          <w:tcPr>
            <w:tcW w:w="960" w:type="dxa"/>
            <w:vAlign w:val="bottom"/>
            <w:tcBorders>
              <w:bottom w:val="single" w:sz="8" w:color="E5E5E5"/>
            </w:tcBorders>
            <w:shd w:val="clear" w:color="auto" w:fill="E5E5E5"/>
          </w:tcPr>
          <w:p>
            <w:pPr>
              <w:spacing w:after="0"/>
              <w:rPr>
                <w:sz w:val="24"/>
                <w:szCs w:val="24"/>
                <w:color w:val="auto"/>
              </w:rPr>
            </w:pPr>
          </w:p>
        </w:tc>
        <w:tc>
          <w:tcPr>
            <w:tcW w:w="20" w:type="dxa"/>
            <w:vAlign w:val="bottom"/>
            <w:tcBorders>
              <w:bottom w:val="single" w:sz="8" w:color="E5E5E5"/>
            </w:tcBorders>
            <w:shd w:val="clear" w:color="auto" w:fill="E5E5E5"/>
          </w:tcPr>
          <w:p>
            <w:pPr>
              <w:spacing w:after="0"/>
              <w:rPr>
                <w:sz w:val="24"/>
                <w:szCs w:val="24"/>
                <w:color w:val="auto"/>
              </w:rPr>
            </w:pPr>
          </w:p>
        </w:tc>
        <w:tc>
          <w:tcPr>
            <w:tcW w:w="1280" w:type="dxa"/>
            <w:vAlign w:val="bottom"/>
            <w:tcBorders>
              <w:bottom w:val="single" w:sz="8" w:color="E5E5E5"/>
            </w:tcBorders>
            <w:shd w:val="clear" w:color="auto" w:fill="E5E5E5"/>
          </w:tcPr>
          <w:p>
            <w:pPr>
              <w:jc w:val="right"/>
              <w:ind w:right="94"/>
              <w:spacing w:after="0"/>
              <w:rPr>
                <w:sz w:val="20"/>
                <w:szCs w:val="20"/>
                <w:color w:val="auto"/>
              </w:rPr>
            </w:pPr>
            <w:r>
              <w:rPr>
                <w:rFonts w:ascii="Arial" w:cs="Arial" w:eastAsia="Arial" w:hAnsi="Arial"/>
                <w:sz w:val="18"/>
                <w:szCs w:val="18"/>
                <w:color w:val="auto"/>
              </w:rPr>
              <w:t>2,174</w:t>
            </w:r>
          </w:p>
        </w:tc>
        <w:tc>
          <w:tcPr>
            <w:tcW w:w="960" w:type="dxa"/>
            <w:vAlign w:val="bottom"/>
            <w:tcBorders>
              <w:bottom w:val="single" w:sz="8" w:color="E5E5E5"/>
            </w:tcBorders>
            <w:shd w:val="clear" w:color="auto" w:fill="E5E5E5"/>
          </w:tcPr>
          <w:p>
            <w:pPr>
              <w:jc w:val="right"/>
              <w:ind w:right="93"/>
              <w:spacing w:after="0"/>
              <w:rPr>
                <w:sz w:val="20"/>
                <w:szCs w:val="20"/>
                <w:color w:val="auto"/>
              </w:rPr>
            </w:pPr>
            <w:r>
              <w:rPr>
                <w:rFonts w:ascii="Arial" w:cs="Arial" w:eastAsia="Arial" w:hAnsi="Arial"/>
                <w:sz w:val="18"/>
                <w:szCs w:val="18"/>
                <w:color w:val="auto"/>
              </w:rPr>
              <w:t>2,718</w:t>
            </w:r>
          </w:p>
        </w:tc>
        <w:tc>
          <w:tcPr>
            <w:tcW w:w="1060" w:type="dxa"/>
            <w:vAlign w:val="bottom"/>
            <w:tcBorders>
              <w:bottom w:val="single" w:sz="8" w:color="E5E5E5"/>
            </w:tcBorders>
            <w:shd w:val="clear" w:color="auto" w:fill="E5E5E5"/>
          </w:tcPr>
          <w:p>
            <w:pPr>
              <w:ind w:left="8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8"/>
                <w:szCs w:val="18"/>
                <w:color w:val="auto"/>
              </w:rPr>
              <w:t>315,119</w:t>
            </w:r>
          </w:p>
        </w:tc>
        <w:tc>
          <w:tcPr>
            <w:tcW w:w="0" w:type="dxa"/>
            <w:vAlign w:val="bottom"/>
          </w:tcPr>
          <w:p>
            <w:pPr>
              <w:spacing w:after="0"/>
              <w:rPr>
                <w:sz w:val="1"/>
                <w:szCs w:val="1"/>
                <w:color w:val="auto"/>
              </w:rPr>
            </w:pPr>
          </w:p>
        </w:tc>
      </w:tr>
      <w:tr>
        <w:trPr>
          <w:trHeight w:val="27"/>
        </w:trPr>
        <w:tc>
          <w:tcPr>
            <w:tcW w:w="2380" w:type="dxa"/>
            <w:vAlign w:val="bottom"/>
            <w:shd w:val="clear" w:color="auto" w:fill="002060"/>
          </w:tcPr>
          <w:p>
            <w:pPr>
              <w:spacing w:after="0"/>
              <w:rPr>
                <w:sz w:val="2"/>
                <w:szCs w:val="2"/>
                <w:color w:val="auto"/>
              </w:rPr>
            </w:pPr>
          </w:p>
        </w:tc>
        <w:tc>
          <w:tcPr>
            <w:tcW w:w="1040" w:type="dxa"/>
            <w:vAlign w:val="bottom"/>
            <w:shd w:val="clear" w:color="auto" w:fill="002060"/>
          </w:tcPr>
          <w:p>
            <w:pPr>
              <w:spacing w:after="0"/>
              <w:rPr>
                <w:sz w:val="2"/>
                <w:szCs w:val="2"/>
                <w:color w:val="auto"/>
              </w:rPr>
            </w:pPr>
          </w:p>
        </w:tc>
        <w:tc>
          <w:tcPr>
            <w:tcW w:w="1160" w:type="dxa"/>
            <w:vAlign w:val="bottom"/>
            <w:shd w:val="clear" w:color="auto" w:fill="002060"/>
          </w:tcPr>
          <w:p>
            <w:pPr>
              <w:spacing w:after="0"/>
              <w:rPr>
                <w:sz w:val="2"/>
                <w:szCs w:val="2"/>
                <w:color w:val="auto"/>
              </w:rPr>
            </w:pPr>
          </w:p>
        </w:tc>
        <w:tc>
          <w:tcPr>
            <w:tcW w:w="1080" w:type="dxa"/>
            <w:vAlign w:val="bottom"/>
            <w:shd w:val="clear" w:color="auto" w:fill="002060"/>
          </w:tcPr>
          <w:p>
            <w:pPr>
              <w:spacing w:after="0"/>
              <w:rPr>
                <w:sz w:val="2"/>
                <w:szCs w:val="2"/>
                <w:color w:val="auto"/>
              </w:rPr>
            </w:pPr>
          </w:p>
        </w:tc>
        <w:tc>
          <w:tcPr>
            <w:tcW w:w="960" w:type="dxa"/>
            <w:vAlign w:val="bottom"/>
            <w:shd w:val="clear" w:color="auto" w:fill="002060"/>
          </w:tcPr>
          <w:p>
            <w:pPr>
              <w:spacing w:after="0"/>
              <w:rPr>
                <w:sz w:val="2"/>
                <w:szCs w:val="2"/>
                <w:color w:val="auto"/>
              </w:rPr>
            </w:pPr>
          </w:p>
        </w:tc>
        <w:tc>
          <w:tcPr>
            <w:tcW w:w="20" w:type="dxa"/>
            <w:vAlign w:val="bottom"/>
            <w:shd w:val="clear" w:color="auto" w:fill="002060"/>
          </w:tcPr>
          <w:p>
            <w:pPr>
              <w:spacing w:after="0"/>
              <w:rPr>
                <w:sz w:val="2"/>
                <w:szCs w:val="2"/>
                <w:color w:val="auto"/>
              </w:rPr>
            </w:pPr>
          </w:p>
        </w:tc>
        <w:tc>
          <w:tcPr>
            <w:tcW w:w="1280" w:type="dxa"/>
            <w:vAlign w:val="bottom"/>
            <w:shd w:val="clear" w:color="auto" w:fill="002060"/>
          </w:tcPr>
          <w:p>
            <w:pPr>
              <w:spacing w:after="0"/>
              <w:rPr>
                <w:sz w:val="2"/>
                <w:szCs w:val="2"/>
                <w:color w:val="auto"/>
              </w:rPr>
            </w:pPr>
          </w:p>
        </w:tc>
        <w:tc>
          <w:tcPr>
            <w:tcW w:w="960" w:type="dxa"/>
            <w:vAlign w:val="bottom"/>
            <w:shd w:val="clear" w:color="auto" w:fill="002060"/>
          </w:tcPr>
          <w:p>
            <w:pPr>
              <w:spacing w:after="0"/>
              <w:rPr>
                <w:sz w:val="2"/>
                <w:szCs w:val="2"/>
                <w:color w:val="auto"/>
              </w:rPr>
            </w:pPr>
          </w:p>
        </w:tc>
        <w:tc>
          <w:tcPr>
            <w:tcW w:w="1060" w:type="dxa"/>
            <w:vAlign w:val="bottom"/>
            <w:shd w:val="clear" w:color="auto" w:fill="002060"/>
          </w:tcPr>
          <w:p>
            <w:pPr>
              <w:spacing w:after="0"/>
              <w:rPr>
                <w:sz w:val="2"/>
                <w:szCs w:val="2"/>
                <w:color w:val="auto"/>
              </w:rPr>
            </w:pPr>
          </w:p>
        </w:tc>
        <w:tc>
          <w:tcPr>
            <w:tcW w:w="1080" w:type="dxa"/>
            <w:vAlign w:val="bottom"/>
            <w:shd w:val="clear" w:color="auto" w:fill="00206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-1662430</wp:posOffset>
            </wp:positionV>
            <wp:extent cx="8890" cy="16459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164592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-1662430</wp:posOffset>
            </wp:positionV>
            <wp:extent cx="8255" cy="16459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164592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-1662430</wp:posOffset>
            </wp:positionV>
            <wp:extent cx="8255" cy="16459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164592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-1662430</wp:posOffset>
            </wp:positionV>
            <wp:extent cx="8255" cy="16459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164592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-1662430</wp:posOffset>
            </wp:positionV>
            <wp:extent cx="8255" cy="16459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164592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-1662430</wp:posOffset>
            </wp:positionV>
            <wp:extent cx="8255" cy="16459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1645920"/>
                    </a:xfrm>
                    <a:prstGeom prst="rect">
                      <a:avLst/>
                    </a:prstGeom>
                    <a:noFill/>
                  </pic:spPr>
                </pic:pic>
              </a:graphicData>
            </a:graphic>
          </wp:anchor>
        </w:drawing>
      </w:r>
    </w:p>
    <w:p>
      <w:pPr>
        <w:spacing w:after="0" w:line="42" w:lineRule="exact"/>
        <w:rPr>
          <w:sz w:val="20"/>
          <w:szCs w:val="20"/>
          <w:color w:val="auto"/>
        </w:rPr>
      </w:pPr>
    </w:p>
    <w:p>
      <w:pPr>
        <w:ind w:left="880" w:right="180" w:hanging="548"/>
        <w:spacing w:after="0" w:line="242"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amounts shown reflect the threshold and target amounts that each NEO was eligible to receive for 2022 based on achievement of the Adjusted EBITDA performance target established by the Compensation and Human Capital Committee. No maximum award was established. Actual payouts are reported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under the “Non-Equity Incentive Plan Compensation” column. The material terms of the 2022 non-equity incentive awards are described above under “</w:t>
      </w:r>
      <w:r>
        <w:rPr>
          <w:rFonts w:ascii="Arial" w:cs="Arial" w:eastAsia="Arial" w:hAnsi="Arial"/>
          <w:sz w:val="18"/>
          <w:szCs w:val="18"/>
          <w:i w:val="1"/>
          <w:iCs w:val="1"/>
          <w:color w:val="auto"/>
        </w:rPr>
        <w:t>2022 Performance-Based Incentive Cash Award.</w:t>
      </w:r>
      <w:r>
        <w:rPr>
          <w:rFonts w:ascii="Arial" w:cs="Arial" w:eastAsia="Arial" w:hAnsi="Arial"/>
          <w:sz w:val="18"/>
          <w:szCs w:val="18"/>
          <w:color w:val="auto"/>
        </w:rPr>
        <w:t>” A reconciliation of Adjusted EBITDA to the most directly comparable GAAP measure may be found under the heading “</w:t>
      </w:r>
      <w:r>
        <w:rPr>
          <w:rFonts w:ascii="Arial" w:cs="Arial" w:eastAsia="Arial" w:hAnsi="Arial"/>
          <w:sz w:val="18"/>
          <w:szCs w:val="18"/>
          <w:i w:val="1"/>
          <w:iCs w:val="1"/>
          <w:color w:val="auto"/>
        </w:rPr>
        <w:t>Additional Information – Use of Non-GAAP Financial Measures</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880" w:right="160" w:hanging="548"/>
        <w:spacing w:after="0" w:line="242"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amounts shown reflect the threshold and target amounts that each NEO was eligible to receive for 2022 based on achievement of the Adjusted EBITDA performance target established by the Compensation and Human Capital Committee. No maximum award was established. Actual payouts are reported in footnote 2 to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The material terms of the 2022 equity incentive awards are described above under “</w:t>
      </w:r>
      <w:r>
        <w:rPr>
          <w:rFonts w:ascii="Arial" w:cs="Arial" w:eastAsia="Arial" w:hAnsi="Arial"/>
          <w:sz w:val="18"/>
          <w:szCs w:val="18"/>
          <w:i w:val="1"/>
          <w:iCs w:val="1"/>
          <w:color w:val="auto"/>
        </w:rPr>
        <w:t>2022 Performance-Based Incentive Equity Awards.</w:t>
      </w:r>
      <w:r>
        <w:rPr>
          <w:rFonts w:ascii="Arial" w:cs="Arial" w:eastAsia="Arial" w:hAnsi="Arial"/>
          <w:sz w:val="18"/>
          <w:szCs w:val="18"/>
          <w:color w:val="auto"/>
        </w:rPr>
        <w:t>” A reconciliation of Adjusted EBITDA to the most directly comparable GAAP measure may be found under the heading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 Use of Non-GAAP Financial Measures</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880" w:right="80" w:hanging="548"/>
        <w:spacing w:after="0" w:line="271"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grant date fair value was determined by multiplying the closing price of the Company’s common stock on February 22, 2022 ($102.98) by the number of shares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282575" cy="2660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179" w:lineRule="exact"/>
        <w:rPr>
          <w:sz w:val="20"/>
          <w:szCs w:val="20"/>
          <w:color w:val="auto"/>
        </w:rPr>
      </w:pPr>
    </w:p>
    <w:p>
      <w:pPr>
        <w:ind w:left="240"/>
        <w:spacing w:after="0"/>
        <w:tabs>
          <w:tab w:leader="none" w:pos="660" w:val="left"/>
          <w:tab w:leader="none" w:pos="9320" w:val="left"/>
        </w:tabs>
        <w:rPr>
          <w:sz w:val="20"/>
          <w:szCs w:val="20"/>
          <w:color w:val="auto"/>
        </w:rPr>
      </w:pPr>
      <w:r>
        <w:rPr>
          <w:rFonts w:ascii="Arial" w:cs="Arial" w:eastAsia="Arial" w:hAnsi="Arial"/>
          <w:sz w:val="16"/>
          <w:szCs w:val="16"/>
          <w:color w:val="FFFFFF"/>
        </w:rPr>
        <w:t>68</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Executive Compensation</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Outstanding Equity Awards Table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contains information regarding outstanding equity awards held by each of our NEOs as of December 31, 2022:</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63"/>
        </w:trPr>
        <w:tc>
          <w:tcPr>
            <w:tcW w:w="24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40" w:type="dxa"/>
            <w:vAlign w:val="bottom"/>
            <w:tcBorders>
              <w:bottom w:val="single" w:sz="8" w:color="E5E5E5"/>
            </w:tcBorders>
            <w:shd w:val="clear" w:color="auto" w:fill="E5E5E5"/>
          </w:tcPr>
          <w:p>
            <w:pPr>
              <w:spacing w:after="0"/>
              <w:rPr>
                <w:sz w:val="22"/>
                <w:szCs w:val="22"/>
                <w:color w:val="auto"/>
              </w:rPr>
            </w:pPr>
          </w:p>
        </w:tc>
        <w:tc>
          <w:tcPr>
            <w:tcW w:w="1600" w:type="dxa"/>
            <w:vAlign w:val="bottom"/>
            <w:tcBorders>
              <w:bottom w:val="single" w:sz="8" w:color="002060"/>
            </w:tcBorders>
            <w:shd w:val="clear" w:color="auto" w:fill="E5E5E5"/>
          </w:tcPr>
          <w:p>
            <w:pPr>
              <w:spacing w:after="0"/>
              <w:rPr>
                <w:sz w:val="22"/>
                <w:szCs w:val="22"/>
                <w:color w:val="auto"/>
              </w:rPr>
            </w:pPr>
          </w:p>
        </w:tc>
        <w:tc>
          <w:tcPr>
            <w:tcW w:w="1100" w:type="dxa"/>
            <w:vAlign w:val="bottom"/>
            <w:tcBorders>
              <w:bottom w:val="single" w:sz="8" w:color="002060"/>
            </w:tcBorders>
            <w:shd w:val="clear" w:color="auto" w:fill="E5E5E5"/>
          </w:tcPr>
          <w:p>
            <w:pPr>
              <w:spacing w:after="0"/>
              <w:rPr>
                <w:sz w:val="22"/>
                <w:szCs w:val="22"/>
                <w:color w:val="auto"/>
              </w:rPr>
            </w:pPr>
          </w:p>
        </w:tc>
        <w:tc>
          <w:tcPr>
            <w:tcW w:w="1940" w:type="dxa"/>
            <w:vAlign w:val="bottom"/>
            <w:tcBorders>
              <w:bottom w:val="single" w:sz="8" w:color="002060"/>
            </w:tcBorders>
            <w:shd w:val="clear" w:color="auto" w:fill="E5E5E5"/>
          </w:tcPr>
          <w:p>
            <w:pPr>
              <w:jc w:val="right"/>
              <w:ind w:right="796"/>
              <w:spacing w:after="0"/>
              <w:rPr>
                <w:sz w:val="20"/>
                <w:szCs w:val="20"/>
                <w:color w:val="auto"/>
              </w:rPr>
            </w:pPr>
            <w:r>
              <w:rPr>
                <w:rFonts w:ascii="Arial" w:cs="Arial" w:eastAsia="Arial" w:hAnsi="Arial"/>
                <w:sz w:val="16"/>
                <w:szCs w:val="16"/>
                <w:b w:val="1"/>
                <w:bCs w:val="1"/>
                <w:color w:val="1F4E79"/>
                <w:w w:val="98"/>
              </w:rPr>
              <w:t>Stock Awards</w:t>
            </w:r>
          </w:p>
        </w:tc>
        <w:tc>
          <w:tcPr>
            <w:tcW w:w="1600" w:type="dxa"/>
            <w:vAlign w:val="bottom"/>
            <w:tcBorders>
              <w:bottom w:val="single" w:sz="8" w:color="002060"/>
            </w:tcBorders>
            <w:shd w:val="clear" w:color="auto" w:fill="E5E5E5"/>
          </w:tcPr>
          <w:p>
            <w:pPr>
              <w:spacing w:after="0"/>
              <w:rPr>
                <w:sz w:val="22"/>
                <w:szCs w:val="22"/>
                <w:color w:val="auto"/>
              </w:rPr>
            </w:pPr>
          </w:p>
        </w:tc>
      </w:tr>
      <w:tr>
        <w:trPr>
          <w:trHeight w:val="175"/>
        </w:trPr>
        <w:tc>
          <w:tcPr>
            <w:tcW w:w="2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shd w:val="clear" w:color="auto" w:fill="E5E5E5"/>
          </w:tcPr>
          <w:p>
            <w:pPr>
              <w:spacing w:after="0"/>
              <w:rPr>
                <w:sz w:val="15"/>
                <w:szCs w:val="15"/>
                <w:color w:val="auto"/>
              </w:rPr>
            </w:pPr>
          </w:p>
        </w:tc>
        <w:tc>
          <w:tcPr>
            <w:tcW w:w="160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940" w:type="dxa"/>
            <w:vAlign w:val="bottom"/>
            <w:shd w:val="clear" w:color="auto" w:fill="E5E5E5"/>
          </w:tcPr>
          <w:p>
            <w:pPr>
              <w:spacing w:after="0"/>
              <w:rPr>
                <w:sz w:val="15"/>
                <w:szCs w:val="15"/>
                <w:color w:val="auto"/>
              </w:rPr>
            </w:pPr>
          </w:p>
        </w:tc>
        <w:tc>
          <w:tcPr>
            <w:tcW w:w="1600" w:type="dxa"/>
            <w:vAlign w:val="bottom"/>
            <w:shd w:val="clear" w:color="auto" w:fill="E5E5E5"/>
          </w:tcPr>
          <w:p>
            <w:pPr>
              <w:jc w:val="right"/>
              <w:ind w:right="56"/>
              <w:spacing w:after="0" w:line="175" w:lineRule="exact"/>
              <w:rPr>
                <w:sz w:val="20"/>
                <w:szCs w:val="20"/>
                <w:color w:val="auto"/>
              </w:rPr>
            </w:pPr>
            <w:r>
              <w:rPr>
                <w:rFonts w:ascii="Arial" w:cs="Arial" w:eastAsia="Arial" w:hAnsi="Arial"/>
                <w:sz w:val="16"/>
                <w:szCs w:val="16"/>
                <w:b w:val="1"/>
                <w:bCs w:val="1"/>
                <w:color w:val="1F4E79"/>
              </w:rPr>
              <w:t>Equity Incentive</w:t>
            </w:r>
          </w:p>
        </w:tc>
      </w:tr>
      <w:tr>
        <w:trPr>
          <w:trHeight w:val="189"/>
        </w:trPr>
        <w:tc>
          <w:tcPr>
            <w:tcW w:w="2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shd w:val="clear" w:color="auto" w:fill="E5E5E5"/>
          </w:tcPr>
          <w:p>
            <w:pPr>
              <w:spacing w:after="0"/>
              <w:rPr>
                <w:sz w:val="16"/>
                <w:szCs w:val="16"/>
                <w:color w:val="auto"/>
              </w:rPr>
            </w:pPr>
          </w:p>
        </w:tc>
        <w:tc>
          <w:tcPr>
            <w:tcW w:w="160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1940" w:type="dxa"/>
            <w:vAlign w:val="bottom"/>
            <w:shd w:val="clear" w:color="auto" w:fill="E5E5E5"/>
          </w:tcPr>
          <w:p>
            <w:pPr>
              <w:jc w:val="center"/>
              <w:ind w:left="176"/>
              <w:spacing w:after="0"/>
              <w:rPr>
                <w:sz w:val="20"/>
                <w:szCs w:val="20"/>
                <w:color w:val="auto"/>
              </w:rPr>
            </w:pPr>
            <w:r>
              <w:rPr>
                <w:rFonts w:ascii="Arial" w:cs="Arial" w:eastAsia="Arial" w:hAnsi="Arial"/>
                <w:sz w:val="16"/>
                <w:szCs w:val="16"/>
                <w:b w:val="1"/>
                <w:bCs w:val="1"/>
                <w:color w:val="1F4E79"/>
              </w:rPr>
              <w:t>Equity Incentive</w:t>
            </w:r>
          </w:p>
        </w:tc>
        <w:tc>
          <w:tcPr>
            <w:tcW w:w="1600" w:type="dxa"/>
            <w:vAlign w:val="bottom"/>
            <w:shd w:val="clear" w:color="auto" w:fill="E5E5E5"/>
          </w:tcPr>
          <w:p>
            <w:pPr>
              <w:jc w:val="center"/>
              <w:ind w:left="96"/>
              <w:spacing w:after="0"/>
              <w:rPr>
                <w:sz w:val="20"/>
                <w:szCs w:val="20"/>
                <w:color w:val="auto"/>
              </w:rPr>
            </w:pPr>
            <w:r>
              <w:rPr>
                <w:rFonts w:ascii="Arial" w:cs="Arial" w:eastAsia="Arial" w:hAnsi="Arial"/>
                <w:sz w:val="16"/>
                <w:szCs w:val="16"/>
                <w:b w:val="1"/>
                <w:bCs w:val="1"/>
                <w:color w:val="1F4E79"/>
              </w:rPr>
              <w:t>Plan Awards:</w:t>
            </w:r>
          </w:p>
        </w:tc>
      </w:tr>
      <w:tr>
        <w:trPr>
          <w:trHeight w:val="189"/>
        </w:trPr>
        <w:tc>
          <w:tcPr>
            <w:tcW w:w="2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shd w:val="clear" w:color="auto" w:fill="E5E5E5"/>
          </w:tcPr>
          <w:p>
            <w:pPr>
              <w:spacing w:after="0"/>
              <w:rPr>
                <w:sz w:val="16"/>
                <w:szCs w:val="16"/>
                <w:color w:val="auto"/>
              </w:rPr>
            </w:pPr>
          </w:p>
        </w:tc>
        <w:tc>
          <w:tcPr>
            <w:tcW w:w="1600" w:type="dxa"/>
            <w:vAlign w:val="bottom"/>
            <w:shd w:val="clear" w:color="auto" w:fill="E5E5E5"/>
          </w:tcPr>
          <w:p>
            <w:pPr>
              <w:spacing w:after="0"/>
              <w:rPr>
                <w:sz w:val="16"/>
                <w:szCs w:val="16"/>
                <w:color w:val="auto"/>
              </w:rPr>
            </w:pPr>
          </w:p>
        </w:tc>
        <w:tc>
          <w:tcPr>
            <w:tcW w:w="1100" w:type="dxa"/>
            <w:vAlign w:val="bottom"/>
            <w:shd w:val="clear" w:color="auto" w:fill="E5E5E5"/>
          </w:tcPr>
          <w:p>
            <w:pPr>
              <w:jc w:val="center"/>
              <w:ind w:left="134"/>
              <w:spacing w:after="0"/>
              <w:rPr>
                <w:sz w:val="20"/>
                <w:szCs w:val="20"/>
                <w:color w:val="auto"/>
              </w:rPr>
            </w:pPr>
            <w:r>
              <w:rPr>
                <w:rFonts w:ascii="Arial" w:cs="Arial" w:eastAsia="Arial" w:hAnsi="Arial"/>
                <w:sz w:val="16"/>
                <w:szCs w:val="16"/>
                <w:b w:val="1"/>
                <w:bCs w:val="1"/>
                <w:color w:val="1F4E79"/>
              </w:rPr>
              <w:t>Market</w:t>
            </w:r>
          </w:p>
        </w:tc>
        <w:tc>
          <w:tcPr>
            <w:tcW w:w="1940" w:type="dxa"/>
            <w:vAlign w:val="bottom"/>
            <w:shd w:val="clear" w:color="auto" w:fill="E5E5E5"/>
          </w:tcPr>
          <w:p>
            <w:pPr>
              <w:jc w:val="center"/>
              <w:ind w:left="156"/>
              <w:spacing w:after="0"/>
              <w:rPr>
                <w:sz w:val="20"/>
                <w:szCs w:val="20"/>
                <w:color w:val="auto"/>
              </w:rPr>
            </w:pPr>
            <w:r>
              <w:rPr>
                <w:rFonts w:ascii="Arial" w:cs="Arial" w:eastAsia="Arial" w:hAnsi="Arial"/>
                <w:sz w:val="16"/>
                <w:szCs w:val="16"/>
                <w:b w:val="1"/>
                <w:bCs w:val="1"/>
                <w:color w:val="1F4E79"/>
              </w:rPr>
              <w:t>Plan Awards:</w:t>
            </w:r>
          </w:p>
        </w:tc>
        <w:tc>
          <w:tcPr>
            <w:tcW w:w="1600" w:type="dxa"/>
            <w:vAlign w:val="bottom"/>
            <w:shd w:val="clear" w:color="auto" w:fill="E5E5E5"/>
          </w:tcPr>
          <w:p>
            <w:pPr>
              <w:jc w:val="center"/>
              <w:ind w:left="116"/>
              <w:spacing w:after="0"/>
              <w:rPr>
                <w:sz w:val="20"/>
                <w:szCs w:val="20"/>
                <w:color w:val="auto"/>
              </w:rPr>
            </w:pPr>
            <w:r>
              <w:rPr>
                <w:rFonts w:ascii="Arial" w:cs="Arial" w:eastAsia="Arial" w:hAnsi="Arial"/>
                <w:sz w:val="16"/>
                <w:szCs w:val="16"/>
                <w:b w:val="1"/>
                <w:bCs w:val="1"/>
                <w:color w:val="1F4E79"/>
                <w:w w:val="99"/>
              </w:rPr>
              <w:t>Market or</w:t>
            </w:r>
          </w:p>
        </w:tc>
      </w:tr>
      <w:tr>
        <w:trPr>
          <w:trHeight w:val="189"/>
        </w:trPr>
        <w:tc>
          <w:tcPr>
            <w:tcW w:w="2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shd w:val="clear" w:color="auto" w:fill="E5E5E5"/>
          </w:tcPr>
          <w:p>
            <w:pPr>
              <w:spacing w:after="0"/>
              <w:rPr>
                <w:sz w:val="16"/>
                <w:szCs w:val="16"/>
                <w:color w:val="auto"/>
              </w:rPr>
            </w:pPr>
          </w:p>
        </w:tc>
        <w:tc>
          <w:tcPr>
            <w:tcW w:w="1600" w:type="dxa"/>
            <w:vAlign w:val="bottom"/>
            <w:shd w:val="clear" w:color="auto" w:fill="E5E5E5"/>
          </w:tcPr>
          <w:p>
            <w:pPr>
              <w:jc w:val="center"/>
              <w:ind w:left="173"/>
              <w:spacing w:after="0"/>
              <w:rPr>
                <w:sz w:val="20"/>
                <w:szCs w:val="20"/>
                <w:color w:val="auto"/>
              </w:rPr>
            </w:pPr>
            <w:r>
              <w:rPr>
                <w:rFonts w:ascii="Arial" w:cs="Arial" w:eastAsia="Arial" w:hAnsi="Arial"/>
                <w:sz w:val="16"/>
                <w:szCs w:val="16"/>
                <w:b w:val="1"/>
                <w:bCs w:val="1"/>
                <w:color w:val="1F4E79"/>
              </w:rPr>
              <w:t>Number of</w:t>
            </w:r>
          </w:p>
        </w:tc>
        <w:tc>
          <w:tcPr>
            <w:tcW w:w="1100" w:type="dxa"/>
            <w:vAlign w:val="bottom"/>
            <w:shd w:val="clear" w:color="auto" w:fill="E5E5E5"/>
          </w:tcPr>
          <w:p>
            <w:pPr>
              <w:jc w:val="center"/>
              <w:ind w:left="154"/>
              <w:spacing w:after="0"/>
              <w:rPr>
                <w:sz w:val="20"/>
                <w:szCs w:val="20"/>
                <w:color w:val="auto"/>
              </w:rPr>
            </w:pPr>
            <w:r>
              <w:rPr>
                <w:rFonts w:ascii="Arial" w:cs="Arial" w:eastAsia="Arial" w:hAnsi="Arial"/>
                <w:sz w:val="16"/>
                <w:szCs w:val="16"/>
                <w:b w:val="1"/>
                <w:bCs w:val="1"/>
                <w:color w:val="1F4E79"/>
                <w:w w:val="99"/>
              </w:rPr>
              <w:t>Value of</w:t>
            </w:r>
          </w:p>
        </w:tc>
        <w:tc>
          <w:tcPr>
            <w:tcW w:w="1940" w:type="dxa"/>
            <w:vAlign w:val="bottom"/>
            <w:shd w:val="clear" w:color="auto" w:fill="E5E5E5"/>
          </w:tcPr>
          <w:p>
            <w:pPr>
              <w:jc w:val="center"/>
              <w:ind w:left="176"/>
              <w:spacing w:after="0"/>
              <w:rPr>
                <w:sz w:val="20"/>
                <w:szCs w:val="20"/>
                <w:color w:val="auto"/>
              </w:rPr>
            </w:pPr>
            <w:r>
              <w:rPr>
                <w:rFonts w:ascii="Arial" w:cs="Arial" w:eastAsia="Arial" w:hAnsi="Arial"/>
                <w:sz w:val="16"/>
                <w:szCs w:val="16"/>
                <w:b w:val="1"/>
                <w:bCs w:val="1"/>
                <w:color w:val="1F4E79"/>
                <w:w w:val="99"/>
              </w:rPr>
              <w:t>Number of</w:t>
            </w:r>
          </w:p>
        </w:tc>
        <w:tc>
          <w:tcPr>
            <w:tcW w:w="1600" w:type="dxa"/>
            <w:vAlign w:val="bottom"/>
            <w:shd w:val="clear" w:color="auto" w:fill="E5E5E5"/>
          </w:tcPr>
          <w:p>
            <w:pPr>
              <w:jc w:val="right"/>
              <w:ind w:right="56"/>
              <w:spacing w:after="0"/>
              <w:rPr>
                <w:sz w:val="20"/>
                <w:szCs w:val="20"/>
                <w:color w:val="auto"/>
              </w:rPr>
            </w:pPr>
            <w:r>
              <w:rPr>
                <w:rFonts w:ascii="Arial" w:cs="Arial" w:eastAsia="Arial" w:hAnsi="Arial"/>
                <w:sz w:val="16"/>
                <w:szCs w:val="16"/>
                <w:b w:val="1"/>
                <w:bCs w:val="1"/>
                <w:color w:val="1F4E79"/>
              </w:rPr>
              <w:t>Payout Value of</w:t>
            </w:r>
          </w:p>
        </w:tc>
      </w:tr>
      <w:tr>
        <w:trPr>
          <w:trHeight w:val="189"/>
        </w:trPr>
        <w:tc>
          <w:tcPr>
            <w:tcW w:w="2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shd w:val="clear" w:color="auto" w:fill="E5E5E5"/>
          </w:tcPr>
          <w:p>
            <w:pPr>
              <w:spacing w:after="0"/>
              <w:rPr>
                <w:sz w:val="16"/>
                <w:szCs w:val="16"/>
                <w:color w:val="auto"/>
              </w:rPr>
            </w:pPr>
          </w:p>
        </w:tc>
        <w:tc>
          <w:tcPr>
            <w:tcW w:w="1600" w:type="dxa"/>
            <w:vAlign w:val="bottom"/>
            <w:shd w:val="clear" w:color="auto" w:fill="E5E5E5"/>
          </w:tcPr>
          <w:p>
            <w:pPr>
              <w:jc w:val="center"/>
              <w:ind w:left="173"/>
              <w:spacing w:after="0"/>
              <w:rPr>
                <w:sz w:val="20"/>
                <w:szCs w:val="20"/>
                <w:color w:val="auto"/>
              </w:rPr>
            </w:pPr>
            <w:r>
              <w:rPr>
                <w:rFonts w:ascii="Arial" w:cs="Arial" w:eastAsia="Arial" w:hAnsi="Arial"/>
                <w:sz w:val="16"/>
                <w:szCs w:val="16"/>
                <w:b w:val="1"/>
                <w:bCs w:val="1"/>
                <w:color w:val="1F4E79"/>
              </w:rPr>
              <w:t>Shares or</w:t>
            </w:r>
          </w:p>
        </w:tc>
        <w:tc>
          <w:tcPr>
            <w:tcW w:w="1100" w:type="dxa"/>
            <w:vAlign w:val="bottom"/>
            <w:shd w:val="clear" w:color="auto" w:fill="E5E5E5"/>
          </w:tcPr>
          <w:p>
            <w:pPr>
              <w:jc w:val="center"/>
              <w:ind w:left="134"/>
              <w:spacing w:after="0"/>
              <w:rPr>
                <w:sz w:val="20"/>
                <w:szCs w:val="20"/>
                <w:color w:val="auto"/>
              </w:rPr>
            </w:pPr>
            <w:r>
              <w:rPr>
                <w:rFonts w:ascii="Arial" w:cs="Arial" w:eastAsia="Arial" w:hAnsi="Arial"/>
                <w:sz w:val="16"/>
                <w:szCs w:val="16"/>
                <w:b w:val="1"/>
                <w:bCs w:val="1"/>
                <w:color w:val="1F4E79"/>
              </w:rPr>
              <w:t>Shares or</w:t>
            </w:r>
          </w:p>
        </w:tc>
        <w:tc>
          <w:tcPr>
            <w:tcW w:w="1940" w:type="dxa"/>
            <w:vAlign w:val="bottom"/>
            <w:shd w:val="clear" w:color="auto" w:fill="E5E5E5"/>
          </w:tcPr>
          <w:p>
            <w:pPr>
              <w:jc w:val="center"/>
              <w:ind w:left="156"/>
              <w:spacing w:after="0"/>
              <w:rPr>
                <w:sz w:val="20"/>
                <w:szCs w:val="20"/>
                <w:color w:val="auto"/>
              </w:rPr>
            </w:pPr>
            <w:r>
              <w:rPr>
                <w:rFonts w:ascii="Arial" w:cs="Arial" w:eastAsia="Arial" w:hAnsi="Arial"/>
                <w:sz w:val="16"/>
                <w:szCs w:val="16"/>
                <w:b w:val="1"/>
                <w:bCs w:val="1"/>
                <w:color w:val="1F4E79"/>
              </w:rPr>
              <w:t>Unearned</w:t>
            </w:r>
          </w:p>
        </w:tc>
        <w:tc>
          <w:tcPr>
            <w:tcW w:w="1600" w:type="dxa"/>
            <w:vAlign w:val="bottom"/>
            <w:shd w:val="clear" w:color="auto" w:fill="E5E5E5"/>
          </w:tcPr>
          <w:p>
            <w:pPr>
              <w:jc w:val="center"/>
              <w:ind w:left="116"/>
              <w:spacing w:after="0"/>
              <w:rPr>
                <w:sz w:val="20"/>
                <w:szCs w:val="20"/>
                <w:color w:val="auto"/>
              </w:rPr>
            </w:pPr>
            <w:r>
              <w:rPr>
                <w:rFonts w:ascii="Arial" w:cs="Arial" w:eastAsia="Arial" w:hAnsi="Arial"/>
                <w:sz w:val="16"/>
                <w:szCs w:val="16"/>
                <w:b w:val="1"/>
                <w:bCs w:val="1"/>
                <w:color w:val="1F4E79"/>
              </w:rPr>
              <w:t>Unearned</w:t>
            </w:r>
          </w:p>
        </w:tc>
      </w:tr>
      <w:tr>
        <w:trPr>
          <w:trHeight w:val="189"/>
        </w:trPr>
        <w:tc>
          <w:tcPr>
            <w:tcW w:w="2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shd w:val="clear" w:color="auto" w:fill="E5E5E5"/>
          </w:tcPr>
          <w:p>
            <w:pPr>
              <w:spacing w:after="0"/>
              <w:rPr>
                <w:sz w:val="16"/>
                <w:szCs w:val="16"/>
                <w:color w:val="auto"/>
              </w:rPr>
            </w:pPr>
          </w:p>
        </w:tc>
        <w:tc>
          <w:tcPr>
            <w:tcW w:w="1600" w:type="dxa"/>
            <w:vAlign w:val="bottom"/>
            <w:shd w:val="clear" w:color="auto" w:fill="E5E5E5"/>
          </w:tcPr>
          <w:p>
            <w:pPr>
              <w:jc w:val="center"/>
              <w:ind w:left="193"/>
              <w:spacing w:after="0"/>
              <w:rPr>
                <w:sz w:val="20"/>
                <w:szCs w:val="20"/>
                <w:color w:val="auto"/>
              </w:rPr>
            </w:pPr>
            <w:r>
              <w:rPr>
                <w:rFonts w:ascii="Arial" w:cs="Arial" w:eastAsia="Arial" w:hAnsi="Arial"/>
                <w:sz w:val="16"/>
                <w:szCs w:val="16"/>
                <w:b w:val="1"/>
                <w:bCs w:val="1"/>
                <w:color w:val="1F4E79"/>
              </w:rPr>
              <w:t>Units of</w:t>
            </w:r>
          </w:p>
        </w:tc>
        <w:tc>
          <w:tcPr>
            <w:tcW w:w="1100" w:type="dxa"/>
            <w:vAlign w:val="bottom"/>
            <w:shd w:val="clear" w:color="auto" w:fill="E5E5E5"/>
          </w:tcPr>
          <w:p>
            <w:pPr>
              <w:jc w:val="center"/>
              <w:ind w:left="134"/>
              <w:spacing w:after="0"/>
              <w:rPr>
                <w:sz w:val="20"/>
                <w:szCs w:val="20"/>
                <w:color w:val="auto"/>
              </w:rPr>
            </w:pPr>
            <w:r>
              <w:rPr>
                <w:rFonts w:ascii="Arial" w:cs="Arial" w:eastAsia="Arial" w:hAnsi="Arial"/>
                <w:sz w:val="16"/>
                <w:szCs w:val="16"/>
                <w:b w:val="1"/>
                <w:bCs w:val="1"/>
                <w:color w:val="1F4E79"/>
              </w:rPr>
              <w:t>Units of</w:t>
            </w:r>
          </w:p>
        </w:tc>
        <w:tc>
          <w:tcPr>
            <w:tcW w:w="1940" w:type="dxa"/>
            <w:vAlign w:val="bottom"/>
            <w:shd w:val="clear" w:color="auto" w:fill="E5E5E5"/>
          </w:tcPr>
          <w:p>
            <w:pPr>
              <w:jc w:val="center"/>
              <w:ind w:left="176"/>
              <w:spacing w:after="0"/>
              <w:rPr>
                <w:sz w:val="20"/>
                <w:szCs w:val="20"/>
                <w:color w:val="auto"/>
              </w:rPr>
            </w:pPr>
            <w:r>
              <w:rPr>
                <w:rFonts w:ascii="Arial" w:cs="Arial" w:eastAsia="Arial" w:hAnsi="Arial"/>
                <w:sz w:val="16"/>
                <w:szCs w:val="16"/>
                <w:b w:val="1"/>
                <w:bCs w:val="1"/>
                <w:color w:val="1F4E79"/>
              </w:rPr>
              <w:t>Shares or Units</w:t>
            </w:r>
          </w:p>
        </w:tc>
        <w:tc>
          <w:tcPr>
            <w:tcW w:w="1600" w:type="dxa"/>
            <w:vAlign w:val="bottom"/>
            <w:shd w:val="clear" w:color="auto" w:fill="E5E5E5"/>
          </w:tcPr>
          <w:p>
            <w:pPr>
              <w:jc w:val="center"/>
              <w:ind w:left="116"/>
              <w:spacing w:after="0"/>
              <w:rPr>
                <w:sz w:val="20"/>
                <w:szCs w:val="20"/>
                <w:color w:val="auto"/>
              </w:rPr>
            </w:pPr>
            <w:r>
              <w:rPr>
                <w:rFonts w:ascii="Arial" w:cs="Arial" w:eastAsia="Arial" w:hAnsi="Arial"/>
                <w:sz w:val="16"/>
                <w:szCs w:val="16"/>
                <w:b w:val="1"/>
                <w:bCs w:val="1"/>
                <w:color w:val="1F4E79"/>
              </w:rPr>
              <w:t>Shares or Units</w:t>
            </w:r>
          </w:p>
        </w:tc>
      </w:tr>
      <w:tr>
        <w:trPr>
          <w:trHeight w:val="189"/>
        </w:trPr>
        <w:tc>
          <w:tcPr>
            <w:tcW w:w="2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shd w:val="clear" w:color="auto" w:fill="E5E5E5"/>
          </w:tcPr>
          <w:p>
            <w:pPr>
              <w:spacing w:after="0"/>
              <w:rPr>
                <w:sz w:val="16"/>
                <w:szCs w:val="16"/>
                <w:color w:val="auto"/>
              </w:rPr>
            </w:pPr>
          </w:p>
        </w:tc>
        <w:tc>
          <w:tcPr>
            <w:tcW w:w="1600" w:type="dxa"/>
            <w:vAlign w:val="bottom"/>
            <w:shd w:val="clear" w:color="auto" w:fill="E5E5E5"/>
          </w:tcPr>
          <w:p>
            <w:pPr>
              <w:jc w:val="center"/>
              <w:ind w:left="173"/>
              <w:spacing w:after="0"/>
              <w:rPr>
                <w:sz w:val="20"/>
                <w:szCs w:val="20"/>
                <w:color w:val="auto"/>
              </w:rPr>
            </w:pPr>
            <w:r>
              <w:rPr>
                <w:rFonts w:ascii="Arial" w:cs="Arial" w:eastAsia="Arial" w:hAnsi="Arial"/>
                <w:sz w:val="16"/>
                <w:szCs w:val="16"/>
                <w:b w:val="1"/>
                <w:bCs w:val="1"/>
                <w:color w:val="1F4E79"/>
              </w:rPr>
              <w:t>Stock that</w:t>
            </w:r>
          </w:p>
        </w:tc>
        <w:tc>
          <w:tcPr>
            <w:tcW w:w="1100" w:type="dxa"/>
            <w:vAlign w:val="bottom"/>
            <w:shd w:val="clear" w:color="auto" w:fill="E5E5E5"/>
          </w:tcPr>
          <w:p>
            <w:pPr>
              <w:jc w:val="center"/>
              <w:ind w:left="154"/>
              <w:spacing w:after="0"/>
              <w:rPr>
                <w:sz w:val="20"/>
                <w:szCs w:val="20"/>
                <w:color w:val="auto"/>
              </w:rPr>
            </w:pPr>
            <w:r>
              <w:rPr>
                <w:rFonts w:ascii="Arial" w:cs="Arial" w:eastAsia="Arial" w:hAnsi="Arial"/>
                <w:sz w:val="16"/>
                <w:szCs w:val="16"/>
                <w:b w:val="1"/>
                <w:bCs w:val="1"/>
                <w:color w:val="1F4E79"/>
              </w:rPr>
              <w:t>Stock that</w:t>
            </w:r>
          </w:p>
        </w:tc>
        <w:tc>
          <w:tcPr>
            <w:tcW w:w="1940" w:type="dxa"/>
            <w:vAlign w:val="bottom"/>
            <w:shd w:val="clear" w:color="auto" w:fill="E5E5E5"/>
          </w:tcPr>
          <w:p>
            <w:pPr>
              <w:jc w:val="center"/>
              <w:ind w:left="156"/>
              <w:spacing w:after="0"/>
              <w:rPr>
                <w:sz w:val="20"/>
                <w:szCs w:val="20"/>
                <w:color w:val="auto"/>
              </w:rPr>
            </w:pPr>
            <w:r>
              <w:rPr>
                <w:rFonts w:ascii="Arial" w:cs="Arial" w:eastAsia="Arial" w:hAnsi="Arial"/>
                <w:sz w:val="16"/>
                <w:szCs w:val="16"/>
                <w:b w:val="1"/>
                <w:bCs w:val="1"/>
                <w:color w:val="1F4E79"/>
              </w:rPr>
              <w:t>of Stock that</w:t>
            </w:r>
          </w:p>
        </w:tc>
        <w:tc>
          <w:tcPr>
            <w:tcW w:w="1600" w:type="dxa"/>
            <w:vAlign w:val="bottom"/>
            <w:shd w:val="clear" w:color="auto" w:fill="E5E5E5"/>
          </w:tcPr>
          <w:p>
            <w:pPr>
              <w:jc w:val="center"/>
              <w:ind w:left="96"/>
              <w:spacing w:after="0"/>
              <w:rPr>
                <w:sz w:val="20"/>
                <w:szCs w:val="20"/>
                <w:color w:val="auto"/>
              </w:rPr>
            </w:pPr>
            <w:r>
              <w:rPr>
                <w:rFonts w:ascii="Arial" w:cs="Arial" w:eastAsia="Arial" w:hAnsi="Arial"/>
                <w:sz w:val="16"/>
                <w:szCs w:val="16"/>
                <w:b w:val="1"/>
                <w:bCs w:val="1"/>
                <w:color w:val="1F4E79"/>
              </w:rPr>
              <w:t>of Stock that</w:t>
            </w:r>
          </w:p>
        </w:tc>
      </w:tr>
      <w:tr>
        <w:trPr>
          <w:trHeight w:val="189"/>
        </w:trPr>
        <w:tc>
          <w:tcPr>
            <w:tcW w:w="2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shd w:val="clear" w:color="auto" w:fill="E5E5E5"/>
          </w:tcPr>
          <w:p>
            <w:pPr>
              <w:spacing w:after="0"/>
              <w:rPr>
                <w:sz w:val="16"/>
                <w:szCs w:val="16"/>
                <w:color w:val="auto"/>
              </w:rPr>
            </w:pPr>
          </w:p>
        </w:tc>
        <w:tc>
          <w:tcPr>
            <w:tcW w:w="1600" w:type="dxa"/>
            <w:vAlign w:val="bottom"/>
            <w:shd w:val="clear" w:color="auto" w:fill="E5E5E5"/>
          </w:tcPr>
          <w:p>
            <w:pPr>
              <w:jc w:val="center"/>
              <w:ind w:left="173"/>
              <w:spacing w:after="0"/>
              <w:rPr>
                <w:sz w:val="20"/>
                <w:szCs w:val="20"/>
                <w:color w:val="auto"/>
              </w:rPr>
            </w:pPr>
            <w:r>
              <w:rPr>
                <w:rFonts w:ascii="Arial" w:cs="Arial" w:eastAsia="Arial" w:hAnsi="Arial"/>
                <w:sz w:val="16"/>
                <w:szCs w:val="16"/>
                <w:b w:val="1"/>
                <w:bCs w:val="1"/>
                <w:color w:val="1F4E79"/>
              </w:rPr>
              <w:t>Have Not</w:t>
            </w:r>
          </w:p>
        </w:tc>
        <w:tc>
          <w:tcPr>
            <w:tcW w:w="1100" w:type="dxa"/>
            <w:vAlign w:val="bottom"/>
            <w:shd w:val="clear" w:color="auto" w:fill="E5E5E5"/>
          </w:tcPr>
          <w:p>
            <w:pPr>
              <w:jc w:val="center"/>
              <w:ind w:left="154"/>
              <w:spacing w:after="0"/>
              <w:rPr>
                <w:sz w:val="20"/>
                <w:szCs w:val="20"/>
                <w:color w:val="auto"/>
              </w:rPr>
            </w:pPr>
            <w:r>
              <w:rPr>
                <w:rFonts w:ascii="Arial" w:cs="Arial" w:eastAsia="Arial" w:hAnsi="Arial"/>
                <w:sz w:val="16"/>
                <w:szCs w:val="16"/>
                <w:b w:val="1"/>
                <w:bCs w:val="1"/>
                <w:color w:val="1F4E79"/>
              </w:rPr>
              <w:t>Have Not</w:t>
            </w:r>
          </w:p>
        </w:tc>
        <w:tc>
          <w:tcPr>
            <w:tcW w:w="1940" w:type="dxa"/>
            <w:vAlign w:val="bottom"/>
            <w:shd w:val="clear" w:color="auto" w:fill="E5E5E5"/>
          </w:tcPr>
          <w:p>
            <w:pPr>
              <w:jc w:val="center"/>
              <w:ind w:left="156"/>
              <w:spacing w:after="0"/>
              <w:rPr>
                <w:sz w:val="20"/>
                <w:szCs w:val="20"/>
                <w:color w:val="auto"/>
              </w:rPr>
            </w:pPr>
            <w:r>
              <w:rPr>
                <w:rFonts w:ascii="Arial" w:cs="Arial" w:eastAsia="Arial" w:hAnsi="Arial"/>
                <w:sz w:val="16"/>
                <w:szCs w:val="16"/>
                <w:b w:val="1"/>
                <w:bCs w:val="1"/>
                <w:color w:val="1F4E79"/>
              </w:rPr>
              <w:t>Have Not</w:t>
            </w:r>
          </w:p>
        </w:tc>
        <w:tc>
          <w:tcPr>
            <w:tcW w:w="1600" w:type="dxa"/>
            <w:vAlign w:val="bottom"/>
            <w:shd w:val="clear" w:color="auto" w:fill="E5E5E5"/>
          </w:tcPr>
          <w:p>
            <w:pPr>
              <w:jc w:val="center"/>
              <w:ind w:left="96"/>
              <w:spacing w:after="0"/>
              <w:rPr>
                <w:sz w:val="20"/>
                <w:szCs w:val="20"/>
                <w:color w:val="auto"/>
              </w:rPr>
            </w:pPr>
            <w:r>
              <w:rPr>
                <w:rFonts w:ascii="Arial" w:cs="Arial" w:eastAsia="Arial" w:hAnsi="Arial"/>
                <w:sz w:val="16"/>
                <w:szCs w:val="16"/>
                <w:b w:val="1"/>
                <w:bCs w:val="1"/>
                <w:color w:val="1F4E79"/>
              </w:rPr>
              <w:t>Have Not</w:t>
            </w:r>
          </w:p>
        </w:tc>
      </w:tr>
      <w:tr>
        <w:trPr>
          <w:trHeight w:val="189"/>
        </w:trPr>
        <w:tc>
          <w:tcPr>
            <w:tcW w:w="2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shd w:val="clear" w:color="auto" w:fill="E5E5E5"/>
          </w:tcPr>
          <w:p>
            <w:pPr>
              <w:spacing w:after="0"/>
              <w:rPr>
                <w:sz w:val="16"/>
                <w:szCs w:val="16"/>
                <w:color w:val="auto"/>
              </w:rPr>
            </w:pPr>
          </w:p>
        </w:tc>
        <w:tc>
          <w:tcPr>
            <w:tcW w:w="1600" w:type="dxa"/>
            <w:vAlign w:val="bottom"/>
            <w:shd w:val="clear" w:color="auto" w:fill="E5E5E5"/>
          </w:tcPr>
          <w:p>
            <w:pPr>
              <w:jc w:val="center"/>
              <w:ind w:left="193"/>
              <w:spacing w:after="0"/>
              <w:rPr>
                <w:sz w:val="20"/>
                <w:szCs w:val="20"/>
                <w:color w:val="auto"/>
              </w:rPr>
            </w:pPr>
            <w:r>
              <w:rPr>
                <w:rFonts w:ascii="Arial" w:cs="Arial" w:eastAsia="Arial" w:hAnsi="Arial"/>
                <w:sz w:val="16"/>
                <w:szCs w:val="16"/>
                <w:b w:val="1"/>
                <w:bCs w:val="1"/>
                <w:color w:val="1F4E79"/>
                <w:w w:val="99"/>
              </w:rPr>
              <w:t>Vested</w:t>
            </w:r>
          </w:p>
        </w:tc>
        <w:tc>
          <w:tcPr>
            <w:tcW w:w="1100" w:type="dxa"/>
            <w:vAlign w:val="bottom"/>
            <w:shd w:val="clear" w:color="auto" w:fill="E5E5E5"/>
          </w:tcPr>
          <w:p>
            <w:pPr>
              <w:jc w:val="center"/>
              <w:ind w:left="134"/>
              <w:spacing w:after="0"/>
              <w:rPr>
                <w:sz w:val="20"/>
                <w:szCs w:val="20"/>
                <w:color w:val="auto"/>
              </w:rPr>
            </w:pPr>
            <w:r>
              <w:rPr>
                <w:rFonts w:ascii="Arial" w:cs="Arial" w:eastAsia="Arial" w:hAnsi="Arial"/>
                <w:sz w:val="16"/>
                <w:szCs w:val="16"/>
                <w:b w:val="1"/>
                <w:bCs w:val="1"/>
                <w:color w:val="1F4E79"/>
                <w:w w:val="99"/>
              </w:rPr>
              <w:t>Vested</w:t>
            </w:r>
          </w:p>
        </w:tc>
        <w:tc>
          <w:tcPr>
            <w:tcW w:w="1940" w:type="dxa"/>
            <w:vAlign w:val="bottom"/>
            <w:shd w:val="clear" w:color="auto" w:fill="E5E5E5"/>
          </w:tcPr>
          <w:p>
            <w:pPr>
              <w:jc w:val="center"/>
              <w:ind w:left="176"/>
              <w:spacing w:after="0"/>
              <w:rPr>
                <w:sz w:val="20"/>
                <w:szCs w:val="20"/>
                <w:color w:val="auto"/>
              </w:rPr>
            </w:pPr>
            <w:r>
              <w:rPr>
                <w:rFonts w:ascii="Arial" w:cs="Arial" w:eastAsia="Arial" w:hAnsi="Arial"/>
                <w:sz w:val="16"/>
                <w:szCs w:val="16"/>
                <w:b w:val="1"/>
                <w:bCs w:val="1"/>
                <w:color w:val="1F4E79"/>
                <w:w w:val="99"/>
              </w:rPr>
              <w:t>Vested</w:t>
            </w:r>
          </w:p>
        </w:tc>
        <w:tc>
          <w:tcPr>
            <w:tcW w:w="1600" w:type="dxa"/>
            <w:vAlign w:val="bottom"/>
            <w:shd w:val="clear" w:color="auto" w:fill="E5E5E5"/>
          </w:tcPr>
          <w:p>
            <w:pPr>
              <w:jc w:val="center"/>
              <w:ind w:left="116"/>
              <w:spacing w:after="0"/>
              <w:rPr>
                <w:sz w:val="20"/>
                <w:szCs w:val="20"/>
                <w:color w:val="auto"/>
              </w:rPr>
            </w:pPr>
            <w:r>
              <w:rPr>
                <w:rFonts w:ascii="Arial" w:cs="Arial" w:eastAsia="Arial" w:hAnsi="Arial"/>
                <w:sz w:val="16"/>
                <w:szCs w:val="16"/>
                <w:b w:val="1"/>
                <w:bCs w:val="1"/>
                <w:color w:val="1F4E79"/>
                <w:w w:val="99"/>
              </w:rPr>
              <w:t>Vested</w:t>
            </w:r>
          </w:p>
        </w:tc>
      </w:tr>
      <w:tr>
        <w:trPr>
          <w:trHeight w:val="264"/>
        </w:trPr>
        <w:tc>
          <w:tcPr>
            <w:tcW w:w="2460" w:type="dxa"/>
            <w:vAlign w:val="bottom"/>
          </w:tcPr>
          <w:p>
            <w:pPr>
              <w:spacing w:after="0"/>
              <w:rPr>
                <w:sz w:val="20"/>
                <w:szCs w:val="20"/>
                <w:color w:val="auto"/>
              </w:rPr>
            </w:pPr>
            <w:r>
              <w:rPr>
                <w:rFonts w:ascii="Arial" w:cs="Arial" w:eastAsia="Arial" w:hAnsi="Arial"/>
                <w:sz w:val="16"/>
                <w:szCs w:val="16"/>
                <w:b w:val="1"/>
                <w:bCs w:val="1"/>
                <w:color w:val="1F4E79"/>
              </w:rPr>
              <w:t>Name</w:t>
            </w:r>
          </w:p>
        </w:tc>
        <w:tc>
          <w:tcPr>
            <w:tcW w:w="1080" w:type="dxa"/>
            <w:vAlign w:val="bottom"/>
          </w:tcPr>
          <w:p>
            <w:pPr>
              <w:spacing w:after="0"/>
              <w:rPr>
                <w:sz w:val="22"/>
                <w:szCs w:val="22"/>
                <w:color w:val="auto"/>
              </w:rPr>
            </w:pPr>
          </w:p>
        </w:tc>
        <w:tc>
          <w:tcPr>
            <w:tcW w:w="1240" w:type="dxa"/>
            <w:vAlign w:val="bottom"/>
            <w:tcBorders>
              <w:bottom w:val="single" w:sz="8" w:color="E5E5E5"/>
            </w:tcBorders>
            <w:shd w:val="clear" w:color="auto" w:fill="E5E5E5"/>
          </w:tcPr>
          <w:p>
            <w:pPr>
              <w:jc w:val="right"/>
              <w:ind w:right="51"/>
              <w:spacing w:after="0"/>
              <w:rPr>
                <w:sz w:val="20"/>
                <w:szCs w:val="20"/>
                <w:color w:val="auto"/>
              </w:rPr>
            </w:pPr>
            <w:r>
              <w:rPr>
                <w:rFonts w:ascii="Arial" w:cs="Arial" w:eastAsia="Arial" w:hAnsi="Arial"/>
                <w:sz w:val="16"/>
                <w:szCs w:val="16"/>
                <w:b w:val="1"/>
                <w:bCs w:val="1"/>
                <w:color w:val="1F4E79"/>
              </w:rPr>
              <w:t>Grant Date</w:t>
            </w:r>
          </w:p>
        </w:tc>
        <w:tc>
          <w:tcPr>
            <w:tcW w:w="1600" w:type="dxa"/>
            <w:vAlign w:val="bottom"/>
            <w:tcBorders>
              <w:bottom w:val="single" w:sz="8" w:color="E5E5E5"/>
            </w:tcBorders>
            <w:shd w:val="clear" w:color="auto" w:fill="E5E5E5"/>
          </w:tcPr>
          <w:p>
            <w:pPr>
              <w:jc w:val="center"/>
              <w:ind w:left="193"/>
              <w:spacing w:after="0"/>
              <w:rPr>
                <w:sz w:val="20"/>
                <w:szCs w:val="20"/>
                <w:color w:val="auto"/>
              </w:rPr>
            </w:pPr>
            <w:r>
              <w:rPr>
                <w:rFonts w:ascii="Arial" w:cs="Arial" w:eastAsia="Arial" w:hAnsi="Arial"/>
                <w:sz w:val="16"/>
                <w:szCs w:val="16"/>
                <w:b w:val="1"/>
                <w:bCs w:val="1"/>
                <w:color w:val="1F4E79"/>
              </w:rPr>
              <w:t>(#)</w:t>
            </w:r>
          </w:p>
        </w:tc>
        <w:tc>
          <w:tcPr>
            <w:tcW w:w="1100" w:type="dxa"/>
            <w:vAlign w:val="bottom"/>
            <w:tcBorders>
              <w:bottom w:val="single" w:sz="8" w:color="E5E5E5"/>
            </w:tcBorders>
            <w:shd w:val="clear" w:color="auto" w:fill="E5E5E5"/>
          </w:tcPr>
          <w:p>
            <w:pPr>
              <w:jc w:val="center"/>
              <w:ind w:left="134"/>
              <w:spacing w:after="0"/>
              <w:rPr>
                <w:sz w:val="20"/>
                <w:szCs w:val="20"/>
                <w:color w:val="auto"/>
              </w:rPr>
            </w:pPr>
            <w:r>
              <w:rPr>
                <w:rFonts w:ascii="Arial" w:cs="Arial" w:eastAsia="Arial" w:hAnsi="Arial"/>
                <w:sz w:val="16"/>
                <w:szCs w:val="16"/>
                <w:b w:val="1"/>
                <w:bCs w:val="1"/>
                <w:color w:val="1F4E79"/>
              </w:rPr>
              <w:t>($)(1)</w:t>
            </w:r>
          </w:p>
        </w:tc>
        <w:tc>
          <w:tcPr>
            <w:tcW w:w="1940" w:type="dxa"/>
            <w:vAlign w:val="bottom"/>
            <w:tcBorders>
              <w:bottom w:val="single" w:sz="8" w:color="E5E5E5"/>
            </w:tcBorders>
            <w:shd w:val="clear" w:color="auto" w:fill="E5E5E5"/>
          </w:tcPr>
          <w:p>
            <w:pPr>
              <w:jc w:val="center"/>
              <w:ind w:left="176"/>
              <w:spacing w:after="0"/>
              <w:rPr>
                <w:sz w:val="20"/>
                <w:szCs w:val="20"/>
                <w:color w:val="auto"/>
              </w:rPr>
            </w:pPr>
            <w:r>
              <w:rPr>
                <w:rFonts w:ascii="Arial" w:cs="Arial" w:eastAsia="Arial" w:hAnsi="Arial"/>
                <w:sz w:val="16"/>
                <w:szCs w:val="16"/>
                <w:b w:val="1"/>
                <w:bCs w:val="1"/>
                <w:color w:val="1F4E79"/>
              </w:rPr>
              <w:t>(#)</w:t>
            </w:r>
          </w:p>
        </w:tc>
        <w:tc>
          <w:tcPr>
            <w:tcW w:w="1600" w:type="dxa"/>
            <w:vAlign w:val="bottom"/>
            <w:tcBorders>
              <w:bottom w:val="single" w:sz="8" w:color="E5E5E5"/>
            </w:tcBorders>
            <w:shd w:val="clear" w:color="auto" w:fill="E5E5E5"/>
          </w:tcPr>
          <w:p>
            <w:pPr>
              <w:jc w:val="center"/>
              <w:ind w:left="116"/>
              <w:spacing w:after="0"/>
              <w:rPr>
                <w:sz w:val="20"/>
                <w:szCs w:val="20"/>
                <w:color w:val="auto"/>
              </w:rPr>
            </w:pPr>
            <w:r>
              <w:rPr>
                <w:rFonts w:ascii="Arial" w:cs="Arial" w:eastAsia="Arial" w:hAnsi="Arial"/>
                <w:sz w:val="16"/>
                <w:szCs w:val="16"/>
                <w:b w:val="1"/>
                <w:bCs w:val="1"/>
                <w:color w:val="1F4E79"/>
              </w:rPr>
              <w:t>(#)(1)</w:t>
            </w:r>
          </w:p>
        </w:tc>
      </w:tr>
      <w:tr>
        <w:trPr>
          <w:trHeight w:val="239"/>
        </w:trPr>
        <w:tc>
          <w:tcPr>
            <w:tcW w:w="2460" w:type="dxa"/>
            <w:vAlign w:val="bottom"/>
            <w:tcBorders>
              <w:top w:val="single" w:sz="8" w:color="002060"/>
            </w:tcBorders>
          </w:tcPr>
          <w:p>
            <w:pPr>
              <w:ind w:left="80"/>
              <w:spacing w:after="0"/>
              <w:rPr>
                <w:sz w:val="20"/>
                <w:szCs w:val="20"/>
                <w:color w:val="auto"/>
              </w:rPr>
            </w:pPr>
            <w:r>
              <w:rPr>
                <w:rFonts w:ascii="Arial" w:cs="Arial" w:eastAsia="Arial" w:hAnsi="Arial"/>
                <w:sz w:val="18"/>
                <w:szCs w:val="18"/>
                <w:color w:val="auto"/>
              </w:rPr>
              <w:t>Jeffrey W. Edwards</w:t>
            </w:r>
          </w:p>
        </w:tc>
        <w:tc>
          <w:tcPr>
            <w:tcW w:w="1080" w:type="dxa"/>
            <w:vAlign w:val="bottom"/>
            <w:tcBorders>
              <w:top w:val="single" w:sz="8" w:color="002060"/>
            </w:tcBorders>
          </w:tcPr>
          <w:p>
            <w:pPr>
              <w:jc w:val="right"/>
              <w:ind w:right="10"/>
              <w:spacing w:after="0"/>
              <w:rPr>
                <w:sz w:val="20"/>
                <w:szCs w:val="20"/>
                <w:color w:val="auto"/>
              </w:rPr>
            </w:pPr>
            <w:r>
              <w:rPr>
                <w:rFonts w:ascii="Arial" w:cs="Arial" w:eastAsia="Arial" w:hAnsi="Arial"/>
                <w:sz w:val="18"/>
                <w:szCs w:val="18"/>
                <w:color w:val="auto"/>
              </w:rPr>
              <w:t>(2)</w:t>
            </w:r>
          </w:p>
        </w:tc>
        <w:tc>
          <w:tcPr>
            <w:tcW w:w="1240" w:type="dxa"/>
            <w:vAlign w:val="bottom"/>
            <w:tcBorders>
              <w:top w:val="single" w:sz="8" w:color="002060"/>
            </w:tcBorders>
            <w:shd w:val="clear" w:color="auto" w:fill="E5E5E5"/>
          </w:tcPr>
          <w:p>
            <w:pPr>
              <w:jc w:val="right"/>
              <w:ind w:right="11"/>
              <w:spacing w:after="0"/>
              <w:rPr>
                <w:sz w:val="20"/>
                <w:szCs w:val="20"/>
                <w:color w:val="auto"/>
              </w:rPr>
            </w:pPr>
            <w:r>
              <w:rPr>
                <w:rFonts w:ascii="Arial" w:cs="Arial" w:eastAsia="Arial" w:hAnsi="Arial"/>
                <w:sz w:val="18"/>
                <w:szCs w:val="18"/>
                <w:color w:val="auto"/>
              </w:rPr>
              <w:t>2/19/2020</w:t>
            </w:r>
          </w:p>
        </w:tc>
        <w:tc>
          <w:tcPr>
            <w:tcW w:w="1600" w:type="dxa"/>
            <w:vAlign w:val="bottom"/>
            <w:tcBorders>
              <w:top w:val="single" w:sz="8" w:color="002060"/>
            </w:tcBorders>
            <w:shd w:val="clear" w:color="auto" w:fill="E5E5E5"/>
          </w:tcPr>
          <w:p>
            <w:pPr>
              <w:jc w:val="right"/>
              <w:ind w:right="273"/>
              <w:spacing w:after="0"/>
              <w:rPr>
                <w:sz w:val="20"/>
                <w:szCs w:val="20"/>
                <w:color w:val="auto"/>
              </w:rPr>
            </w:pPr>
            <w:r>
              <w:rPr>
                <w:rFonts w:ascii="Arial" w:cs="Arial" w:eastAsia="Arial" w:hAnsi="Arial"/>
                <w:sz w:val="18"/>
                <w:szCs w:val="18"/>
                <w:color w:val="auto"/>
              </w:rPr>
              <w:t>16,192</w:t>
            </w:r>
          </w:p>
        </w:tc>
        <w:tc>
          <w:tcPr>
            <w:tcW w:w="1100" w:type="dxa"/>
            <w:vAlign w:val="bottom"/>
            <w:tcBorders>
              <w:top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1,386,035</w:t>
            </w:r>
          </w:p>
        </w:tc>
        <w:tc>
          <w:tcPr>
            <w:tcW w:w="1940" w:type="dxa"/>
            <w:vAlign w:val="bottom"/>
            <w:tcBorders>
              <w:top w:val="single" w:sz="8" w:color="002060"/>
            </w:tcBorders>
            <w:shd w:val="clear" w:color="auto" w:fill="E5E5E5"/>
          </w:tcPr>
          <w:p>
            <w:pPr>
              <w:spacing w:after="0"/>
              <w:rPr>
                <w:sz w:val="20"/>
                <w:szCs w:val="20"/>
                <w:color w:val="auto"/>
              </w:rPr>
            </w:pPr>
          </w:p>
        </w:tc>
        <w:tc>
          <w:tcPr>
            <w:tcW w:w="1600" w:type="dxa"/>
            <w:vAlign w:val="bottom"/>
            <w:tcBorders>
              <w:top w:val="single" w:sz="8" w:color="002060"/>
            </w:tcBorders>
            <w:shd w:val="clear" w:color="auto" w:fill="E5E5E5"/>
          </w:tcPr>
          <w:p>
            <w:pPr>
              <w:spacing w:after="0"/>
              <w:rPr>
                <w:sz w:val="20"/>
                <w:szCs w:val="20"/>
                <w:color w:val="auto"/>
              </w:rPr>
            </w:pPr>
          </w:p>
        </w:tc>
      </w:tr>
      <w:tr>
        <w:trPr>
          <w:trHeight w:val="251"/>
        </w:trPr>
        <w:tc>
          <w:tcPr>
            <w:tcW w:w="24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40" w:type="dxa"/>
            <w:vAlign w:val="bottom"/>
            <w:shd w:val="clear" w:color="auto" w:fill="E5E5E5"/>
          </w:tcPr>
          <w:p>
            <w:pPr>
              <w:jc w:val="right"/>
              <w:ind w:right="11"/>
              <w:spacing w:after="0"/>
              <w:rPr>
                <w:sz w:val="20"/>
                <w:szCs w:val="20"/>
                <w:color w:val="auto"/>
              </w:rPr>
            </w:pPr>
            <w:r>
              <w:rPr>
                <w:rFonts w:ascii="Arial" w:cs="Arial" w:eastAsia="Arial" w:hAnsi="Arial"/>
                <w:sz w:val="18"/>
                <w:szCs w:val="18"/>
                <w:color w:val="auto"/>
              </w:rPr>
              <w:t>2/22/2021</w:t>
            </w:r>
          </w:p>
        </w:tc>
        <w:tc>
          <w:tcPr>
            <w:tcW w:w="16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21,919</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1,876,266</w:t>
            </w:r>
          </w:p>
        </w:tc>
        <w:tc>
          <w:tcPr>
            <w:tcW w:w="1940" w:type="dxa"/>
            <w:vAlign w:val="bottom"/>
            <w:shd w:val="clear" w:color="auto" w:fill="E5E5E5"/>
          </w:tcPr>
          <w:p>
            <w:pPr>
              <w:spacing w:after="0"/>
              <w:rPr>
                <w:sz w:val="21"/>
                <w:szCs w:val="21"/>
                <w:color w:val="auto"/>
              </w:rPr>
            </w:pPr>
          </w:p>
        </w:tc>
        <w:tc>
          <w:tcPr>
            <w:tcW w:w="1600" w:type="dxa"/>
            <w:vAlign w:val="bottom"/>
            <w:shd w:val="clear" w:color="auto" w:fill="E5E5E5"/>
          </w:tcPr>
          <w:p>
            <w:pPr>
              <w:spacing w:after="0"/>
              <w:rPr>
                <w:sz w:val="21"/>
                <w:szCs w:val="21"/>
                <w:color w:val="auto"/>
              </w:rPr>
            </w:pPr>
          </w:p>
        </w:tc>
      </w:tr>
      <w:tr>
        <w:trPr>
          <w:trHeight w:val="261"/>
        </w:trPr>
        <w:tc>
          <w:tcPr>
            <w:tcW w:w="2460" w:type="dxa"/>
            <w:vAlign w:val="bottom"/>
            <w:tcBorders>
              <w:bottom w:val="single" w:sz="8" w:color="002060"/>
            </w:tcBorders>
          </w:tcPr>
          <w:p>
            <w:pPr>
              <w:spacing w:after="0"/>
              <w:rPr>
                <w:sz w:val="22"/>
                <w:szCs w:val="22"/>
                <w:color w:val="auto"/>
              </w:rPr>
            </w:pPr>
          </w:p>
        </w:tc>
        <w:tc>
          <w:tcPr>
            <w:tcW w:w="1080" w:type="dxa"/>
            <w:vAlign w:val="bottom"/>
            <w:tcBorders>
              <w:bottom w:val="single" w:sz="8" w:color="002060"/>
            </w:tcBorders>
          </w:tcPr>
          <w:p>
            <w:pPr>
              <w:jc w:val="right"/>
              <w:ind w:right="10"/>
              <w:spacing w:after="0"/>
              <w:rPr>
                <w:sz w:val="20"/>
                <w:szCs w:val="20"/>
                <w:color w:val="auto"/>
              </w:rPr>
            </w:pPr>
            <w:r>
              <w:rPr>
                <w:rFonts w:ascii="Arial" w:cs="Arial" w:eastAsia="Arial" w:hAnsi="Arial"/>
                <w:sz w:val="18"/>
                <w:szCs w:val="18"/>
                <w:color w:val="auto"/>
              </w:rPr>
              <w:t>(4)</w:t>
            </w:r>
          </w:p>
        </w:tc>
        <w:tc>
          <w:tcPr>
            <w:tcW w:w="1240" w:type="dxa"/>
            <w:vAlign w:val="bottom"/>
            <w:tcBorders>
              <w:bottom w:val="single" w:sz="8" w:color="002060"/>
            </w:tcBorders>
            <w:shd w:val="clear" w:color="auto" w:fill="E5E5E5"/>
          </w:tcPr>
          <w:p>
            <w:pPr>
              <w:jc w:val="right"/>
              <w:ind w:right="11"/>
              <w:spacing w:after="0"/>
              <w:rPr>
                <w:sz w:val="20"/>
                <w:szCs w:val="20"/>
                <w:color w:val="auto"/>
              </w:rPr>
            </w:pPr>
            <w:r>
              <w:rPr>
                <w:rFonts w:ascii="Arial" w:cs="Arial" w:eastAsia="Arial" w:hAnsi="Arial"/>
                <w:sz w:val="18"/>
                <w:szCs w:val="18"/>
                <w:color w:val="auto"/>
              </w:rPr>
              <w:t>2/22/2022</w:t>
            </w:r>
          </w:p>
        </w:tc>
        <w:tc>
          <w:tcPr>
            <w:tcW w:w="1600" w:type="dxa"/>
            <w:vAlign w:val="bottom"/>
            <w:tcBorders>
              <w:bottom w:val="single" w:sz="8" w:color="002060"/>
            </w:tcBorders>
            <w:shd w:val="clear" w:color="auto" w:fill="E5E5E5"/>
          </w:tcPr>
          <w:p>
            <w:pPr>
              <w:spacing w:after="0"/>
              <w:rPr>
                <w:sz w:val="22"/>
                <w:szCs w:val="22"/>
                <w:color w:val="auto"/>
              </w:rPr>
            </w:pPr>
          </w:p>
        </w:tc>
        <w:tc>
          <w:tcPr>
            <w:tcW w:w="1100" w:type="dxa"/>
            <w:vAlign w:val="bottom"/>
            <w:tcBorders>
              <w:bottom w:val="single" w:sz="8" w:color="002060"/>
            </w:tcBorders>
            <w:shd w:val="clear" w:color="auto" w:fill="E5E5E5"/>
          </w:tcPr>
          <w:p>
            <w:pPr>
              <w:spacing w:after="0"/>
              <w:rPr>
                <w:sz w:val="22"/>
                <w:szCs w:val="22"/>
                <w:color w:val="auto"/>
              </w:rPr>
            </w:pPr>
          </w:p>
        </w:tc>
        <w:tc>
          <w:tcPr>
            <w:tcW w:w="1940" w:type="dxa"/>
            <w:vAlign w:val="bottom"/>
            <w:tcBorders>
              <w:bottom w:val="single" w:sz="8" w:color="002060"/>
            </w:tcBorders>
            <w:shd w:val="clear" w:color="auto" w:fill="E5E5E5"/>
          </w:tcPr>
          <w:p>
            <w:pPr>
              <w:jc w:val="right"/>
              <w:ind w:right="456"/>
              <w:spacing w:after="0"/>
              <w:rPr>
                <w:sz w:val="20"/>
                <w:szCs w:val="20"/>
                <w:color w:val="auto"/>
              </w:rPr>
            </w:pPr>
            <w:r>
              <w:rPr>
                <w:rFonts w:ascii="Arial" w:cs="Arial" w:eastAsia="Arial" w:hAnsi="Arial"/>
                <w:sz w:val="18"/>
                <w:szCs w:val="18"/>
                <w:color w:val="auto"/>
              </w:rPr>
              <w:t>32,802</w:t>
            </w:r>
          </w:p>
        </w:tc>
        <w:tc>
          <w:tcPr>
            <w:tcW w:w="1600" w:type="dxa"/>
            <w:vAlign w:val="bottom"/>
            <w:tcBorders>
              <w:bottom w:val="single" w:sz="8" w:color="002060"/>
            </w:tcBorders>
            <w:shd w:val="clear" w:color="auto" w:fill="E5E5E5"/>
          </w:tcPr>
          <w:p>
            <w:pPr>
              <w:jc w:val="right"/>
              <w:ind w:right="176"/>
              <w:spacing w:after="0"/>
              <w:rPr>
                <w:sz w:val="20"/>
                <w:szCs w:val="20"/>
                <w:color w:val="auto"/>
              </w:rPr>
            </w:pPr>
            <w:r>
              <w:rPr>
                <w:rFonts w:ascii="Arial" w:cs="Arial" w:eastAsia="Arial" w:hAnsi="Arial"/>
                <w:sz w:val="18"/>
                <w:szCs w:val="18"/>
                <w:color w:val="auto"/>
              </w:rPr>
              <w:t>2,807,851</w:t>
            </w:r>
          </w:p>
        </w:tc>
      </w:tr>
      <w:tr>
        <w:trPr>
          <w:trHeight w:val="237"/>
        </w:trPr>
        <w:tc>
          <w:tcPr>
            <w:tcW w:w="2460" w:type="dxa"/>
            <w:vAlign w:val="bottom"/>
          </w:tcPr>
          <w:p>
            <w:pPr>
              <w:ind w:left="80"/>
              <w:spacing w:after="0"/>
              <w:rPr>
                <w:sz w:val="20"/>
                <w:szCs w:val="20"/>
                <w:color w:val="auto"/>
              </w:rPr>
            </w:pPr>
            <w:r>
              <w:rPr>
                <w:rFonts w:ascii="Arial" w:cs="Arial" w:eastAsia="Arial" w:hAnsi="Arial"/>
                <w:sz w:val="18"/>
                <w:szCs w:val="18"/>
                <w:color w:val="auto"/>
              </w:rPr>
              <w:t>Michael T. Miller</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40" w:type="dxa"/>
            <w:vAlign w:val="bottom"/>
            <w:shd w:val="clear" w:color="auto" w:fill="E5E5E5"/>
          </w:tcPr>
          <w:p>
            <w:pPr>
              <w:jc w:val="right"/>
              <w:ind w:right="11"/>
              <w:spacing w:after="0"/>
              <w:rPr>
                <w:sz w:val="20"/>
                <w:szCs w:val="20"/>
                <w:color w:val="auto"/>
              </w:rPr>
            </w:pPr>
            <w:r>
              <w:rPr>
                <w:rFonts w:ascii="Arial" w:cs="Arial" w:eastAsia="Arial" w:hAnsi="Arial"/>
                <w:sz w:val="18"/>
                <w:szCs w:val="18"/>
                <w:color w:val="auto"/>
              </w:rPr>
              <w:t>2/19/2020</w:t>
            </w:r>
          </w:p>
        </w:tc>
        <w:tc>
          <w:tcPr>
            <w:tcW w:w="16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5,667</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485,095</w:t>
            </w:r>
          </w:p>
        </w:tc>
        <w:tc>
          <w:tcPr>
            <w:tcW w:w="1940" w:type="dxa"/>
            <w:vAlign w:val="bottom"/>
            <w:shd w:val="clear" w:color="auto" w:fill="E5E5E5"/>
          </w:tcPr>
          <w:p>
            <w:pPr>
              <w:spacing w:after="0"/>
              <w:rPr>
                <w:sz w:val="20"/>
                <w:szCs w:val="20"/>
                <w:color w:val="auto"/>
              </w:rPr>
            </w:pPr>
          </w:p>
        </w:tc>
        <w:tc>
          <w:tcPr>
            <w:tcW w:w="1600" w:type="dxa"/>
            <w:vAlign w:val="bottom"/>
            <w:shd w:val="clear" w:color="auto" w:fill="E5E5E5"/>
          </w:tcPr>
          <w:p>
            <w:pPr>
              <w:spacing w:after="0"/>
              <w:rPr>
                <w:sz w:val="20"/>
                <w:szCs w:val="20"/>
                <w:color w:val="auto"/>
              </w:rPr>
            </w:pPr>
          </w:p>
        </w:tc>
      </w:tr>
      <w:tr>
        <w:trPr>
          <w:trHeight w:val="251"/>
        </w:trPr>
        <w:tc>
          <w:tcPr>
            <w:tcW w:w="24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40" w:type="dxa"/>
            <w:vAlign w:val="bottom"/>
            <w:shd w:val="clear" w:color="auto" w:fill="E5E5E5"/>
          </w:tcPr>
          <w:p>
            <w:pPr>
              <w:jc w:val="right"/>
              <w:ind w:right="11"/>
              <w:spacing w:after="0"/>
              <w:rPr>
                <w:sz w:val="20"/>
                <w:szCs w:val="20"/>
                <w:color w:val="auto"/>
              </w:rPr>
            </w:pPr>
            <w:r>
              <w:rPr>
                <w:rFonts w:ascii="Arial" w:cs="Arial" w:eastAsia="Arial" w:hAnsi="Arial"/>
                <w:sz w:val="18"/>
                <w:szCs w:val="18"/>
                <w:color w:val="auto"/>
              </w:rPr>
              <w:t>2/22/2021</w:t>
            </w:r>
          </w:p>
        </w:tc>
        <w:tc>
          <w:tcPr>
            <w:tcW w:w="16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7,554</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646,622</w:t>
            </w:r>
          </w:p>
        </w:tc>
        <w:tc>
          <w:tcPr>
            <w:tcW w:w="1940" w:type="dxa"/>
            <w:vAlign w:val="bottom"/>
            <w:shd w:val="clear" w:color="auto" w:fill="E5E5E5"/>
          </w:tcPr>
          <w:p>
            <w:pPr>
              <w:spacing w:after="0"/>
              <w:rPr>
                <w:sz w:val="21"/>
                <w:szCs w:val="21"/>
                <w:color w:val="auto"/>
              </w:rPr>
            </w:pPr>
          </w:p>
        </w:tc>
        <w:tc>
          <w:tcPr>
            <w:tcW w:w="1600" w:type="dxa"/>
            <w:vAlign w:val="bottom"/>
            <w:shd w:val="clear" w:color="auto" w:fill="E5E5E5"/>
          </w:tcPr>
          <w:p>
            <w:pPr>
              <w:spacing w:after="0"/>
              <w:rPr>
                <w:sz w:val="21"/>
                <w:szCs w:val="21"/>
                <w:color w:val="auto"/>
              </w:rPr>
            </w:pPr>
          </w:p>
        </w:tc>
      </w:tr>
      <w:tr>
        <w:trPr>
          <w:trHeight w:val="261"/>
        </w:trPr>
        <w:tc>
          <w:tcPr>
            <w:tcW w:w="2460" w:type="dxa"/>
            <w:vAlign w:val="bottom"/>
            <w:tcBorders>
              <w:bottom w:val="single" w:sz="8" w:color="002060"/>
            </w:tcBorders>
          </w:tcPr>
          <w:p>
            <w:pPr>
              <w:spacing w:after="0"/>
              <w:rPr>
                <w:sz w:val="22"/>
                <w:szCs w:val="22"/>
                <w:color w:val="auto"/>
              </w:rPr>
            </w:pPr>
          </w:p>
        </w:tc>
        <w:tc>
          <w:tcPr>
            <w:tcW w:w="1080" w:type="dxa"/>
            <w:vAlign w:val="bottom"/>
            <w:tcBorders>
              <w:bottom w:val="single" w:sz="8" w:color="002060"/>
            </w:tcBorders>
          </w:tcPr>
          <w:p>
            <w:pPr>
              <w:jc w:val="right"/>
              <w:ind w:right="10"/>
              <w:spacing w:after="0"/>
              <w:rPr>
                <w:sz w:val="20"/>
                <w:szCs w:val="20"/>
                <w:color w:val="auto"/>
              </w:rPr>
            </w:pPr>
            <w:r>
              <w:rPr>
                <w:rFonts w:ascii="Arial" w:cs="Arial" w:eastAsia="Arial" w:hAnsi="Arial"/>
                <w:sz w:val="18"/>
                <w:szCs w:val="18"/>
                <w:color w:val="auto"/>
              </w:rPr>
              <w:t>(4)</w:t>
            </w:r>
          </w:p>
        </w:tc>
        <w:tc>
          <w:tcPr>
            <w:tcW w:w="1240" w:type="dxa"/>
            <w:vAlign w:val="bottom"/>
            <w:tcBorders>
              <w:bottom w:val="single" w:sz="8" w:color="002060"/>
            </w:tcBorders>
            <w:shd w:val="clear" w:color="auto" w:fill="E5E5E5"/>
          </w:tcPr>
          <w:p>
            <w:pPr>
              <w:jc w:val="right"/>
              <w:ind w:right="11"/>
              <w:spacing w:after="0"/>
              <w:rPr>
                <w:sz w:val="20"/>
                <w:szCs w:val="20"/>
                <w:color w:val="auto"/>
              </w:rPr>
            </w:pPr>
            <w:r>
              <w:rPr>
                <w:rFonts w:ascii="Arial" w:cs="Arial" w:eastAsia="Arial" w:hAnsi="Arial"/>
                <w:sz w:val="18"/>
                <w:szCs w:val="18"/>
                <w:color w:val="auto"/>
              </w:rPr>
              <w:t>2/22/2022</w:t>
            </w:r>
          </w:p>
        </w:tc>
        <w:tc>
          <w:tcPr>
            <w:tcW w:w="1600" w:type="dxa"/>
            <w:vAlign w:val="bottom"/>
            <w:tcBorders>
              <w:bottom w:val="single" w:sz="8" w:color="002060"/>
            </w:tcBorders>
            <w:shd w:val="clear" w:color="auto" w:fill="E5E5E5"/>
          </w:tcPr>
          <w:p>
            <w:pPr>
              <w:spacing w:after="0"/>
              <w:rPr>
                <w:sz w:val="22"/>
                <w:szCs w:val="22"/>
                <w:color w:val="auto"/>
              </w:rPr>
            </w:pPr>
          </w:p>
        </w:tc>
        <w:tc>
          <w:tcPr>
            <w:tcW w:w="1100" w:type="dxa"/>
            <w:vAlign w:val="bottom"/>
            <w:tcBorders>
              <w:bottom w:val="single" w:sz="8" w:color="002060"/>
            </w:tcBorders>
            <w:shd w:val="clear" w:color="auto" w:fill="E5E5E5"/>
          </w:tcPr>
          <w:p>
            <w:pPr>
              <w:spacing w:after="0"/>
              <w:rPr>
                <w:sz w:val="22"/>
                <w:szCs w:val="22"/>
                <w:color w:val="auto"/>
              </w:rPr>
            </w:pPr>
          </w:p>
        </w:tc>
        <w:tc>
          <w:tcPr>
            <w:tcW w:w="1940" w:type="dxa"/>
            <w:vAlign w:val="bottom"/>
            <w:tcBorders>
              <w:bottom w:val="single" w:sz="8" w:color="002060"/>
            </w:tcBorders>
            <w:shd w:val="clear" w:color="auto" w:fill="E5E5E5"/>
          </w:tcPr>
          <w:p>
            <w:pPr>
              <w:jc w:val="right"/>
              <w:ind w:right="456"/>
              <w:spacing w:after="0"/>
              <w:rPr>
                <w:sz w:val="20"/>
                <w:szCs w:val="20"/>
                <w:color w:val="auto"/>
              </w:rPr>
            </w:pPr>
            <w:r>
              <w:rPr>
                <w:rFonts w:ascii="Arial" w:cs="Arial" w:eastAsia="Arial" w:hAnsi="Arial"/>
                <w:sz w:val="18"/>
                <w:szCs w:val="18"/>
                <w:color w:val="auto"/>
              </w:rPr>
              <w:t>10,551</w:t>
            </w:r>
          </w:p>
        </w:tc>
        <w:tc>
          <w:tcPr>
            <w:tcW w:w="1600" w:type="dxa"/>
            <w:vAlign w:val="bottom"/>
            <w:tcBorders>
              <w:bottom w:val="single" w:sz="8" w:color="002060"/>
            </w:tcBorders>
            <w:shd w:val="clear" w:color="auto" w:fill="E5E5E5"/>
          </w:tcPr>
          <w:p>
            <w:pPr>
              <w:jc w:val="right"/>
              <w:ind w:right="176"/>
              <w:spacing w:after="0"/>
              <w:rPr>
                <w:sz w:val="20"/>
                <w:szCs w:val="20"/>
                <w:color w:val="auto"/>
              </w:rPr>
            </w:pPr>
            <w:r>
              <w:rPr>
                <w:rFonts w:ascii="Arial" w:cs="Arial" w:eastAsia="Arial" w:hAnsi="Arial"/>
                <w:sz w:val="18"/>
                <w:szCs w:val="18"/>
                <w:color w:val="auto"/>
              </w:rPr>
              <w:t>903,166</w:t>
            </w:r>
          </w:p>
        </w:tc>
      </w:tr>
      <w:tr>
        <w:trPr>
          <w:trHeight w:val="237"/>
        </w:trPr>
        <w:tc>
          <w:tcPr>
            <w:tcW w:w="2460" w:type="dxa"/>
            <w:vAlign w:val="bottom"/>
          </w:tcPr>
          <w:p>
            <w:pPr>
              <w:ind w:left="80"/>
              <w:spacing w:after="0"/>
              <w:rPr>
                <w:sz w:val="20"/>
                <w:szCs w:val="20"/>
                <w:color w:val="auto"/>
              </w:rPr>
            </w:pPr>
            <w:r>
              <w:rPr>
                <w:rFonts w:ascii="Arial" w:cs="Arial" w:eastAsia="Arial" w:hAnsi="Arial"/>
                <w:sz w:val="18"/>
                <w:szCs w:val="18"/>
                <w:color w:val="auto"/>
              </w:rPr>
              <w:t>Jay P. Elliott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40" w:type="dxa"/>
            <w:vAlign w:val="bottom"/>
            <w:shd w:val="clear" w:color="auto" w:fill="E5E5E5"/>
          </w:tcPr>
          <w:p>
            <w:pPr>
              <w:jc w:val="right"/>
              <w:ind w:right="11"/>
              <w:spacing w:after="0"/>
              <w:rPr>
                <w:sz w:val="20"/>
                <w:szCs w:val="20"/>
                <w:color w:val="auto"/>
              </w:rPr>
            </w:pPr>
            <w:r>
              <w:rPr>
                <w:rFonts w:ascii="Arial" w:cs="Arial" w:eastAsia="Arial" w:hAnsi="Arial"/>
                <w:sz w:val="18"/>
                <w:szCs w:val="18"/>
                <w:color w:val="auto"/>
              </w:rPr>
              <w:t>2/19/2020</w:t>
            </w:r>
          </w:p>
        </w:tc>
        <w:tc>
          <w:tcPr>
            <w:tcW w:w="16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6,071</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519,678</w:t>
            </w:r>
          </w:p>
        </w:tc>
        <w:tc>
          <w:tcPr>
            <w:tcW w:w="1940" w:type="dxa"/>
            <w:vAlign w:val="bottom"/>
            <w:shd w:val="clear" w:color="auto" w:fill="E5E5E5"/>
          </w:tcPr>
          <w:p>
            <w:pPr>
              <w:spacing w:after="0"/>
              <w:rPr>
                <w:sz w:val="20"/>
                <w:szCs w:val="20"/>
                <w:color w:val="auto"/>
              </w:rPr>
            </w:pPr>
          </w:p>
        </w:tc>
        <w:tc>
          <w:tcPr>
            <w:tcW w:w="1600" w:type="dxa"/>
            <w:vAlign w:val="bottom"/>
            <w:shd w:val="clear" w:color="auto" w:fill="E5E5E5"/>
          </w:tcPr>
          <w:p>
            <w:pPr>
              <w:spacing w:after="0"/>
              <w:rPr>
                <w:sz w:val="20"/>
                <w:szCs w:val="20"/>
                <w:color w:val="auto"/>
              </w:rPr>
            </w:pPr>
          </w:p>
        </w:tc>
      </w:tr>
      <w:tr>
        <w:trPr>
          <w:trHeight w:val="251"/>
        </w:trPr>
        <w:tc>
          <w:tcPr>
            <w:tcW w:w="24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40" w:type="dxa"/>
            <w:vAlign w:val="bottom"/>
            <w:shd w:val="clear" w:color="auto" w:fill="E5E5E5"/>
          </w:tcPr>
          <w:p>
            <w:pPr>
              <w:jc w:val="right"/>
              <w:ind w:right="11"/>
              <w:spacing w:after="0"/>
              <w:rPr>
                <w:sz w:val="20"/>
                <w:szCs w:val="20"/>
                <w:color w:val="auto"/>
              </w:rPr>
            </w:pPr>
            <w:r>
              <w:rPr>
                <w:rFonts w:ascii="Arial" w:cs="Arial" w:eastAsia="Arial" w:hAnsi="Arial"/>
                <w:sz w:val="18"/>
                <w:szCs w:val="18"/>
                <w:color w:val="auto"/>
              </w:rPr>
              <w:t>2/22/2021</w:t>
            </w:r>
          </w:p>
        </w:tc>
        <w:tc>
          <w:tcPr>
            <w:tcW w:w="16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8,141</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696,870</w:t>
            </w:r>
          </w:p>
        </w:tc>
        <w:tc>
          <w:tcPr>
            <w:tcW w:w="1940" w:type="dxa"/>
            <w:vAlign w:val="bottom"/>
            <w:shd w:val="clear" w:color="auto" w:fill="E5E5E5"/>
          </w:tcPr>
          <w:p>
            <w:pPr>
              <w:spacing w:after="0"/>
              <w:rPr>
                <w:sz w:val="21"/>
                <w:szCs w:val="21"/>
                <w:color w:val="auto"/>
              </w:rPr>
            </w:pPr>
          </w:p>
        </w:tc>
        <w:tc>
          <w:tcPr>
            <w:tcW w:w="1600" w:type="dxa"/>
            <w:vAlign w:val="bottom"/>
            <w:shd w:val="clear" w:color="auto" w:fill="E5E5E5"/>
          </w:tcPr>
          <w:p>
            <w:pPr>
              <w:spacing w:after="0"/>
              <w:rPr>
                <w:sz w:val="21"/>
                <w:szCs w:val="21"/>
                <w:color w:val="auto"/>
              </w:rPr>
            </w:pPr>
          </w:p>
        </w:tc>
      </w:tr>
      <w:tr>
        <w:trPr>
          <w:trHeight w:val="261"/>
        </w:trPr>
        <w:tc>
          <w:tcPr>
            <w:tcW w:w="2460" w:type="dxa"/>
            <w:vAlign w:val="bottom"/>
            <w:tcBorders>
              <w:bottom w:val="single" w:sz="8" w:color="002060"/>
            </w:tcBorders>
          </w:tcPr>
          <w:p>
            <w:pPr>
              <w:spacing w:after="0"/>
              <w:rPr>
                <w:sz w:val="22"/>
                <w:szCs w:val="22"/>
                <w:color w:val="auto"/>
              </w:rPr>
            </w:pPr>
          </w:p>
        </w:tc>
        <w:tc>
          <w:tcPr>
            <w:tcW w:w="1080" w:type="dxa"/>
            <w:vAlign w:val="bottom"/>
            <w:tcBorders>
              <w:bottom w:val="single" w:sz="8" w:color="002060"/>
            </w:tcBorders>
          </w:tcPr>
          <w:p>
            <w:pPr>
              <w:jc w:val="right"/>
              <w:ind w:right="10"/>
              <w:spacing w:after="0"/>
              <w:rPr>
                <w:sz w:val="20"/>
                <w:szCs w:val="20"/>
                <w:color w:val="auto"/>
              </w:rPr>
            </w:pPr>
            <w:r>
              <w:rPr>
                <w:rFonts w:ascii="Arial" w:cs="Arial" w:eastAsia="Arial" w:hAnsi="Arial"/>
                <w:sz w:val="18"/>
                <w:szCs w:val="18"/>
                <w:color w:val="auto"/>
              </w:rPr>
              <w:t>(4)</w:t>
            </w:r>
          </w:p>
        </w:tc>
        <w:tc>
          <w:tcPr>
            <w:tcW w:w="1240" w:type="dxa"/>
            <w:vAlign w:val="bottom"/>
            <w:tcBorders>
              <w:bottom w:val="single" w:sz="8" w:color="002060"/>
            </w:tcBorders>
            <w:shd w:val="clear" w:color="auto" w:fill="E5E5E5"/>
          </w:tcPr>
          <w:p>
            <w:pPr>
              <w:jc w:val="right"/>
              <w:ind w:right="11"/>
              <w:spacing w:after="0"/>
              <w:rPr>
                <w:sz w:val="20"/>
                <w:szCs w:val="20"/>
                <w:color w:val="auto"/>
              </w:rPr>
            </w:pPr>
            <w:r>
              <w:rPr>
                <w:rFonts w:ascii="Arial" w:cs="Arial" w:eastAsia="Arial" w:hAnsi="Arial"/>
                <w:sz w:val="18"/>
                <w:szCs w:val="18"/>
                <w:color w:val="auto"/>
              </w:rPr>
              <w:t>2/22/2022</w:t>
            </w:r>
          </w:p>
        </w:tc>
        <w:tc>
          <w:tcPr>
            <w:tcW w:w="1600" w:type="dxa"/>
            <w:vAlign w:val="bottom"/>
            <w:tcBorders>
              <w:bottom w:val="single" w:sz="8" w:color="002060"/>
            </w:tcBorders>
            <w:shd w:val="clear" w:color="auto" w:fill="E5E5E5"/>
          </w:tcPr>
          <w:p>
            <w:pPr>
              <w:spacing w:after="0"/>
              <w:rPr>
                <w:sz w:val="22"/>
                <w:szCs w:val="22"/>
                <w:color w:val="auto"/>
              </w:rPr>
            </w:pPr>
          </w:p>
        </w:tc>
        <w:tc>
          <w:tcPr>
            <w:tcW w:w="1100" w:type="dxa"/>
            <w:vAlign w:val="bottom"/>
            <w:tcBorders>
              <w:bottom w:val="single" w:sz="8" w:color="002060"/>
            </w:tcBorders>
            <w:shd w:val="clear" w:color="auto" w:fill="E5E5E5"/>
          </w:tcPr>
          <w:p>
            <w:pPr>
              <w:spacing w:after="0"/>
              <w:rPr>
                <w:sz w:val="22"/>
                <w:szCs w:val="22"/>
                <w:color w:val="auto"/>
              </w:rPr>
            </w:pPr>
          </w:p>
        </w:tc>
        <w:tc>
          <w:tcPr>
            <w:tcW w:w="1940" w:type="dxa"/>
            <w:vAlign w:val="bottom"/>
            <w:tcBorders>
              <w:bottom w:val="single" w:sz="8" w:color="002060"/>
            </w:tcBorders>
            <w:shd w:val="clear" w:color="auto" w:fill="E5E5E5"/>
          </w:tcPr>
          <w:p>
            <w:pPr>
              <w:jc w:val="right"/>
              <w:ind w:right="456"/>
              <w:spacing w:after="0"/>
              <w:rPr>
                <w:sz w:val="20"/>
                <w:szCs w:val="20"/>
                <w:color w:val="auto"/>
              </w:rPr>
            </w:pPr>
            <w:r>
              <w:rPr>
                <w:rFonts w:ascii="Arial" w:cs="Arial" w:eastAsia="Arial" w:hAnsi="Arial"/>
                <w:sz w:val="18"/>
                <w:szCs w:val="18"/>
                <w:color w:val="auto"/>
              </w:rPr>
              <w:t>10,933</w:t>
            </w:r>
          </w:p>
        </w:tc>
        <w:tc>
          <w:tcPr>
            <w:tcW w:w="1600" w:type="dxa"/>
            <w:vAlign w:val="bottom"/>
            <w:tcBorders>
              <w:bottom w:val="single" w:sz="8" w:color="002060"/>
            </w:tcBorders>
            <w:shd w:val="clear" w:color="auto" w:fill="E5E5E5"/>
          </w:tcPr>
          <w:p>
            <w:pPr>
              <w:jc w:val="right"/>
              <w:ind w:right="176"/>
              <w:spacing w:after="0"/>
              <w:rPr>
                <w:sz w:val="20"/>
                <w:szCs w:val="20"/>
                <w:color w:val="auto"/>
              </w:rPr>
            </w:pPr>
            <w:r>
              <w:rPr>
                <w:rFonts w:ascii="Arial" w:cs="Arial" w:eastAsia="Arial" w:hAnsi="Arial"/>
                <w:sz w:val="18"/>
                <w:szCs w:val="18"/>
                <w:color w:val="auto"/>
              </w:rPr>
              <w:t>935,865</w:t>
            </w:r>
          </w:p>
        </w:tc>
      </w:tr>
      <w:tr>
        <w:trPr>
          <w:trHeight w:val="237"/>
        </w:trPr>
        <w:tc>
          <w:tcPr>
            <w:tcW w:w="2460" w:type="dxa"/>
            <w:vAlign w:val="bottom"/>
          </w:tcPr>
          <w:p>
            <w:pPr>
              <w:ind w:left="80"/>
              <w:spacing w:after="0"/>
              <w:rPr>
                <w:sz w:val="20"/>
                <w:szCs w:val="20"/>
                <w:color w:val="auto"/>
              </w:rPr>
            </w:pPr>
            <w:r>
              <w:rPr>
                <w:rFonts w:ascii="Arial" w:cs="Arial" w:eastAsia="Arial" w:hAnsi="Arial"/>
                <w:sz w:val="18"/>
                <w:szCs w:val="18"/>
                <w:color w:val="auto"/>
              </w:rPr>
              <w:t>W. Jeffrey Hire</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40" w:type="dxa"/>
            <w:vAlign w:val="bottom"/>
            <w:shd w:val="clear" w:color="auto" w:fill="E5E5E5"/>
          </w:tcPr>
          <w:p>
            <w:pPr>
              <w:jc w:val="right"/>
              <w:ind w:right="11"/>
              <w:spacing w:after="0"/>
              <w:rPr>
                <w:sz w:val="20"/>
                <w:szCs w:val="20"/>
                <w:color w:val="auto"/>
              </w:rPr>
            </w:pPr>
            <w:r>
              <w:rPr>
                <w:rFonts w:ascii="Arial" w:cs="Arial" w:eastAsia="Arial" w:hAnsi="Arial"/>
                <w:sz w:val="18"/>
                <w:szCs w:val="18"/>
                <w:color w:val="auto"/>
              </w:rPr>
              <w:t>2/19/2020</w:t>
            </w:r>
          </w:p>
        </w:tc>
        <w:tc>
          <w:tcPr>
            <w:tcW w:w="16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910</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77,896</w:t>
            </w:r>
          </w:p>
        </w:tc>
        <w:tc>
          <w:tcPr>
            <w:tcW w:w="1940" w:type="dxa"/>
            <w:vAlign w:val="bottom"/>
            <w:shd w:val="clear" w:color="auto" w:fill="E5E5E5"/>
          </w:tcPr>
          <w:p>
            <w:pPr>
              <w:spacing w:after="0"/>
              <w:rPr>
                <w:sz w:val="20"/>
                <w:szCs w:val="20"/>
                <w:color w:val="auto"/>
              </w:rPr>
            </w:pPr>
          </w:p>
        </w:tc>
        <w:tc>
          <w:tcPr>
            <w:tcW w:w="1600" w:type="dxa"/>
            <w:vAlign w:val="bottom"/>
            <w:shd w:val="clear" w:color="auto" w:fill="E5E5E5"/>
          </w:tcPr>
          <w:p>
            <w:pPr>
              <w:spacing w:after="0"/>
              <w:rPr>
                <w:sz w:val="20"/>
                <w:szCs w:val="20"/>
                <w:color w:val="auto"/>
              </w:rPr>
            </w:pPr>
          </w:p>
        </w:tc>
      </w:tr>
      <w:tr>
        <w:trPr>
          <w:trHeight w:val="251"/>
        </w:trPr>
        <w:tc>
          <w:tcPr>
            <w:tcW w:w="24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40" w:type="dxa"/>
            <w:vAlign w:val="bottom"/>
            <w:shd w:val="clear" w:color="auto" w:fill="E5E5E5"/>
          </w:tcPr>
          <w:p>
            <w:pPr>
              <w:jc w:val="right"/>
              <w:ind w:right="11"/>
              <w:spacing w:after="0"/>
              <w:rPr>
                <w:sz w:val="20"/>
                <w:szCs w:val="20"/>
                <w:color w:val="auto"/>
              </w:rPr>
            </w:pPr>
            <w:r>
              <w:rPr>
                <w:rFonts w:ascii="Arial" w:cs="Arial" w:eastAsia="Arial" w:hAnsi="Arial"/>
                <w:sz w:val="18"/>
                <w:szCs w:val="18"/>
                <w:color w:val="auto"/>
              </w:rPr>
              <w:t>11/03/2020</w:t>
            </w:r>
          </w:p>
        </w:tc>
        <w:tc>
          <w:tcPr>
            <w:tcW w:w="16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10,596</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907,018</w:t>
            </w:r>
          </w:p>
        </w:tc>
        <w:tc>
          <w:tcPr>
            <w:tcW w:w="1940" w:type="dxa"/>
            <w:vAlign w:val="bottom"/>
            <w:shd w:val="clear" w:color="auto" w:fill="E5E5E5"/>
          </w:tcPr>
          <w:p>
            <w:pPr>
              <w:spacing w:after="0"/>
              <w:rPr>
                <w:sz w:val="21"/>
                <w:szCs w:val="21"/>
                <w:color w:val="auto"/>
              </w:rPr>
            </w:pPr>
          </w:p>
        </w:tc>
        <w:tc>
          <w:tcPr>
            <w:tcW w:w="1600" w:type="dxa"/>
            <w:vAlign w:val="bottom"/>
            <w:shd w:val="clear" w:color="auto" w:fill="E5E5E5"/>
          </w:tcPr>
          <w:p>
            <w:pPr>
              <w:spacing w:after="0"/>
              <w:rPr>
                <w:sz w:val="21"/>
                <w:szCs w:val="21"/>
                <w:color w:val="auto"/>
              </w:rPr>
            </w:pPr>
          </w:p>
        </w:tc>
      </w:tr>
      <w:tr>
        <w:trPr>
          <w:trHeight w:val="256"/>
        </w:trPr>
        <w:tc>
          <w:tcPr>
            <w:tcW w:w="24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40" w:type="dxa"/>
            <w:vAlign w:val="bottom"/>
            <w:shd w:val="clear" w:color="auto" w:fill="E5E5E5"/>
          </w:tcPr>
          <w:p>
            <w:pPr>
              <w:jc w:val="right"/>
              <w:ind w:right="11"/>
              <w:spacing w:after="0"/>
              <w:rPr>
                <w:sz w:val="20"/>
                <w:szCs w:val="20"/>
                <w:color w:val="auto"/>
              </w:rPr>
            </w:pPr>
            <w:r>
              <w:rPr>
                <w:rFonts w:ascii="Arial" w:cs="Arial" w:eastAsia="Arial" w:hAnsi="Arial"/>
                <w:sz w:val="18"/>
                <w:szCs w:val="18"/>
                <w:color w:val="auto"/>
              </w:rPr>
              <w:t>2/22/2021</w:t>
            </w:r>
          </w:p>
        </w:tc>
        <w:tc>
          <w:tcPr>
            <w:tcW w:w="16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1,174</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100,494</w:t>
            </w:r>
          </w:p>
        </w:tc>
        <w:tc>
          <w:tcPr>
            <w:tcW w:w="1940" w:type="dxa"/>
            <w:vAlign w:val="bottom"/>
            <w:shd w:val="clear" w:color="auto" w:fill="E5E5E5"/>
          </w:tcPr>
          <w:p>
            <w:pPr>
              <w:spacing w:after="0"/>
              <w:rPr>
                <w:sz w:val="22"/>
                <w:szCs w:val="22"/>
                <w:color w:val="auto"/>
              </w:rPr>
            </w:pPr>
          </w:p>
        </w:tc>
        <w:tc>
          <w:tcPr>
            <w:tcW w:w="1600" w:type="dxa"/>
            <w:vAlign w:val="bottom"/>
            <w:shd w:val="clear" w:color="auto" w:fill="E5E5E5"/>
          </w:tcPr>
          <w:p>
            <w:pPr>
              <w:spacing w:after="0"/>
              <w:rPr>
                <w:sz w:val="22"/>
                <w:szCs w:val="22"/>
                <w:color w:val="auto"/>
              </w:rPr>
            </w:pPr>
          </w:p>
        </w:tc>
      </w:tr>
      <w:tr>
        <w:trPr>
          <w:trHeight w:val="261"/>
        </w:trPr>
        <w:tc>
          <w:tcPr>
            <w:tcW w:w="2460" w:type="dxa"/>
            <w:vAlign w:val="bottom"/>
            <w:tcBorders>
              <w:bottom w:val="single" w:sz="8" w:color="002060"/>
            </w:tcBorders>
          </w:tcPr>
          <w:p>
            <w:pPr>
              <w:spacing w:after="0"/>
              <w:rPr>
                <w:sz w:val="22"/>
                <w:szCs w:val="22"/>
                <w:color w:val="auto"/>
              </w:rPr>
            </w:pPr>
          </w:p>
        </w:tc>
        <w:tc>
          <w:tcPr>
            <w:tcW w:w="1080" w:type="dxa"/>
            <w:vAlign w:val="bottom"/>
            <w:tcBorders>
              <w:bottom w:val="single" w:sz="8" w:color="002060"/>
            </w:tcBorders>
          </w:tcPr>
          <w:p>
            <w:pPr>
              <w:jc w:val="right"/>
              <w:ind w:right="10"/>
              <w:spacing w:after="0"/>
              <w:rPr>
                <w:sz w:val="20"/>
                <w:szCs w:val="20"/>
                <w:color w:val="auto"/>
              </w:rPr>
            </w:pPr>
            <w:r>
              <w:rPr>
                <w:rFonts w:ascii="Arial" w:cs="Arial" w:eastAsia="Arial" w:hAnsi="Arial"/>
                <w:sz w:val="18"/>
                <w:szCs w:val="18"/>
                <w:color w:val="auto"/>
              </w:rPr>
              <w:t>(4)</w:t>
            </w:r>
          </w:p>
        </w:tc>
        <w:tc>
          <w:tcPr>
            <w:tcW w:w="1240" w:type="dxa"/>
            <w:vAlign w:val="bottom"/>
            <w:tcBorders>
              <w:bottom w:val="single" w:sz="8" w:color="002060"/>
            </w:tcBorders>
            <w:shd w:val="clear" w:color="auto" w:fill="E5E5E5"/>
          </w:tcPr>
          <w:p>
            <w:pPr>
              <w:jc w:val="right"/>
              <w:ind w:right="11"/>
              <w:spacing w:after="0"/>
              <w:rPr>
                <w:sz w:val="20"/>
                <w:szCs w:val="20"/>
                <w:color w:val="auto"/>
              </w:rPr>
            </w:pPr>
            <w:r>
              <w:rPr>
                <w:rFonts w:ascii="Arial" w:cs="Arial" w:eastAsia="Arial" w:hAnsi="Arial"/>
                <w:sz w:val="18"/>
                <w:szCs w:val="18"/>
                <w:color w:val="auto"/>
              </w:rPr>
              <w:t>2/22/2022</w:t>
            </w:r>
          </w:p>
        </w:tc>
        <w:tc>
          <w:tcPr>
            <w:tcW w:w="1600" w:type="dxa"/>
            <w:vAlign w:val="bottom"/>
            <w:tcBorders>
              <w:bottom w:val="single" w:sz="8" w:color="002060"/>
            </w:tcBorders>
            <w:shd w:val="clear" w:color="auto" w:fill="E5E5E5"/>
          </w:tcPr>
          <w:p>
            <w:pPr>
              <w:spacing w:after="0"/>
              <w:rPr>
                <w:sz w:val="22"/>
                <w:szCs w:val="22"/>
                <w:color w:val="auto"/>
              </w:rPr>
            </w:pPr>
          </w:p>
        </w:tc>
        <w:tc>
          <w:tcPr>
            <w:tcW w:w="1100" w:type="dxa"/>
            <w:vAlign w:val="bottom"/>
            <w:tcBorders>
              <w:bottom w:val="single" w:sz="8" w:color="002060"/>
            </w:tcBorders>
            <w:shd w:val="clear" w:color="auto" w:fill="E5E5E5"/>
          </w:tcPr>
          <w:p>
            <w:pPr>
              <w:spacing w:after="0"/>
              <w:rPr>
                <w:sz w:val="22"/>
                <w:szCs w:val="22"/>
                <w:color w:val="auto"/>
              </w:rPr>
            </w:pPr>
          </w:p>
        </w:tc>
        <w:tc>
          <w:tcPr>
            <w:tcW w:w="1940" w:type="dxa"/>
            <w:vAlign w:val="bottom"/>
            <w:tcBorders>
              <w:bottom w:val="single" w:sz="8" w:color="002060"/>
            </w:tcBorders>
            <w:shd w:val="clear" w:color="auto" w:fill="E5E5E5"/>
          </w:tcPr>
          <w:p>
            <w:pPr>
              <w:jc w:val="right"/>
              <w:ind w:right="456"/>
              <w:spacing w:after="0"/>
              <w:rPr>
                <w:sz w:val="20"/>
                <w:szCs w:val="20"/>
                <w:color w:val="auto"/>
              </w:rPr>
            </w:pPr>
            <w:r>
              <w:rPr>
                <w:rFonts w:ascii="Arial" w:cs="Arial" w:eastAsia="Arial" w:hAnsi="Arial"/>
                <w:sz w:val="18"/>
                <w:szCs w:val="18"/>
                <w:color w:val="auto"/>
              </w:rPr>
              <w:t>2,187</w:t>
            </w:r>
          </w:p>
        </w:tc>
        <w:tc>
          <w:tcPr>
            <w:tcW w:w="1600" w:type="dxa"/>
            <w:vAlign w:val="bottom"/>
            <w:tcBorders>
              <w:bottom w:val="single" w:sz="8" w:color="002060"/>
            </w:tcBorders>
            <w:shd w:val="clear" w:color="auto" w:fill="E5E5E5"/>
          </w:tcPr>
          <w:p>
            <w:pPr>
              <w:jc w:val="right"/>
              <w:ind w:right="176"/>
              <w:spacing w:after="0"/>
              <w:rPr>
                <w:sz w:val="20"/>
                <w:szCs w:val="20"/>
                <w:color w:val="auto"/>
              </w:rPr>
            </w:pPr>
            <w:r>
              <w:rPr>
                <w:rFonts w:ascii="Arial" w:cs="Arial" w:eastAsia="Arial" w:hAnsi="Arial"/>
                <w:sz w:val="18"/>
                <w:szCs w:val="18"/>
                <w:color w:val="auto"/>
              </w:rPr>
              <w:t>187,207</w:t>
            </w:r>
          </w:p>
        </w:tc>
      </w:tr>
      <w:tr>
        <w:trPr>
          <w:trHeight w:val="237"/>
        </w:trPr>
        <w:tc>
          <w:tcPr>
            <w:tcW w:w="2460" w:type="dxa"/>
            <w:vAlign w:val="bottom"/>
          </w:tcPr>
          <w:p>
            <w:pPr>
              <w:ind w:left="80"/>
              <w:spacing w:after="0"/>
              <w:rPr>
                <w:sz w:val="20"/>
                <w:szCs w:val="20"/>
                <w:color w:val="auto"/>
              </w:rPr>
            </w:pPr>
            <w:r>
              <w:rPr>
                <w:rFonts w:ascii="Arial" w:cs="Arial" w:eastAsia="Arial" w:hAnsi="Arial"/>
                <w:sz w:val="18"/>
                <w:szCs w:val="18"/>
                <w:color w:val="auto"/>
              </w:rPr>
              <w:t>Jason R. Niswonger</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40" w:type="dxa"/>
            <w:vAlign w:val="bottom"/>
            <w:shd w:val="clear" w:color="auto" w:fill="E5E5E5"/>
          </w:tcPr>
          <w:p>
            <w:pPr>
              <w:jc w:val="right"/>
              <w:ind w:right="11"/>
              <w:spacing w:after="0"/>
              <w:rPr>
                <w:sz w:val="20"/>
                <w:szCs w:val="20"/>
                <w:color w:val="auto"/>
              </w:rPr>
            </w:pPr>
            <w:r>
              <w:rPr>
                <w:rFonts w:ascii="Arial" w:cs="Arial" w:eastAsia="Arial" w:hAnsi="Arial"/>
                <w:sz w:val="18"/>
                <w:szCs w:val="18"/>
                <w:color w:val="auto"/>
              </w:rPr>
              <w:t>2/19/2020</w:t>
            </w:r>
          </w:p>
        </w:tc>
        <w:tc>
          <w:tcPr>
            <w:tcW w:w="16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871</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74,558</w:t>
            </w:r>
          </w:p>
        </w:tc>
        <w:tc>
          <w:tcPr>
            <w:tcW w:w="1940" w:type="dxa"/>
            <w:vAlign w:val="bottom"/>
            <w:shd w:val="clear" w:color="auto" w:fill="E5E5E5"/>
          </w:tcPr>
          <w:p>
            <w:pPr>
              <w:spacing w:after="0"/>
              <w:rPr>
                <w:sz w:val="20"/>
                <w:szCs w:val="20"/>
                <w:color w:val="auto"/>
              </w:rPr>
            </w:pPr>
          </w:p>
        </w:tc>
        <w:tc>
          <w:tcPr>
            <w:tcW w:w="1600" w:type="dxa"/>
            <w:vAlign w:val="bottom"/>
            <w:shd w:val="clear" w:color="auto" w:fill="E5E5E5"/>
          </w:tcPr>
          <w:p>
            <w:pPr>
              <w:spacing w:after="0"/>
              <w:rPr>
                <w:sz w:val="20"/>
                <w:szCs w:val="20"/>
                <w:color w:val="auto"/>
              </w:rPr>
            </w:pPr>
          </w:p>
        </w:tc>
      </w:tr>
      <w:tr>
        <w:trPr>
          <w:trHeight w:val="251"/>
        </w:trPr>
        <w:tc>
          <w:tcPr>
            <w:tcW w:w="24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40" w:type="dxa"/>
            <w:vAlign w:val="bottom"/>
            <w:shd w:val="clear" w:color="auto" w:fill="E5E5E5"/>
          </w:tcPr>
          <w:p>
            <w:pPr>
              <w:jc w:val="right"/>
              <w:ind w:right="11"/>
              <w:spacing w:after="0"/>
              <w:rPr>
                <w:sz w:val="20"/>
                <w:szCs w:val="20"/>
                <w:color w:val="auto"/>
              </w:rPr>
            </w:pPr>
            <w:r>
              <w:rPr>
                <w:rFonts w:ascii="Arial" w:cs="Arial" w:eastAsia="Arial" w:hAnsi="Arial"/>
                <w:sz w:val="18"/>
                <w:szCs w:val="18"/>
                <w:color w:val="auto"/>
              </w:rPr>
              <w:t>4/16/2020</w:t>
            </w:r>
          </w:p>
        </w:tc>
        <w:tc>
          <w:tcPr>
            <w:tcW w:w="16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13,694</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1,172,206</w:t>
            </w:r>
          </w:p>
        </w:tc>
        <w:tc>
          <w:tcPr>
            <w:tcW w:w="1940" w:type="dxa"/>
            <w:vAlign w:val="bottom"/>
            <w:shd w:val="clear" w:color="auto" w:fill="E5E5E5"/>
          </w:tcPr>
          <w:p>
            <w:pPr>
              <w:spacing w:after="0"/>
              <w:rPr>
                <w:sz w:val="21"/>
                <w:szCs w:val="21"/>
                <w:color w:val="auto"/>
              </w:rPr>
            </w:pPr>
          </w:p>
        </w:tc>
        <w:tc>
          <w:tcPr>
            <w:tcW w:w="1600" w:type="dxa"/>
            <w:vAlign w:val="bottom"/>
            <w:shd w:val="clear" w:color="auto" w:fill="E5E5E5"/>
          </w:tcPr>
          <w:p>
            <w:pPr>
              <w:spacing w:after="0"/>
              <w:rPr>
                <w:sz w:val="21"/>
                <w:szCs w:val="21"/>
                <w:color w:val="auto"/>
              </w:rPr>
            </w:pPr>
          </w:p>
        </w:tc>
      </w:tr>
      <w:tr>
        <w:trPr>
          <w:trHeight w:val="256"/>
        </w:trPr>
        <w:tc>
          <w:tcPr>
            <w:tcW w:w="24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40" w:type="dxa"/>
            <w:vAlign w:val="bottom"/>
            <w:shd w:val="clear" w:color="auto" w:fill="E5E5E5"/>
          </w:tcPr>
          <w:p>
            <w:pPr>
              <w:jc w:val="right"/>
              <w:ind w:right="11"/>
              <w:spacing w:after="0"/>
              <w:rPr>
                <w:sz w:val="20"/>
                <w:szCs w:val="20"/>
                <w:color w:val="auto"/>
              </w:rPr>
            </w:pPr>
            <w:r>
              <w:rPr>
                <w:rFonts w:ascii="Arial" w:cs="Arial" w:eastAsia="Arial" w:hAnsi="Arial"/>
                <w:sz w:val="18"/>
                <w:szCs w:val="18"/>
                <w:color w:val="auto"/>
              </w:rPr>
              <w:t>2/22/2021</w:t>
            </w:r>
          </w:p>
        </w:tc>
        <w:tc>
          <w:tcPr>
            <w:tcW w:w="160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1,174</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100,494</w:t>
            </w:r>
          </w:p>
        </w:tc>
        <w:tc>
          <w:tcPr>
            <w:tcW w:w="1940" w:type="dxa"/>
            <w:vAlign w:val="bottom"/>
            <w:shd w:val="clear" w:color="auto" w:fill="E5E5E5"/>
          </w:tcPr>
          <w:p>
            <w:pPr>
              <w:spacing w:after="0"/>
              <w:rPr>
                <w:sz w:val="22"/>
                <w:szCs w:val="22"/>
                <w:color w:val="auto"/>
              </w:rPr>
            </w:pPr>
          </w:p>
        </w:tc>
        <w:tc>
          <w:tcPr>
            <w:tcW w:w="1600" w:type="dxa"/>
            <w:vAlign w:val="bottom"/>
            <w:shd w:val="clear" w:color="auto" w:fill="E5E5E5"/>
          </w:tcPr>
          <w:p>
            <w:pPr>
              <w:spacing w:after="0"/>
              <w:rPr>
                <w:sz w:val="22"/>
                <w:szCs w:val="22"/>
                <w:color w:val="auto"/>
              </w:rPr>
            </w:pPr>
          </w:p>
        </w:tc>
      </w:tr>
      <w:tr>
        <w:trPr>
          <w:trHeight w:val="273"/>
        </w:trPr>
        <w:tc>
          <w:tcPr>
            <w:tcW w:w="24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40" w:type="dxa"/>
            <w:vAlign w:val="bottom"/>
            <w:tcBorders>
              <w:bottom w:val="single" w:sz="8" w:color="E5E5E5"/>
            </w:tcBorders>
            <w:shd w:val="clear" w:color="auto" w:fill="E5E5E5"/>
          </w:tcPr>
          <w:p>
            <w:pPr>
              <w:jc w:val="right"/>
              <w:ind w:right="11"/>
              <w:spacing w:after="0"/>
              <w:rPr>
                <w:sz w:val="20"/>
                <w:szCs w:val="20"/>
                <w:color w:val="auto"/>
              </w:rPr>
            </w:pPr>
            <w:r>
              <w:rPr>
                <w:rFonts w:ascii="Arial" w:cs="Arial" w:eastAsia="Arial" w:hAnsi="Arial"/>
                <w:sz w:val="18"/>
                <w:szCs w:val="18"/>
                <w:color w:val="auto"/>
              </w:rPr>
              <w:t>2/22/2022</w:t>
            </w:r>
          </w:p>
        </w:tc>
        <w:tc>
          <w:tcPr>
            <w:tcW w:w="1600" w:type="dxa"/>
            <w:vAlign w:val="bottom"/>
            <w:tcBorders>
              <w:bottom w:val="single" w:sz="8" w:color="E5E5E5"/>
            </w:tcBorders>
            <w:shd w:val="clear" w:color="auto" w:fill="E5E5E5"/>
          </w:tcPr>
          <w:p>
            <w:pPr>
              <w:spacing w:after="0"/>
              <w:rPr>
                <w:sz w:val="23"/>
                <w:szCs w:val="23"/>
                <w:color w:val="auto"/>
              </w:rPr>
            </w:pPr>
          </w:p>
        </w:tc>
        <w:tc>
          <w:tcPr>
            <w:tcW w:w="1100" w:type="dxa"/>
            <w:vAlign w:val="bottom"/>
            <w:tcBorders>
              <w:bottom w:val="single" w:sz="8" w:color="E5E5E5"/>
            </w:tcBorders>
            <w:shd w:val="clear" w:color="auto" w:fill="E5E5E5"/>
          </w:tcPr>
          <w:p>
            <w:pPr>
              <w:spacing w:after="0"/>
              <w:rPr>
                <w:sz w:val="23"/>
                <w:szCs w:val="23"/>
                <w:color w:val="auto"/>
              </w:rPr>
            </w:pPr>
          </w:p>
        </w:tc>
        <w:tc>
          <w:tcPr>
            <w:tcW w:w="1940" w:type="dxa"/>
            <w:vAlign w:val="bottom"/>
            <w:tcBorders>
              <w:bottom w:val="single" w:sz="8" w:color="E5E5E5"/>
            </w:tcBorders>
            <w:shd w:val="clear" w:color="auto" w:fill="E5E5E5"/>
          </w:tcPr>
          <w:p>
            <w:pPr>
              <w:jc w:val="right"/>
              <w:ind w:right="456"/>
              <w:spacing w:after="0"/>
              <w:rPr>
                <w:sz w:val="20"/>
                <w:szCs w:val="20"/>
                <w:color w:val="auto"/>
              </w:rPr>
            </w:pPr>
            <w:r>
              <w:rPr>
                <w:rFonts w:ascii="Arial" w:cs="Arial" w:eastAsia="Arial" w:hAnsi="Arial"/>
                <w:sz w:val="18"/>
                <w:szCs w:val="18"/>
                <w:color w:val="auto"/>
              </w:rPr>
              <w:t>3,060</w:t>
            </w:r>
          </w:p>
        </w:tc>
        <w:tc>
          <w:tcPr>
            <w:tcW w:w="1600" w:type="dxa"/>
            <w:vAlign w:val="bottom"/>
            <w:tcBorders>
              <w:bottom w:val="single" w:sz="8" w:color="E5E5E5"/>
            </w:tcBorders>
            <w:shd w:val="clear" w:color="auto" w:fill="E5E5E5"/>
          </w:tcPr>
          <w:p>
            <w:pPr>
              <w:jc w:val="right"/>
              <w:ind w:right="176"/>
              <w:spacing w:after="0"/>
              <w:rPr>
                <w:sz w:val="20"/>
                <w:szCs w:val="20"/>
                <w:color w:val="auto"/>
              </w:rPr>
            </w:pPr>
            <w:r>
              <w:rPr>
                <w:rFonts w:ascii="Arial" w:cs="Arial" w:eastAsia="Arial" w:hAnsi="Arial"/>
                <w:sz w:val="18"/>
                <w:szCs w:val="18"/>
                <w:color w:val="auto"/>
              </w:rPr>
              <w:t>261,936</w:t>
            </w:r>
          </w:p>
        </w:tc>
      </w:tr>
      <w:tr>
        <w:trPr>
          <w:trHeight w:val="27"/>
        </w:trPr>
        <w:tc>
          <w:tcPr>
            <w:tcW w:w="2460" w:type="dxa"/>
            <w:vAlign w:val="bottom"/>
            <w:shd w:val="clear" w:color="auto" w:fill="002060"/>
          </w:tcPr>
          <w:p>
            <w:pPr>
              <w:spacing w:after="0"/>
              <w:rPr>
                <w:sz w:val="2"/>
                <w:szCs w:val="2"/>
                <w:color w:val="auto"/>
              </w:rPr>
            </w:pPr>
          </w:p>
        </w:tc>
        <w:tc>
          <w:tcPr>
            <w:tcW w:w="1080" w:type="dxa"/>
            <w:vAlign w:val="bottom"/>
            <w:shd w:val="clear" w:color="auto" w:fill="002060"/>
          </w:tcPr>
          <w:p>
            <w:pPr>
              <w:spacing w:after="0"/>
              <w:rPr>
                <w:sz w:val="2"/>
                <w:szCs w:val="2"/>
                <w:color w:val="auto"/>
              </w:rPr>
            </w:pPr>
          </w:p>
        </w:tc>
        <w:tc>
          <w:tcPr>
            <w:tcW w:w="1240" w:type="dxa"/>
            <w:vAlign w:val="bottom"/>
            <w:shd w:val="clear" w:color="auto" w:fill="002060"/>
          </w:tcPr>
          <w:p>
            <w:pPr>
              <w:spacing w:after="0"/>
              <w:rPr>
                <w:sz w:val="2"/>
                <w:szCs w:val="2"/>
                <w:color w:val="auto"/>
              </w:rPr>
            </w:pPr>
          </w:p>
        </w:tc>
        <w:tc>
          <w:tcPr>
            <w:tcW w:w="1600" w:type="dxa"/>
            <w:vAlign w:val="bottom"/>
            <w:shd w:val="clear" w:color="auto" w:fill="002060"/>
          </w:tcPr>
          <w:p>
            <w:pPr>
              <w:spacing w:after="0"/>
              <w:rPr>
                <w:sz w:val="2"/>
                <w:szCs w:val="2"/>
                <w:color w:val="auto"/>
              </w:rPr>
            </w:pPr>
          </w:p>
        </w:tc>
        <w:tc>
          <w:tcPr>
            <w:tcW w:w="1100" w:type="dxa"/>
            <w:vAlign w:val="bottom"/>
            <w:shd w:val="clear" w:color="auto" w:fill="002060"/>
          </w:tcPr>
          <w:p>
            <w:pPr>
              <w:spacing w:after="0"/>
              <w:rPr>
                <w:sz w:val="2"/>
                <w:szCs w:val="2"/>
                <w:color w:val="auto"/>
              </w:rPr>
            </w:pPr>
          </w:p>
        </w:tc>
        <w:tc>
          <w:tcPr>
            <w:tcW w:w="1940" w:type="dxa"/>
            <w:vAlign w:val="bottom"/>
            <w:shd w:val="clear" w:color="auto" w:fill="002060"/>
          </w:tcPr>
          <w:p>
            <w:pPr>
              <w:spacing w:after="0"/>
              <w:rPr>
                <w:sz w:val="2"/>
                <w:szCs w:val="2"/>
                <w:color w:val="auto"/>
              </w:rPr>
            </w:pPr>
          </w:p>
        </w:tc>
        <w:tc>
          <w:tcPr>
            <w:tcW w:w="1600" w:type="dxa"/>
            <w:vAlign w:val="bottom"/>
            <w:shd w:val="clear" w:color="auto" w:fill="00206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-2794000</wp:posOffset>
            </wp:positionV>
            <wp:extent cx="8255" cy="27774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27774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-2794000</wp:posOffset>
            </wp:positionV>
            <wp:extent cx="8890" cy="27774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27774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-2794000</wp:posOffset>
            </wp:positionV>
            <wp:extent cx="8255" cy="27774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27774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-2794000</wp:posOffset>
            </wp:positionV>
            <wp:extent cx="8890" cy="27774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2777490"/>
                    </a:xfrm>
                    <a:prstGeom prst="rect">
                      <a:avLst/>
                    </a:prstGeom>
                    <a:noFill/>
                  </pic:spPr>
                </pic:pic>
              </a:graphicData>
            </a:graphic>
          </wp:anchor>
        </w:drawing>
      </w:r>
    </w:p>
    <w:p>
      <w:pPr>
        <w:spacing w:after="0" w:line="42" w:lineRule="exact"/>
        <w:rPr>
          <w:sz w:val="20"/>
          <w:szCs w:val="20"/>
          <w:color w:val="auto"/>
        </w:rPr>
      </w:pPr>
    </w:p>
    <w:p>
      <w:pPr>
        <w:ind w:left="880" w:right="720" w:hanging="548"/>
        <w:spacing w:after="0" w:line="271"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market value of unvested stock was determined by multiplying the closing price of the Company’s common stock on December 31, 2022 ($85.60) by the number of shares.</w:t>
      </w:r>
    </w:p>
    <w:p>
      <w:pPr>
        <w:spacing w:after="0" w:line="59" w:lineRule="exact"/>
        <w:rPr>
          <w:rFonts w:ascii="Arial" w:cs="Arial" w:eastAsia="Arial" w:hAnsi="Arial"/>
          <w:sz w:val="18"/>
          <w:szCs w:val="18"/>
          <w:color w:val="auto"/>
        </w:rPr>
      </w:pPr>
    </w:p>
    <w:p>
      <w:pPr>
        <w:ind w:left="880" w:right="780" w:hanging="548"/>
        <w:spacing w:after="0" w:line="271"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Although the performance criteria was satisfied for the 2020 performance period, the shares remain subject to a vesting schedule. The shares vest April 20, 2023.</w:t>
      </w:r>
    </w:p>
    <w:p>
      <w:pPr>
        <w:spacing w:after="0" w:line="59" w:lineRule="exact"/>
        <w:rPr>
          <w:rFonts w:ascii="Arial" w:cs="Arial" w:eastAsia="Arial" w:hAnsi="Arial"/>
          <w:sz w:val="18"/>
          <w:szCs w:val="18"/>
          <w:color w:val="auto"/>
        </w:rPr>
      </w:pPr>
    </w:p>
    <w:p>
      <w:pPr>
        <w:ind w:left="880" w:right="180" w:hanging="548"/>
        <w:spacing w:after="0" w:line="301"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Although the performance criteria was satisfied for the 2021 performance period, the shares remain subject to a vesting schedule. The shares vest in two equal installments (rounded to the nearest whole share) on April 20, 2023 and April 20, 2024.</w:t>
      </w:r>
    </w:p>
    <w:p>
      <w:pPr>
        <w:spacing w:after="0" w:line="36" w:lineRule="exact"/>
        <w:rPr>
          <w:rFonts w:ascii="Arial" w:cs="Arial" w:eastAsia="Arial" w:hAnsi="Arial"/>
          <w:sz w:val="17"/>
          <w:szCs w:val="17"/>
          <w:color w:val="auto"/>
        </w:rPr>
      </w:pPr>
    </w:p>
    <w:p>
      <w:pPr>
        <w:ind w:left="880" w:right="240" w:hanging="548"/>
        <w:spacing w:after="0" w:line="253"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February 2023, the Compensation and Human Capital Committee determined that the performance criteria was satisfied for the 2022 performance period, the shares remain subject to a vesting schedule. The shares vest in two equal installments (rounded to the nearest whole share) on April 20, 2024 and 2025.</w:t>
      </w:r>
    </w:p>
    <w:p>
      <w:pPr>
        <w:spacing w:after="0" w:line="74" w:lineRule="exact"/>
        <w:rPr>
          <w:rFonts w:ascii="Arial" w:cs="Arial" w:eastAsia="Arial" w:hAnsi="Arial"/>
          <w:sz w:val="18"/>
          <w:szCs w:val="18"/>
          <w:color w:val="auto"/>
        </w:rPr>
      </w:pPr>
    </w:p>
    <w:p>
      <w:pPr>
        <w:ind w:left="880" w:hanging="548"/>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awarded November 3, 2020, which vest April 20, 2023.</w:t>
      </w:r>
    </w:p>
    <w:p>
      <w:pPr>
        <w:spacing w:after="0" w:line="117" w:lineRule="exact"/>
        <w:rPr>
          <w:rFonts w:ascii="Arial" w:cs="Arial" w:eastAsia="Arial" w:hAnsi="Arial"/>
          <w:sz w:val="18"/>
          <w:szCs w:val="18"/>
          <w:color w:val="auto"/>
        </w:rPr>
      </w:pPr>
    </w:p>
    <w:p>
      <w:pPr>
        <w:ind w:left="880" w:hanging="548"/>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awarded April 16, 2020, which vest April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103505</wp:posOffset>
            </wp:positionV>
            <wp:extent cx="291465" cy="2654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237"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Executive Compensation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69</w:t>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Stock Vested as of December 31, 2022</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contains information on equity awards held by our NEOs that vested in 2022:</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96"/>
        </w:trPr>
        <w:tc>
          <w:tcPr>
            <w:tcW w:w="5460" w:type="dxa"/>
            <w:vAlign w:val="bottom"/>
          </w:tcPr>
          <w:p>
            <w:pPr>
              <w:spacing w:after="0"/>
              <w:rPr>
                <w:sz w:val="17"/>
                <w:szCs w:val="17"/>
                <w:color w:val="auto"/>
              </w:rPr>
            </w:pPr>
          </w:p>
        </w:tc>
        <w:tc>
          <w:tcPr>
            <w:tcW w:w="1960" w:type="dxa"/>
            <w:vAlign w:val="bottom"/>
            <w:tcBorders>
              <w:bottom w:val="single" w:sz="8" w:color="002060"/>
            </w:tcBorders>
            <w:shd w:val="clear" w:color="auto" w:fill="E0E0E0"/>
          </w:tcPr>
          <w:p>
            <w:pPr>
              <w:spacing w:after="0"/>
              <w:rPr>
                <w:sz w:val="17"/>
                <w:szCs w:val="17"/>
                <w:color w:val="auto"/>
              </w:rPr>
            </w:pPr>
          </w:p>
        </w:tc>
        <w:tc>
          <w:tcPr>
            <w:tcW w:w="2700" w:type="dxa"/>
            <w:vAlign w:val="bottom"/>
            <w:tcBorders>
              <w:bottom w:val="single" w:sz="8" w:color="002060"/>
            </w:tcBorders>
            <w:shd w:val="clear" w:color="auto" w:fill="E0E0E0"/>
          </w:tcPr>
          <w:p>
            <w:pPr>
              <w:jc w:val="right"/>
              <w:ind w:right="1498"/>
              <w:spacing w:after="0"/>
              <w:rPr>
                <w:sz w:val="20"/>
                <w:szCs w:val="20"/>
                <w:color w:val="auto"/>
              </w:rPr>
            </w:pPr>
            <w:r>
              <w:rPr>
                <w:rFonts w:ascii="Arial" w:cs="Arial" w:eastAsia="Arial" w:hAnsi="Arial"/>
                <w:sz w:val="14"/>
                <w:szCs w:val="14"/>
                <w:b w:val="1"/>
                <w:bCs w:val="1"/>
                <w:color w:val="1F4E79"/>
              </w:rPr>
              <w:t>Stock Awards</w:t>
            </w:r>
          </w:p>
        </w:tc>
      </w:tr>
      <w:tr>
        <w:trPr>
          <w:trHeight w:val="166"/>
        </w:trPr>
        <w:tc>
          <w:tcPr>
            <w:tcW w:w="5460" w:type="dxa"/>
            <w:vAlign w:val="bottom"/>
          </w:tcPr>
          <w:p>
            <w:pPr>
              <w:spacing w:after="0"/>
              <w:rPr>
                <w:sz w:val="14"/>
                <w:szCs w:val="14"/>
                <w:color w:val="auto"/>
              </w:rPr>
            </w:pPr>
          </w:p>
        </w:tc>
        <w:tc>
          <w:tcPr>
            <w:tcW w:w="1960" w:type="dxa"/>
            <w:vAlign w:val="bottom"/>
            <w:shd w:val="clear" w:color="auto" w:fill="E0E0E0"/>
          </w:tcPr>
          <w:p>
            <w:pPr>
              <w:jc w:val="center"/>
              <w:ind w:left="477"/>
              <w:spacing w:after="0"/>
              <w:rPr>
                <w:sz w:val="20"/>
                <w:szCs w:val="20"/>
                <w:color w:val="auto"/>
              </w:rPr>
            </w:pPr>
            <w:r>
              <w:rPr>
                <w:rFonts w:ascii="Arial" w:cs="Arial" w:eastAsia="Arial" w:hAnsi="Arial"/>
                <w:sz w:val="14"/>
                <w:szCs w:val="14"/>
                <w:b w:val="1"/>
                <w:bCs w:val="1"/>
                <w:color w:val="1F4E79"/>
              </w:rPr>
              <w:t>Number of Shares</w:t>
            </w:r>
          </w:p>
        </w:tc>
        <w:tc>
          <w:tcPr>
            <w:tcW w:w="2700" w:type="dxa"/>
            <w:vAlign w:val="bottom"/>
            <w:shd w:val="clear" w:color="auto" w:fill="E0E0E0"/>
          </w:tcPr>
          <w:p>
            <w:pPr>
              <w:jc w:val="center"/>
              <w:ind w:left="558"/>
              <w:spacing w:after="0"/>
              <w:rPr>
                <w:sz w:val="20"/>
                <w:szCs w:val="20"/>
                <w:color w:val="auto"/>
              </w:rPr>
            </w:pPr>
            <w:r>
              <w:rPr>
                <w:rFonts w:ascii="Arial" w:cs="Arial" w:eastAsia="Arial" w:hAnsi="Arial"/>
                <w:sz w:val="14"/>
                <w:szCs w:val="14"/>
                <w:b w:val="1"/>
                <w:bCs w:val="1"/>
                <w:color w:val="1F4E79"/>
              </w:rPr>
              <w:t>Value Realized on</w:t>
            </w:r>
          </w:p>
        </w:tc>
      </w:tr>
      <w:tr>
        <w:trPr>
          <w:trHeight w:val="162"/>
        </w:trPr>
        <w:tc>
          <w:tcPr>
            <w:tcW w:w="5460" w:type="dxa"/>
            <w:vAlign w:val="bottom"/>
          </w:tcPr>
          <w:p>
            <w:pPr>
              <w:spacing w:after="0"/>
              <w:rPr>
                <w:sz w:val="14"/>
                <w:szCs w:val="14"/>
                <w:color w:val="auto"/>
              </w:rPr>
            </w:pPr>
          </w:p>
        </w:tc>
        <w:tc>
          <w:tcPr>
            <w:tcW w:w="1960" w:type="dxa"/>
            <w:vAlign w:val="bottom"/>
            <w:shd w:val="clear" w:color="auto" w:fill="E0E0E0"/>
          </w:tcPr>
          <w:p>
            <w:pPr>
              <w:jc w:val="center"/>
              <w:ind w:left="457"/>
              <w:spacing w:after="0"/>
              <w:rPr>
                <w:sz w:val="20"/>
                <w:szCs w:val="20"/>
                <w:color w:val="auto"/>
              </w:rPr>
            </w:pPr>
            <w:r>
              <w:rPr>
                <w:rFonts w:ascii="Arial" w:cs="Arial" w:eastAsia="Arial" w:hAnsi="Arial"/>
                <w:sz w:val="14"/>
                <w:szCs w:val="14"/>
                <w:b w:val="1"/>
                <w:bCs w:val="1"/>
                <w:color w:val="1F4E79"/>
              </w:rPr>
              <w:t>Acquired on Vesting</w:t>
            </w:r>
          </w:p>
        </w:tc>
        <w:tc>
          <w:tcPr>
            <w:tcW w:w="2700" w:type="dxa"/>
            <w:vAlign w:val="bottom"/>
            <w:shd w:val="clear" w:color="auto" w:fill="E0E0E0"/>
          </w:tcPr>
          <w:p>
            <w:pPr>
              <w:jc w:val="center"/>
              <w:ind w:left="558"/>
              <w:spacing w:after="0"/>
              <w:rPr>
                <w:sz w:val="20"/>
                <w:szCs w:val="20"/>
                <w:color w:val="auto"/>
              </w:rPr>
            </w:pPr>
            <w:r>
              <w:rPr>
                <w:rFonts w:ascii="Arial" w:cs="Arial" w:eastAsia="Arial" w:hAnsi="Arial"/>
                <w:sz w:val="14"/>
                <w:szCs w:val="14"/>
                <w:b w:val="1"/>
                <w:bCs w:val="1"/>
                <w:color w:val="1F4E79"/>
                <w:w w:val="98"/>
              </w:rPr>
              <w:t>Vesting</w:t>
            </w:r>
          </w:p>
        </w:tc>
      </w:tr>
      <w:tr>
        <w:trPr>
          <w:trHeight w:val="178"/>
        </w:trPr>
        <w:tc>
          <w:tcPr>
            <w:tcW w:w="5460" w:type="dxa"/>
            <w:vAlign w:val="bottom"/>
            <w:tcBorders>
              <w:bottom w:val="single" w:sz="8" w:color="002060"/>
            </w:tcBorders>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Borders>
              <w:bottom w:val="single" w:sz="8" w:color="002060"/>
            </w:tcBorders>
            <w:shd w:val="clear" w:color="auto" w:fill="E0E0E0"/>
          </w:tcPr>
          <w:p>
            <w:pPr>
              <w:jc w:val="center"/>
              <w:ind w:left="457"/>
              <w:spacing w:after="0"/>
              <w:rPr>
                <w:sz w:val="20"/>
                <w:szCs w:val="20"/>
                <w:color w:val="auto"/>
              </w:rPr>
            </w:pPr>
            <w:r>
              <w:rPr>
                <w:rFonts w:ascii="Arial" w:cs="Arial" w:eastAsia="Arial" w:hAnsi="Arial"/>
                <w:sz w:val="14"/>
                <w:szCs w:val="14"/>
                <w:b w:val="1"/>
                <w:bCs w:val="1"/>
                <w:color w:val="1F4E79"/>
              </w:rPr>
              <w:t>(#)</w:t>
            </w:r>
          </w:p>
        </w:tc>
        <w:tc>
          <w:tcPr>
            <w:tcW w:w="2700" w:type="dxa"/>
            <w:vAlign w:val="bottom"/>
            <w:tcBorders>
              <w:bottom w:val="single" w:sz="8" w:color="002060"/>
            </w:tcBorders>
            <w:shd w:val="clear" w:color="auto" w:fill="E0E0E0"/>
          </w:tcPr>
          <w:p>
            <w:pPr>
              <w:jc w:val="center"/>
              <w:ind w:left="558"/>
              <w:spacing w:after="0"/>
              <w:rPr>
                <w:sz w:val="20"/>
                <w:szCs w:val="20"/>
                <w:color w:val="auto"/>
              </w:rPr>
            </w:pPr>
            <w:r>
              <w:rPr>
                <w:rFonts w:ascii="Arial" w:cs="Arial" w:eastAsia="Arial" w:hAnsi="Arial"/>
                <w:sz w:val="14"/>
                <w:szCs w:val="14"/>
                <w:b w:val="1"/>
                <w:bCs w:val="1"/>
                <w:color w:val="1F4E79"/>
                <w:w w:val="99"/>
              </w:rPr>
              <w:t>($)(1)</w:t>
            </w:r>
          </w:p>
        </w:tc>
      </w:tr>
      <w:tr>
        <w:trPr>
          <w:trHeight w:val="203"/>
        </w:trPr>
        <w:tc>
          <w:tcPr>
            <w:tcW w:w="5460" w:type="dxa"/>
            <w:vAlign w:val="bottom"/>
            <w:tcBorders>
              <w:bottom w:val="single" w:sz="8" w:color="002060"/>
            </w:tcBorders>
          </w:tcPr>
          <w:p>
            <w:pPr>
              <w:ind w:left="100"/>
              <w:spacing w:after="0" w:line="202" w:lineRule="exact"/>
              <w:rPr>
                <w:sz w:val="20"/>
                <w:szCs w:val="20"/>
                <w:color w:val="auto"/>
              </w:rPr>
            </w:pPr>
            <w:r>
              <w:rPr>
                <w:rFonts w:ascii="Arial" w:cs="Arial" w:eastAsia="Arial" w:hAnsi="Arial"/>
                <w:sz w:val="18"/>
                <w:szCs w:val="18"/>
                <w:color w:val="auto"/>
              </w:rPr>
              <w:t>Jeffrey W. Edwards</w:t>
            </w:r>
          </w:p>
        </w:tc>
        <w:tc>
          <w:tcPr>
            <w:tcW w:w="1960" w:type="dxa"/>
            <w:vAlign w:val="bottom"/>
            <w:tcBorders>
              <w:bottom w:val="single" w:sz="8" w:color="002060"/>
            </w:tcBorders>
            <w:shd w:val="clear" w:color="auto" w:fill="E0E0E0"/>
          </w:tcPr>
          <w:p>
            <w:pPr>
              <w:jc w:val="right"/>
              <w:ind w:right="237"/>
              <w:spacing w:after="0" w:line="202" w:lineRule="exact"/>
              <w:rPr>
                <w:sz w:val="20"/>
                <w:szCs w:val="20"/>
                <w:color w:val="auto"/>
              </w:rPr>
            </w:pPr>
            <w:r>
              <w:rPr>
                <w:rFonts w:ascii="Arial" w:cs="Arial" w:eastAsia="Arial" w:hAnsi="Arial"/>
                <w:sz w:val="18"/>
                <w:szCs w:val="18"/>
                <w:color w:val="auto"/>
              </w:rPr>
              <w:t>38,140</w:t>
            </w:r>
          </w:p>
        </w:tc>
        <w:tc>
          <w:tcPr>
            <w:tcW w:w="2700" w:type="dxa"/>
            <w:vAlign w:val="bottom"/>
            <w:tcBorders>
              <w:bottom w:val="single" w:sz="8" w:color="002060"/>
            </w:tcBorders>
            <w:shd w:val="clear" w:color="auto" w:fill="E0E0E0"/>
          </w:tcPr>
          <w:p>
            <w:pPr>
              <w:jc w:val="right"/>
              <w:ind w:right="518"/>
              <w:spacing w:after="0" w:line="202" w:lineRule="exact"/>
              <w:rPr>
                <w:sz w:val="20"/>
                <w:szCs w:val="20"/>
                <w:color w:val="auto"/>
              </w:rPr>
            </w:pPr>
            <w:r>
              <w:rPr>
                <w:rFonts w:ascii="Arial" w:cs="Arial" w:eastAsia="Arial" w:hAnsi="Arial"/>
                <w:sz w:val="18"/>
                <w:szCs w:val="18"/>
                <w:color w:val="auto"/>
              </w:rPr>
              <w:t>3,235,416</w:t>
            </w:r>
          </w:p>
        </w:tc>
      </w:tr>
      <w:tr>
        <w:trPr>
          <w:trHeight w:val="196"/>
        </w:trPr>
        <w:tc>
          <w:tcPr>
            <w:tcW w:w="546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Michael T. Miller</w:t>
            </w:r>
          </w:p>
        </w:tc>
        <w:tc>
          <w:tcPr>
            <w:tcW w:w="1960" w:type="dxa"/>
            <w:vAlign w:val="bottom"/>
            <w:tcBorders>
              <w:bottom w:val="single" w:sz="8" w:color="002060"/>
            </w:tcBorders>
            <w:shd w:val="clear" w:color="auto" w:fill="E0E0E0"/>
          </w:tcPr>
          <w:p>
            <w:pPr>
              <w:jc w:val="right"/>
              <w:ind w:right="237"/>
              <w:spacing w:after="0" w:line="196" w:lineRule="exact"/>
              <w:rPr>
                <w:sz w:val="20"/>
                <w:szCs w:val="20"/>
                <w:color w:val="auto"/>
              </w:rPr>
            </w:pPr>
            <w:r>
              <w:rPr>
                <w:rFonts w:ascii="Arial" w:cs="Arial" w:eastAsia="Arial" w:hAnsi="Arial"/>
                <w:sz w:val="18"/>
                <w:szCs w:val="18"/>
                <w:color w:val="auto"/>
              </w:rPr>
              <w:t>13,350</w:t>
            </w:r>
          </w:p>
        </w:tc>
        <w:tc>
          <w:tcPr>
            <w:tcW w:w="2700" w:type="dxa"/>
            <w:vAlign w:val="bottom"/>
            <w:tcBorders>
              <w:bottom w:val="single" w:sz="8" w:color="002060"/>
            </w:tcBorders>
            <w:shd w:val="clear" w:color="auto" w:fill="E0E0E0"/>
          </w:tcPr>
          <w:p>
            <w:pPr>
              <w:jc w:val="right"/>
              <w:ind w:right="518"/>
              <w:spacing w:after="0" w:line="196" w:lineRule="exact"/>
              <w:rPr>
                <w:sz w:val="20"/>
                <w:szCs w:val="20"/>
                <w:color w:val="auto"/>
              </w:rPr>
            </w:pPr>
            <w:r>
              <w:rPr>
                <w:rFonts w:ascii="Arial" w:cs="Arial" w:eastAsia="Arial" w:hAnsi="Arial"/>
                <w:sz w:val="18"/>
                <w:szCs w:val="18"/>
                <w:color w:val="auto"/>
              </w:rPr>
              <w:t>1,132,481</w:t>
            </w:r>
          </w:p>
        </w:tc>
      </w:tr>
      <w:tr>
        <w:trPr>
          <w:trHeight w:val="196"/>
        </w:trPr>
        <w:tc>
          <w:tcPr>
            <w:tcW w:w="546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Jay P. Elliott</w:t>
            </w:r>
          </w:p>
        </w:tc>
        <w:tc>
          <w:tcPr>
            <w:tcW w:w="1960" w:type="dxa"/>
            <w:vAlign w:val="bottom"/>
            <w:tcBorders>
              <w:bottom w:val="single" w:sz="8" w:color="002060"/>
            </w:tcBorders>
            <w:shd w:val="clear" w:color="auto" w:fill="E0E0E0"/>
          </w:tcPr>
          <w:p>
            <w:pPr>
              <w:jc w:val="right"/>
              <w:ind w:right="237"/>
              <w:spacing w:after="0" w:line="196" w:lineRule="exact"/>
              <w:rPr>
                <w:sz w:val="20"/>
                <w:szCs w:val="20"/>
                <w:color w:val="auto"/>
              </w:rPr>
            </w:pPr>
            <w:r>
              <w:rPr>
                <w:rFonts w:ascii="Arial" w:cs="Arial" w:eastAsia="Arial" w:hAnsi="Arial"/>
                <w:sz w:val="18"/>
                <w:szCs w:val="18"/>
                <w:color w:val="auto"/>
              </w:rPr>
              <w:t>14,303</w:t>
            </w:r>
          </w:p>
        </w:tc>
        <w:tc>
          <w:tcPr>
            <w:tcW w:w="2700" w:type="dxa"/>
            <w:vAlign w:val="bottom"/>
            <w:tcBorders>
              <w:bottom w:val="single" w:sz="8" w:color="002060"/>
            </w:tcBorders>
            <w:shd w:val="clear" w:color="auto" w:fill="E0E0E0"/>
          </w:tcPr>
          <w:p>
            <w:pPr>
              <w:jc w:val="right"/>
              <w:ind w:right="518"/>
              <w:spacing w:after="0" w:line="196" w:lineRule="exact"/>
              <w:rPr>
                <w:sz w:val="20"/>
                <w:szCs w:val="20"/>
                <w:color w:val="auto"/>
              </w:rPr>
            </w:pPr>
            <w:r>
              <w:rPr>
                <w:rFonts w:ascii="Arial" w:cs="Arial" w:eastAsia="Arial" w:hAnsi="Arial"/>
                <w:sz w:val="18"/>
                <w:szCs w:val="18"/>
                <w:color w:val="auto"/>
              </w:rPr>
              <w:t>1,213,323</w:t>
            </w:r>
          </w:p>
        </w:tc>
      </w:tr>
      <w:tr>
        <w:trPr>
          <w:trHeight w:val="196"/>
        </w:trPr>
        <w:tc>
          <w:tcPr>
            <w:tcW w:w="546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W. Jeffrey Hire</w:t>
            </w:r>
          </w:p>
        </w:tc>
        <w:tc>
          <w:tcPr>
            <w:tcW w:w="1960" w:type="dxa"/>
            <w:vAlign w:val="bottom"/>
            <w:tcBorders>
              <w:bottom w:val="single" w:sz="8" w:color="002060"/>
            </w:tcBorders>
            <w:shd w:val="clear" w:color="auto" w:fill="E0E0E0"/>
          </w:tcPr>
          <w:p>
            <w:pPr>
              <w:jc w:val="right"/>
              <w:ind w:right="237"/>
              <w:spacing w:after="0" w:line="196" w:lineRule="exact"/>
              <w:rPr>
                <w:sz w:val="20"/>
                <w:szCs w:val="20"/>
                <w:color w:val="auto"/>
              </w:rPr>
            </w:pPr>
            <w:r>
              <w:rPr>
                <w:rFonts w:ascii="Arial" w:cs="Arial" w:eastAsia="Arial" w:hAnsi="Arial"/>
                <w:sz w:val="18"/>
                <w:szCs w:val="18"/>
                <w:color w:val="auto"/>
              </w:rPr>
              <w:t>2,173</w:t>
            </w:r>
          </w:p>
        </w:tc>
        <w:tc>
          <w:tcPr>
            <w:tcW w:w="2700" w:type="dxa"/>
            <w:vAlign w:val="bottom"/>
            <w:tcBorders>
              <w:bottom w:val="single" w:sz="8" w:color="002060"/>
            </w:tcBorders>
            <w:shd w:val="clear" w:color="auto" w:fill="E0E0E0"/>
          </w:tcPr>
          <w:p>
            <w:pPr>
              <w:jc w:val="right"/>
              <w:ind w:right="518"/>
              <w:spacing w:after="0" w:line="196" w:lineRule="exact"/>
              <w:rPr>
                <w:sz w:val="20"/>
                <w:szCs w:val="20"/>
                <w:color w:val="auto"/>
              </w:rPr>
            </w:pPr>
            <w:r>
              <w:rPr>
                <w:rFonts w:ascii="Arial" w:cs="Arial" w:eastAsia="Arial" w:hAnsi="Arial"/>
                <w:sz w:val="18"/>
                <w:szCs w:val="18"/>
                <w:color w:val="auto"/>
              </w:rPr>
              <w:t>184,336</w:t>
            </w:r>
          </w:p>
        </w:tc>
      </w:tr>
      <w:tr>
        <w:trPr>
          <w:trHeight w:val="203"/>
        </w:trPr>
        <w:tc>
          <w:tcPr>
            <w:tcW w:w="546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Jason R. Niswonger</w:t>
            </w:r>
          </w:p>
        </w:tc>
        <w:tc>
          <w:tcPr>
            <w:tcW w:w="1960" w:type="dxa"/>
            <w:vAlign w:val="bottom"/>
            <w:tcBorders>
              <w:bottom w:val="single" w:sz="8" w:color="002060"/>
            </w:tcBorders>
            <w:shd w:val="clear" w:color="auto" w:fill="E0E0E0"/>
          </w:tcPr>
          <w:p>
            <w:pPr>
              <w:jc w:val="right"/>
              <w:ind w:right="237"/>
              <w:spacing w:after="0" w:line="196" w:lineRule="exact"/>
              <w:rPr>
                <w:sz w:val="20"/>
                <w:szCs w:val="20"/>
                <w:color w:val="auto"/>
              </w:rPr>
            </w:pPr>
            <w:r>
              <w:rPr>
                <w:rFonts w:ascii="Arial" w:cs="Arial" w:eastAsia="Arial" w:hAnsi="Arial"/>
                <w:sz w:val="18"/>
                <w:szCs w:val="18"/>
                <w:color w:val="auto"/>
              </w:rPr>
              <w:t>2,077</w:t>
            </w:r>
          </w:p>
        </w:tc>
        <w:tc>
          <w:tcPr>
            <w:tcW w:w="2700" w:type="dxa"/>
            <w:vAlign w:val="bottom"/>
            <w:tcBorders>
              <w:bottom w:val="single" w:sz="8" w:color="002060"/>
            </w:tcBorders>
            <w:shd w:val="clear" w:color="auto" w:fill="E0E0E0"/>
          </w:tcPr>
          <w:p>
            <w:pPr>
              <w:jc w:val="right"/>
              <w:ind w:right="518"/>
              <w:spacing w:after="0" w:line="196" w:lineRule="exact"/>
              <w:rPr>
                <w:sz w:val="20"/>
                <w:szCs w:val="20"/>
                <w:color w:val="auto"/>
              </w:rPr>
            </w:pPr>
            <w:r>
              <w:rPr>
                <w:rFonts w:ascii="Arial" w:cs="Arial" w:eastAsia="Arial" w:hAnsi="Arial"/>
                <w:sz w:val="18"/>
                <w:szCs w:val="18"/>
                <w:color w:val="auto"/>
              </w:rPr>
              <w:t>176,192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-693420</wp:posOffset>
            </wp:positionV>
            <wp:extent cx="8255" cy="677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677545"/>
                    </a:xfrm>
                    <a:prstGeom prst="rect">
                      <a:avLst/>
                    </a:prstGeom>
                    <a:noFill/>
                  </pic:spPr>
                </pic:pic>
              </a:graphicData>
            </a:graphic>
          </wp:anchor>
        </w:drawing>
      </w:r>
    </w:p>
    <w:p>
      <w:pPr>
        <w:spacing w:after="0" w:line="83" w:lineRule="exact"/>
        <w:rPr>
          <w:sz w:val="20"/>
          <w:szCs w:val="20"/>
          <w:color w:val="auto"/>
        </w:rPr>
      </w:pPr>
    </w:p>
    <w:p>
      <w:pPr>
        <w:ind w:left="1080" w:right="420" w:hanging="424"/>
        <w:spacing w:after="0" w:line="271"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value realized on vesting was determined by multiplying the closing price of our common stock on the vesting date of April 20, 2022 ($84.83) by the number of shares vested.</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Pension Benefits</w:t>
      </w:r>
    </w:p>
    <w:p>
      <w:pPr>
        <w:spacing w:after="0" w:line="212" w:lineRule="exact"/>
        <w:rPr>
          <w:sz w:val="20"/>
          <w:szCs w:val="20"/>
          <w:color w:val="auto"/>
        </w:rPr>
      </w:pPr>
    </w:p>
    <w:p>
      <w:pPr>
        <w:jc w:val="both"/>
        <w:ind w:left="120" w:right="440"/>
        <w:spacing w:after="0" w:line="253" w:lineRule="auto"/>
        <w:rPr>
          <w:sz w:val="20"/>
          <w:szCs w:val="20"/>
          <w:color w:val="auto"/>
        </w:rPr>
      </w:pPr>
      <w:r>
        <w:rPr>
          <w:rFonts w:ascii="Arial" w:cs="Arial" w:eastAsia="Arial" w:hAnsi="Arial"/>
          <w:sz w:val="18"/>
          <w:szCs w:val="18"/>
          <w:color w:val="auto"/>
        </w:rPr>
        <w:t>We do not provide any qualified or non-qualified defined pension benefit plans for our NEOs. The Compensation and Human Capital Committee may elect to adopt such plans in the future if it determines that doing so best serves the interests of the Company and our stockholders.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Non-Qualified Deferred Compensation</w:t>
      </w:r>
    </w:p>
    <w:p>
      <w:pPr>
        <w:spacing w:after="0" w:line="212" w:lineRule="exact"/>
        <w:rPr>
          <w:sz w:val="20"/>
          <w:szCs w:val="20"/>
          <w:color w:val="auto"/>
        </w:rPr>
      </w:pPr>
    </w:p>
    <w:p>
      <w:pPr>
        <w:ind w:left="120" w:right="20"/>
        <w:spacing w:after="0" w:line="250" w:lineRule="auto"/>
        <w:rPr>
          <w:sz w:val="20"/>
          <w:szCs w:val="20"/>
          <w:color w:val="auto"/>
        </w:rPr>
      </w:pPr>
      <w:r>
        <w:rPr>
          <w:rFonts w:ascii="Arial" w:cs="Arial" w:eastAsia="Arial" w:hAnsi="Arial"/>
          <w:sz w:val="17"/>
          <w:szCs w:val="17"/>
          <w:color w:val="auto"/>
        </w:rPr>
        <w:t>Effective January 1, 2020, we adopted an unfunded non-qualified deferred compensation plan to allow our executive officers and other highly compensated employees to defer a portion of their eligible compensation above the limits in our 401(k) plan. The Company adopted a “rabbi trust” to fund benefits under the plan, which is an irrevocable trust, but is subject to the claims of the Company’s creditors. Under the terms of the plan, eligible individuals, including our named executive officers, may annually elect to defer a portion of eligible compensation, primarily base salary, commission and cash bonuses. Deferral elections are irrevocable once made and remain in effect for the calendar year of the election. The Company may elect to provide a discretionary matching contribution or a discretionary non-elective contribution in any year. Participants are immediately vested in contributions and earnings from contributions. Company matches and non-elective contributions and associated earnings vest after three years of service (except in the event of a change in control or when the participant reaches age 65, in which case both Company matches and non-elective contributions vest immediately). Participants may elect among a number of distribution options, including (i) either lump sum or payments over two to ten years upon separation from service; and</w:t>
      </w:r>
    </w:p>
    <w:p>
      <w:pPr>
        <w:spacing w:after="0" w:line="7" w:lineRule="exact"/>
        <w:rPr>
          <w:sz w:val="20"/>
          <w:szCs w:val="20"/>
          <w:color w:val="auto"/>
        </w:rPr>
      </w:pPr>
    </w:p>
    <w:p>
      <w:pPr>
        <w:ind w:left="120" w:right="720" w:hanging="4"/>
        <w:spacing w:after="0" w:line="250" w:lineRule="auto"/>
        <w:tabs>
          <w:tab w:leader="none" w:pos="3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lump sum or payments over two to ten years of all or a portion of the amount deferred in a given year, after at least three years following the year of deferral.</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3900" w:type="dxa"/>
            <w:vAlign w:val="bottom"/>
          </w:tcPr>
          <w:p>
            <w:pPr>
              <w:spacing w:after="0"/>
              <w:rPr>
                <w:sz w:val="15"/>
                <w:szCs w:val="15"/>
                <w:color w:val="auto"/>
              </w:rPr>
            </w:pPr>
          </w:p>
        </w:tc>
        <w:tc>
          <w:tcPr>
            <w:tcW w:w="1320" w:type="dxa"/>
            <w:vAlign w:val="bottom"/>
            <w:shd w:val="clear" w:color="auto" w:fill="E0E0E0"/>
          </w:tcPr>
          <w:p>
            <w:pPr>
              <w:jc w:val="center"/>
              <w:ind w:left="299"/>
              <w:spacing w:after="0"/>
              <w:rPr>
                <w:sz w:val="20"/>
                <w:szCs w:val="20"/>
                <w:color w:val="auto"/>
              </w:rPr>
            </w:pPr>
            <w:r>
              <w:rPr>
                <w:rFonts w:ascii="Arial" w:cs="Arial" w:eastAsia="Arial" w:hAnsi="Arial"/>
                <w:sz w:val="14"/>
                <w:szCs w:val="14"/>
                <w:b w:val="1"/>
                <w:bCs w:val="1"/>
                <w:color w:val="1F4E79"/>
              </w:rPr>
              <w:t>Executive</w:t>
            </w:r>
          </w:p>
        </w:tc>
        <w:tc>
          <w:tcPr>
            <w:tcW w:w="1540" w:type="dxa"/>
            <w:vAlign w:val="bottom"/>
            <w:shd w:val="clear" w:color="auto" w:fill="E0E0E0"/>
          </w:tcPr>
          <w:p>
            <w:pPr>
              <w:jc w:val="center"/>
              <w:ind w:left="99"/>
              <w:spacing w:after="0"/>
              <w:rPr>
                <w:sz w:val="20"/>
                <w:szCs w:val="20"/>
                <w:color w:val="auto"/>
              </w:rPr>
            </w:pPr>
            <w:r>
              <w:rPr>
                <w:rFonts w:ascii="Arial" w:cs="Arial" w:eastAsia="Arial" w:hAnsi="Arial"/>
                <w:sz w:val="14"/>
                <w:szCs w:val="14"/>
                <w:b w:val="1"/>
                <w:bCs w:val="1"/>
                <w:color w:val="1F4E79"/>
              </w:rPr>
              <w:t>Registrant</w:t>
            </w:r>
          </w:p>
        </w:tc>
        <w:tc>
          <w:tcPr>
            <w:tcW w:w="122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1F4E79"/>
              </w:rPr>
              <w:t>Aggregate</w:t>
            </w:r>
          </w:p>
        </w:tc>
        <w:tc>
          <w:tcPr>
            <w:tcW w:w="1560" w:type="dxa"/>
            <w:vAlign w:val="bottom"/>
            <w:shd w:val="clear" w:color="auto" w:fill="E0E0E0"/>
          </w:tcPr>
          <w:p>
            <w:pPr>
              <w:spacing w:after="0"/>
              <w:rPr>
                <w:sz w:val="15"/>
                <w:szCs w:val="15"/>
                <w:color w:val="auto"/>
              </w:rPr>
            </w:pPr>
          </w:p>
        </w:tc>
        <w:tc>
          <w:tcPr>
            <w:tcW w:w="1480" w:type="dxa"/>
            <w:vAlign w:val="bottom"/>
            <w:shd w:val="clear" w:color="auto" w:fill="E0E0E0"/>
          </w:tcPr>
          <w:p>
            <w:pPr>
              <w:jc w:val="center"/>
              <w:ind w:left="19"/>
              <w:spacing w:after="0"/>
              <w:rPr>
                <w:sz w:val="20"/>
                <w:szCs w:val="20"/>
                <w:color w:val="auto"/>
              </w:rPr>
            </w:pPr>
            <w:r>
              <w:rPr>
                <w:rFonts w:ascii="Arial" w:cs="Arial" w:eastAsia="Arial" w:hAnsi="Arial"/>
                <w:sz w:val="14"/>
                <w:szCs w:val="14"/>
                <w:b w:val="1"/>
                <w:bCs w:val="1"/>
                <w:color w:val="1F4E79"/>
              </w:rPr>
              <w:t>Aggregate</w:t>
            </w:r>
          </w:p>
        </w:tc>
      </w:tr>
      <w:tr>
        <w:trPr>
          <w:trHeight w:val="162"/>
        </w:trPr>
        <w:tc>
          <w:tcPr>
            <w:tcW w:w="3900" w:type="dxa"/>
            <w:vAlign w:val="bottom"/>
          </w:tcPr>
          <w:p>
            <w:pPr>
              <w:spacing w:after="0"/>
              <w:rPr>
                <w:sz w:val="14"/>
                <w:szCs w:val="14"/>
                <w:color w:val="auto"/>
              </w:rPr>
            </w:pPr>
          </w:p>
        </w:tc>
        <w:tc>
          <w:tcPr>
            <w:tcW w:w="1320" w:type="dxa"/>
            <w:vAlign w:val="bottom"/>
            <w:shd w:val="clear" w:color="auto" w:fill="E0E0E0"/>
          </w:tcPr>
          <w:p>
            <w:pPr>
              <w:jc w:val="center"/>
              <w:ind w:left="299"/>
              <w:spacing w:after="0"/>
              <w:rPr>
                <w:sz w:val="20"/>
                <w:szCs w:val="20"/>
                <w:color w:val="auto"/>
              </w:rPr>
            </w:pPr>
            <w:r>
              <w:rPr>
                <w:rFonts w:ascii="Arial" w:cs="Arial" w:eastAsia="Arial" w:hAnsi="Arial"/>
                <w:sz w:val="14"/>
                <w:szCs w:val="14"/>
                <w:b w:val="1"/>
                <w:bCs w:val="1"/>
                <w:color w:val="1F4E79"/>
              </w:rPr>
              <w:t>Contributions</w:t>
            </w:r>
          </w:p>
        </w:tc>
        <w:tc>
          <w:tcPr>
            <w:tcW w:w="1540" w:type="dxa"/>
            <w:vAlign w:val="bottom"/>
            <w:shd w:val="clear" w:color="auto" w:fill="E0E0E0"/>
          </w:tcPr>
          <w:p>
            <w:pPr>
              <w:jc w:val="center"/>
              <w:ind w:left="119"/>
              <w:spacing w:after="0"/>
              <w:rPr>
                <w:sz w:val="20"/>
                <w:szCs w:val="20"/>
                <w:color w:val="auto"/>
              </w:rPr>
            </w:pPr>
            <w:r>
              <w:rPr>
                <w:rFonts w:ascii="Arial" w:cs="Arial" w:eastAsia="Arial" w:hAnsi="Arial"/>
                <w:sz w:val="14"/>
                <w:szCs w:val="14"/>
                <w:b w:val="1"/>
                <w:bCs w:val="1"/>
                <w:color w:val="1F4E79"/>
              </w:rPr>
              <w:t>Contributions</w:t>
            </w:r>
          </w:p>
        </w:tc>
        <w:tc>
          <w:tcPr>
            <w:tcW w:w="122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1F4E79"/>
              </w:rPr>
              <w:t>Earnings in</w:t>
            </w:r>
          </w:p>
        </w:tc>
        <w:tc>
          <w:tcPr>
            <w:tcW w:w="1560" w:type="dxa"/>
            <w:vAlign w:val="bottom"/>
            <w:shd w:val="clear" w:color="auto" w:fill="E0E0E0"/>
          </w:tcPr>
          <w:p>
            <w:pPr>
              <w:jc w:val="center"/>
              <w:ind w:right="78"/>
              <w:spacing w:after="0"/>
              <w:rPr>
                <w:sz w:val="20"/>
                <w:szCs w:val="20"/>
                <w:color w:val="auto"/>
              </w:rPr>
            </w:pPr>
            <w:r>
              <w:rPr>
                <w:rFonts w:ascii="Arial" w:cs="Arial" w:eastAsia="Arial" w:hAnsi="Arial"/>
                <w:sz w:val="14"/>
                <w:szCs w:val="14"/>
                <w:b w:val="1"/>
                <w:bCs w:val="1"/>
                <w:color w:val="1F4E79"/>
              </w:rPr>
              <w:t>Aggregate</w:t>
            </w:r>
          </w:p>
        </w:tc>
        <w:tc>
          <w:tcPr>
            <w:tcW w:w="1480" w:type="dxa"/>
            <w:vAlign w:val="bottom"/>
            <w:shd w:val="clear" w:color="auto" w:fill="E0E0E0"/>
          </w:tcPr>
          <w:p>
            <w:pPr>
              <w:jc w:val="center"/>
              <w:ind w:left="39"/>
              <w:spacing w:after="0"/>
              <w:rPr>
                <w:sz w:val="20"/>
                <w:szCs w:val="20"/>
                <w:color w:val="auto"/>
              </w:rPr>
            </w:pPr>
            <w:r>
              <w:rPr>
                <w:rFonts w:ascii="Arial" w:cs="Arial" w:eastAsia="Arial" w:hAnsi="Arial"/>
                <w:sz w:val="14"/>
                <w:szCs w:val="14"/>
                <w:b w:val="1"/>
                <w:bCs w:val="1"/>
                <w:color w:val="1F4E79"/>
              </w:rPr>
              <w:t>Balance at</w:t>
            </w:r>
          </w:p>
        </w:tc>
      </w:tr>
      <w:tr>
        <w:trPr>
          <w:trHeight w:val="162"/>
        </w:trPr>
        <w:tc>
          <w:tcPr>
            <w:tcW w:w="3900" w:type="dxa"/>
            <w:vAlign w:val="bottom"/>
          </w:tcPr>
          <w:p>
            <w:pPr>
              <w:spacing w:after="0"/>
              <w:rPr>
                <w:sz w:val="14"/>
                <w:szCs w:val="14"/>
                <w:color w:val="auto"/>
              </w:rPr>
            </w:pPr>
          </w:p>
        </w:tc>
        <w:tc>
          <w:tcPr>
            <w:tcW w:w="1320" w:type="dxa"/>
            <w:vAlign w:val="bottom"/>
            <w:shd w:val="clear" w:color="auto" w:fill="E0E0E0"/>
          </w:tcPr>
          <w:p>
            <w:pPr>
              <w:jc w:val="center"/>
              <w:ind w:left="299"/>
              <w:spacing w:after="0"/>
              <w:rPr>
                <w:sz w:val="20"/>
                <w:szCs w:val="20"/>
                <w:color w:val="auto"/>
              </w:rPr>
            </w:pPr>
            <w:r>
              <w:rPr>
                <w:rFonts w:ascii="Arial" w:cs="Arial" w:eastAsia="Arial" w:hAnsi="Arial"/>
                <w:sz w:val="14"/>
                <w:szCs w:val="14"/>
                <w:b w:val="1"/>
                <w:bCs w:val="1"/>
                <w:color w:val="1F4E79"/>
              </w:rPr>
              <w:t>in Last Fiscal</w:t>
            </w:r>
          </w:p>
        </w:tc>
        <w:tc>
          <w:tcPr>
            <w:tcW w:w="1540" w:type="dxa"/>
            <w:vAlign w:val="bottom"/>
            <w:shd w:val="clear" w:color="auto" w:fill="E0E0E0"/>
          </w:tcPr>
          <w:p>
            <w:pPr>
              <w:jc w:val="center"/>
              <w:ind w:left="99"/>
              <w:spacing w:after="0"/>
              <w:rPr>
                <w:sz w:val="20"/>
                <w:szCs w:val="20"/>
                <w:color w:val="auto"/>
              </w:rPr>
            </w:pPr>
            <w:r>
              <w:rPr>
                <w:rFonts w:ascii="Arial" w:cs="Arial" w:eastAsia="Arial" w:hAnsi="Arial"/>
                <w:sz w:val="14"/>
                <w:szCs w:val="14"/>
                <w:b w:val="1"/>
                <w:bCs w:val="1"/>
                <w:color w:val="1F4E79"/>
              </w:rPr>
              <w:t>in Last Fiscal</w:t>
            </w:r>
          </w:p>
        </w:tc>
        <w:tc>
          <w:tcPr>
            <w:tcW w:w="122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1F4E79"/>
              </w:rPr>
              <w:t>Last Fiscal</w:t>
            </w:r>
          </w:p>
        </w:tc>
        <w:tc>
          <w:tcPr>
            <w:tcW w:w="1560" w:type="dxa"/>
            <w:vAlign w:val="bottom"/>
            <w:shd w:val="clear" w:color="auto" w:fill="E0E0E0"/>
          </w:tcPr>
          <w:p>
            <w:pPr>
              <w:jc w:val="center"/>
              <w:ind w:right="78"/>
              <w:spacing w:after="0"/>
              <w:rPr>
                <w:sz w:val="20"/>
                <w:szCs w:val="20"/>
                <w:color w:val="auto"/>
              </w:rPr>
            </w:pPr>
            <w:r>
              <w:rPr>
                <w:rFonts w:ascii="Arial" w:cs="Arial" w:eastAsia="Arial" w:hAnsi="Arial"/>
                <w:sz w:val="14"/>
                <w:szCs w:val="14"/>
                <w:b w:val="1"/>
                <w:bCs w:val="1"/>
                <w:color w:val="1F4E79"/>
              </w:rPr>
              <w:t>Withdrawals/</w:t>
            </w:r>
          </w:p>
        </w:tc>
        <w:tc>
          <w:tcPr>
            <w:tcW w:w="1480" w:type="dxa"/>
            <w:vAlign w:val="bottom"/>
            <w:shd w:val="clear" w:color="auto" w:fill="E0E0E0"/>
          </w:tcPr>
          <w:p>
            <w:pPr>
              <w:jc w:val="center"/>
              <w:ind w:left="19"/>
              <w:spacing w:after="0"/>
              <w:rPr>
                <w:sz w:val="20"/>
                <w:szCs w:val="20"/>
                <w:color w:val="auto"/>
              </w:rPr>
            </w:pPr>
            <w:r>
              <w:rPr>
                <w:rFonts w:ascii="Arial" w:cs="Arial" w:eastAsia="Arial" w:hAnsi="Arial"/>
                <w:sz w:val="14"/>
                <w:szCs w:val="14"/>
                <w:b w:val="1"/>
                <w:bCs w:val="1"/>
                <w:color w:val="1F4E79"/>
              </w:rPr>
              <w:t>Last Fiscal</w:t>
            </w:r>
          </w:p>
        </w:tc>
      </w:tr>
      <w:tr>
        <w:trPr>
          <w:trHeight w:val="162"/>
        </w:trPr>
        <w:tc>
          <w:tcPr>
            <w:tcW w:w="3900" w:type="dxa"/>
            <w:vAlign w:val="bottom"/>
          </w:tcPr>
          <w:p>
            <w:pPr>
              <w:spacing w:after="0"/>
              <w:rPr>
                <w:sz w:val="14"/>
                <w:szCs w:val="14"/>
                <w:color w:val="auto"/>
              </w:rPr>
            </w:pPr>
          </w:p>
        </w:tc>
        <w:tc>
          <w:tcPr>
            <w:tcW w:w="1320" w:type="dxa"/>
            <w:vAlign w:val="bottom"/>
            <w:shd w:val="clear" w:color="auto" w:fill="E0E0E0"/>
          </w:tcPr>
          <w:p>
            <w:pPr>
              <w:jc w:val="center"/>
              <w:ind w:left="299"/>
              <w:spacing w:after="0"/>
              <w:rPr>
                <w:sz w:val="20"/>
                <w:szCs w:val="20"/>
                <w:color w:val="auto"/>
              </w:rPr>
            </w:pPr>
            <w:r>
              <w:rPr>
                <w:rFonts w:ascii="Arial" w:cs="Arial" w:eastAsia="Arial" w:hAnsi="Arial"/>
                <w:sz w:val="14"/>
                <w:szCs w:val="14"/>
                <w:b w:val="1"/>
                <w:bCs w:val="1"/>
                <w:color w:val="1F4E79"/>
                <w:w w:val="98"/>
              </w:rPr>
              <w:t>Year</w:t>
            </w:r>
          </w:p>
        </w:tc>
        <w:tc>
          <w:tcPr>
            <w:tcW w:w="1540" w:type="dxa"/>
            <w:vAlign w:val="bottom"/>
            <w:shd w:val="clear" w:color="auto" w:fill="E0E0E0"/>
          </w:tcPr>
          <w:p>
            <w:pPr>
              <w:jc w:val="center"/>
              <w:ind w:left="119"/>
              <w:spacing w:after="0"/>
              <w:rPr>
                <w:sz w:val="20"/>
                <w:szCs w:val="20"/>
                <w:color w:val="auto"/>
              </w:rPr>
            </w:pPr>
            <w:r>
              <w:rPr>
                <w:rFonts w:ascii="Arial" w:cs="Arial" w:eastAsia="Arial" w:hAnsi="Arial"/>
                <w:sz w:val="14"/>
                <w:szCs w:val="14"/>
                <w:b w:val="1"/>
                <w:bCs w:val="1"/>
                <w:color w:val="1F4E79"/>
                <w:w w:val="98"/>
              </w:rPr>
              <w:t>Year</w:t>
            </w:r>
          </w:p>
        </w:tc>
        <w:tc>
          <w:tcPr>
            <w:tcW w:w="122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1F4E79"/>
                <w:w w:val="98"/>
              </w:rPr>
              <w:t>Year</w:t>
            </w:r>
          </w:p>
        </w:tc>
        <w:tc>
          <w:tcPr>
            <w:tcW w:w="1560" w:type="dxa"/>
            <w:vAlign w:val="bottom"/>
            <w:shd w:val="clear" w:color="auto" w:fill="E0E0E0"/>
          </w:tcPr>
          <w:p>
            <w:pPr>
              <w:jc w:val="center"/>
              <w:ind w:right="78"/>
              <w:spacing w:after="0"/>
              <w:rPr>
                <w:sz w:val="20"/>
                <w:szCs w:val="20"/>
                <w:color w:val="auto"/>
              </w:rPr>
            </w:pPr>
            <w:r>
              <w:rPr>
                <w:rFonts w:ascii="Arial" w:cs="Arial" w:eastAsia="Arial" w:hAnsi="Arial"/>
                <w:sz w:val="14"/>
                <w:szCs w:val="14"/>
                <w:b w:val="1"/>
                <w:bCs w:val="1"/>
                <w:color w:val="1F4E79"/>
              </w:rPr>
              <w:t>Distributions</w:t>
            </w:r>
          </w:p>
        </w:tc>
        <w:tc>
          <w:tcPr>
            <w:tcW w:w="1480" w:type="dxa"/>
            <w:vAlign w:val="bottom"/>
            <w:shd w:val="clear" w:color="auto" w:fill="E0E0E0"/>
          </w:tcPr>
          <w:p>
            <w:pPr>
              <w:jc w:val="center"/>
              <w:ind w:left="19"/>
              <w:spacing w:after="0"/>
              <w:rPr>
                <w:sz w:val="20"/>
                <w:szCs w:val="20"/>
                <w:color w:val="auto"/>
              </w:rPr>
            </w:pPr>
            <w:r>
              <w:rPr>
                <w:rFonts w:ascii="Arial" w:cs="Arial" w:eastAsia="Arial" w:hAnsi="Arial"/>
                <w:sz w:val="14"/>
                <w:szCs w:val="14"/>
                <w:b w:val="1"/>
                <w:bCs w:val="1"/>
                <w:color w:val="1F4E79"/>
              </w:rPr>
              <w:t>Year End</w:t>
            </w:r>
          </w:p>
        </w:tc>
      </w:tr>
      <w:tr>
        <w:trPr>
          <w:trHeight w:val="178"/>
        </w:trPr>
        <w:tc>
          <w:tcPr>
            <w:tcW w:w="3900" w:type="dxa"/>
            <w:vAlign w:val="bottom"/>
            <w:tcBorders>
              <w:bottom w:val="single" w:sz="8" w:color="002060"/>
            </w:tcBorders>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tcBorders>
              <w:bottom w:val="single" w:sz="8" w:color="002060"/>
            </w:tcBorders>
            <w:shd w:val="clear" w:color="auto" w:fill="E0E0E0"/>
          </w:tcPr>
          <w:p>
            <w:pPr>
              <w:jc w:val="center"/>
              <w:ind w:left="299"/>
              <w:spacing w:after="0"/>
              <w:rPr>
                <w:sz w:val="20"/>
                <w:szCs w:val="20"/>
                <w:color w:val="auto"/>
              </w:rPr>
            </w:pPr>
            <w:r>
              <w:rPr>
                <w:rFonts w:ascii="Arial" w:cs="Arial" w:eastAsia="Arial" w:hAnsi="Arial"/>
                <w:sz w:val="14"/>
                <w:szCs w:val="14"/>
                <w:b w:val="1"/>
                <w:bCs w:val="1"/>
                <w:color w:val="1F4E79"/>
                <w:w w:val="99"/>
              </w:rPr>
              <w:t>($)(1)</w:t>
            </w:r>
          </w:p>
        </w:tc>
        <w:tc>
          <w:tcPr>
            <w:tcW w:w="1540" w:type="dxa"/>
            <w:vAlign w:val="bottom"/>
            <w:tcBorders>
              <w:bottom w:val="single" w:sz="8" w:color="002060"/>
            </w:tcBorders>
            <w:shd w:val="clear" w:color="auto" w:fill="E0E0E0"/>
          </w:tcPr>
          <w:p>
            <w:pPr>
              <w:jc w:val="center"/>
              <w:ind w:left="119"/>
              <w:spacing w:after="0"/>
              <w:rPr>
                <w:sz w:val="20"/>
                <w:szCs w:val="20"/>
                <w:color w:val="auto"/>
              </w:rPr>
            </w:pPr>
            <w:r>
              <w:rPr>
                <w:rFonts w:ascii="Arial" w:cs="Arial" w:eastAsia="Arial" w:hAnsi="Arial"/>
                <w:sz w:val="14"/>
                <w:szCs w:val="14"/>
                <w:b w:val="1"/>
                <w:bCs w:val="1"/>
                <w:color w:val="1F4E79"/>
              </w:rPr>
              <w:t>($)</w:t>
            </w:r>
          </w:p>
        </w:tc>
        <w:tc>
          <w:tcPr>
            <w:tcW w:w="1220" w:type="dxa"/>
            <w:vAlign w:val="bottom"/>
            <w:tcBorders>
              <w:bottom w:val="single" w:sz="8" w:color="002060"/>
            </w:tcBorders>
            <w:shd w:val="clear" w:color="auto" w:fill="E0E0E0"/>
          </w:tcPr>
          <w:p>
            <w:pPr>
              <w:jc w:val="center"/>
              <w:spacing w:after="0"/>
              <w:rPr>
                <w:sz w:val="20"/>
                <w:szCs w:val="20"/>
                <w:color w:val="auto"/>
              </w:rPr>
            </w:pPr>
            <w:r>
              <w:rPr>
                <w:rFonts w:ascii="Arial" w:cs="Arial" w:eastAsia="Arial" w:hAnsi="Arial"/>
                <w:sz w:val="14"/>
                <w:szCs w:val="14"/>
                <w:b w:val="1"/>
                <w:bCs w:val="1"/>
                <w:color w:val="1F4E79"/>
              </w:rPr>
              <w:t>($)</w:t>
            </w:r>
          </w:p>
        </w:tc>
        <w:tc>
          <w:tcPr>
            <w:tcW w:w="1560" w:type="dxa"/>
            <w:vAlign w:val="bottom"/>
            <w:tcBorders>
              <w:bottom w:val="single" w:sz="8" w:color="002060"/>
            </w:tcBorders>
            <w:shd w:val="clear" w:color="auto" w:fill="E0E0E0"/>
          </w:tcPr>
          <w:p>
            <w:pPr>
              <w:jc w:val="center"/>
              <w:ind w:right="58"/>
              <w:spacing w:after="0"/>
              <w:rPr>
                <w:sz w:val="20"/>
                <w:szCs w:val="20"/>
                <w:color w:val="auto"/>
              </w:rPr>
            </w:pPr>
            <w:r>
              <w:rPr>
                <w:rFonts w:ascii="Arial" w:cs="Arial" w:eastAsia="Arial" w:hAnsi="Arial"/>
                <w:sz w:val="14"/>
                <w:szCs w:val="14"/>
                <w:b w:val="1"/>
                <w:bCs w:val="1"/>
                <w:color w:val="1F4E79"/>
              </w:rPr>
              <w:t>($)</w:t>
            </w:r>
          </w:p>
        </w:tc>
        <w:tc>
          <w:tcPr>
            <w:tcW w:w="1480" w:type="dxa"/>
            <w:vAlign w:val="bottom"/>
            <w:tcBorders>
              <w:bottom w:val="single" w:sz="8" w:color="002060"/>
            </w:tcBorders>
            <w:shd w:val="clear" w:color="auto" w:fill="E0E0E0"/>
          </w:tcPr>
          <w:p>
            <w:pPr>
              <w:jc w:val="center"/>
              <w:ind w:left="19"/>
              <w:spacing w:after="0"/>
              <w:rPr>
                <w:sz w:val="20"/>
                <w:szCs w:val="20"/>
                <w:color w:val="auto"/>
              </w:rPr>
            </w:pPr>
            <w:r>
              <w:rPr>
                <w:rFonts w:ascii="Arial" w:cs="Arial" w:eastAsia="Arial" w:hAnsi="Arial"/>
                <w:sz w:val="14"/>
                <w:szCs w:val="14"/>
                <w:b w:val="1"/>
                <w:bCs w:val="1"/>
                <w:color w:val="1F4E79"/>
              </w:rPr>
              <w:t>($)</w:t>
            </w:r>
          </w:p>
        </w:tc>
      </w:tr>
      <w:tr>
        <w:trPr>
          <w:trHeight w:val="203"/>
        </w:trPr>
        <w:tc>
          <w:tcPr>
            <w:tcW w:w="3900" w:type="dxa"/>
            <w:vAlign w:val="bottom"/>
            <w:tcBorders>
              <w:bottom w:val="single" w:sz="8" w:color="002060"/>
            </w:tcBorders>
          </w:tcPr>
          <w:p>
            <w:pPr>
              <w:ind w:left="100"/>
              <w:spacing w:after="0" w:line="202" w:lineRule="exact"/>
              <w:rPr>
                <w:sz w:val="20"/>
                <w:szCs w:val="20"/>
                <w:color w:val="auto"/>
              </w:rPr>
            </w:pPr>
            <w:r>
              <w:rPr>
                <w:rFonts w:ascii="Arial" w:cs="Arial" w:eastAsia="Arial" w:hAnsi="Arial"/>
                <w:sz w:val="18"/>
                <w:szCs w:val="18"/>
                <w:color w:val="auto"/>
              </w:rPr>
              <w:t>Jeffrey W. Edwards</w:t>
            </w:r>
          </w:p>
        </w:tc>
        <w:tc>
          <w:tcPr>
            <w:tcW w:w="1320" w:type="dxa"/>
            <w:vAlign w:val="bottom"/>
            <w:tcBorders>
              <w:bottom w:val="single" w:sz="8" w:color="002060"/>
            </w:tcBorders>
            <w:shd w:val="clear" w:color="auto" w:fill="E0E0E0"/>
          </w:tcPr>
          <w:p>
            <w:pPr>
              <w:ind w:left="1060"/>
              <w:spacing w:after="0" w:line="202"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002060"/>
            </w:tcBorders>
            <w:shd w:val="clear" w:color="auto" w:fill="E0E0E0"/>
          </w:tcPr>
          <w:p>
            <w:pPr>
              <w:jc w:val="center"/>
              <w:ind w:left="119"/>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002060"/>
            </w:tcBorders>
            <w:shd w:val="clear" w:color="auto" w:fill="E0E0E0"/>
          </w:tcPr>
          <w:p>
            <w:pPr>
              <w:ind w:left="720"/>
              <w:spacing w:after="0" w:line="202"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002060"/>
            </w:tcBorders>
            <w:shd w:val="clear" w:color="auto" w:fill="E0E0E0"/>
          </w:tcPr>
          <w:p>
            <w:pPr>
              <w:jc w:val="center"/>
              <w:ind w:right="98"/>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002060"/>
            </w:tcBorders>
            <w:shd w:val="clear" w:color="auto" w:fill="E0E0E0"/>
          </w:tcPr>
          <w:p>
            <w:pPr>
              <w:ind w:left="900"/>
              <w:spacing w:after="0" w:line="202" w:lineRule="exact"/>
              <w:rPr>
                <w:sz w:val="20"/>
                <w:szCs w:val="20"/>
                <w:color w:val="auto"/>
              </w:rPr>
            </w:pPr>
            <w:r>
              <w:rPr>
                <w:rFonts w:ascii="Arial" w:cs="Arial" w:eastAsia="Arial" w:hAnsi="Arial"/>
                <w:sz w:val="18"/>
                <w:szCs w:val="18"/>
                <w:color w:val="auto"/>
              </w:rPr>
              <w:t>–</w:t>
            </w:r>
          </w:p>
        </w:tc>
      </w:tr>
      <w:tr>
        <w:trPr>
          <w:trHeight w:val="196"/>
        </w:trPr>
        <w:tc>
          <w:tcPr>
            <w:tcW w:w="390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Michael T. Miller</w:t>
            </w:r>
          </w:p>
        </w:tc>
        <w:tc>
          <w:tcPr>
            <w:tcW w:w="1320" w:type="dxa"/>
            <w:vAlign w:val="bottom"/>
            <w:tcBorders>
              <w:bottom w:val="single" w:sz="8" w:color="002060"/>
            </w:tcBorders>
            <w:shd w:val="clear" w:color="auto" w:fill="E0E0E0"/>
          </w:tcPr>
          <w:p>
            <w:pPr>
              <w:ind w:left="1060"/>
              <w:spacing w:after="0" w:line="196"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002060"/>
            </w:tcBorders>
            <w:shd w:val="clear" w:color="auto" w:fill="E0E0E0"/>
          </w:tcPr>
          <w:p>
            <w:pPr>
              <w:jc w:val="center"/>
              <w:ind w:left="119"/>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002060"/>
            </w:tcBorders>
            <w:shd w:val="clear" w:color="auto" w:fill="E0E0E0"/>
          </w:tcPr>
          <w:p>
            <w:pPr>
              <w:ind w:left="720"/>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002060"/>
            </w:tcBorders>
            <w:shd w:val="clear" w:color="auto" w:fill="E0E0E0"/>
          </w:tcPr>
          <w:p>
            <w:pPr>
              <w:jc w:val="center"/>
              <w:ind w:right="98"/>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002060"/>
            </w:tcBorders>
            <w:shd w:val="clear" w:color="auto" w:fill="E0E0E0"/>
          </w:tcPr>
          <w:p>
            <w:pPr>
              <w:ind w:left="900"/>
              <w:spacing w:after="0" w:line="196" w:lineRule="exact"/>
              <w:rPr>
                <w:sz w:val="20"/>
                <w:szCs w:val="20"/>
                <w:color w:val="auto"/>
              </w:rPr>
            </w:pPr>
            <w:r>
              <w:rPr>
                <w:rFonts w:ascii="Arial" w:cs="Arial" w:eastAsia="Arial" w:hAnsi="Arial"/>
                <w:sz w:val="18"/>
                <w:szCs w:val="18"/>
                <w:color w:val="auto"/>
              </w:rPr>
              <w:t>–</w:t>
            </w:r>
          </w:p>
        </w:tc>
      </w:tr>
      <w:tr>
        <w:trPr>
          <w:trHeight w:val="196"/>
        </w:trPr>
        <w:tc>
          <w:tcPr>
            <w:tcW w:w="390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Jay P. Elliott</w:t>
            </w:r>
          </w:p>
        </w:tc>
        <w:tc>
          <w:tcPr>
            <w:tcW w:w="1320" w:type="dxa"/>
            <w:vAlign w:val="bottom"/>
            <w:tcBorders>
              <w:bottom w:val="single" w:sz="8" w:color="002060"/>
            </w:tcBorders>
            <w:shd w:val="clear" w:color="auto" w:fill="E0E0E0"/>
          </w:tcPr>
          <w:p>
            <w:pPr>
              <w:ind w:left="1060"/>
              <w:spacing w:after="0" w:line="196"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002060"/>
            </w:tcBorders>
            <w:shd w:val="clear" w:color="auto" w:fill="E0E0E0"/>
          </w:tcPr>
          <w:p>
            <w:pPr>
              <w:jc w:val="center"/>
              <w:ind w:left="119"/>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002060"/>
            </w:tcBorders>
            <w:shd w:val="clear" w:color="auto" w:fill="E0E0E0"/>
          </w:tcPr>
          <w:p>
            <w:pPr>
              <w:ind w:left="720"/>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002060"/>
            </w:tcBorders>
            <w:shd w:val="clear" w:color="auto" w:fill="E0E0E0"/>
          </w:tcPr>
          <w:p>
            <w:pPr>
              <w:jc w:val="center"/>
              <w:ind w:right="98"/>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002060"/>
            </w:tcBorders>
            <w:shd w:val="clear" w:color="auto" w:fill="E0E0E0"/>
          </w:tcPr>
          <w:p>
            <w:pPr>
              <w:ind w:left="900"/>
              <w:spacing w:after="0" w:line="196" w:lineRule="exact"/>
              <w:rPr>
                <w:sz w:val="20"/>
                <w:szCs w:val="20"/>
                <w:color w:val="auto"/>
              </w:rPr>
            </w:pPr>
            <w:r>
              <w:rPr>
                <w:rFonts w:ascii="Arial" w:cs="Arial" w:eastAsia="Arial" w:hAnsi="Arial"/>
                <w:sz w:val="18"/>
                <w:szCs w:val="18"/>
                <w:color w:val="auto"/>
              </w:rPr>
              <w:t>–</w:t>
            </w:r>
          </w:p>
        </w:tc>
      </w:tr>
      <w:tr>
        <w:trPr>
          <w:trHeight w:val="196"/>
        </w:trPr>
        <w:tc>
          <w:tcPr>
            <w:tcW w:w="390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W. Jeffrey Hire</w:t>
            </w:r>
          </w:p>
        </w:tc>
        <w:tc>
          <w:tcPr>
            <w:tcW w:w="1320" w:type="dxa"/>
            <w:vAlign w:val="bottom"/>
            <w:tcBorders>
              <w:bottom w:val="single" w:sz="8" w:color="002060"/>
            </w:tcBorders>
            <w:shd w:val="clear" w:color="auto" w:fill="E0E0E0"/>
          </w:tcPr>
          <w:p>
            <w:pPr>
              <w:ind w:left="1060"/>
              <w:spacing w:after="0" w:line="196"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002060"/>
            </w:tcBorders>
            <w:shd w:val="clear" w:color="auto" w:fill="E0E0E0"/>
          </w:tcPr>
          <w:p>
            <w:pPr>
              <w:jc w:val="center"/>
              <w:ind w:left="119"/>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002060"/>
            </w:tcBorders>
            <w:shd w:val="clear" w:color="auto" w:fill="E0E0E0"/>
          </w:tcPr>
          <w:p>
            <w:pPr>
              <w:ind w:left="720"/>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002060"/>
            </w:tcBorders>
            <w:shd w:val="clear" w:color="auto" w:fill="E0E0E0"/>
          </w:tcPr>
          <w:p>
            <w:pPr>
              <w:jc w:val="center"/>
              <w:ind w:right="98"/>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002060"/>
            </w:tcBorders>
            <w:shd w:val="clear" w:color="auto" w:fill="E0E0E0"/>
          </w:tcPr>
          <w:p>
            <w:pPr>
              <w:ind w:left="900"/>
              <w:spacing w:after="0" w:line="196" w:lineRule="exact"/>
              <w:rPr>
                <w:sz w:val="20"/>
                <w:szCs w:val="20"/>
                <w:color w:val="auto"/>
              </w:rPr>
            </w:pPr>
            <w:r>
              <w:rPr>
                <w:rFonts w:ascii="Arial" w:cs="Arial" w:eastAsia="Arial" w:hAnsi="Arial"/>
                <w:sz w:val="18"/>
                <w:szCs w:val="18"/>
                <w:color w:val="auto"/>
              </w:rPr>
              <w:t>–</w:t>
            </w:r>
          </w:p>
        </w:tc>
      </w:tr>
      <w:tr>
        <w:trPr>
          <w:trHeight w:val="217"/>
        </w:trPr>
        <w:tc>
          <w:tcPr>
            <w:tcW w:w="390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Jason R. Niswonger</w:t>
            </w:r>
          </w:p>
        </w:tc>
        <w:tc>
          <w:tcPr>
            <w:tcW w:w="1320" w:type="dxa"/>
            <w:vAlign w:val="bottom"/>
            <w:tcBorders>
              <w:bottom w:val="single" w:sz="8" w:color="002060"/>
            </w:tcBorders>
            <w:shd w:val="clear" w:color="auto" w:fill="E0E0E0"/>
          </w:tcPr>
          <w:p>
            <w:pPr>
              <w:ind w:left="720"/>
              <w:spacing w:after="0"/>
              <w:rPr>
                <w:sz w:val="20"/>
                <w:szCs w:val="20"/>
                <w:color w:val="auto"/>
              </w:rPr>
            </w:pPr>
            <w:r>
              <w:rPr>
                <w:rFonts w:ascii="Arial" w:cs="Arial" w:eastAsia="Arial" w:hAnsi="Arial"/>
                <w:sz w:val="18"/>
                <w:szCs w:val="18"/>
                <w:color w:val="auto"/>
              </w:rPr>
              <w:t>38,377</w:t>
            </w:r>
          </w:p>
        </w:tc>
        <w:tc>
          <w:tcPr>
            <w:tcW w:w="1540" w:type="dxa"/>
            <w:vAlign w:val="bottom"/>
            <w:tcBorders>
              <w:bottom w:val="single" w:sz="8" w:color="002060"/>
            </w:tcBorders>
            <w:shd w:val="clear" w:color="auto" w:fill="E0E0E0"/>
          </w:tcPr>
          <w:p>
            <w:pPr>
              <w:jc w:val="center"/>
              <w:ind w:left="119"/>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002060"/>
            </w:tcBorders>
            <w:shd w:val="clear" w:color="auto" w:fill="E0E0E0"/>
          </w:tcPr>
          <w:p>
            <w:pPr>
              <w:ind w:left="300"/>
              <w:spacing w:after="0"/>
              <w:rPr>
                <w:sz w:val="20"/>
                <w:szCs w:val="20"/>
                <w:color w:val="auto"/>
              </w:rPr>
            </w:pPr>
            <w:r>
              <w:rPr>
                <w:rFonts w:ascii="Arial" w:cs="Arial" w:eastAsia="Arial" w:hAnsi="Arial"/>
                <w:sz w:val="18"/>
                <w:szCs w:val="18"/>
                <w:color w:val="auto"/>
              </w:rPr>
              <w:t>(14,858)</w:t>
            </w:r>
          </w:p>
        </w:tc>
        <w:tc>
          <w:tcPr>
            <w:tcW w:w="1560" w:type="dxa"/>
            <w:vAlign w:val="bottom"/>
            <w:tcBorders>
              <w:bottom w:val="single" w:sz="8" w:color="002060"/>
            </w:tcBorders>
            <w:shd w:val="clear" w:color="auto" w:fill="E0E0E0"/>
          </w:tcPr>
          <w:p>
            <w:pPr>
              <w:jc w:val="center"/>
              <w:ind w:right="98"/>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002060"/>
            </w:tcBorders>
            <w:shd w:val="clear" w:color="auto" w:fill="E0E0E0"/>
          </w:tcPr>
          <w:p>
            <w:pPr>
              <w:ind w:left="540"/>
              <w:spacing w:after="0"/>
              <w:rPr>
                <w:sz w:val="20"/>
                <w:szCs w:val="20"/>
                <w:color w:val="auto"/>
              </w:rPr>
            </w:pPr>
            <w:r>
              <w:rPr>
                <w:rFonts w:ascii="Arial" w:cs="Arial" w:eastAsia="Arial" w:hAnsi="Arial"/>
                <w:sz w:val="18"/>
                <w:szCs w:val="18"/>
                <w:color w:val="auto"/>
              </w:rPr>
              <w:t>77,428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-702310</wp:posOffset>
            </wp:positionV>
            <wp:extent cx="8255" cy="6858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68580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-702310</wp:posOffset>
            </wp:positionV>
            <wp:extent cx="8255" cy="6858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68580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-702310</wp:posOffset>
            </wp:positionV>
            <wp:extent cx="8255" cy="6858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68580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-702310</wp:posOffset>
            </wp:positionV>
            <wp:extent cx="8890" cy="6858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685800"/>
                    </a:xfrm>
                    <a:prstGeom prst="rect">
                      <a:avLst/>
                    </a:prstGeom>
                    <a:noFill/>
                  </pic:spPr>
                </pic:pic>
              </a:graphicData>
            </a:graphic>
          </wp:anchor>
        </w:drawing>
      </w:r>
    </w:p>
    <w:p>
      <w:pPr>
        <w:spacing w:after="0" w:line="83" w:lineRule="exact"/>
        <w:rPr>
          <w:sz w:val="20"/>
          <w:szCs w:val="20"/>
          <w:color w:val="auto"/>
        </w:rPr>
      </w:pPr>
    </w:p>
    <w:p>
      <w:pPr>
        <w:ind w:left="660" w:hanging="43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Mr. Niswonger’s contribution of $38,377 is included in the “Base Salary” column of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282575" cy="2654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237" w:lineRule="exact"/>
        <w:rPr>
          <w:sz w:val="20"/>
          <w:szCs w:val="20"/>
          <w:color w:val="auto"/>
        </w:rPr>
      </w:pPr>
    </w:p>
    <w:p>
      <w:pPr>
        <w:ind w:left="240"/>
        <w:spacing w:after="0"/>
        <w:tabs>
          <w:tab w:leader="none" w:pos="660" w:val="left"/>
          <w:tab w:leader="none" w:pos="9320" w:val="left"/>
        </w:tabs>
        <w:rPr>
          <w:sz w:val="20"/>
          <w:szCs w:val="20"/>
          <w:color w:val="auto"/>
        </w:rPr>
      </w:pPr>
      <w:r>
        <w:rPr>
          <w:rFonts w:ascii="Arial" w:cs="Arial" w:eastAsia="Arial" w:hAnsi="Arial"/>
          <w:sz w:val="16"/>
          <w:szCs w:val="16"/>
          <w:color w:val="FFFFFF"/>
        </w:rPr>
        <w:t>70</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Executive Compensation</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Employment Agreements, Severance and Change in Control Benefits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Employment Agreement with Jeffrey W. Edwards</w:t>
      </w:r>
    </w:p>
    <w:p>
      <w:pPr>
        <w:spacing w:after="0" w:line="212" w:lineRule="exact"/>
        <w:rPr>
          <w:sz w:val="20"/>
          <w:szCs w:val="20"/>
          <w:color w:val="auto"/>
        </w:rPr>
      </w:pPr>
    </w:p>
    <w:p>
      <w:pPr>
        <w:ind w:left="120" w:right="240"/>
        <w:spacing w:after="0" w:line="244" w:lineRule="auto"/>
        <w:rPr>
          <w:sz w:val="20"/>
          <w:szCs w:val="20"/>
          <w:color w:val="auto"/>
        </w:rPr>
      </w:pPr>
      <w:r>
        <w:rPr>
          <w:rFonts w:ascii="Arial" w:cs="Arial" w:eastAsia="Arial" w:hAnsi="Arial"/>
          <w:sz w:val="18"/>
          <w:szCs w:val="18"/>
          <w:color w:val="auto"/>
        </w:rPr>
        <w:t>On November 1, 2013, we entered into an employment agreement with Mr. Edwards pursuant to which he agreed to serve as our Chief Executive Officer and President for an initial employment term through November 1, 2016, with automatic one-year renewals, unless either party provides at least 90 days’ prior notice of non-renewal. The agreement provides Mr. Edwards with a minimum annual base salary of $600,000, subject to adjustment by the Compensation and Human Capital Committee, and an opportunity to participate in our annual incentive programs, as well as our employee benefit plans and programs in effect from time to time.</w:t>
      </w:r>
    </w:p>
    <w:p>
      <w:pPr>
        <w:spacing w:after="0" w:line="176" w:lineRule="exact"/>
        <w:rPr>
          <w:sz w:val="20"/>
          <w:szCs w:val="20"/>
          <w:color w:val="auto"/>
        </w:rPr>
      </w:pPr>
    </w:p>
    <w:p>
      <w:pPr>
        <w:ind w:left="120" w:right="260"/>
        <w:spacing w:after="0" w:line="247" w:lineRule="auto"/>
        <w:rPr>
          <w:sz w:val="20"/>
          <w:szCs w:val="20"/>
          <w:color w:val="auto"/>
        </w:rPr>
      </w:pPr>
      <w:r>
        <w:rPr>
          <w:rFonts w:ascii="Arial" w:cs="Arial" w:eastAsia="Arial" w:hAnsi="Arial"/>
          <w:sz w:val="18"/>
          <w:szCs w:val="18"/>
          <w:color w:val="auto"/>
        </w:rPr>
        <w:t>The agreement has been amended and restated, most recently on April 15, 2021, to extend Mr. Edwards’ employment term to April 15, 2024, to provide that Mr. Edwards must give 180 days’ prior written notice of a voluntary termination of employment without “Good Reason” (as defined in the employment agreement), to provide for a reduction in severance payments that would exceed tax laws governing parachute payments and to modify certain of Mr. Edwards’ severance payments.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Edwards is required to devote the amount of his business time necessary to conduct Company business and affairs, and to use his best efforts to perform faithfully his duties and responsibilities as our Chief Executive Officer and President. However, to the extent such activities do not create a conflict of interest or substantially interfere with the performance of Mr. Edwards’ duties and responsibilities to the Company, he may (i) manage his personal and family financial and legal affairs, (ii) participate in charitable, civic, educational, professional, community and industry affairs (including serving on boards or committees of such entities), (iii) serve on the boards of the Salvation Army and the Columbus Museum of Art and (iv) continue to engage in non-competitive operational activities for a real estate development business in which he participated prior to entering into his employment agreement.</w:t>
      </w:r>
    </w:p>
    <w:p>
      <w:pPr>
        <w:spacing w:after="0" w:line="185" w:lineRule="exact"/>
        <w:rPr>
          <w:sz w:val="20"/>
          <w:szCs w:val="20"/>
          <w:color w:val="auto"/>
        </w:rPr>
      </w:pPr>
    </w:p>
    <w:p>
      <w:pPr>
        <w:ind w:left="120" w:right="420"/>
        <w:spacing w:after="0" w:line="247" w:lineRule="auto"/>
        <w:rPr>
          <w:sz w:val="20"/>
          <w:szCs w:val="20"/>
          <w:color w:val="auto"/>
        </w:rPr>
      </w:pPr>
      <w:r>
        <w:rPr>
          <w:rFonts w:ascii="Arial" w:cs="Arial" w:eastAsia="Arial" w:hAnsi="Arial"/>
          <w:sz w:val="18"/>
          <w:szCs w:val="18"/>
          <w:color w:val="auto"/>
        </w:rPr>
        <w:t>Mr. Edwards is entitled to receive certain severance benefits in the event of termination of his employment by us without “Cause” or if Mr. Edwards terminates his employment for “Good Reason,” in each case as defined in the employment agreement. See “</w:t>
      </w:r>
      <w:r>
        <w:rPr>
          <w:rFonts w:ascii="Arial" w:cs="Arial" w:eastAsia="Arial" w:hAnsi="Arial"/>
          <w:sz w:val="18"/>
          <w:szCs w:val="18"/>
          <w:i w:val="1"/>
          <w:iCs w:val="1"/>
          <w:color w:val="auto"/>
        </w:rPr>
        <w:t>Potential</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Upon Termination or Change in Control</w:t>
      </w:r>
      <w:r>
        <w:rPr>
          <w:rFonts w:ascii="Arial" w:cs="Arial" w:eastAsia="Arial" w:hAnsi="Arial"/>
          <w:sz w:val="18"/>
          <w:szCs w:val="18"/>
          <w:color w:val="auto"/>
        </w:rPr>
        <w:t>” below for a summary of these severance benefits. In the event of Mr. Edwards’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for any reason, we are required to pay him for his accrued and unpaid vacation as of the date of termination.</w:t>
      </w:r>
    </w:p>
    <w:p>
      <w:pPr>
        <w:spacing w:after="0" w:line="174" w:lineRule="exact"/>
        <w:rPr>
          <w:sz w:val="20"/>
          <w:szCs w:val="20"/>
          <w:color w:val="auto"/>
        </w:rPr>
      </w:pPr>
    </w:p>
    <w:p>
      <w:pPr>
        <w:ind w:left="120" w:right="800"/>
        <w:spacing w:after="0" w:line="271" w:lineRule="auto"/>
        <w:rPr>
          <w:sz w:val="20"/>
          <w:szCs w:val="20"/>
          <w:color w:val="auto"/>
        </w:rPr>
      </w:pPr>
      <w:r>
        <w:rPr>
          <w:rFonts w:ascii="Arial" w:cs="Arial" w:eastAsia="Arial" w:hAnsi="Arial"/>
          <w:sz w:val="18"/>
          <w:szCs w:val="18"/>
          <w:color w:val="auto"/>
        </w:rPr>
        <w:t>While employed and for two years after termination of his employment, Mr. Edwards is subject to non-competition, customer and employee non-solicitation and confidentiality restrictions that last during his employment and thereafter.</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0070C0"/>
        </w:rPr>
        <w:t>Potential Payments Upon Termination or Change in Control</w:t>
      </w:r>
    </w:p>
    <w:p>
      <w:pPr>
        <w:spacing w:after="0" w:line="212"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None of our named executive officers other than Mr. Edwards are entitled to benefits (other than vested benefits and awards) upon a resignation, termination or a change in control, except that if an NEO’s employment is terminated due to retirement or disability, the Compensation and Human Capital Committee may, in the exercise of its discretion, determine to accelerate vesting of restricted stock awards and to waive any limitations placed on performance-based cash awards. If an NEO’s employment is terminated due to the executive’s death, all earned but unvested restricted stock awards automatically vest in full. Our 2014 Omnibus Incentive Plan does not provide for automatic acceleration of vesting of any incentive-based awards in the event of a change in control without another qualifying event.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Payments upon Termination of Mr. Edwards without Cause or Resignation for Good Reason</w:t>
      </w:r>
    </w:p>
    <w:p>
      <w:pPr>
        <w:spacing w:after="0" w:line="210" w:lineRule="exact"/>
        <w:rPr>
          <w:sz w:val="20"/>
          <w:szCs w:val="20"/>
          <w:color w:val="auto"/>
        </w:rPr>
      </w:pPr>
    </w:p>
    <w:p>
      <w:pPr>
        <w:ind w:left="120"/>
        <w:spacing w:after="0" w:line="256" w:lineRule="auto"/>
        <w:rPr>
          <w:sz w:val="20"/>
          <w:szCs w:val="20"/>
          <w:color w:val="auto"/>
        </w:rPr>
      </w:pPr>
      <w:r>
        <w:rPr>
          <w:rFonts w:ascii="Arial" w:cs="Arial" w:eastAsia="Arial" w:hAnsi="Arial"/>
          <w:sz w:val="17"/>
          <w:szCs w:val="17"/>
          <w:color w:val="auto"/>
        </w:rPr>
        <w:t>If we terminate Mr. Edwards without Cause or Mr. Edwards terminates his employment for Good Reason, then subject to his compliance with certain restrictive covenants and upon his signing a release of claims, we are required to pay Mr. Edwards (i) base salary continuation payments for 18 months; (ii) any earned but unpaid or unissued annual incentive cash bonus or restricted stock award with respect to the performance year prior to the year of termination; and (iii) a lump sum cash payment equal to 1.5 times the dollar value of the total target incentive cash award (“Target Award”) established by the Compensation and Human Capital Committee for the year of termination. If termination occurs within two years following a change in control (other than as a result of a sale of all of Mr. Edwards’ equity interests in the Company), then Mr. Edwards is entitled to receive the severance benefits described in the foregoing sentence, except that base salary continuation payments will be made for 24 months and the lump sum cash payment is 2.0 times the Target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75565</wp:posOffset>
            </wp:positionV>
            <wp:extent cx="291465" cy="2660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91465" cy="266065"/>
                    </a:xfrm>
                    <a:prstGeom prst="rect">
                      <a:avLst/>
                    </a:prstGeom>
                    <a:noFill/>
                  </pic:spPr>
                </pic:pic>
              </a:graphicData>
            </a:graphic>
          </wp:anchor>
        </w:drawing>
      </w:r>
    </w:p>
    <w:p>
      <w:pPr>
        <w:spacing w:after="0" w:line="193"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Executive Compensation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71</w:t>
      </w:r>
    </w:p>
    <w:p>
      <w:pPr>
        <w:sectPr>
          <w:pgSz w:w="11900" w:h="16838" w:orient="portrait"/>
          <w:cols w:equalWidth="0" w:num="1">
            <w:col w:w="11100"/>
          </w:cols>
          <w:pgMar w:left="320" w:top="482"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“Cause” generally means: (i) conviction of or a plea of guilty to a felony; (ii) willful commission of an act of fraud, dishonesty or other willful misconduct in the course of Mr. Edwards’ duties having a significant adverse effect on the Company; (iii) willful failure to perform prescribed duties after the Company has delivered a written demand for performance; or (iv) any material breach by Mr. Edwards of the employment agreement that remains uncured for 30 days.</w:t>
      </w:r>
    </w:p>
    <w:p>
      <w:pPr>
        <w:spacing w:after="0" w:line="174"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“Good Reason” generally means any of the following events with respect to Mr. Edwards occurring without his consent: (i) a material diminution in base salary; (ii) a material diminution in duties, authorities or responsibilities; (iii) a relocation of a primary work location by more than 50 miles; or (iv) any material breach by the Company of the employment agreement.</w:t>
      </w:r>
    </w:p>
    <w:p>
      <w:pPr>
        <w:spacing w:after="0" w:line="169"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The following table shows the value of the termination payments Mr. Edwards would receive if (i) we terminated him without Cause or he terminated his employment for Good Reason, and (ii) we terminated him without Cause or he terminated his employment for Good Reason following a change in control, in each case on December 31, 2022, excluding distributions under our 401(k) plan and any additional benefits generally available to our salaried employees:</w:t>
      </w:r>
    </w:p>
    <w:p>
      <w:pPr>
        <w:spacing w:after="0" w:line="220" w:lineRule="exact"/>
        <w:rPr>
          <w:sz w:val="20"/>
          <w:szCs w:val="20"/>
          <w:color w:val="auto"/>
        </w:rPr>
      </w:pPr>
    </w:p>
    <w:tbl>
      <w:tblPr>
        <w:tblLayout w:type="fixed"/>
        <w:tblInd w:w="560" w:type="dxa"/>
        <w:tblCellMar>
          <w:top w:w="0" w:type="dxa"/>
          <w:left w:w="0" w:type="dxa"/>
          <w:bottom w:w="0" w:type="dxa"/>
          <w:right w:w="0" w:type="dxa"/>
        </w:tblCellMar>
      </w:tblPr>
      <w:tr>
        <w:trPr>
          <w:trHeight w:val="193"/>
        </w:trPr>
        <w:tc>
          <w:tcPr>
            <w:tcW w:w="5800" w:type="dxa"/>
            <w:vAlign w:val="bottom"/>
          </w:tcPr>
          <w:p>
            <w:pPr>
              <w:spacing w:after="0"/>
              <w:rPr>
                <w:sz w:val="16"/>
                <w:szCs w:val="16"/>
                <w:color w:val="auto"/>
              </w:rPr>
            </w:pPr>
          </w:p>
        </w:tc>
        <w:tc>
          <w:tcPr>
            <w:tcW w:w="2060" w:type="dxa"/>
            <w:vAlign w:val="bottom"/>
            <w:shd w:val="clear" w:color="auto" w:fill="E0E0E0"/>
          </w:tcPr>
          <w:p>
            <w:pPr>
              <w:spacing w:after="0"/>
              <w:rPr>
                <w:sz w:val="16"/>
                <w:szCs w:val="16"/>
                <w:color w:val="auto"/>
              </w:rPr>
            </w:pPr>
          </w:p>
        </w:tc>
        <w:tc>
          <w:tcPr>
            <w:tcW w:w="226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1F4E79"/>
              </w:rPr>
              <w:t>Termination Without</w:t>
            </w:r>
          </w:p>
        </w:tc>
      </w:tr>
      <w:tr>
        <w:trPr>
          <w:trHeight w:val="162"/>
        </w:trPr>
        <w:tc>
          <w:tcPr>
            <w:tcW w:w="5800" w:type="dxa"/>
            <w:vAlign w:val="bottom"/>
          </w:tcPr>
          <w:p>
            <w:pPr>
              <w:spacing w:after="0"/>
              <w:rPr>
                <w:sz w:val="14"/>
                <w:szCs w:val="14"/>
                <w:color w:val="auto"/>
              </w:rPr>
            </w:pPr>
          </w:p>
        </w:tc>
        <w:tc>
          <w:tcPr>
            <w:tcW w:w="2060" w:type="dxa"/>
            <w:vAlign w:val="bottom"/>
            <w:shd w:val="clear" w:color="auto" w:fill="E0E0E0"/>
          </w:tcPr>
          <w:p>
            <w:pPr>
              <w:spacing w:after="0"/>
              <w:rPr>
                <w:sz w:val="14"/>
                <w:szCs w:val="14"/>
                <w:color w:val="auto"/>
              </w:rPr>
            </w:pPr>
          </w:p>
        </w:tc>
        <w:tc>
          <w:tcPr>
            <w:tcW w:w="226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1F4E79"/>
              </w:rPr>
              <w:t>Cause or for Good</w:t>
            </w:r>
          </w:p>
        </w:tc>
      </w:tr>
      <w:tr>
        <w:trPr>
          <w:trHeight w:val="162"/>
        </w:trPr>
        <w:tc>
          <w:tcPr>
            <w:tcW w:w="5800" w:type="dxa"/>
            <w:vAlign w:val="bottom"/>
          </w:tcPr>
          <w:p>
            <w:pPr>
              <w:spacing w:after="0"/>
              <w:rPr>
                <w:sz w:val="14"/>
                <w:szCs w:val="14"/>
                <w:color w:val="auto"/>
              </w:rPr>
            </w:pPr>
          </w:p>
        </w:tc>
        <w:tc>
          <w:tcPr>
            <w:tcW w:w="206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1F4E79"/>
              </w:rPr>
              <w:t>Termination</w:t>
            </w:r>
          </w:p>
        </w:tc>
        <w:tc>
          <w:tcPr>
            <w:tcW w:w="226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1F4E79"/>
              </w:rPr>
              <w:t>Reason in</w:t>
            </w:r>
          </w:p>
        </w:tc>
      </w:tr>
      <w:tr>
        <w:trPr>
          <w:trHeight w:val="162"/>
        </w:trPr>
        <w:tc>
          <w:tcPr>
            <w:tcW w:w="5800" w:type="dxa"/>
            <w:vAlign w:val="bottom"/>
          </w:tcPr>
          <w:p>
            <w:pPr>
              <w:spacing w:after="0"/>
              <w:rPr>
                <w:sz w:val="14"/>
                <w:szCs w:val="14"/>
                <w:color w:val="auto"/>
              </w:rPr>
            </w:pPr>
          </w:p>
        </w:tc>
        <w:tc>
          <w:tcPr>
            <w:tcW w:w="206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1F4E79"/>
              </w:rPr>
              <w:t>Without Cause or</w:t>
            </w:r>
          </w:p>
        </w:tc>
        <w:tc>
          <w:tcPr>
            <w:tcW w:w="226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1F4E79"/>
              </w:rPr>
              <w:t>Connection with</w:t>
            </w:r>
          </w:p>
        </w:tc>
      </w:tr>
      <w:tr>
        <w:trPr>
          <w:trHeight w:val="162"/>
        </w:trPr>
        <w:tc>
          <w:tcPr>
            <w:tcW w:w="5800" w:type="dxa"/>
            <w:vAlign w:val="bottom"/>
          </w:tcPr>
          <w:p>
            <w:pPr>
              <w:spacing w:after="0"/>
              <w:rPr>
                <w:sz w:val="14"/>
                <w:szCs w:val="14"/>
                <w:color w:val="auto"/>
              </w:rPr>
            </w:pPr>
          </w:p>
        </w:tc>
        <w:tc>
          <w:tcPr>
            <w:tcW w:w="206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1F4E79"/>
              </w:rPr>
              <w:t>for Good Reason</w:t>
            </w:r>
          </w:p>
        </w:tc>
        <w:tc>
          <w:tcPr>
            <w:tcW w:w="226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1F4E79"/>
              </w:rPr>
              <w:t>Change in Control</w:t>
            </w:r>
          </w:p>
        </w:tc>
      </w:tr>
      <w:tr>
        <w:trPr>
          <w:trHeight w:val="185"/>
        </w:trPr>
        <w:tc>
          <w:tcPr>
            <w:tcW w:w="5800" w:type="dxa"/>
            <w:vAlign w:val="bottom"/>
            <w:tcBorders>
              <w:bottom w:val="single" w:sz="8" w:color="002060"/>
            </w:tcBorders>
          </w:tcPr>
          <w:p>
            <w:pPr>
              <w:spacing w:after="0"/>
              <w:rPr>
                <w:sz w:val="20"/>
                <w:szCs w:val="20"/>
                <w:color w:val="auto"/>
              </w:rPr>
            </w:pPr>
            <w:r>
              <w:rPr>
                <w:rFonts w:ascii="Arial" w:cs="Arial" w:eastAsia="Arial" w:hAnsi="Arial"/>
                <w:sz w:val="14"/>
                <w:szCs w:val="14"/>
                <w:b w:val="1"/>
                <w:bCs w:val="1"/>
                <w:color w:val="auto"/>
              </w:rPr>
              <w:t>Name</w:t>
            </w:r>
          </w:p>
        </w:tc>
        <w:tc>
          <w:tcPr>
            <w:tcW w:w="2060" w:type="dxa"/>
            <w:vAlign w:val="bottom"/>
            <w:tcBorders>
              <w:bottom w:val="single" w:sz="8" w:color="002060"/>
            </w:tcBorders>
            <w:shd w:val="clear" w:color="auto" w:fill="E0E0E0"/>
          </w:tcPr>
          <w:p>
            <w:pPr>
              <w:jc w:val="center"/>
              <w:spacing w:after="0"/>
              <w:rPr>
                <w:sz w:val="20"/>
                <w:szCs w:val="20"/>
                <w:color w:val="auto"/>
              </w:rPr>
            </w:pPr>
            <w:r>
              <w:rPr>
                <w:rFonts w:ascii="Arial" w:cs="Arial" w:eastAsia="Arial" w:hAnsi="Arial"/>
                <w:sz w:val="14"/>
                <w:szCs w:val="14"/>
                <w:b w:val="1"/>
                <w:bCs w:val="1"/>
                <w:color w:val="1F4E79"/>
              </w:rPr>
              <w:t>($)</w:t>
            </w:r>
          </w:p>
        </w:tc>
        <w:tc>
          <w:tcPr>
            <w:tcW w:w="2260" w:type="dxa"/>
            <w:vAlign w:val="bottom"/>
            <w:tcBorders>
              <w:bottom w:val="single" w:sz="8" w:color="002060"/>
            </w:tcBorders>
            <w:shd w:val="clear" w:color="auto" w:fill="E0E0E0"/>
          </w:tcPr>
          <w:p>
            <w:pPr>
              <w:jc w:val="center"/>
              <w:spacing w:after="0"/>
              <w:rPr>
                <w:sz w:val="20"/>
                <w:szCs w:val="20"/>
                <w:color w:val="auto"/>
              </w:rPr>
            </w:pPr>
            <w:r>
              <w:rPr>
                <w:rFonts w:ascii="Arial" w:cs="Arial" w:eastAsia="Arial" w:hAnsi="Arial"/>
                <w:sz w:val="14"/>
                <w:szCs w:val="14"/>
                <w:b w:val="1"/>
                <w:bCs w:val="1"/>
                <w:color w:val="1F4E79"/>
                <w:w w:val="93"/>
              </w:rPr>
              <w:t>($)</w:t>
            </w:r>
          </w:p>
        </w:tc>
      </w:tr>
      <w:tr>
        <w:trPr>
          <w:trHeight w:val="177"/>
        </w:trPr>
        <w:tc>
          <w:tcPr>
            <w:tcW w:w="5800" w:type="dxa"/>
            <w:vAlign w:val="bottom"/>
          </w:tcPr>
          <w:p>
            <w:pPr>
              <w:ind w:left="100"/>
              <w:spacing w:after="0" w:line="177" w:lineRule="exact"/>
              <w:rPr>
                <w:sz w:val="20"/>
                <w:szCs w:val="20"/>
                <w:color w:val="auto"/>
              </w:rPr>
            </w:pPr>
            <w:r>
              <w:rPr>
                <w:rFonts w:ascii="Arial" w:cs="Arial" w:eastAsia="Arial" w:hAnsi="Arial"/>
                <w:sz w:val="18"/>
                <w:szCs w:val="18"/>
                <w:color w:val="auto"/>
              </w:rPr>
              <w:t>Jeffrey W. Edwards</w:t>
            </w:r>
          </w:p>
        </w:tc>
        <w:tc>
          <w:tcPr>
            <w:tcW w:w="2060" w:type="dxa"/>
            <w:vAlign w:val="bottom"/>
            <w:shd w:val="clear" w:color="auto" w:fill="E0E0E0"/>
          </w:tcPr>
          <w:p>
            <w:pPr>
              <w:spacing w:after="0"/>
              <w:rPr>
                <w:sz w:val="15"/>
                <w:szCs w:val="15"/>
                <w:color w:val="auto"/>
              </w:rPr>
            </w:pPr>
          </w:p>
        </w:tc>
        <w:tc>
          <w:tcPr>
            <w:tcW w:w="2260" w:type="dxa"/>
            <w:vAlign w:val="bottom"/>
            <w:shd w:val="clear" w:color="auto" w:fill="E0E0E0"/>
          </w:tcPr>
          <w:p>
            <w:pPr>
              <w:spacing w:after="0"/>
              <w:rPr>
                <w:sz w:val="15"/>
                <w:szCs w:val="15"/>
                <w:color w:val="auto"/>
              </w:rPr>
            </w:pPr>
          </w:p>
        </w:tc>
      </w:tr>
      <w:tr>
        <w:trPr>
          <w:trHeight w:val="203"/>
        </w:trPr>
        <w:tc>
          <w:tcPr>
            <w:tcW w:w="5800" w:type="dxa"/>
            <w:vAlign w:val="bottom"/>
          </w:tcPr>
          <w:p>
            <w:pPr>
              <w:ind w:left="300"/>
              <w:spacing w:after="0" w:line="202" w:lineRule="exact"/>
              <w:rPr>
                <w:sz w:val="20"/>
                <w:szCs w:val="20"/>
                <w:color w:val="auto"/>
              </w:rPr>
            </w:pPr>
            <w:r>
              <w:rPr>
                <w:rFonts w:ascii="Arial" w:cs="Arial" w:eastAsia="Arial" w:hAnsi="Arial"/>
                <w:sz w:val="18"/>
                <w:szCs w:val="18"/>
                <w:color w:val="auto"/>
              </w:rPr>
              <w:t>Base Salary Continuation</w:t>
            </w:r>
          </w:p>
        </w:tc>
        <w:tc>
          <w:tcPr>
            <w:tcW w:w="2060" w:type="dxa"/>
            <w:vAlign w:val="bottom"/>
            <w:shd w:val="clear" w:color="auto" w:fill="E0E0E0"/>
          </w:tcPr>
          <w:p>
            <w:pPr>
              <w:jc w:val="right"/>
              <w:ind w:right="400"/>
              <w:spacing w:after="0" w:line="202" w:lineRule="exact"/>
              <w:rPr>
                <w:sz w:val="20"/>
                <w:szCs w:val="20"/>
                <w:color w:val="auto"/>
              </w:rPr>
            </w:pPr>
            <w:r>
              <w:rPr>
                <w:rFonts w:ascii="Arial" w:cs="Arial" w:eastAsia="Arial" w:hAnsi="Arial"/>
                <w:sz w:val="18"/>
                <w:szCs w:val="18"/>
                <w:color w:val="auto"/>
              </w:rPr>
              <w:t>1,200,000</w:t>
            </w:r>
          </w:p>
        </w:tc>
        <w:tc>
          <w:tcPr>
            <w:tcW w:w="2260" w:type="dxa"/>
            <w:vAlign w:val="bottom"/>
            <w:shd w:val="clear" w:color="auto" w:fill="E0E0E0"/>
          </w:tcPr>
          <w:p>
            <w:pPr>
              <w:jc w:val="right"/>
              <w:ind w:right="582"/>
              <w:spacing w:after="0" w:line="202" w:lineRule="exact"/>
              <w:rPr>
                <w:sz w:val="20"/>
                <w:szCs w:val="20"/>
                <w:color w:val="auto"/>
              </w:rPr>
            </w:pPr>
            <w:r>
              <w:rPr>
                <w:rFonts w:ascii="Arial" w:cs="Arial" w:eastAsia="Arial" w:hAnsi="Arial"/>
                <w:sz w:val="18"/>
                <w:szCs w:val="18"/>
                <w:color w:val="auto"/>
              </w:rPr>
              <w:t>1,600,000</w:t>
            </w:r>
          </w:p>
        </w:tc>
      </w:tr>
      <w:tr>
        <w:trPr>
          <w:trHeight w:val="221"/>
        </w:trPr>
        <w:tc>
          <w:tcPr>
            <w:tcW w:w="5800" w:type="dxa"/>
            <w:vAlign w:val="bottom"/>
            <w:tcBorders>
              <w:bottom w:val="single" w:sz="8" w:color="002060"/>
            </w:tcBorders>
          </w:tcPr>
          <w:p>
            <w:pPr>
              <w:ind w:left="300"/>
              <w:spacing w:after="0"/>
              <w:rPr>
                <w:sz w:val="20"/>
                <w:szCs w:val="20"/>
                <w:color w:val="auto"/>
              </w:rPr>
            </w:pPr>
            <w:r>
              <w:rPr>
                <w:rFonts w:ascii="Arial" w:cs="Arial" w:eastAsia="Arial" w:hAnsi="Arial"/>
                <w:sz w:val="18"/>
                <w:szCs w:val="18"/>
                <w:color w:val="auto"/>
              </w:rPr>
              <w:t>Target Cash Incentive</w:t>
            </w:r>
          </w:p>
        </w:tc>
        <w:tc>
          <w:tcPr>
            <w:tcW w:w="2060" w:type="dxa"/>
            <w:vAlign w:val="bottom"/>
            <w:tcBorders>
              <w:bottom w:val="single" w:sz="8" w:color="002060"/>
            </w:tcBorders>
            <w:shd w:val="clear" w:color="auto" w:fill="E0E0E0"/>
          </w:tcPr>
          <w:p>
            <w:pPr>
              <w:jc w:val="right"/>
              <w:ind w:right="400"/>
              <w:spacing w:after="0"/>
              <w:rPr>
                <w:sz w:val="20"/>
                <w:szCs w:val="20"/>
                <w:color w:val="auto"/>
              </w:rPr>
            </w:pPr>
            <w:r>
              <w:rPr>
                <w:rFonts w:ascii="Arial" w:cs="Arial" w:eastAsia="Arial" w:hAnsi="Arial"/>
                <w:sz w:val="18"/>
                <w:szCs w:val="18"/>
                <w:color w:val="auto"/>
              </w:rPr>
              <w:t>1,500,000</w:t>
            </w:r>
          </w:p>
        </w:tc>
        <w:tc>
          <w:tcPr>
            <w:tcW w:w="2260" w:type="dxa"/>
            <w:vAlign w:val="bottom"/>
            <w:tcBorders>
              <w:bottom w:val="single" w:sz="8" w:color="002060"/>
            </w:tcBorders>
            <w:shd w:val="clear" w:color="auto" w:fill="E0E0E0"/>
          </w:tcPr>
          <w:p>
            <w:pPr>
              <w:jc w:val="right"/>
              <w:ind w:right="582"/>
              <w:spacing w:after="0"/>
              <w:rPr>
                <w:sz w:val="20"/>
                <w:szCs w:val="20"/>
                <w:color w:val="auto"/>
              </w:rPr>
            </w:pPr>
            <w:r>
              <w:rPr>
                <w:rFonts w:ascii="Arial" w:cs="Arial" w:eastAsia="Arial" w:hAnsi="Arial"/>
                <w:sz w:val="18"/>
                <w:szCs w:val="18"/>
                <w:color w:val="auto"/>
              </w:rPr>
              <w:t>2,000,000</w:t>
            </w:r>
          </w:p>
        </w:tc>
      </w:tr>
      <w:tr>
        <w:trPr>
          <w:trHeight w:val="196"/>
        </w:trPr>
        <w:tc>
          <w:tcPr>
            <w:tcW w:w="580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2060" w:type="dxa"/>
            <w:vAlign w:val="bottom"/>
            <w:tcBorders>
              <w:bottom w:val="single" w:sz="8" w:color="002060"/>
            </w:tcBorders>
            <w:shd w:val="clear" w:color="auto" w:fill="E0E0E0"/>
          </w:tcPr>
          <w:p>
            <w:pPr>
              <w:jc w:val="right"/>
              <w:ind w:right="400"/>
              <w:spacing w:after="0" w:line="196" w:lineRule="exact"/>
              <w:rPr>
                <w:sz w:val="20"/>
                <w:szCs w:val="20"/>
                <w:color w:val="auto"/>
              </w:rPr>
            </w:pPr>
            <w:r>
              <w:rPr>
                <w:rFonts w:ascii="Arial" w:cs="Arial" w:eastAsia="Arial" w:hAnsi="Arial"/>
                <w:sz w:val="18"/>
                <w:szCs w:val="18"/>
                <w:color w:val="auto"/>
              </w:rPr>
              <w:t>2,700,000</w:t>
            </w:r>
          </w:p>
        </w:tc>
        <w:tc>
          <w:tcPr>
            <w:tcW w:w="2260" w:type="dxa"/>
            <w:vAlign w:val="bottom"/>
            <w:tcBorders>
              <w:bottom w:val="single" w:sz="8" w:color="002060"/>
            </w:tcBorders>
            <w:shd w:val="clear" w:color="auto" w:fill="E0E0E0"/>
          </w:tcPr>
          <w:p>
            <w:pPr>
              <w:jc w:val="right"/>
              <w:ind w:right="582"/>
              <w:spacing w:after="0" w:line="196" w:lineRule="exact"/>
              <w:rPr>
                <w:sz w:val="20"/>
                <w:szCs w:val="20"/>
                <w:color w:val="auto"/>
              </w:rPr>
            </w:pPr>
            <w:r>
              <w:rPr>
                <w:rFonts w:ascii="Arial" w:cs="Arial" w:eastAsia="Arial" w:hAnsi="Arial"/>
                <w:sz w:val="18"/>
                <w:szCs w:val="18"/>
                <w:color w:val="auto"/>
              </w:rPr>
              <w:t>3,600,000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-539750</wp:posOffset>
            </wp:positionV>
            <wp:extent cx="8255" cy="5403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540385"/>
                    </a:xfrm>
                    <a:prstGeom prst="rect">
                      <a:avLst/>
                    </a:prstGeom>
                    <a:noFill/>
                  </pic:spPr>
                </pic:pic>
              </a:graphicData>
            </a:graphic>
          </wp:anchor>
        </w:drawing>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Payments to NEOs upon Death, Retirement or Disability</w:t>
      </w:r>
    </w:p>
    <w:p>
      <w:pPr>
        <w:spacing w:after="0" w:line="210"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The following table summarizes the value of unvested restricted stock that would vest in the event of an NEO’s death, assuming such death occurred on December 31, 2022. The value was determined by multiplying the closing price of our common stock on December 31, 2022 ($85.60) by the number of shares that would have vested on such date.</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93"/>
        </w:trPr>
        <w:tc>
          <w:tcPr>
            <w:tcW w:w="7480" w:type="dxa"/>
            <w:vAlign w:val="bottom"/>
          </w:tcPr>
          <w:p>
            <w:pPr>
              <w:spacing w:after="0"/>
              <w:rPr>
                <w:sz w:val="16"/>
                <w:szCs w:val="16"/>
                <w:color w:val="auto"/>
              </w:rPr>
            </w:pPr>
          </w:p>
        </w:tc>
        <w:tc>
          <w:tcPr>
            <w:tcW w:w="2640" w:type="dxa"/>
            <w:vAlign w:val="bottom"/>
            <w:shd w:val="clear" w:color="auto" w:fill="E0E0E0"/>
          </w:tcPr>
          <w:p>
            <w:pPr>
              <w:jc w:val="center"/>
              <w:ind w:left="357"/>
              <w:spacing w:after="0"/>
              <w:rPr>
                <w:sz w:val="20"/>
                <w:szCs w:val="20"/>
                <w:color w:val="auto"/>
              </w:rPr>
            </w:pPr>
            <w:r>
              <w:rPr>
                <w:rFonts w:ascii="Arial" w:cs="Arial" w:eastAsia="Arial" w:hAnsi="Arial"/>
                <w:sz w:val="14"/>
                <w:szCs w:val="14"/>
                <w:b w:val="1"/>
                <w:bCs w:val="1"/>
                <w:color w:val="1F4E79"/>
              </w:rPr>
              <w:t>Unvested Restricted</w:t>
            </w:r>
          </w:p>
        </w:tc>
      </w:tr>
      <w:tr>
        <w:trPr>
          <w:trHeight w:val="162"/>
        </w:trPr>
        <w:tc>
          <w:tcPr>
            <w:tcW w:w="7480" w:type="dxa"/>
            <w:vAlign w:val="bottom"/>
          </w:tcPr>
          <w:p>
            <w:pPr>
              <w:spacing w:after="0"/>
              <w:rPr>
                <w:sz w:val="14"/>
                <w:szCs w:val="14"/>
                <w:color w:val="auto"/>
              </w:rPr>
            </w:pPr>
          </w:p>
        </w:tc>
        <w:tc>
          <w:tcPr>
            <w:tcW w:w="2640" w:type="dxa"/>
            <w:vAlign w:val="bottom"/>
            <w:shd w:val="clear" w:color="auto" w:fill="E0E0E0"/>
          </w:tcPr>
          <w:p>
            <w:pPr>
              <w:jc w:val="center"/>
              <w:ind w:left="357"/>
              <w:spacing w:after="0"/>
              <w:rPr>
                <w:sz w:val="20"/>
                <w:szCs w:val="20"/>
                <w:color w:val="auto"/>
              </w:rPr>
            </w:pPr>
            <w:r>
              <w:rPr>
                <w:rFonts w:ascii="Arial" w:cs="Arial" w:eastAsia="Arial" w:hAnsi="Arial"/>
                <w:sz w:val="14"/>
                <w:szCs w:val="14"/>
                <w:b w:val="1"/>
                <w:bCs w:val="1"/>
                <w:color w:val="1F4E79"/>
              </w:rPr>
              <w:t>Stock</w:t>
            </w:r>
          </w:p>
        </w:tc>
      </w:tr>
      <w:tr>
        <w:trPr>
          <w:trHeight w:val="185"/>
        </w:trPr>
        <w:tc>
          <w:tcPr>
            <w:tcW w:w="7480" w:type="dxa"/>
            <w:vAlign w:val="bottom"/>
            <w:tcBorders>
              <w:bottom w:val="single" w:sz="8" w:color="002060"/>
            </w:tcBorders>
          </w:tcPr>
          <w:p>
            <w:pPr>
              <w:spacing w:after="0"/>
              <w:rPr>
                <w:sz w:val="20"/>
                <w:szCs w:val="20"/>
                <w:color w:val="auto"/>
              </w:rPr>
            </w:pPr>
            <w:r>
              <w:rPr>
                <w:rFonts w:ascii="Arial" w:cs="Arial" w:eastAsia="Arial" w:hAnsi="Arial"/>
                <w:sz w:val="14"/>
                <w:szCs w:val="14"/>
                <w:b w:val="1"/>
                <w:bCs w:val="1"/>
                <w:color w:val="auto"/>
              </w:rPr>
              <w:t>Name</w:t>
            </w:r>
          </w:p>
        </w:tc>
        <w:tc>
          <w:tcPr>
            <w:tcW w:w="2640" w:type="dxa"/>
            <w:vAlign w:val="bottom"/>
            <w:tcBorders>
              <w:bottom w:val="single" w:sz="8" w:color="002060"/>
            </w:tcBorders>
            <w:shd w:val="clear" w:color="auto" w:fill="E0E0E0"/>
          </w:tcPr>
          <w:p>
            <w:pPr>
              <w:jc w:val="center"/>
              <w:ind w:left="357"/>
              <w:spacing w:after="0"/>
              <w:rPr>
                <w:sz w:val="20"/>
                <w:szCs w:val="20"/>
                <w:color w:val="auto"/>
              </w:rPr>
            </w:pPr>
            <w:r>
              <w:rPr>
                <w:rFonts w:ascii="Arial" w:cs="Arial" w:eastAsia="Arial" w:hAnsi="Arial"/>
                <w:sz w:val="14"/>
                <w:szCs w:val="14"/>
                <w:b w:val="1"/>
                <w:bCs w:val="1"/>
                <w:color w:val="1F4E79"/>
                <w:w w:val="93"/>
              </w:rPr>
              <w:t>($)</w:t>
            </w:r>
          </w:p>
        </w:tc>
      </w:tr>
      <w:tr>
        <w:trPr>
          <w:trHeight w:val="196"/>
        </w:trPr>
        <w:tc>
          <w:tcPr>
            <w:tcW w:w="748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Jeffrey W. Edwards</w:t>
            </w:r>
          </w:p>
        </w:tc>
        <w:tc>
          <w:tcPr>
            <w:tcW w:w="2640" w:type="dxa"/>
            <w:vAlign w:val="bottom"/>
            <w:tcBorders>
              <w:bottom w:val="single" w:sz="8" w:color="002060"/>
            </w:tcBorders>
            <w:shd w:val="clear" w:color="auto" w:fill="E0E0E0"/>
          </w:tcPr>
          <w:p>
            <w:pPr>
              <w:jc w:val="right"/>
              <w:ind w:right="577"/>
              <w:spacing w:after="0" w:line="196" w:lineRule="exact"/>
              <w:rPr>
                <w:sz w:val="20"/>
                <w:szCs w:val="20"/>
                <w:color w:val="auto"/>
              </w:rPr>
            </w:pPr>
            <w:r>
              <w:rPr>
                <w:rFonts w:ascii="Arial" w:cs="Arial" w:eastAsia="Arial" w:hAnsi="Arial"/>
                <w:sz w:val="18"/>
                <w:szCs w:val="18"/>
                <w:color w:val="auto"/>
              </w:rPr>
              <w:t>6,070,153</w:t>
            </w:r>
          </w:p>
        </w:tc>
      </w:tr>
      <w:tr>
        <w:trPr>
          <w:trHeight w:val="196"/>
        </w:trPr>
        <w:tc>
          <w:tcPr>
            <w:tcW w:w="748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Michael T. Miller</w:t>
            </w:r>
          </w:p>
        </w:tc>
        <w:tc>
          <w:tcPr>
            <w:tcW w:w="2640" w:type="dxa"/>
            <w:vAlign w:val="bottom"/>
            <w:tcBorders>
              <w:bottom w:val="single" w:sz="8" w:color="002060"/>
            </w:tcBorders>
            <w:shd w:val="clear" w:color="auto" w:fill="E0E0E0"/>
          </w:tcPr>
          <w:p>
            <w:pPr>
              <w:jc w:val="right"/>
              <w:ind w:right="577"/>
              <w:spacing w:after="0" w:line="196" w:lineRule="exact"/>
              <w:rPr>
                <w:sz w:val="20"/>
                <w:szCs w:val="20"/>
                <w:color w:val="auto"/>
              </w:rPr>
            </w:pPr>
            <w:r>
              <w:rPr>
                <w:rFonts w:ascii="Arial" w:cs="Arial" w:eastAsia="Arial" w:hAnsi="Arial"/>
                <w:sz w:val="18"/>
                <w:szCs w:val="18"/>
                <w:color w:val="auto"/>
              </w:rPr>
              <w:t>2,034,883</w:t>
            </w:r>
          </w:p>
        </w:tc>
      </w:tr>
      <w:tr>
        <w:trPr>
          <w:trHeight w:val="196"/>
        </w:trPr>
        <w:tc>
          <w:tcPr>
            <w:tcW w:w="748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Jay P. Elliott</w:t>
            </w:r>
          </w:p>
        </w:tc>
        <w:tc>
          <w:tcPr>
            <w:tcW w:w="2640" w:type="dxa"/>
            <w:vAlign w:val="bottom"/>
            <w:tcBorders>
              <w:bottom w:val="single" w:sz="8" w:color="002060"/>
            </w:tcBorders>
            <w:shd w:val="clear" w:color="auto" w:fill="E0E0E0"/>
          </w:tcPr>
          <w:p>
            <w:pPr>
              <w:jc w:val="right"/>
              <w:ind w:right="577"/>
              <w:spacing w:after="0" w:line="196" w:lineRule="exact"/>
              <w:rPr>
                <w:sz w:val="20"/>
                <w:szCs w:val="20"/>
                <w:color w:val="auto"/>
              </w:rPr>
            </w:pPr>
            <w:r>
              <w:rPr>
                <w:rFonts w:ascii="Arial" w:cs="Arial" w:eastAsia="Arial" w:hAnsi="Arial"/>
                <w:sz w:val="18"/>
                <w:szCs w:val="18"/>
                <w:color w:val="auto"/>
              </w:rPr>
              <w:t>2,152,412</w:t>
            </w:r>
          </w:p>
        </w:tc>
      </w:tr>
      <w:tr>
        <w:trPr>
          <w:trHeight w:val="196"/>
        </w:trPr>
        <w:tc>
          <w:tcPr>
            <w:tcW w:w="748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W. Jeffrey Hire</w:t>
            </w:r>
          </w:p>
        </w:tc>
        <w:tc>
          <w:tcPr>
            <w:tcW w:w="2640" w:type="dxa"/>
            <w:vAlign w:val="bottom"/>
            <w:tcBorders>
              <w:bottom w:val="single" w:sz="8" w:color="002060"/>
            </w:tcBorders>
            <w:shd w:val="clear" w:color="auto" w:fill="E0E0E0"/>
          </w:tcPr>
          <w:p>
            <w:pPr>
              <w:jc w:val="right"/>
              <w:ind w:right="577"/>
              <w:spacing w:after="0" w:line="196" w:lineRule="exact"/>
              <w:rPr>
                <w:sz w:val="20"/>
                <w:szCs w:val="20"/>
                <w:color w:val="auto"/>
              </w:rPr>
            </w:pPr>
            <w:r>
              <w:rPr>
                <w:rFonts w:ascii="Arial" w:cs="Arial" w:eastAsia="Arial" w:hAnsi="Arial"/>
                <w:sz w:val="18"/>
                <w:szCs w:val="18"/>
                <w:color w:val="auto"/>
              </w:rPr>
              <w:t>1,272,615</w:t>
            </w:r>
          </w:p>
        </w:tc>
      </w:tr>
      <w:tr>
        <w:trPr>
          <w:trHeight w:val="196"/>
        </w:trPr>
        <w:tc>
          <w:tcPr>
            <w:tcW w:w="7480" w:type="dxa"/>
            <w:vAlign w:val="bottom"/>
            <w:tcBorders>
              <w:bottom w:val="single" w:sz="8" w:color="002060"/>
            </w:tcBorders>
          </w:tcPr>
          <w:p>
            <w:pPr>
              <w:ind w:left="100"/>
              <w:spacing w:after="0" w:line="196" w:lineRule="exact"/>
              <w:rPr>
                <w:sz w:val="20"/>
                <w:szCs w:val="20"/>
                <w:color w:val="auto"/>
              </w:rPr>
            </w:pPr>
            <w:r>
              <w:rPr>
                <w:rFonts w:ascii="Arial" w:cs="Arial" w:eastAsia="Arial" w:hAnsi="Arial"/>
                <w:sz w:val="18"/>
                <w:szCs w:val="18"/>
                <w:color w:val="auto"/>
              </w:rPr>
              <w:t>Jason R. Niswonger</w:t>
            </w:r>
          </w:p>
        </w:tc>
        <w:tc>
          <w:tcPr>
            <w:tcW w:w="2640" w:type="dxa"/>
            <w:vAlign w:val="bottom"/>
            <w:tcBorders>
              <w:bottom w:val="single" w:sz="8" w:color="002060"/>
            </w:tcBorders>
            <w:shd w:val="clear" w:color="auto" w:fill="E0E0E0"/>
          </w:tcPr>
          <w:p>
            <w:pPr>
              <w:jc w:val="right"/>
              <w:ind w:right="577"/>
              <w:spacing w:after="0" w:line="196" w:lineRule="exact"/>
              <w:rPr>
                <w:sz w:val="20"/>
                <w:szCs w:val="20"/>
                <w:color w:val="auto"/>
              </w:rPr>
            </w:pPr>
            <w:r>
              <w:rPr>
                <w:rFonts w:ascii="Arial" w:cs="Arial" w:eastAsia="Arial" w:hAnsi="Arial"/>
                <w:sz w:val="18"/>
                <w:szCs w:val="18"/>
                <w:color w:val="auto"/>
              </w:rPr>
              <w:t>1,609,194</w:t>
            </w:r>
          </w:p>
        </w:tc>
      </w:tr>
    </w:tbl>
    <w:p>
      <w:pPr>
        <w:spacing w:after="0" w:line="197"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If an NEO’s employment is terminated due to death, retirement or disability, the Compensation and Human Capital Committee may also, in the exercise of its discretion, determine to waive any limitations placed on performance-based incentive cash awards.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2060"/>
        </w:rPr>
        <w:t>Chief Executive Officer Pay Ratio</w:t>
      </w:r>
    </w:p>
    <w:p>
      <w:pPr>
        <w:spacing w:after="0" w:line="104"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In accordance with SEC rules, we are providing the ratio of the annual total compensation of our chief executive officer to the annual total compensation of our median employee.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2022:</w:t>
      </w:r>
    </w:p>
    <w:p>
      <w:pPr>
        <w:spacing w:after="0" w:line="239" w:lineRule="exact"/>
        <w:rPr>
          <w:sz w:val="20"/>
          <w:szCs w:val="20"/>
          <w:color w:val="auto"/>
        </w:rPr>
      </w:pPr>
    </w:p>
    <w:p>
      <w:pPr>
        <w:ind w:left="760" w:hanging="320"/>
        <w:spacing w:after="0"/>
        <w:tabs>
          <w:tab w:leader="none" w:pos="760" w:val="left"/>
        </w:tabs>
        <w:numPr>
          <w:ilvl w:val="0"/>
          <w:numId w:val="45"/>
        </w:numPr>
        <w:rPr>
          <w:rFonts w:ascii="Arial" w:cs="Arial" w:eastAsia="Arial" w:hAnsi="Arial"/>
          <w:sz w:val="18"/>
          <w:szCs w:val="18"/>
          <w:color w:val="0070C0"/>
        </w:rPr>
      </w:pPr>
      <w:r>
        <w:rPr>
          <w:rFonts w:ascii="Arial" w:cs="Arial" w:eastAsia="Arial" w:hAnsi="Arial"/>
          <w:sz w:val="18"/>
          <w:szCs w:val="18"/>
          <w:color w:val="auto"/>
        </w:rPr>
        <w:t>the annual total compensation of our median employee was $57,594;</w:t>
      </w:r>
    </w:p>
    <w:p>
      <w:pPr>
        <w:spacing w:after="0" w:line="36" w:lineRule="exact"/>
        <w:rPr>
          <w:rFonts w:ascii="Arial" w:cs="Arial" w:eastAsia="Arial" w:hAnsi="Arial"/>
          <w:sz w:val="18"/>
          <w:szCs w:val="18"/>
          <w:color w:val="0070C0"/>
        </w:rPr>
      </w:pPr>
    </w:p>
    <w:p>
      <w:pPr>
        <w:ind w:left="760" w:hanging="320"/>
        <w:spacing w:after="0"/>
        <w:tabs>
          <w:tab w:leader="none" w:pos="760" w:val="left"/>
        </w:tabs>
        <w:numPr>
          <w:ilvl w:val="0"/>
          <w:numId w:val="45"/>
        </w:numPr>
        <w:rPr>
          <w:rFonts w:ascii="Arial" w:cs="Arial" w:eastAsia="Arial" w:hAnsi="Arial"/>
          <w:sz w:val="18"/>
          <w:szCs w:val="18"/>
          <w:color w:val="0070C0"/>
        </w:rPr>
      </w:pPr>
      <w:r>
        <w:rPr>
          <w:rFonts w:ascii="Arial" w:cs="Arial" w:eastAsia="Arial" w:hAnsi="Arial"/>
          <w:sz w:val="18"/>
          <w:szCs w:val="18"/>
          <w:color w:val="auto"/>
        </w:rPr>
        <w:t>the annual total compensation of our CEO was $5,331,034;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282575" cy="2660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237" w:lineRule="exact"/>
        <w:rPr>
          <w:sz w:val="20"/>
          <w:szCs w:val="20"/>
          <w:color w:val="auto"/>
        </w:rPr>
      </w:pPr>
    </w:p>
    <w:p>
      <w:pPr>
        <w:ind w:left="240"/>
        <w:spacing w:after="0"/>
        <w:tabs>
          <w:tab w:leader="none" w:pos="660" w:val="left"/>
          <w:tab w:leader="none" w:pos="9320" w:val="left"/>
        </w:tabs>
        <w:rPr>
          <w:sz w:val="20"/>
          <w:szCs w:val="20"/>
          <w:color w:val="auto"/>
        </w:rPr>
      </w:pPr>
      <w:r>
        <w:rPr>
          <w:rFonts w:ascii="Arial" w:cs="Arial" w:eastAsia="Arial" w:hAnsi="Arial"/>
          <w:sz w:val="16"/>
          <w:szCs w:val="16"/>
          <w:color w:val="FFFFFF"/>
        </w:rPr>
        <w:t>72</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Executive Compensation</w:t>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60" w:right="1100" w:hanging="320"/>
        <w:spacing w:after="0" w:line="271" w:lineRule="auto"/>
        <w:tabs>
          <w:tab w:leader="none" w:pos="760" w:val="left"/>
        </w:tabs>
        <w:numPr>
          <w:ilvl w:val="0"/>
          <w:numId w:val="46"/>
        </w:numPr>
        <w:rPr>
          <w:rFonts w:ascii="Arial" w:cs="Arial" w:eastAsia="Arial" w:hAnsi="Arial"/>
          <w:sz w:val="18"/>
          <w:szCs w:val="18"/>
          <w:color w:val="0070C0"/>
        </w:rPr>
      </w:pPr>
      <w:r>
        <w:rPr>
          <w:rFonts w:ascii="Arial" w:cs="Arial" w:eastAsia="Arial" w:hAnsi="Arial"/>
          <w:sz w:val="18"/>
          <w:szCs w:val="18"/>
          <w:color w:val="auto"/>
        </w:rPr>
        <w:t>the ratio of the annual total compensation of our CEO to the annual total compensation of our median employee was approximately 93 to 1.</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methodology and the material assumptions, adjustments, and estimates that we used for this calculation were as follows:</w:t>
      </w:r>
    </w:p>
    <w:p>
      <w:pPr>
        <w:spacing w:after="0" w:line="212"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We determined that, as of our testing date of December 31, 2022, our employee population consisted of 10,014 employees, including our CEO. After taking into consideration the adjustments permitted by SEC rules (by excluding 92 employees, 91 of whom were hired after the final pay period in December 2022 and one of whom was paid from multiple subsidiaries), our measurable employee population was 9,921 individuals. All of our employees are located in the United States.</w:t>
      </w:r>
    </w:p>
    <w:p>
      <w:pPr>
        <w:spacing w:after="0" w:line="174"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color w:val="auto"/>
        </w:rPr>
        <w:t>With respect to the annual total compensation used to determine our “median employee,” we used a consistently applied compensation measure, which we applied separately for salaried and hourly employees. For salaried employees, we used base salary rate. For hourly employees, we estimated annual wages based on hourly wage rate and normal weekly schedule. For piece rate employees, we used earned production wages. For salespersons, wages included commissions. We annualized the compensation of employees who were employed on our December 31, 2022 testing date, but who worked less than a full year.</w:t>
      </w:r>
    </w:p>
    <w:p>
      <w:pPr>
        <w:spacing w:after="0" w:line="176"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 xml:space="preserve">Once we identified our median employee, we combined all of the elements of the employee’s compensation for 2022 in accordance with SEC rules, resulting in annual total compensation of $57,594. For the annual total compensation of our CEO, we used the amount reported in the “Total” column of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69"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Because the SEC rules for identifying the median employee and calculating the pay ratio allow companies to adopt a variety of methodologies, to apply certain exclusions, and to make reasonable estimates and assumptions that reflect their varied compensation practices, the pay ratio reported by other companies may not be comparable to our reported pay ratio, as other companies have differing employee populations and compensation practices and may utilize different methodologies, exclusions, estimates and assumptions in calculating their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312420</wp:posOffset>
            </wp:positionV>
            <wp:extent cx="291465" cy="2654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Executive Compensation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73</w:t>
      </w:r>
    </w:p>
    <w:p>
      <w:pPr>
        <w:sectPr>
          <w:pgSz w:w="11900" w:h="16838" w:orient="portrait"/>
          <w:cols w:equalWidth="0" w:num="1">
            <w:col w:w="11120"/>
          </w:cols>
          <w:pgMar w:left="320" w:top="482"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2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8006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Pay Versus Performance</w:t>
      </w:r>
    </w:p>
    <w:p>
      <w:pPr>
        <w:spacing w:after="0" w:line="216"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 xml:space="preserve">The following disclosures have been prepared in accordance with the SEC’s pay versus performance rules in Item 402(v) of Regulation S-K under the 1934 Act .The tables and related disclosures contain information about the relationship between executive compensation actually paid (as defined by SEC rules) and certain Company financial performance measures. The Compensation and Human Capital Committee did not consider this pay versus performance disclosure when making its executive compensation decisions in 2022 or in setting target compensation in 2023. For further information about how we align executive compensation with Company performance, see </w:t>
      </w:r>
      <w:r>
        <w:rPr>
          <w:rFonts w:ascii="Arial" w:cs="Arial" w:eastAsia="Arial" w:hAnsi="Arial"/>
          <w:sz w:val="18"/>
          <w:szCs w:val="18"/>
          <w:i w:val="1"/>
          <w:iCs w:val="1"/>
          <w:color w:val="auto"/>
        </w:rPr>
        <w:t xml:space="preserve">“Compensation Discussion and Analysis.” </w:t>
      </w:r>
      <w:r>
        <w:rPr>
          <w:rFonts w:ascii="Arial" w:cs="Arial" w:eastAsia="Arial" w:hAnsi="Arial"/>
          <w:sz w:val="18"/>
          <w:szCs w:val="18"/>
          <w:color w:val="auto"/>
        </w:rPr>
        <w:t>The amounts in the table below are calculated in accordance with SEC rules and do not</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amounts actually earned or realized by our PEO or Non-PEO Named Executive Officers.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960" w:type="dxa"/>
            <w:vAlign w:val="bottom"/>
            <w:gridSpan w:val="2"/>
            <w:shd w:val="clear" w:color="auto" w:fill="E5E5E5"/>
          </w:tcPr>
          <w:p>
            <w:pPr>
              <w:jc w:val="center"/>
              <w:spacing w:after="0"/>
              <w:rPr>
                <w:sz w:val="20"/>
                <w:szCs w:val="20"/>
                <w:color w:val="auto"/>
              </w:rPr>
            </w:pPr>
            <w:r>
              <w:rPr>
                <w:rFonts w:ascii="Arial" w:cs="Arial" w:eastAsia="Arial" w:hAnsi="Arial"/>
                <w:sz w:val="14"/>
                <w:szCs w:val="14"/>
                <w:b w:val="1"/>
                <w:bCs w:val="1"/>
                <w:color w:val="002060"/>
              </w:rPr>
              <w:t>Value of initial Fixed $100</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2"/>
        </w:trPr>
        <w:tc>
          <w:tcPr>
            <w:tcW w:w="500" w:type="dxa"/>
            <w:vAlign w:val="bottom"/>
          </w:tcPr>
          <w:p>
            <w:pPr>
              <w:spacing w:after="0"/>
              <w:rPr>
                <w:sz w:val="16"/>
                <w:szCs w:val="16"/>
                <w:color w:val="auto"/>
              </w:rPr>
            </w:pPr>
          </w:p>
        </w:tc>
        <w:tc>
          <w:tcPr>
            <w:tcW w:w="1420" w:type="dxa"/>
            <w:vAlign w:val="bottom"/>
            <w:tcBorders>
              <w:bottom w:val="single" w:sz="8" w:color="E5E5E5"/>
            </w:tcBorders>
          </w:tcPr>
          <w:p>
            <w:pPr>
              <w:spacing w:after="0"/>
              <w:rPr>
                <w:sz w:val="16"/>
                <w:szCs w:val="16"/>
                <w:color w:val="auto"/>
              </w:rPr>
            </w:pPr>
          </w:p>
        </w:tc>
        <w:tc>
          <w:tcPr>
            <w:tcW w:w="1360" w:type="dxa"/>
            <w:vAlign w:val="bottom"/>
            <w:tcBorders>
              <w:bottom w:val="single" w:sz="8" w:color="E5E5E5"/>
            </w:tcBorders>
          </w:tcPr>
          <w:p>
            <w:pPr>
              <w:spacing w:after="0"/>
              <w:rPr>
                <w:sz w:val="16"/>
                <w:szCs w:val="16"/>
                <w:color w:val="auto"/>
              </w:rPr>
            </w:pPr>
          </w:p>
        </w:tc>
        <w:tc>
          <w:tcPr>
            <w:tcW w:w="1540" w:type="dxa"/>
            <w:vAlign w:val="bottom"/>
            <w:tcBorders>
              <w:bottom w:val="single" w:sz="8" w:color="E5E5E5"/>
            </w:tcBorders>
          </w:tcPr>
          <w:p>
            <w:pPr>
              <w:spacing w:after="0"/>
              <w:rPr>
                <w:sz w:val="16"/>
                <w:szCs w:val="16"/>
                <w:color w:val="auto"/>
              </w:rPr>
            </w:pPr>
          </w:p>
        </w:tc>
        <w:tc>
          <w:tcPr>
            <w:tcW w:w="1380" w:type="dxa"/>
            <w:vAlign w:val="bottom"/>
            <w:tcBorders>
              <w:bottom w:val="single" w:sz="8" w:color="E5E5E5"/>
            </w:tcBorders>
          </w:tcPr>
          <w:p>
            <w:pPr>
              <w:spacing w:after="0"/>
              <w:rPr>
                <w:sz w:val="16"/>
                <w:szCs w:val="16"/>
                <w:color w:val="auto"/>
              </w:rPr>
            </w:pPr>
          </w:p>
        </w:tc>
        <w:tc>
          <w:tcPr>
            <w:tcW w:w="280" w:type="dxa"/>
            <w:vAlign w:val="bottom"/>
            <w:tcBorders>
              <w:bottom w:val="single" w:sz="8" w:color="002060"/>
            </w:tcBorders>
            <w:shd w:val="clear" w:color="auto" w:fill="E5E5E5"/>
          </w:tcPr>
          <w:p>
            <w:pPr>
              <w:spacing w:after="0"/>
              <w:rPr>
                <w:sz w:val="16"/>
                <w:szCs w:val="16"/>
                <w:color w:val="auto"/>
              </w:rPr>
            </w:pPr>
          </w:p>
        </w:tc>
        <w:tc>
          <w:tcPr>
            <w:tcW w:w="1960" w:type="dxa"/>
            <w:vAlign w:val="bottom"/>
            <w:tcBorders>
              <w:bottom w:val="single" w:sz="8" w:color="002060"/>
            </w:tcBorders>
            <w:gridSpan w:val="2"/>
            <w:shd w:val="clear" w:color="auto" w:fill="E5E5E5"/>
          </w:tcPr>
          <w:p>
            <w:pPr>
              <w:jc w:val="center"/>
              <w:ind w:right="1"/>
              <w:spacing w:after="0"/>
              <w:rPr>
                <w:sz w:val="20"/>
                <w:szCs w:val="20"/>
                <w:color w:val="auto"/>
              </w:rPr>
            </w:pPr>
            <w:r>
              <w:rPr>
                <w:rFonts w:ascii="Arial" w:cs="Arial" w:eastAsia="Arial" w:hAnsi="Arial"/>
                <w:sz w:val="14"/>
                <w:szCs w:val="14"/>
                <w:b w:val="1"/>
                <w:bCs w:val="1"/>
                <w:color w:val="002060"/>
              </w:rPr>
              <w:t>Investment Based On</w:t>
            </w:r>
          </w:p>
        </w:tc>
        <w:tc>
          <w:tcPr>
            <w:tcW w:w="140" w:type="dxa"/>
            <w:vAlign w:val="bottom"/>
            <w:tcBorders>
              <w:bottom w:val="single" w:sz="8" w:color="E5E5E5"/>
            </w:tcBorders>
          </w:tcPr>
          <w:p>
            <w:pPr>
              <w:spacing w:after="0"/>
              <w:rPr>
                <w:sz w:val="16"/>
                <w:szCs w:val="16"/>
                <w:color w:val="auto"/>
              </w:rPr>
            </w:pPr>
          </w:p>
        </w:tc>
        <w:tc>
          <w:tcPr>
            <w:tcW w:w="1300" w:type="dxa"/>
            <w:vAlign w:val="bottom"/>
            <w:tcBorders>
              <w:bottom w:val="single" w:sz="8" w:color="E5E5E5"/>
            </w:tcBorders>
          </w:tcPr>
          <w:p>
            <w:pPr>
              <w:spacing w:after="0"/>
              <w:rPr>
                <w:sz w:val="16"/>
                <w:szCs w:val="16"/>
                <w:color w:val="auto"/>
              </w:rPr>
            </w:pPr>
          </w:p>
        </w:tc>
        <w:tc>
          <w:tcPr>
            <w:tcW w:w="1140" w:type="dxa"/>
            <w:vAlign w:val="bottom"/>
            <w:tcBorders>
              <w:bottom w:val="single" w:sz="8" w:color="E5E5E5"/>
            </w:tcBorders>
          </w:tcPr>
          <w:p>
            <w:pPr>
              <w:spacing w:after="0"/>
              <w:rPr>
                <w:sz w:val="16"/>
                <w:szCs w:val="16"/>
                <w:color w:val="auto"/>
              </w:rPr>
            </w:pPr>
          </w:p>
        </w:tc>
      </w:tr>
      <w:tr>
        <w:trPr>
          <w:trHeight w:val="139"/>
        </w:trPr>
        <w:tc>
          <w:tcPr>
            <w:tcW w:w="500" w:type="dxa"/>
            <w:vAlign w:val="bottom"/>
          </w:tcPr>
          <w:p>
            <w:pPr>
              <w:spacing w:after="0"/>
              <w:rPr>
                <w:sz w:val="12"/>
                <w:szCs w:val="12"/>
                <w:color w:val="auto"/>
              </w:rPr>
            </w:pPr>
          </w:p>
        </w:tc>
        <w:tc>
          <w:tcPr>
            <w:tcW w:w="1420" w:type="dxa"/>
            <w:vAlign w:val="bottom"/>
            <w:shd w:val="clear" w:color="auto" w:fill="E5E5E5"/>
          </w:tcPr>
          <w:p>
            <w:pPr>
              <w:spacing w:after="0"/>
              <w:rPr>
                <w:sz w:val="12"/>
                <w:szCs w:val="12"/>
                <w:color w:val="auto"/>
              </w:rPr>
            </w:pPr>
          </w:p>
        </w:tc>
        <w:tc>
          <w:tcPr>
            <w:tcW w:w="1360" w:type="dxa"/>
            <w:vAlign w:val="bottom"/>
            <w:shd w:val="clear" w:color="auto" w:fill="E5E5E5"/>
          </w:tcPr>
          <w:p>
            <w:pPr>
              <w:spacing w:after="0"/>
              <w:rPr>
                <w:sz w:val="12"/>
                <w:szCs w:val="12"/>
                <w:color w:val="auto"/>
              </w:rPr>
            </w:pPr>
          </w:p>
        </w:tc>
        <w:tc>
          <w:tcPr>
            <w:tcW w:w="1540" w:type="dxa"/>
            <w:vAlign w:val="bottom"/>
            <w:shd w:val="clear" w:color="auto" w:fill="E5E5E5"/>
          </w:tcPr>
          <w:p>
            <w:pPr>
              <w:jc w:val="center"/>
              <w:spacing w:after="0" w:line="139" w:lineRule="exact"/>
              <w:rPr>
                <w:sz w:val="20"/>
                <w:szCs w:val="20"/>
                <w:color w:val="auto"/>
              </w:rPr>
            </w:pPr>
            <w:r>
              <w:rPr>
                <w:rFonts w:ascii="Arial" w:cs="Arial" w:eastAsia="Arial" w:hAnsi="Arial"/>
                <w:sz w:val="14"/>
                <w:szCs w:val="14"/>
                <w:b w:val="1"/>
                <w:bCs w:val="1"/>
                <w:color w:val="002060"/>
              </w:rPr>
              <w:t>Average Summary</w:t>
            </w:r>
          </w:p>
        </w:tc>
        <w:tc>
          <w:tcPr>
            <w:tcW w:w="1380" w:type="dxa"/>
            <w:vAlign w:val="bottom"/>
            <w:shd w:val="clear" w:color="auto" w:fill="E5E5E5"/>
          </w:tcPr>
          <w:p>
            <w:pPr>
              <w:jc w:val="center"/>
              <w:ind w:left="62"/>
              <w:spacing w:after="0" w:line="139" w:lineRule="exact"/>
              <w:rPr>
                <w:sz w:val="20"/>
                <w:szCs w:val="20"/>
                <w:color w:val="auto"/>
              </w:rPr>
            </w:pPr>
            <w:r>
              <w:rPr>
                <w:rFonts w:ascii="Arial" w:cs="Arial" w:eastAsia="Arial" w:hAnsi="Arial"/>
                <w:sz w:val="14"/>
                <w:szCs w:val="14"/>
                <w:b w:val="1"/>
                <w:bCs w:val="1"/>
                <w:color w:val="002060"/>
              </w:rPr>
              <w:t>Average</w:t>
            </w:r>
          </w:p>
        </w:tc>
        <w:tc>
          <w:tcPr>
            <w:tcW w:w="28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300" w:type="dxa"/>
            <w:vAlign w:val="bottom"/>
            <w:shd w:val="clear" w:color="auto" w:fill="E5E5E5"/>
          </w:tcPr>
          <w:p>
            <w:pPr>
              <w:spacing w:after="0"/>
              <w:rPr>
                <w:sz w:val="12"/>
                <w:szCs w:val="12"/>
                <w:color w:val="auto"/>
              </w:rPr>
            </w:pPr>
          </w:p>
        </w:tc>
        <w:tc>
          <w:tcPr>
            <w:tcW w:w="1140" w:type="dxa"/>
            <w:vAlign w:val="bottom"/>
            <w:shd w:val="clear" w:color="auto" w:fill="E5E5E5"/>
          </w:tcPr>
          <w:p>
            <w:pPr>
              <w:spacing w:after="0"/>
              <w:rPr>
                <w:sz w:val="12"/>
                <w:szCs w:val="12"/>
                <w:color w:val="auto"/>
              </w:rPr>
            </w:pPr>
          </w:p>
        </w:tc>
      </w:tr>
      <w:tr>
        <w:trPr>
          <w:trHeight w:val="162"/>
        </w:trPr>
        <w:tc>
          <w:tcPr>
            <w:tcW w:w="500" w:type="dxa"/>
            <w:vAlign w:val="bottom"/>
          </w:tcPr>
          <w:p>
            <w:pPr>
              <w:spacing w:after="0"/>
              <w:rPr>
                <w:sz w:val="14"/>
                <w:szCs w:val="14"/>
                <w:color w:val="auto"/>
              </w:rPr>
            </w:pPr>
          </w:p>
        </w:tc>
        <w:tc>
          <w:tcPr>
            <w:tcW w:w="1420" w:type="dxa"/>
            <w:vAlign w:val="bottom"/>
            <w:shd w:val="clear" w:color="auto" w:fill="E5E5E5"/>
          </w:tcPr>
          <w:p>
            <w:pPr>
              <w:jc w:val="center"/>
              <w:ind w:left="81"/>
              <w:spacing w:after="0"/>
              <w:rPr>
                <w:sz w:val="20"/>
                <w:szCs w:val="20"/>
                <w:color w:val="auto"/>
              </w:rPr>
            </w:pPr>
            <w:r>
              <w:rPr>
                <w:rFonts w:ascii="Arial" w:cs="Arial" w:eastAsia="Arial" w:hAnsi="Arial"/>
                <w:sz w:val="14"/>
                <w:szCs w:val="14"/>
                <w:b w:val="1"/>
                <w:bCs w:val="1"/>
                <w:color w:val="002060"/>
              </w:rPr>
              <w:t>Summary</w:t>
            </w:r>
          </w:p>
        </w:tc>
        <w:tc>
          <w:tcPr>
            <w:tcW w:w="1360" w:type="dxa"/>
            <w:vAlign w:val="bottom"/>
            <w:shd w:val="clear" w:color="auto" w:fill="E5E5E5"/>
          </w:tcPr>
          <w:p>
            <w:pPr>
              <w:spacing w:after="0"/>
              <w:rPr>
                <w:sz w:val="14"/>
                <w:szCs w:val="14"/>
                <w:color w:val="auto"/>
              </w:rPr>
            </w:pPr>
          </w:p>
        </w:tc>
        <w:tc>
          <w:tcPr>
            <w:tcW w:w="1540" w:type="dxa"/>
            <w:vAlign w:val="bottom"/>
            <w:shd w:val="clear" w:color="auto" w:fill="E5E5E5"/>
          </w:tcPr>
          <w:p>
            <w:pPr>
              <w:jc w:val="center"/>
              <w:spacing w:after="0"/>
              <w:rPr>
                <w:sz w:val="20"/>
                <w:szCs w:val="20"/>
                <w:color w:val="auto"/>
              </w:rPr>
            </w:pPr>
            <w:r>
              <w:rPr>
                <w:rFonts w:ascii="Arial" w:cs="Arial" w:eastAsia="Arial" w:hAnsi="Arial"/>
                <w:sz w:val="14"/>
                <w:szCs w:val="14"/>
                <w:b w:val="1"/>
                <w:bCs w:val="1"/>
                <w:color w:val="002060"/>
              </w:rPr>
              <w:t>Compensation</w:t>
            </w:r>
          </w:p>
        </w:tc>
        <w:tc>
          <w:tcPr>
            <w:tcW w:w="1380" w:type="dxa"/>
            <w:vAlign w:val="bottom"/>
            <w:shd w:val="clear" w:color="auto" w:fill="E5E5E5"/>
          </w:tcPr>
          <w:p>
            <w:pPr>
              <w:jc w:val="center"/>
              <w:ind w:left="62"/>
              <w:spacing w:after="0"/>
              <w:rPr>
                <w:sz w:val="20"/>
                <w:szCs w:val="20"/>
                <w:color w:val="auto"/>
              </w:rPr>
            </w:pPr>
            <w:r>
              <w:rPr>
                <w:rFonts w:ascii="Arial" w:cs="Arial" w:eastAsia="Arial" w:hAnsi="Arial"/>
                <w:sz w:val="14"/>
                <w:szCs w:val="14"/>
                <w:b w:val="1"/>
                <w:bCs w:val="1"/>
                <w:color w:val="002060"/>
              </w:rPr>
              <w:t>Compensation</w:t>
            </w:r>
          </w:p>
        </w:tc>
        <w:tc>
          <w:tcPr>
            <w:tcW w:w="280" w:type="dxa"/>
            <w:vAlign w:val="bottom"/>
            <w:shd w:val="clear" w:color="auto" w:fill="E5E5E5"/>
          </w:tcPr>
          <w:p>
            <w:pPr>
              <w:spacing w:after="0"/>
              <w:rPr>
                <w:sz w:val="14"/>
                <w:szCs w:val="14"/>
                <w:color w:val="auto"/>
              </w:rPr>
            </w:pPr>
          </w:p>
        </w:tc>
        <w:tc>
          <w:tcPr>
            <w:tcW w:w="980" w:type="dxa"/>
            <w:vAlign w:val="bottom"/>
            <w:shd w:val="clear" w:color="auto" w:fill="E5E5E5"/>
          </w:tcPr>
          <w:p>
            <w:pPr>
              <w:spacing w:after="0"/>
              <w:rPr>
                <w:sz w:val="14"/>
                <w:szCs w:val="14"/>
                <w:color w:val="auto"/>
              </w:rPr>
            </w:pPr>
          </w:p>
        </w:tc>
        <w:tc>
          <w:tcPr>
            <w:tcW w:w="1120" w:type="dxa"/>
            <w:vAlign w:val="bottom"/>
            <w:gridSpan w:val="2"/>
            <w:shd w:val="clear" w:color="auto" w:fill="E5E5E5"/>
          </w:tcPr>
          <w:p>
            <w:pPr>
              <w:jc w:val="center"/>
              <w:spacing w:after="0"/>
              <w:rPr>
                <w:sz w:val="20"/>
                <w:szCs w:val="20"/>
                <w:color w:val="auto"/>
              </w:rPr>
            </w:pPr>
            <w:r>
              <w:rPr>
                <w:rFonts w:ascii="Arial" w:cs="Arial" w:eastAsia="Arial" w:hAnsi="Arial"/>
                <w:sz w:val="14"/>
                <w:szCs w:val="14"/>
                <w:b w:val="1"/>
                <w:bCs w:val="1"/>
                <w:color w:val="002060"/>
              </w:rPr>
              <w:t>Peer Group</w:t>
            </w:r>
          </w:p>
        </w:tc>
        <w:tc>
          <w:tcPr>
            <w:tcW w:w="130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420" w:type="dxa"/>
            <w:vAlign w:val="bottom"/>
            <w:shd w:val="clear" w:color="auto" w:fill="E5E5E5"/>
          </w:tcPr>
          <w:p>
            <w:pPr>
              <w:jc w:val="center"/>
              <w:ind w:left="61"/>
              <w:spacing w:after="0"/>
              <w:rPr>
                <w:sz w:val="20"/>
                <w:szCs w:val="20"/>
                <w:color w:val="auto"/>
              </w:rPr>
            </w:pPr>
            <w:r>
              <w:rPr>
                <w:rFonts w:ascii="Arial" w:cs="Arial" w:eastAsia="Arial" w:hAnsi="Arial"/>
                <w:sz w:val="14"/>
                <w:szCs w:val="14"/>
                <w:b w:val="1"/>
                <w:bCs w:val="1"/>
                <w:color w:val="002060"/>
              </w:rPr>
              <w:t>Compensation</w:t>
            </w:r>
          </w:p>
        </w:tc>
        <w:tc>
          <w:tcPr>
            <w:tcW w:w="1360" w:type="dxa"/>
            <w:vAlign w:val="bottom"/>
            <w:shd w:val="clear" w:color="auto" w:fill="E5E5E5"/>
          </w:tcPr>
          <w:p>
            <w:pPr>
              <w:jc w:val="center"/>
              <w:spacing w:after="0"/>
              <w:rPr>
                <w:sz w:val="20"/>
                <w:szCs w:val="20"/>
                <w:color w:val="auto"/>
              </w:rPr>
            </w:pPr>
            <w:r>
              <w:rPr>
                <w:rFonts w:ascii="Arial" w:cs="Arial" w:eastAsia="Arial" w:hAnsi="Arial"/>
                <w:sz w:val="14"/>
                <w:szCs w:val="14"/>
                <w:b w:val="1"/>
                <w:bCs w:val="1"/>
                <w:color w:val="002060"/>
              </w:rPr>
              <w:t>Compensation</w:t>
            </w:r>
          </w:p>
        </w:tc>
        <w:tc>
          <w:tcPr>
            <w:tcW w:w="1540" w:type="dxa"/>
            <w:vAlign w:val="bottom"/>
            <w:shd w:val="clear" w:color="auto" w:fill="E5E5E5"/>
          </w:tcPr>
          <w:p>
            <w:pPr>
              <w:jc w:val="center"/>
              <w:spacing w:after="0"/>
              <w:rPr>
                <w:sz w:val="20"/>
                <w:szCs w:val="20"/>
                <w:color w:val="auto"/>
              </w:rPr>
            </w:pPr>
            <w:r>
              <w:rPr>
                <w:rFonts w:ascii="Arial" w:cs="Arial" w:eastAsia="Arial" w:hAnsi="Arial"/>
                <w:sz w:val="14"/>
                <w:szCs w:val="14"/>
                <w:b w:val="1"/>
                <w:bCs w:val="1"/>
                <w:color w:val="002060"/>
              </w:rPr>
              <w:t>Table Total for</w:t>
            </w:r>
          </w:p>
        </w:tc>
        <w:tc>
          <w:tcPr>
            <w:tcW w:w="1380" w:type="dxa"/>
            <w:vAlign w:val="bottom"/>
            <w:shd w:val="clear" w:color="auto" w:fill="E5E5E5"/>
          </w:tcPr>
          <w:p>
            <w:pPr>
              <w:jc w:val="center"/>
              <w:ind w:left="62"/>
              <w:spacing w:after="0"/>
              <w:rPr>
                <w:sz w:val="20"/>
                <w:szCs w:val="20"/>
                <w:color w:val="auto"/>
              </w:rPr>
            </w:pPr>
            <w:r>
              <w:rPr>
                <w:rFonts w:ascii="Arial" w:cs="Arial" w:eastAsia="Arial" w:hAnsi="Arial"/>
                <w:sz w:val="14"/>
                <w:szCs w:val="14"/>
                <w:b w:val="1"/>
                <w:bCs w:val="1"/>
                <w:color w:val="002060"/>
              </w:rPr>
              <w:t>Actually Paid to</w:t>
            </w:r>
          </w:p>
        </w:tc>
        <w:tc>
          <w:tcPr>
            <w:tcW w:w="280" w:type="dxa"/>
            <w:vAlign w:val="bottom"/>
            <w:shd w:val="clear" w:color="auto" w:fill="E5E5E5"/>
          </w:tcPr>
          <w:p>
            <w:pPr>
              <w:spacing w:after="0"/>
              <w:rPr>
                <w:sz w:val="14"/>
                <w:szCs w:val="14"/>
                <w:color w:val="auto"/>
              </w:rPr>
            </w:pPr>
          </w:p>
        </w:tc>
        <w:tc>
          <w:tcPr>
            <w:tcW w:w="980" w:type="dxa"/>
            <w:vAlign w:val="bottom"/>
            <w:shd w:val="clear" w:color="auto" w:fill="E5E5E5"/>
          </w:tcPr>
          <w:p>
            <w:pPr>
              <w:jc w:val="center"/>
              <w:ind w:right="62"/>
              <w:spacing w:after="0"/>
              <w:rPr>
                <w:sz w:val="20"/>
                <w:szCs w:val="20"/>
                <w:color w:val="auto"/>
              </w:rPr>
            </w:pPr>
            <w:r>
              <w:rPr>
                <w:rFonts w:ascii="Arial" w:cs="Arial" w:eastAsia="Arial" w:hAnsi="Arial"/>
                <w:sz w:val="14"/>
                <w:szCs w:val="14"/>
                <w:b w:val="1"/>
                <w:bCs w:val="1"/>
                <w:color w:val="002060"/>
                <w:w w:val="95"/>
              </w:rPr>
              <w:t>Total</w:t>
            </w:r>
          </w:p>
        </w:tc>
        <w:tc>
          <w:tcPr>
            <w:tcW w:w="1120" w:type="dxa"/>
            <w:vAlign w:val="bottom"/>
            <w:gridSpan w:val="2"/>
            <w:shd w:val="clear" w:color="auto" w:fill="E5E5E5"/>
          </w:tcPr>
          <w:p>
            <w:pPr>
              <w:jc w:val="center"/>
              <w:spacing w:after="0"/>
              <w:rPr>
                <w:sz w:val="20"/>
                <w:szCs w:val="20"/>
                <w:color w:val="auto"/>
              </w:rPr>
            </w:pPr>
            <w:r>
              <w:rPr>
                <w:rFonts w:ascii="Arial" w:cs="Arial" w:eastAsia="Arial" w:hAnsi="Arial"/>
                <w:sz w:val="14"/>
                <w:szCs w:val="14"/>
                <w:b w:val="1"/>
                <w:bCs w:val="1"/>
                <w:color w:val="002060"/>
                <w:w w:val="95"/>
              </w:rPr>
              <w:t>Total</w:t>
            </w:r>
          </w:p>
        </w:tc>
        <w:tc>
          <w:tcPr>
            <w:tcW w:w="130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1420" w:type="dxa"/>
            <w:vAlign w:val="bottom"/>
            <w:shd w:val="clear" w:color="auto" w:fill="E5E5E5"/>
          </w:tcPr>
          <w:p>
            <w:pPr>
              <w:jc w:val="center"/>
              <w:ind w:left="81"/>
              <w:spacing w:after="0"/>
              <w:rPr>
                <w:sz w:val="20"/>
                <w:szCs w:val="20"/>
                <w:color w:val="auto"/>
              </w:rPr>
            </w:pPr>
            <w:r>
              <w:rPr>
                <w:rFonts w:ascii="Arial" w:cs="Arial" w:eastAsia="Arial" w:hAnsi="Arial"/>
                <w:sz w:val="14"/>
                <w:szCs w:val="14"/>
                <w:b w:val="1"/>
                <w:bCs w:val="1"/>
                <w:color w:val="002060"/>
              </w:rPr>
              <w:t>Table Total for</w:t>
            </w:r>
          </w:p>
        </w:tc>
        <w:tc>
          <w:tcPr>
            <w:tcW w:w="1360" w:type="dxa"/>
            <w:vAlign w:val="bottom"/>
            <w:shd w:val="clear" w:color="auto" w:fill="E5E5E5"/>
          </w:tcPr>
          <w:p>
            <w:pPr>
              <w:jc w:val="center"/>
              <w:spacing w:after="0"/>
              <w:rPr>
                <w:sz w:val="20"/>
                <w:szCs w:val="20"/>
                <w:color w:val="auto"/>
              </w:rPr>
            </w:pPr>
            <w:r>
              <w:rPr>
                <w:rFonts w:ascii="Arial" w:cs="Arial" w:eastAsia="Arial" w:hAnsi="Arial"/>
                <w:sz w:val="14"/>
                <w:szCs w:val="14"/>
                <w:b w:val="1"/>
                <w:bCs w:val="1"/>
                <w:color w:val="002060"/>
              </w:rPr>
              <w:t>Actually Paid to</w:t>
            </w:r>
          </w:p>
        </w:tc>
        <w:tc>
          <w:tcPr>
            <w:tcW w:w="1540" w:type="dxa"/>
            <w:vAlign w:val="bottom"/>
            <w:shd w:val="clear" w:color="auto" w:fill="E5E5E5"/>
          </w:tcPr>
          <w:p>
            <w:pPr>
              <w:jc w:val="center"/>
              <w:spacing w:after="0"/>
              <w:rPr>
                <w:sz w:val="20"/>
                <w:szCs w:val="20"/>
                <w:color w:val="auto"/>
              </w:rPr>
            </w:pPr>
            <w:r>
              <w:rPr>
                <w:rFonts w:ascii="Arial" w:cs="Arial" w:eastAsia="Arial" w:hAnsi="Arial"/>
                <w:sz w:val="14"/>
                <w:szCs w:val="14"/>
                <w:b w:val="1"/>
                <w:bCs w:val="1"/>
                <w:color w:val="002060"/>
              </w:rPr>
              <w:t>Non-PEO Named</w:t>
            </w:r>
          </w:p>
        </w:tc>
        <w:tc>
          <w:tcPr>
            <w:tcW w:w="1380" w:type="dxa"/>
            <w:vAlign w:val="bottom"/>
            <w:shd w:val="clear" w:color="auto" w:fill="E5E5E5"/>
          </w:tcPr>
          <w:p>
            <w:pPr>
              <w:jc w:val="center"/>
              <w:ind w:left="62"/>
              <w:spacing w:after="0"/>
              <w:rPr>
                <w:sz w:val="20"/>
                <w:szCs w:val="20"/>
                <w:color w:val="auto"/>
              </w:rPr>
            </w:pPr>
            <w:r>
              <w:rPr>
                <w:rFonts w:ascii="Arial" w:cs="Arial" w:eastAsia="Arial" w:hAnsi="Arial"/>
                <w:sz w:val="14"/>
                <w:szCs w:val="14"/>
                <w:b w:val="1"/>
                <w:bCs w:val="1"/>
                <w:color w:val="002060"/>
              </w:rPr>
              <w:t>Non-PEO Named</w:t>
            </w:r>
          </w:p>
        </w:tc>
        <w:tc>
          <w:tcPr>
            <w:tcW w:w="280" w:type="dxa"/>
            <w:vAlign w:val="bottom"/>
            <w:shd w:val="clear" w:color="auto" w:fill="E5E5E5"/>
          </w:tcPr>
          <w:p>
            <w:pPr>
              <w:spacing w:after="0"/>
              <w:rPr>
                <w:sz w:val="14"/>
                <w:szCs w:val="14"/>
                <w:color w:val="auto"/>
              </w:rPr>
            </w:pPr>
          </w:p>
        </w:tc>
        <w:tc>
          <w:tcPr>
            <w:tcW w:w="980" w:type="dxa"/>
            <w:vAlign w:val="bottom"/>
            <w:shd w:val="clear" w:color="auto" w:fill="E5E5E5"/>
          </w:tcPr>
          <w:p>
            <w:pPr>
              <w:jc w:val="right"/>
              <w:ind w:right="62"/>
              <w:spacing w:after="0"/>
              <w:rPr>
                <w:sz w:val="20"/>
                <w:szCs w:val="20"/>
                <w:color w:val="auto"/>
              </w:rPr>
            </w:pPr>
            <w:r>
              <w:rPr>
                <w:rFonts w:ascii="Arial" w:cs="Arial" w:eastAsia="Arial" w:hAnsi="Arial"/>
                <w:sz w:val="14"/>
                <w:szCs w:val="14"/>
                <w:b w:val="1"/>
                <w:bCs w:val="1"/>
                <w:color w:val="002060"/>
              </w:rPr>
              <w:t>Shareholder</w:t>
            </w:r>
          </w:p>
        </w:tc>
        <w:tc>
          <w:tcPr>
            <w:tcW w:w="1120" w:type="dxa"/>
            <w:vAlign w:val="bottom"/>
            <w:gridSpan w:val="2"/>
            <w:shd w:val="clear" w:color="auto" w:fill="E5E5E5"/>
          </w:tcPr>
          <w:p>
            <w:pPr>
              <w:jc w:val="center"/>
              <w:spacing w:after="0"/>
              <w:rPr>
                <w:sz w:val="20"/>
                <w:szCs w:val="20"/>
                <w:color w:val="auto"/>
              </w:rPr>
            </w:pPr>
            <w:r>
              <w:rPr>
                <w:rFonts w:ascii="Arial" w:cs="Arial" w:eastAsia="Arial" w:hAnsi="Arial"/>
                <w:sz w:val="14"/>
                <w:szCs w:val="14"/>
                <w:b w:val="1"/>
                <w:bCs w:val="1"/>
                <w:color w:val="002060"/>
              </w:rPr>
              <w:t>Shareholder</w:t>
            </w:r>
          </w:p>
        </w:tc>
        <w:tc>
          <w:tcPr>
            <w:tcW w:w="1300" w:type="dxa"/>
            <w:vAlign w:val="bottom"/>
            <w:shd w:val="clear" w:color="auto" w:fill="E5E5E5"/>
          </w:tcPr>
          <w:p>
            <w:pPr>
              <w:spacing w:after="0"/>
              <w:rPr>
                <w:sz w:val="14"/>
                <w:szCs w:val="14"/>
                <w:color w:val="auto"/>
              </w:rPr>
            </w:pPr>
          </w:p>
        </w:tc>
        <w:tc>
          <w:tcPr>
            <w:tcW w:w="1140" w:type="dxa"/>
            <w:vAlign w:val="bottom"/>
            <w:shd w:val="clear" w:color="auto" w:fill="E5E5E5"/>
          </w:tcPr>
          <w:p>
            <w:pPr>
              <w:jc w:val="center"/>
              <w:ind w:left="39"/>
              <w:spacing w:after="0"/>
              <w:rPr>
                <w:sz w:val="20"/>
                <w:szCs w:val="20"/>
                <w:color w:val="auto"/>
              </w:rPr>
            </w:pPr>
            <w:r>
              <w:rPr>
                <w:rFonts w:ascii="Arial" w:cs="Arial" w:eastAsia="Arial" w:hAnsi="Arial"/>
                <w:sz w:val="14"/>
                <w:szCs w:val="14"/>
                <w:b w:val="1"/>
                <w:bCs w:val="1"/>
                <w:color w:val="002060"/>
              </w:rPr>
              <w:t>Adjusted</w:t>
            </w:r>
          </w:p>
        </w:tc>
      </w:tr>
      <w:tr>
        <w:trPr>
          <w:trHeight w:val="162"/>
        </w:trPr>
        <w:tc>
          <w:tcPr>
            <w:tcW w:w="500" w:type="dxa"/>
            <w:vAlign w:val="bottom"/>
          </w:tcPr>
          <w:p>
            <w:pPr>
              <w:spacing w:after="0"/>
              <w:rPr>
                <w:sz w:val="14"/>
                <w:szCs w:val="14"/>
                <w:color w:val="auto"/>
              </w:rPr>
            </w:pPr>
          </w:p>
        </w:tc>
        <w:tc>
          <w:tcPr>
            <w:tcW w:w="1420" w:type="dxa"/>
            <w:vAlign w:val="bottom"/>
            <w:shd w:val="clear" w:color="auto" w:fill="E5E5E5"/>
          </w:tcPr>
          <w:p>
            <w:pPr>
              <w:jc w:val="center"/>
              <w:ind w:left="81"/>
              <w:spacing w:after="0"/>
              <w:rPr>
                <w:sz w:val="20"/>
                <w:szCs w:val="20"/>
                <w:color w:val="auto"/>
              </w:rPr>
            </w:pPr>
            <w:r>
              <w:rPr>
                <w:rFonts w:ascii="Arial" w:cs="Arial" w:eastAsia="Arial" w:hAnsi="Arial"/>
                <w:sz w:val="14"/>
                <w:szCs w:val="14"/>
                <w:b w:val="1"/>
                <w:bCs w:val="1"/>
                <w:color w:val="002060"/>
              </w:rPr>
              <w:t>PEO</w:t>
            </w:r>
          </w:p>
        </w:tc>
        <w:tc>
          <w:tcPr>
            <w:tcW w:w="1360" w:type="dxa"/>
            <w:vAlign w:val="bottom"/>
            <w:shd w:val="clear" w:color="auto" w:fill="E5E5E5"/>
          </w:tcPr>
          <w:p>
            <w:pPr>
              <w:jc w:val="center"/>
              <w:spacing w:after="0"/>
              <w:rPr>
                <w:sz w:val="20"/>
                <w:szCs w:val="20"/>
                <w:color w:val="auto"/>
              </w:rPr>
            </w:pPr>
            <w:r>
              <w:rPr>
                <w:rFonts w:ascii="Arial" w:cs="Arial" w:eastAsia="Arial" w:hAnsi="Arial"/>
                <w:sz w:val="14"/>
                <w:szCs w:val="14"/>
                <w:b w:val="1"/>
                <w:bCs w:val="1"/>
                <w:color w:val="002060"/>
              </w:rPr>
              <w:t>PEO</w:t>
            </w:r>
          </w:p>
        </w:tc>
        <w:tc>
          <w:tcPr>
            <w:tcW w:w="1540" w:type="dxa"/>
            <w:vAlign w:val="bottom"/>
            <w:shd w:val="clear" w:color="auto" w:fill="E5E5E5"/>
          </w:tcPr>
          <w:p>
            <w:pPr>
              <w:jc w:val="center"/>
              <w:spacing w:after="0"/>
              <w:rPr>
                <w:sz w:val="20"/>
                <w:szCs w:val="20"/>
                <w:color w:val="auto"/>
              </w:rPr>
            </w:pPr>
            <w:r>
              <w:rPr>
                <w:rFonts w:ascii="Arial" w:cs="Arial" w:eastAsia="Arial" w:hAnsi="Arial"/>
                <w:sz w:val="14"/>
                <w:szCs w:val="14"/>
                <w:b w:val="1"/>
                <w:bCs w:val="1"/>
                <w:color w:val="002060"/>
              </w:rPr>
              <w:t>Executive Officers</w:t>
            </w:r>
          </w:p>
        </w:tc>
        <w:tc>
          <w:tcPr>
            <w:tcW w:w="1380" w:type="dxa"/>
            <w:vAlign w:val="bottom"/>
            <w:shd w:val="clear" w:color="auto" w:fill="E5E5E5"/>
          </w:tcPr>
          <w:p>
            <w:pPr>
              <w:jc w:val="center"/>
              <w:ind w:left="62"/>
              <w:spacing w:after="0"/>
              <w:rPr>
                <w:sz w:val="20"/>
                <w:szCs w:val="20"/>
                <w:color w:val="auto"/>
              </w:rPr>
            </w:pPr>
            <w:r>
              <w:rPr>
                <w:rFonts w:ascii="Arial" w:cs="Arial" w:eastAsia="Arial" w:hAnsi="Arial"/>
                <w:sz w:val="14"/>
                <w:szCs w:val="14"/>
                <w:b w:val="1"/>
                <w:bCs w:val="1"/>
                <w:color w:val="002060"/>
              </w:rPr>
              <w:t>Executive Officers</w:t>
            </w:r>
          </w:p>
        </w:tc>
        <w:tc>
          <w:tcPr>
            <w:tcW w:w="280" w:type="dxa"/>
            <w:vAlign w:val="bottom"/>
            <w:shd w:val="clear" w:color="auto" w:fill="E5E5E5"/>
          </w:tcPr>
          <w:p>
            <w:pPr>
              <w:spacing w:after="0"/>
              <w:rPr>
                <w:sz w:val="14"/>
                <w:szCs w:val="14"/>
                <w:color w:val="auto"/>
              </w:rPr>
            </w:pPr>
          </w:p>
        </w:tc>
        <w:tc>
          <w:tcPr>
            <w:tcW w:w="980" w:type="dxa"/>
            <w:vAlign w:val="bottom"/>
            <w:shd w:val="clear" w:color="auto" w:fill="E5E5E5"/>
          </w:tcPr>
          <w:p>
            <w:pPr>
              <w:jc w:val="center"/>
              <w:ind w:right="62"/>
              <w:spacing w:after="0"/>
              <w:rPr>
                <w:sz w:val="20"/>
                <w:szCs w:val="20"/>
                <w:color w:val="auto"/>
              </w:rPr>
            </w:pPr>
            <w:r>
              <w:rPr>
                <w:rFonts w:ascii="Arial" w:cs="Arial" w:eastAsia="Arial" w:hAnsi="Arial"/>
                <w:sz w:val="14"/>
                <w:szCs w:val="14"/>
                <w:b w:val="1"/>
                <w:bCs w:val="1"/>
                <w:color w:val="002060"/>
              </w:rPr>
              <w:t>Return</w:t>
            </w:r>
          </w:p>
        </w:tc>
        <w:tc>
          <w:tcPr>
            <w:tcW w:w="1120" w:type="dxa"/>
            <w:vAlign w:val="bottom"/>
            <w:gridSpan w:val="2"/>
            <w:shd w:val="clear" w:color="auto" w:fill="E5E5E5"/>
          </w:tcPr>
          <w:p>
            <w:pPr>
              <w:jc w:val="center"/>
              <w:spacing w:after="0"/>
              <w:rPr>
                <w:sz w:val="20"/>
                <w:szCs w:val="20"/>
                <w:color w:val="auto"/>
              </w:rPr>
            </w:pPr>
            <w:r>
              <w:rPr>
                <w:rFonts w:ascii="Arial" w:cs="Arial" w:eastAsia="Arial" w:hAnsi="Arial"/>
                <w:sz w:val="14"/>
                <w:szCs w:val="14"/>
                <w:b w:val="1"/>
                <w:bCs w:val="1"/>
                <w:color w:val="002060"/>
              </w:rPr>
              <w:t>Return</w:t>
            </w:r>
          </w:p>
        </w:tc>
        <w:tc>
          <w:tcPr>
            <w:tcW w:w="1300" w:type="dxa"/>
            <w:vAlign w:val="bottom"/>
            <w:shd w:val="clear" w:color="auto" w:fill="E5E5E5"/>
          </w:tcPr>
          <w:p>
            <w:pPr>
              <w:jc w:val="right"/>
              <w:ind w:right="177"/>
              <w:spacing w:after="0"/>
              <w:rPr>
                <w:sz w:val="20"/>
                <w:szCs w:val="20"/>
                <w:color w:val="auto"/>
              </w:rPr>
            </w:pPr>
            <w:r>
              <w:rPr>
                <w:rFonts w:ascii="Arial" w:cs="Arial" w:eastAsia="Arial" w:hAnsi="Arial"/>
                <w:sz w:val="14"/>
                <w:szCs w:val="14"/>
                <w:b w:val="1"/>
                <w:bCs w:val="1"/>
                <w:color w:val="002060"/>
              </w:rPr>
              <w:t>Net Income</w:t>
            </w:r>
          </w:p>
        </w:tc>
        <w:tc>
          <w:tcPr>
            <w:tcW w:w="1140" w:type="dxa"/>
            <w:vAlign w:val="bottom"/>
            <w:shd w:val="clear" w:color="auto" w:fill="E5E5E5"/>
          </w:tcPr>
          <w:p>
            <w:pPr>
              <w:jc w:val="center"/>
              <w:ind w:left="39"/>
              <w:spacing w:after="0"/>
              <w:rPr>
                <w:sz w:val="20"/>
                <w:szCs w:val="20"/>
                <w:color w:val="auto"/>
              </w:rPr>
            </w:pPr>
            <w:r>
              <w:rPr>
                <w:rFonts w:ascii="Arial" w:cs="Arial" w:eastAsia="Arial" w:hAnsi="Arial"/>
                <w:sz w:val="14"/>
                <w:szCs w:val="14"/>
                <w:b w:val="1"/>
                <w:bCs w:val="1"/>
                <w:color w:val="002060"/>
              </w:rPr>
              <w:t>EBITDA</w:t>
            </w:r>
          </w:p>
        </w:tc>
      </w:tr>
      <w:tr>
        <w:trPr>
          <w:trHeight w:val="192"/>
        </w:trPr>
        <w:tc>
          <w:tcPr>
            <w:tcW w:w="500" w:type="dxa"/>
            <w:vAlign w:val="bottom"/>
            <w:tcBorders>
              <w:bottom w:val="single" w:sz="8" w:color="002060"/>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420" w:type="dxa"/>
            <w:vAlign w:val="bottom"/>
            <w:tcBorders>
              <w:bottom w:val="single" w:sz="8" w:color="002060"/>
            </w:tcBorders>
            <w:shd w:val="clear" w:color="auto" w:fill="E5E5E5"/>
          </w:tcPr>
          <w:p>
            <w:pPr>
              <w:jc w:val="center"/>
              <w:ind w:left="61"/>
              <w:spacing w:after="0"/>
              <w:rPr>
                <w:sz w:val="20"/>
                <w:szCs w:val="20"/>
                <w:color w:val="auto"/>
              </w:rPr>
            </w:pPr>
            <w:r>
              <w:rPr>
                <w:rFonts w:ascii="Arial" w:cs="Arial" w:eastAsia="Arial" w:hAnsi="Arial"/>
                <w:sz w:val="14"/>
                <w:szCs w:val="14"/>
                <w:b w:val="1"/>
                <w:bCs w:val="1"/>
                <w:color w:val="002060"/>
              </w:rPr>
              <w:t>($)(1)</w:t>
            </w:r>
          </w:p>
        </w:tc>
        <w:tc>
          <w:tcPr>
            <w:tcW w:w="136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4"/>
                <w:szCs w:val="14"/>
                <w:b w:val="1"/>
                <w:bCs w:val="1"/>
                <w:color w:val="002060"/>
              </w:rPr>
              <w:t>($)(2)</w:t>
            </w:r>
          </w:p>
        </w:tc>
        <w:tc>
          <w:tcPr>
            <w:tcW w:w="154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4"/>
                <w:szCs w:val="14"/>
                <w:b w:val="1"/>
                <w:bCs w:val="1"/>
                <w:color w:val="002060"/>
                <w:w w:val="99"/>
              </w:rPr>
              <w:t>($)(3)</w:t>
            </w:r>
          </w:p>
        </w:tc>
        <w:tc>
          <w:tcPr>
            <w:tcW w:w="1380" w:type="dxa"/>
            <w:vAlign w:val="bottom"/>
            <w:tcBorders>
              <w:bottom w:val="single" w:sz="8" w:color="002060"/>
            </w:tcBorders>
            <w:shd w:val="clear" w:color="auto" w:fill="E5E5E5"/>
          </w:tcPr>
          <w:p>
            <w:pPr>
              <w:jc w:val="center"/>
              <w:ind w:left="62"/>
              <w:spacing w:after="0"/>
              <w:rPr>
                <w:sz w:val="20"/>
                <w:szCs w:val="20"/>
                <w:color w:val="auto"/>
              </w:rPr>
            </w:pPr>
            <w:r>
              <w:rPr>
                <w:rFonts w:ascii="Arial" w:cs="Arial" w:eastAsia="Arial" w:hAnsi="Arial"/>
                <w:sz w:val="14"/>
                <w:szCs w:val="14"/>
                <w:b w:val="1"/>
                <w:bCs w:val="1"/>
                <w:color w:val="002060"/>
              </w:rPr>
              <w:t>($)(4)</w:t>
            </w:r>
          </w:p>
        </w:tc>
        <w:tc>
          <w:tcPr>
            <w:tcW w:w="280" w:type="dxa"/>
            <w:vAlign w:val="bottom"/>
            <w:tcBorders>
              <w:bottom w:val="single" w:sz="8" w:color="002060"/>
            </w:tcBorders>
            <w:shd w:val="clear" w:color="auto" w:fill="E5E5E5"/>
          </w:tcPr>
          <w:p>
            <w:pPr>
              <w:spacing w:after="0"/>
              <w:rPr>
                <w:sz w:val="16"/>
                <w:szCs w:val="16"/>
                <w:color w:val="auto"/>
              </w:rPr>
            </w:pPr>
          </w:p>
        </w:tc>
        <w:tc>
          <w:tcPr>
            <w:tcW w:w="980" w:type="dxa"/>
            <w:vAlign w:val="bottom"/>
            <w:tcBorders>
              <w:bottom w:val="single" w:sz="8" w:color="002060"/>
            </w:tcBorders>
            <w:shd w:val="clear" w:color="auto" w:fill="E5E5E5"/>
          </w:tcPr>
          <w:p>
            <w:pPr>
              <w:jc w:val="center"/>
              <w:ind w:right="62"/>
              <w:spacing w:after="0"/>
              <w:rPr>
                <w:sz w:val="20"/>
                <w:szCs w:val="20"/>
                <w:color w:val="auto"/>
              </w:rPr>
            </w:pPr>
            <w:r>
              <w:rPr>
                <w:rFonts w:ascii="Arial" w:cs="Arial" w:eastAsia="Arial" w:hAnsi="Arial"/>
                <w:sz w:val="14"/>
                <w:szCs w:val="14"/>
                <w:b w:val="1"/>
                <w:bCs w:val="1"/>
                <w:color w:val="002060"/>
                <w:w w:val="93"/>
              </w:rPr>
              <w:t>($)</w:t>
            </w:r>
          </w:p>
        </w:tc>
        <w:tc>
          <w:tcPr>
            <w:tcW w:w="980" w:type="dxa"/>
            <w:vAlign w:val="bottom"/>
            <w:tcBorders>
              <w:bottom w:val="single" w:sz="8" w:color="002060"/>
            </w:tcBorders>
            <w:shd w:val="clear" w:color="auto" w:fill="E5E5E5"/>
          </w:tcPr>
          <w:p>
            <w:pPr>
              <w:jc w:val="center"/>
              <w:ind w:left="61"/>
              <w:spacing w:after="0"/>
              <w:rPr>
                <w:sz w:val="20"/>
                <w:szCs w:val="20"/>
                <w:color w:val="auto"/>
              </w:rPr>
            </w:pPr>
            <w:r>
              <w:rPr>
                <w:rFonts w:ascii="Arial" w:cs="Arial" w:eastAsia="Arial" w:hAnsi="Arial"/>
                <w:sz w:val="14"/>
                <w:szCs w:val="14"/>
                <w:b w:val="1"/>
                <w:bCs w:val="1"/>
                <w:color w:val="002060"/>
              </w:rPr>
              <w:t>($)(5)</w:t>
            </w:r>
          </w:p>
        </w:tc>
        <w:tc>
          <w:tcPr>
            <w:tcW w:w="140" w:type="dxa"/>
            <w:vAlign w:val="bottom"/>
            <w:tcBorders>
              <w:bottom w:val="single" w:sz="8" w:color="002060"/>
            </w:tcBorders>
            <w:shd w:val="clear" w:color="auto" w:fill="E5E5E5"/>
          </w:tcPr>
          <w:p>
            <w:pPr>
              <w:spacing w:after="0"/>
              <w:rPr>
                <w:sz w:val="16"/>
                <w:szCs w:val="16"/>
                <w:color w:val="auto"/>
              </w:rPr>
            </w:pPr>
          </w:p>
        </w:tc>
        <w:tc>
          <w:tcPr>
            <w:tcW w:w="1300" w:type="dxa"/>
            <w:vAlign w:val="bottom"/>
            <w:tcBorders>
              <w:bottom w:val="single" w:sz="8" w:color="002060"/>
            </w:tcBorders>
            <w:shd w:val="clear" w:color="auto" w:fill="E5E5E5"/>
          </w:tcPr>
          <w:p>
            <w:pPr>
              <w:jc w:val="right"/>
              <w:ind w:right="397"/>
              <w:spacing w:after="0"/>
              <w:rPr>
                <w:sz w:val="20"/>
                <w:szCs w:val="20"/>
                <w:color w:val="auto"/>
              </w:rPr>
            </w:pPr>
            <w:r>
              <w:rPr>
                <w:rFonts w:ascii="Arial" w:cs="Arial" w:eastAsia="Arial" w:hAnsi="Arial"/>
                <w:sz w:val="14"/>
                <w:szCs w:val="14"/>
                <w:b w:val="1"/>
                <w:bCs w:val="1"/>
                <w:color w:val="002060"/>
              </w:rPr>
              <w:t>($)(6)</w:t>
            </w:r>
          </w:p>
        </w:tc>
        <w:tc>
          <w:tcPr>
            <w:tcW w:w="1140" w:type="dxa"/>
            <w:vAlign w:val="bottom"/>
            <w:tcBorders>
              <w:bottom w:val="single" w:sz="8" w:color="002060"/>
            </w:tcBorders>
            <w:shd w:val="clear" w:color="auto" w:fill="E5E5E5"/>
          </w:tcPr>
          <w:p>
            <w:pPr>
              <w:jc w:val="center"/>
              <w:ind w:left="19"/>
              <w:spacing w:after="0"/>
              <w:rPr>
                <w:sz w:val="20"/>
                <w:szCs w:val="20"/>
                <w:color w:val="auto"/>
              </w:rPr>
            </w:pPr>
            <w:r>
              <w:rPr>
                <w:rFonts w:ascii="Arial" w:cs="Arial" w:eastAsia="Arial" w:hAnsi="Arial"/>
                <w:sz w:val="14"/>
                <w:szCs w:val="14"/>
                <w:b w:val="1"/>
                <w:bCs w:val="1"/>
                <w:color w:val="002060"/>
              </w:rPr>
              <w:t>($)(7)</w:t>
            </w:r>
          </w:p>
        </w:tc>
      </w:tr>
      <w:tr>
        <w:trPr>
          <w:trHeight w:val="203"/>
        </w:trPr>
        <w:tc>
          <w:tcPr>
            <w:tcW w:w="500" w:type="dxa"/>
            <w:vAlign w:val="bottom"/>
            <w:tcBorders>
              <w:bottom w:val="single" w:sz="8" w:color="002060"/>
            </w:tcBorders>
          </w:tcPr>
          <w:p>
            <w:pPr>
              <w:jc w:val="center"/>
              <w:spacing w:after="0"/>
              <w:rPr>
                <w:sz w:val="20"/>
                <w:szCs w:val="20"/>
                <w:color w:val="auto"/>
              </w:rPr>
            </w:pPr>
            <w:r>
              <w:rPr>
                <w:rFonts w:ascii="Arial" w:cs="Arial" w:eastAsia="Arial" w:hAnsi="Arial"/>
                <w:sz w:val="16"/>
                <w:szCs w:val="16"/>
                <w:color w:val="auto"/>
              </w:rPr>
              <w:t>2022</w:t>
            </w:r>
          </w:p>
        </w:tc>
        <w:tc>
          <w:tcPr>
            <w:tcW w:w="1420" w:type="dxa"/>
            <w:vAlign w:val="bottom"/>
            <w:tcBorders>
              <w:bottom w:val="single" w:sz="8" w:color="002060"/>
            </w:tcBorders>
          </w:tcPr>
          <w:p>
            <w:pPr>
              <w:jc w:val="right"/>
              <w:ind w:right="41"/>
              <w:spacing w:after="0" w:line="202" w:lineRule="exact"/>
              <w:rPr>
                <w:sz w:val="20"/>
                <w:szCs w:val="20"/>
                <w:color w:val="auto"/>
              </w:rPr>
            </w:pPr>
            <w:r>
              <w:rPr>
                <w:rFonts w:ascii="Arial" w:cs="Arial" w:eastAsia="Arial" w:hAnsi="Arial"/>
                <w:sz w:val="18"/>
                <w:szCs w:val="18"/>
                <w:color w:val="auto"/>
              </w:rPr>
              <w:t>5,331,034</w:t>
            </w:r>
          </w:p>
        </w:tc>
        <w:tc>
          <w:tcPr>
            <w:tcW w:w="1360" w:type="dxa"/>
            <w:vAlign w:val="bottom"/>
            <w:tcBorders>
              <w:bottom w:val="single" w:sz="8" w:color="002060"/>
            </w:tcBorders>
          </w:tcPr>
          <w:p>
            <w:pPr>
              <w:jc w:val="right"/>
              <w:ind w:right="60"/>
              <w:spacing w:after="0" w:line="202" w:lineRule="exact"/>
              <w:rPr>
                <w:sz w:val="20"/>
                <w:szCs w:val="20"/>
                <w:color w:val="auto"/>
              </w:rPr>
            </w:pPr>
            <w:r>
              <w:rPr>
                <w:rFonts w:ascii="Arial" w:cs="Arial" w:eastAsia="Arial" w:hAnsi="Arial"/>
                <w:sz w:val="18"/>
                <w:szCs w:val="18"/>
                <w:color w:val="auto"/>
              </w:rPr>
              <w:t>696,971</w:t>
            </w:r>
          </w:p>
        </w:tc>
        <w:tc>
          <w:tcPr>
            <w:tcW w:w="1540" w:type="dxa"/>
            <w:vAlign w:val="bottom"/>
            <w:tcBorders>
              <w:bottom w:val="single" w:sz="8" w:color="002060"/>
            </w:tcBorders>
          </w:tcPr>
          <w:p>
            <w:pPr>
              <w:jc w:val="right"/>
              <w:ind w:right="62"/>
              <w:spacing w:after="0" w:line="202" w:lineRule="exact"/>
              <w:rPr>
                <w:sz w:val="20"/>
                <w:szCs w:val="20"/>
                <w:color w:val="auto"/>
              </w:rPr>
            </w:pPr>
            <w:r>
              <w:rPr>
                <w:rFonts w:ascii="Arial" w:cs="Arial" w:eastAsia="Arial" w:hAnsi="Arial"/>
                <w:sz w:val="18"/>
                <w:szCs w:val="18"/>
                <w:color w:val="auto"/>
              </w:rPr>
              <w:t>1,399,047</w:t>
            </w:r>
          </w:p>
        </w:tc>
        <w:tc>
          <w:tcPr>
            <w:tcW w:w="1380" w:type="dxa"/>
            <w:vAlign w:val="bottom"/>
            <w:tcBorders>
              <w:bottom w:val="single" w:sz="8" w:color="002060"/>
            </w:tcBorders>
          </w:tcPr>
          <w:p>
            <w:pPr>
              <w:jc w:val="right"/>
              <w:spacing w:after="0" w:line="202" w:lineRule="exact"/>
              <w:rPr>
                <w:sz w:val="20"/>
                <w:szCs w:val="20"/>
                <w:color w:val="auto"/>
              </w:rPr>
            </w:pPr>
            <w:r>
              <w:rPr>
                <w:rFonts w:ascii="Arial" w:cs="Arial" w:eastAsia="Arial" w:hAnsi="Arial"/>
                <w:sz w:val="18"/>
                <w:szCs w:val="18"/>
                <w:color w:val="auto"/>
              </w:rPr>
              <w:t>84,150</w:t>
            </w:r>
          </w:p>
        </w:tc>
        <w:tc>
          <w:tcPr>
            <w:tcW w:w="280" w:type="dxa"/>
            <w:vAlign w:val="bottom"/>
            <w:tcBorders>
              <w:bottom w:val="single" w:sz="8" w:color="002060"/>
            </w:tcBorders>
          </w:tcPr>
          <w:p>
            <w:pPr>
              <w:spacing w:after="0"/>
              <w:rPr>
                <w:sz w:val="17"/>
                <w:szCs w:val="17"/>
                <w:color w:val="auto"/>
              </w:rPr>
            </w:pPr>
          </w:p>
        </w:tc>
        <w:tc>
          <w:tcPr>
            <w:tcW w:w="980" w:type="dxa"/>
            <w:vAlign w:val="bottom"/>
            <w:tcBorders>
              <w:bottom w:val="single" w:sz="8" w:color="002060"/>
            </w:tcBorders>
          </w:tcPr>
          <w:p>
            <w:pPr>
              <w:jc w:val="right"/>
              <w:ind w:right="62"/>
              <w:spacing w:after="0" w:line="202" w:lineRule="exact"/>
              <w:rPr>
                <w:sz w:val="20"/>
                <w:szCs w:val="20"/>
                <w:color w:val="auto"/>
              </w:rPr>
            </w:pPr>
            <w:r>
              <w:rPr>
                <w:rFonts w:ascii="Arial" w:cs="Arial" w:eastAsia="Arial" w:hAnsi="Arial"/>
                <w:sz w:val="18"/>
                <w:szCs w:val="18"/>
                <w:color w:val="auto"/>
              </w:rPr>
              <w:t>129</w:t>
            </w:r>
          </w:p>
        </w:tc>
        <w:tc>
          <w:tcPr>
            <w:tcW w:w="1120" w:type="dxa"/>
            <w:vAlign w:val="bottom"/>
            <w:tcBorders>
              <w:bottom w:val="single" w:sz="8" w:color="002060"/>
            </w:tcBorders>
            <w:gridSpan w:val="2"/>
          </w:tcPr>
          <w:p>
            <w:pPr>
              <w:jc w:val="right"/>
              <w:ind w:right="140"/>
              <w:spacing w:after="0" w:line="202" w:lineRule="exact"/>
              <w:rPr>
                <w:sz w:val="20"/>
                <w:szCs w:val="20"/>
                <w:color w:val="auto"/>
              </w:rPr>
            </w:pPr>
            <w:r>
              <w:rPr>
                <w:rFonts w:ascii="Arial" w:cs="Arial" w:eastAsia="Arial" w:hAnsi="Arial"/>
                <w:sz w:val="18"/>
                <w:szCs w:val="18"/>
                <w:color w:val="auto"/>
              </w:rPr>
              <w:t>110</w:t>
            </w:r>
          </w:p>
        </w:tc>
        <w:tc>
          <w:tcPr>
            <w:tcW w:w="1300" w:type="dxa"/>
            <w:vAlign w:val="bottom"/>
            <w:tcBorders>
              <w:bottom w:val="single" w:sz="8" w:color="002060"/>
            </w:tcBorders>
          </w:tcPr>
          <w:p>
            <w:pPr>
              <w:jc w:val="right"/>
              <w:ind w:right="77"/>
              <w:spacing w:after="0" w:line="202" w:lineRule="exact"/>
              <w:rPr>
                <w:sz w:val="20"/>
                <w:szCs w:val="20"/>
                <w:color w:val="auto"/>
              </w:rPr>
            </w:pPr>
            <w:r>
              <w:rPr>
                <w:rFonts w:ascii="Arial" w:cs="Arial" w:eastAsia="Arial" w:hAnsi="Arial"/>
                <w:sz w:val="18"/>
                <w:szCs w:val="18"/>
                <w:color w:val="auto"/>
              </w:rPr>
              <w:t>223,428,000</w:t>
            </w:r>
          </w:p>
        </w:tc>
        <w:tc>
          <w:tcPr>
            <w:tcW w:w="1140" w:type="dxa"/>
            <w:vAlign w:val="bottom"/>
            <w:tcBorders>
              <w:bottom w:val="single" w:sz="8" w:color="002060"/>
            </w:tcBorders>
          </w:tcPr>
          <w:p>
            <w:pPr>
              <w:jc w:val="center"/>
              <w:ind w:left="59"/>
              <w:spacing w:after="0" w:line="202" w:lineRule="exact"/>
              <w:rPr>
                <w:sz w:val="20"/>
                <w:szCs w:val="20"/>
                <w:color w:val="auto"/>
              </w:rPr>
            </w:pPr>
            <w:r>
              <w:rPr>
                <w:rFonts w:ascii="Arial" w:cs="Arial" w:eastAsia="Arial" w:hAnsi="Arial"/>
                <w:sz w:val="18"/>
                <w:szCs w:val="18"/>
                <w:color w:val="auto"/>
                <w:w w:val="99"/>
              </w:rPr>
              <w:t>439,284,000</w:t>
            </w:r>
          </w:p>
        </w:tc>
      </w:tr>
      <w:tr>
        <w:trPr>
          <w:trHeight w:val="196"/>
        </w:trPr>
        <w:tc>
          <w:tcPr>
            <w:tcW w:w="500" w:type="dxa"/>
            <w:vAlign w:val="bottom"/>
            <w:tcBorders>
              <w:bottom w:val="single" w:sz="8" w:color="002060"/>
            </w:tcBorders>
          </w:tcPr>
          <w:p>
            <w:pPr>
              <w:jc w:val="center"/>
              <w:spacing w:after="0"/>
              <w:rPr>
                <w:sz w:val="20"/>
                <w:szCs w:val="20"/>
                <w:color w:val="auto"/>
              </w:rPr>
            </w:pPr>
            <w:r>
              <w:rPr>
                <w:rFonts w:ascii="Arial" w:cs="Arial" w:eastAsia="Arial" w:hAnsi="Arial"/>
                <w:sz w:val="16"/>
                <w:szCs w:val="16"/>
                <w:color w:val="auto"/>
              </w:rPr>
              <w:t>2021</w:t>
            </w:r>
          </w:p>
        </w:tc>
        <w:tc>
          <w:tcPr>
            <w:tcW w:w="1420" w:type="dxa"/>
            <w:vAlign w:val="bottom"/>
            <w:tcBorders>
              <w:bottom w:val="single" w:sz="8" w:color="002060"/>
            </w:tcBorders>
          </w:tcPr>
          <w:p>
            <w:pPr>
              <w:jc w:val="right"/>
              <w:ind w:right="41"/>
              <w:spacing w:after="0" w:line="196" w:lineRule="exact"/>
              <w:rPr>
                <w:sz w:val="20"/>
                <w:szCs w:val="20"/>
                <w:color w:val="auto"/>
              </w:rPr>
            </w:pPr>
            <w:r>
              <w:rPr>
                <w:rFonts w:ascii="Arial" w:cs="Arial" w:eastAsia="Arial" w:hAnsi="Arial"/>
                <w:sz w:val="18"/>
                <w:szCs w:val="18"/>
                <w:color w:val="auto"/>
              </w:rPr>
              <w:t>4,351,277</w:t>
            </w:r>
          </w:p>
        </w:tc>
        <w:tc>
          <w:tcPr>
            <w:tcW w:w="1360" w:type="dxa"/>
            <w:vAlign w:val="bottom"/>
            <w:tcBorders>
              <w:bottom w:val="single" w:sz="8" w:color="002060"/>
            </w:tcBorders>
          </w:tcPr>
          <w:p>
            <w:pPr>
              <w:jc w:val="right"/>
              <w:ind w:right="60"/>
              <w:spacing w:after="0" w:line="196" w:lineRule="exact"/>
              <w:rPr>
                <w:sz w:val="20"/>
                <w:szCs w:val="20"/>
                <w:color w:val="auto"/>
              </w:rPr>
            </w:pPr>
            <w:r>
              <w:rPr>
                <w:rFonts w:ascii="Arial" w:cs="Arial" w:eastAsia="Arial" w:hAnsi="Arial"/>
                <w:sz w:val="18"/>
                <w:szCs w:val="18"/>
                <w:color w:val="auto"/>
              </w:rPr>
              <w:t>7,666,457</w:t>
            </w:r>
          </w:p>
        </w:tc>
        <w:tc>
          <w:tcPr>
            <w:tcW w:w="1540" w:type="dxa"/>
            <w:vAlign w:val="bottom"/>
            <w:tcBorders>
              <w:bottom w:val="single" w:sz="8" w:color="002060"/>
            </w:tcBorders>
          </w:tcPr>
          <w:p>
            <w:pPr>
              <w:jc w:val="right"/>
              <w:ind w:right="62"/>
              <w:spacing w:after="0" w:line="196" w:lineRule="exact"/>
              <w:rPr>
                <w:sz w:val="20"/>
                <w:szCs w:val="20"/>
                <w:color w:val="auto"/>
              </w:rPr>
            </w:pPr>
            <w:r>
              <w:rPr>
                <w:rFonts w:ascii="Arial" w:cs="Arial" w:eastAsia="Arial" w:hAnsi="Arial"/>
                <w:sz w:val="18"/>
                <w:szCs w:val="18"/>
                <w:color w:val="auto"/>
              </w:rPr>
              <w:t>1,213,319</w:t>
            </w:r>
          </w:p>
        </w:tc>
        <w:tc>
          <w:tcPr>
            <w:tcW w:w="1660" w:type="dxa"/>
            <w:vAlign w:val="bottom"/>
            <w:tcBorders>
              <w:bottom w:val="single" w:sz="8" w:color="002060"/>
            </w:tcBorders>
            <w:gridSpan w:val="2"/>
          </w:tcPr>
          <w:p>
            <w:pPr>
              <w:jc w:val="right"/>
              <w:ind w:right="280"/>
              <w:spacing w:after="0" w:line="196" w:lineRule="exact"/>
              <w:rPr>
                <w:sz w:val="20"/>
                <w:szCs w:val="20"/>
                <w:color w:val="auto"/>
              </w:rPr>
            </w:pPr>
            <w:r>
              <w:rPr>
                <w:rFonts w:ascii="Arial" w:cs="Arial" w:eastAsia="Arial" w:hAnsi="Arial"/>
                <w:sz w:val="18"/>
                <w:szCs w:val="18"/>
                <w:color w:val="auto"/>
              </w:rPr>
              <w:t>2,139,501</w:t>
            </w:r>
          </w:p>
        </w:tc>
        <w:tc>
          <w:tcPr>
            <w:tcW w:w="980" w:type="dxa"/>
            <w:vAlign w:val="bottom"/>
            <w:tcBorders>
              <w:bottom w:val="single" w:sz="8" w:color="002060"/>
            </w:tcBorders>
          </w:tcPr>
          <w:p>
            <w:pPr>
              <w:jc w:val="right"/>
              <w:ind w:right="62"/>
              <w:spacing w:after="0" w:line="196" w:lineRule="exact"/>
              <w:rPr>
                <w:sz w:val="20"/>
                <w:szCs w:val="20"/>
                <w:color w:val="auto"/>
              </w:rPr>
            </w:pPr>
            <w:r>
              <w:rPr>
                <w:rFonts w:ascii="Arial" w:cs="Arial" w:eastAsia="Arial" w:hAnsi="Arial"/>
                <w:sz w:val="18"/>
                <w:szCs w:val="18"/>
                <w:color w:val="auto"/>
              </w:rPr>
              <w:t>205</w:t>
            </w:r>
          </w:p>
        </w:tc>
        <w:tc>
          <w:tcPr>
            <w:tcW w:w="1120" w:type="dxa"/>
            <w:vAlign w:val="bottom"/>
            <w:tcBorders>
              <w:bottom w:val="single" w:sz="8" w:color="002060"/>
            </w:tcBorders>
            <w:gridSpan w:val="2"/>
          </w:tcPr>
          <w:p>
            <w:pPr>
              <w:jc w:val="right"/>
              <w:ind w:right="140"/>
              <w:spacing w:after="0" w:line="196" w:lineRule="exact"/>
              <w:rPr>
                <w:sz w:val="20"/>
                <w:szCs w:val="20"/>
                <w:color w:val="auto"/>
              </w:rPr>
            </w:pPr>
            <w:r>
              <w:rPr>
                <w:rFonts w:ascii="Arial" w:cs="Arial" w:eastAsia="Arial" w:hAnsi="Arial"/>
                <w:sz w:val="18"/>
                <w:szCs w:val="18"/>
                <w:color w:val="auto"/>
              </w:rPr>
              <w:t>138</w:t>
            </w:r>
          </w:p>
        </w:tc>
        <w:tc>
          <w:tcPr>
            <w:tcW w:w="1300" w:type="dxa"/>
            <w:vAlign w:val="bottom"/>
            <w:tcBorders>
              <w:bottom w:val="single" w:sz="8" w:color="002060"/>
            </w:tcBorders>
          </w:tcPr>
          <w:p>
            <w:pPr>
              <w:jc w:val="right"/>
              <w:ind w:right="77"/>
              <w:spacing w:after="0" w:line="196" w:lineRule="exact"/>
              <w:rPr>
                <w:sz w:val="20"/>
                <w:szCs w:val="20"/>
                <w:color w:val="auto"/>
              </w:rPr>
            </w:pPr>
            <w:r>
              <w:rPr>
                <w:rFonts w:ascii="Arial" w:cs="Arial" w:eastAsia="Arial" w:hAnsi="Arial"/>
                <w:sz w:val="18"/>
                <w:szCs w:val="18"/>
                <w:color w:val="auto"/>
              </w:rPr>
              <w:t>118,763,000</w:t>
            </w:r>
          </w:p>
        </w:tc>
        <w:tc>
          <w:tcPr>
            <w:tcW w:w="1140" w:type="dxa"/>
            <w:vAlign w:val="bottom"/>
            <w:tcBorders>
              <w:bottom w:val="single" w:sz="8" w:color="002060"/>
            </w:tcBorders>
          </w:tcPr>
          <w:p>
            <w:pPr>
              <w:jc w:val="center"/>
              <w:ind w:left="59"/>
              <w:spacing w:after="0" w:line="196" w:lineRule="exact"/>
              <w:rPr>
                <w:sz w:val="20"/>
                <w:szCs w:val="20"/>
                <w:color w:val="auto"/>
              </w:rPr>
            </w:pPr>
            <w:r>
              <w:rPr>
                <w:rFonts w:ascii="Arial" w:cs="Arial" w:eastAsia="Arial" w:hAnsi="Arial"/>
                <w:sz w:val="18"/>
                <w:szCs w:val="18"/>
                <w:color w:val="auto"/>
                <w:w w:val="99"/>
              </w:rPr>
              <w:t>285,440,000</w:t>
            </w:r>
          </w:p>
        </w:tc>
      </w:tr>
      <w:tr>
        <w:trPr>
          <w:trHeight w:val="203"/>
        </w:trPr>
        <w:tc>
          <w:tcPr>
            <w:tcW w:w="500" w:type="dxa"/>
            <w:vAlign w:val="bottom"/>
            <w:tcBorders>
              <w:bottom w:val="single" w:sz="8" w:color="002060"/>
            </w:tcBorders>
          </w:tcPr>
          <w:p>
            <w:pPr>
              <w:jc w:val="center"/>
              <w:spacing w:after="0"/>
              <w:rPr>
                <w:sz w:val="20"/>
                <w:szCs w:val="20"/>
                <w:color w:val="auto"/>
              </w:rPr>
            </w:pPr>
            <w:r>
              <w:rPr>
                <w:rFonts w:ascii="Arial" w:cs="Arial" w:eastAsia="Arial" w:hAnsi="Arial"/>
                <w:sz w:val="16"/>
                <w:szCs w:val="16"/>
                <w:color w:val="auto"/>
              </w:rPr>
              <w:t>2020</w:t>
            </w:r>
          </w:p>
        </w:tc>
        <w:tc>
          <w:tcPr>
            <w:tcW w:w="1420" w:type="dxa"/>
            <w:vAlign w:val="bottom"/>
            <w:tcBorders>
              <w:bottom w:val="single" w:sz="8" w:color="002060"/>
            </w:tcBorders>
          </w:tcPr>
          <w:p>
            <w:pPr>
              <w:jc w:val="right"/>
              <w:ind w:right="41"/>
              <w:spacing w:after="0" w:line="196" w:lineRule="exact"/>
              <w:rPr>
                <w:sz w:val="20"/>
                <w:szCs w:val="20"/>
                <w:color w:val="auto"/>
              </w:rPr>
            </w:pPr>
            <w:r>
              <w:rPr>
                <w:rFonts w:ascii="Arial" w:cs="Arial" w:eastAsia="Arial" w:hAnsi="Arial"/>
                <w:sz w:val="18"/>
                <w:szCs w:val="18"/>
                <w:color w:val="auto"/>
              </w:rPr>
              <w:t>4,097,375</w:t>
            </w:r>
          </w:p>
        </w:tc>
        <w:tc>
          <w:tcPr>
            <w:tcW w:w="1360" w:type="dxa"/>
            <w:vAlign w:val="bottom"/>
            <w:tcBorders>
              <w:bottom w:val="single" w:sz="8" w:color="002060"/>
            </w:tcBorders>
          </w:tcPr>
          <w:p>
            <w:pPr>
              <w:jc w:val="right"/>
              <w:ind w:right="60"/>
              <w:spacing w:after="0" w:line="196" w:lineRule="exact"/>
              <w:rPr>
                <w:sz w:val="20"/>
                <w:szCs w:val="20"/>
                <w:color w:val="auto"/>
              </w:rPr>
            </w:pPr>
            <w:r>
              <w:rPr>
                <w:rFonts w:ascii="Arial" w:cs="Arial" w:eastAsia="Arial" w:hAnsi="Arial"/>
                <w:sz w:val="18"/>
                <w:szCs w:val="18"/>
                <w:color w:val="auto"/>
              </w:rPr>
              <w:t>5,547,911</w:t>
            </w:r>
          </w:p>
        </w:tc>
        <w:tc>
          <w:tcPr>
            <w:tcW w:w="1540" w:type="dxa"/>
            <w:vAlign w:val="bottom"/>
            <w:tcBorders>
              <w:bottom w:val="single" w:sz="8" w:color="002060"/>
            </w:tcBorders>
          </w:tcPr>
          <w:p>
            <w:pPr>
              <w:jc w:val="right"/>
              <w:ind w:right="62"/>
              <w:spacing w:after="0" w:line="196" w:lineRule="exact"/>
              <w:rPr>
                <w:sz w:val="20"/>
                <w:szCs w:val="20"/>
                <w:color w:val="auto"/>
              </w:rPr>
            </w:pPr>
            <w:r>
              <w:rPr>
                <w:rFonts w:ascii="Arial" w:cs="Arial" w:eastAsia="Arial" w:hAnsi="Arial"/>
                <w:sz w:val="18"/>
                <w:szCs w:val="18"/>
                <w:color w:val="auto"/>
              </w:rPr>
              <w:t>1,149,186</w:t>
            </w:r>
          </w:p>
        </w:tc>
        <w:tc>
          <w:tcPr>
            <w:tcW w:w="1660" w:type="dxa"/>
            <w:vAlign w:val="bottom"/>
            <w:tcBorders>
              <w:bottom w:val="single" w:sz="8" w:color="002060"/>
            </w:tcBorders>
            <w:gridSpan w:val="2"/>
          </w:tcPr>
          <w:p>
            <w:pPr>
              <w:jc w:val="right"/>
              <w:ind w:right="280"/>
              <w:spacing w:after="0" w:line="196" w:lineRule="exact"/>
              <w:rPr>
                <w:sz w:val="20"/>
                <w:szCs w:val="20"/>
                <w:color w:val="auto"/>
              </w:rPr>
            </w:pPr>
            <w:r>
              <w:rPr>
                <w:rFonts w:ascii="Arial" w:cs="Arial" w:eastAsia="Arial" w:hAnsi="Arial"/>
                <w:sz w:val="18"/>
                <w:szCs w:val="18"/>
                <w:color w:val="auto"/>
              </w:rPr>
              <w:t>2,089,937</w:t>
            </w:r>
          </w:p>
        </w:tc>
        <w:tc>
          <w:tcPr>
            <w:tcW w:w="980" w:type="dxa"/>
            <w:vAlign w:val="bottom"/>
            <w:tcBorders>
              <w:bottom w:val="single" w:sz="8" w:color="002060"/>
            </w:tcBorders>
          </w:tcPr>
          <w:p>
            <w:pPr>
              <w:jc w:val="right"/>
              <w:ind w:right="62"/>
              <w:spacing w:after="0" w:line="196" w:lineRule="exact"/>
              <w:rPr>
                <w:sz w:val="20"/>
                <w:szCs w:val="20"/>
                <w:color w:val="auto"/>
              </w:rPr>
            </w:pPr>
            <w:r>
              <w:rPr>
                <w:rFonts w:ascii="Arial" w:cs="Arial" w:eastAsia="Arial" w:hAnsi="Arial"/>
                <w:sz w:val="18"/>
                <w:szCs w:val="18"/>
                <w:color w:val="auto"/>
              </w:rPr>
              <w:t>148</w:t>
            </w:r>
          </w:p>
        </w:tc>
        <w:tc>
          <w:tcPr>
            <w:tcW w:w="1120" w:type="dxa"/>
            <w:vAlign w:val="bottom"/>
            <w:tcBorders>
              <w:bottom w:val="single" w:sz="8" w:color="002060"/>
            </w:tcBorders>
            <w:gridSpan w:val="2"/>
          </w:tcPr>
          <w:p>
            <w:pPr>
              <w:jc w:val="right"/>
              <w:ind w:right="140"/>
              <w:spacing w:after="0" w:line="196" w:lineRule="exact"/>
              <w:rPr>
                <w:sz w:val="20"/>
                <w:szCs w:val="20"/>
                <w:color w:val="auto"/>
              </w:rPr>
            </w:pPr>
            <w:r>
              <w:rPr>
                <w:rFonts w:ascii="Arial" w:cs="Arial" w:eastAsia="Arial" w:hAnsi="Arial"/>
                <w:sz w:val="18"/>
                <w:szCs w:val="18"/>
                <w:color w:val="auto"/>
              </w:rPr>
              <w:t>120</w:t>
            </w:r>
          </w:p>
        </w:tc>
        <w:tc>
          <w:tcPr>
            <w:tcW w:w="1300" w:type="dxa"/>
            <w:vAlign w:val="bottom"/>
            <w:tcBorders>
              <w:bottom w:val="single" w:sz="8" w:color="002060"/>
            </w:tcBorders>
          </w:tcPr>
          <w:p>
            <w:pPr>
              <w:jc w:val="right"/>
              <w:ind w:right="77"/>
              <w:spacing w:after="0" w:line="196" w:lineRule="exact"/>
              <w:rPr>
                <w:sz w:val="20"/>
                <w:szCs w:val="20"/>
                <w:color w:val="auto"/>
              </w:rPr>
            </w:pPr>
            <w:r>
              <w:rPr>
                <w:rFonts w:ascii="Arial" w:cs="Arial" w:eastAsia="Arial" w:hAnsi="Arial"/>
                <w:sz w:val="18"/>
                <w:szCs w:val="18"/>
                <w:color w:val="auto"/>
              </w:rPr>
              <w:t>97,239,000</w:t>
            </w:r>
          </w:p>
        </w:tc>
        <w:tc>
          <w:tcPr>
            <w:tcW w:w="1140" w:type="dxa"/>
            <w:vAlign w:val="bottom"/>
            <w:tcBorders>
              <w:bottom w:val="single" w:sz="8" w:color="002060"/>
            </w:tcBorders>
          </w:tcPr>
          <w:p>
            <w:pPr>
              <w:jc w:val="center"/>
              <w:ind w:left="59"/>
              <w:spacing w:after="0" w:line="196" w:lineRule="exact"/>
              <w:rPr>
                <w:sz w:val="20"/>
                <w:szCs w:val="20"/>
                <w:color w:val="auto"/>
              </w:rPr>
            </w:pPr>
            <w:r>
              <w:rPr>
                <w:rFonts w:ascii="Arial" w:cs="Arial" w:eastAsia="Arial" w:hAnsi="Arial"/>
                <w:sz w:val="18"/>
                <w:szCs w:val="18"/>
                <w:color w:val="auto"/>
                <w:w w:val="99"/>
              </w:rPr>
              <w:t>245,570,000</w:t>
            </w:r>
          </w:p>
        </w:tc>
      </w:tr>
    </w:tbl>
    <w:p>
      <w:pPr>
        <w:spacing w:after="0" w:line="103" w:lineRule="exact"/>
        <w:rPr>
          <w:sz w:val="20"/>
          <w:szCs w:val="20"/>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Jeffrey W. Edwards, our Chief Executive Officer, served as our principal executive officer (“PEO”) for each of 2022, 2021 and 2020.</w:t>
      </w:r>
    </w:p>
    <w:p>
      <w:pPr>
        <w:spacing w:after="0" w:line="76" w:lineRule="exact"/>
        <w:rPr>
          <w:rFonts w:ascii="Arial" w:cs="Arial" w:eastAsia="Arial" w:hAnsi="Arial"/>
          <w:sz w:val="18"/>
          <w:szCs w:val="18"/>
          <w:color w:val="auto"/>
        </w:rPr>
      </w:pPr>
    </w:p>
    <w:p>
      <w:pPr>
        <w:ind w:left="540" w:right="180" w:hanging="424"/>
        <w:spacing w:after="0" w:line="271"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Compensation actually paid to our PEO in each of 2022, 2021 and 2020 reflects the amounts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Totals for PEO in the table above, adjusted as set forth in the table below, determined in accordance with SEC rules.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920" w:type="dxa"/>
            <w:vAlign w:val="bottom"/>
          </w:tcPr>
          <w:p>
            <w:pPr>
              <w:spacing w:after="0"/>
              <w:rPr>
                <w:sz w:val="16"/>
                <w:szCs w:val="16"/>
                <w:color w:val="auto"/>
              </w:rPr>
            </w:pPr>
          </w:p>
        </w:tc>
        <w:tc>
          <w:tcPr>
            <w:tcW w:w="1060" w:type="dxa"/>
            <w:vAlign w:val="bottom"/>
            <w:shd w:val="clear" w:color="auto" w:fill="E5E5E5"/>
          </w:tcPr>
          <w:p>
            <w:pPr>
              <w:jc w:val="right"/>
              <w:ind w:right="219"/>
              <w:spacing w:after="0"/>
              <w:rPr>
                <w:sz w:val="20"/>
                <w:szCs w:val="20"/>
                <w:color w:val="auto"/>
              </w:rPr>
            </w:pPr>
            <w:r>
              <w:rPr>
                <w:rFonts w:ascii="Arial" w:cs="Arial" w:eastAsia="Arial" w:hAnsi="Arial"/>
                <w:sz w:val="16"/>
                <w:szCs w:val="16"/>
                <w:b w:val="1"/>
                <w:bCs w:val="1"/>
                <w:color w:val="002060"/>
              </w:rPr>
              <w:t>2022</w:t>
            </w:r>
          </w:p>
        </w:tc>
        <w:tc>
          <w:tcPr>
            <w:tcW w:w="960" w:type="dxa"/>
            <w:vAlign w:val="bottom"/>
            <w:shd w:val="clear" w:color="auto" w:fill="E5E5E5"/>
          </w:tcPr>
          <w:p>
            <w:pPr>
              <w:jc w:val="right"/>
              <w:ind w:right="179"/>
              <w:spacing w:after="0"/>
              <w:rPr>
                <w:sz w:val="20"/>
                <w:szCs w:val="20"/>
                <w:color w:val="auto"/>
              </w:rPr>
            </w:pPr>
            <w:r>
              <w:rPr>
                <w:rFonts w:ascii="Arial" w:cs="Arial" w:eastAsia="Arial" w:hAnsi="Arial"/>
                <w:sz w:val="16"/>
                <w:szCs w:val="16"/>
                <w:b w:val="1"/>
                <w:bCs w:val="1"/>
                <w:color w:val="002060"/>
              </w:rPr>
              <w:t>2021</w:t>
            </w:r>
          </w:p>
        </w:tc>
        <w:tc>
          <w:tcPr>
            <w:tcW w:w="1080" w:type="dxa"/>
            <w:vAlign w:val="bottom"/>
            <w:shd w:val="clear" w:color="auto" w:fill="E5E5E5"/>
          </w:tcPr>
          <w:p>
            <w:pPr>
              <w:jc w:val="right"/>
              <w:ind w:right="239"/>
              <w:spacing w:after="0"/>
              <w:rPr>
                <w:sz w:val="20"/>
                <w:szCs w:val="20"/>
                <w:color w:val="auto"/>
              </w:rPr>
            </w:pPr>
            <w:r>
              <w:rPr>
                <w:rFonts w:ascii="Arial" w:cs="Arial" w:eastAsia="Arial" w:hAnsi="Arial"/>
                <w:sz w:val="16"/>
                <w:szCs w:val="16"/>
                <w:b w:val="1"/>
                <w:bCs w:val="1"/>
                <w:color w:val="002060"/>
              </w:rPr>
              <w:t>2020</w:t>
            </w:r>
          </w:p>
        </w:tc>
      </w:tr>
      <w:tr>
        <w:trPr>
          <w:trHeight w:val="224"/>
        </w:trPr>
        <w:tc>
          <w:tcPr>
            <w:tcW w:w="7920" w:type="dxa"/>
            <w:vAlign w:val="bottom"/>
            <w:tcBorders>
              <w:bottom w:val="single" w:sz="8" w:color="002060"/>
            </w:tcBorders>
          </w:tcPr>
          <w:p>
            <w:pPr>
              <w:ind w:left="80"/>
              <w:spacing w:after="0"/>
              <w:rPr>
                <w:sz w:val="20"/>
                <w:szCs w:val="20"/>
                <w:color w:val="auto"/>
              </w:rPr>
            </w:pPr>
            <w:r>
              <w:rPr>
                <w:rFonts w:ascii="Arial" w:cs="Arial" w:eastAsia="Arial" w:hAnsi="Arial"/>
                <w:sz w:val="16"/>
                <w:szCs w:val="16"/>
                <w:color w:val="auto"/>
              </w:rPr>
              <w:t>PEO</w:t>
            </w:r>
          </w:p>
        </w:tc>
        <w:tc>
          <w:tcPr>
            <w:tcW w:w="1060" w:type="dxa"/>
            <w:vAlign w:val="bottom"/>
            <w:tcBorders>
              <w:bottom w:val="single" w:sz="8" w:color="002060"/>
            </w:tcBorders>
            <w:shd w:val="clear" w:color="auto" w:fill="E5E5E5"/>
          </w:tcPr>
          <w:p>
            <w:pPr>
              <w:jc w:val="right"/>
              <w:ind w:right="299"/>
              <w:spacing w:after="0"/>
              <w:rPr>
                <w:sz w:val="20"/>
                <w:szCs w:val="20"/>
                <w:color w:val="auto"/>
              </w:rPr>
            </w:pPr>
            <w:r>
              <w:rPr>
                <w:rFonts w:ascii="Arial" w:cs="Arial" w:eastAsia="Arial" w:hAnsi="Arial"/>
                <w:sz w:val="16"/>
                <w:szCs w:val="16"/>
                <w:b w:val="1"/>
                <w:bCs w:val="1"/>
                <w:color w:val="002060"/>
              </w:rPr>
              <w:t>($)</w:t>
            </w:r>
          </w:p>
        </w:tc>
        <w:tc>
          <w:tcPr>
            <w:tcW w:w="960" w:type="dxa"/>
            <w:vAlign w:val="bottom"/>
            <w:tcBorders>
              <w:bottom w:val="single" w:sz="8" w:color="002060"/>
            </w:tcBorders>
            <w:shd w:val="clear" w:color="auto" w:fill="E5E5E5"/>
          </w:tcPr>
          <w:p>
            <w:pPr>
              <w:jc w:val="right"/>
              <w:ind w:right="259"/>
              <w:spacing w:after="0"/>
              <w:rPr>
                <w:sz w:val="20"/>
                <w:szCs w:val="20"/>
                <w:color w:val="auto"/>
              </w:rPr>
            </w:pPr>
            <w:r>
              <w:rPr>
                <w:rFonts w:ascii="Arial" w:cs="Arial" w:eastAsia="Arial" w:hAnsi="Arial"/>
                <w:sz w:val="16"/>
                <w:szCs w:val="16"/>
                <w:b w:val="1"/>
                <w:bCs w:val="1"/>
                <w:color w:val="002060"/>
              </w:rPr>
              <w:t>($)</w:t>
            </w:r>
          </w:p>
        </w:tc>
        <w:tc>
          <w:tcPr>
            <w:tcW w:w="1080" w:type="dxa"/>
            <w:vAlign w:val="bottom"/>
            <w:tcBorders>
              <w:bottom w:val="single" w:sz="8" w:color="002060"/>
            </w:tcBorders>
            <w:shd w:val="clear" w:color="auto" w:fill="E5E5E5"/>
          </w:tcPr>
          <w:p>
            <w:pPr>
              <w:jc w:val="right"/>
              <w:ind w:right="319"/>
              <w:spacing w:after="0"/>
              <w:rPr>
                <w:sz w:val="20"/>
                <w:szCs w:val="20"/>
                <w:color w:val="auto"/>
              </w:rPr>
            </w:pPr>
            <w:r>
              <w:rPr>
                <w:rFonts w:ascii="Arial" w:cs="Arial" w:eastAsia="Arial" w:hAnsi="Arial"/>
                <w:sz w:val="16"/>
                <w:szCs w:val="16"/>
                <w:b w:val="1"/>
                <w:bCs w:val="1"/>
                <w:color w:val="002060"/>
              </w:rPr>
              <w:t>($)</w:t>
            </w:r>
          </w:p>
        </w:tc>
      </w:tr>
      <w:tr>
        <w:trPr>
          <w:trHeight w:val="189"/>
        </w:trPr>
        <w:tc>
          <w:tcPr>
            <w:tcW w:w="7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Summary Compensation Table (SCT) Total Compensation</w:t>
            </w: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5,331,034</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4,351,277</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4,097,375</w:t>
            </w:r>
          </w:p>
        </w:tc>
      </w:tr>
      <w:tr>
        <w:trPr>
          <w:trHeight w:val="183"/>
        </w:trPr>
        <w:tc>
          <w:tcPr>
            <w:tcW w:w="792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 Aggregate change in actuarial present value of pension benefits</w:t>
            </w:r>
          </w:p>
        </w:tc>
        <w:tc>
          <w:tcPr>
            <w:tcW w:w="106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792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 Service cost of pension benefits</w:t>
            </w:r>
          </w:p>
        </w:tc>
        <w:tc>
          <w:tcPr>
            <w:tcW w:w="106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792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 Prior service cost of pension benefits</w:t>
            </w:r>
          </w:p>
        </w:tc>
        <w:tc>
          <w:tcPr>
            <w:tcW w:w="106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792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 Stock award values reported in the SCT for the covered year</w:t>
            </w:r>
          </w:p>
        </w:tc>
        <w:tc>
          <w:tcPr>
            <w:tcW w:w="106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3,377,950</w:t>
            </w:r>
          </w:p>
        </w:tc>
        <w:tc>
          <w:tcPr>
            <w:tcW w:w="96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2,703,051</w:t>
            </w:r>
          </w:p>
        </w:tc>
        <w:tc>
          <w:tcPr>
            <w:tcW w:w="108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2,502,713</w:t>
            </w:r>
          </w:p>
        </w:tc>
      </w:tr>
      <w:tr>
        <w:trPr>
          <w:trHeight w:val="183"/>
        </w:trPr>
        <w:tc>
          <w:tcPr>
            <w:tcW w:w="7920" w:type="dxa"/>
            <w:vAlign w:val="bottom"/>
            <w:tcBorders>
              <w:bottom w:val="single" w:sz="8" w:color="002060"/>
            </w:tcBorders>
          </w:tcPr>
          <w:p>
            <w:pPr>
              <w:ind w:left="80"/>
              <w:spacing w:after="0" w:line="183" w:lineRule="exact"/>
              <w:rPr>
                <w:sz w:val="20"/>
                <w:szCs w:val="20"/>
                <w:color w:val="auto"/>
              </w:rPr>
            </w:pPr>
            <w:r>
              <w:rPr>
                <w:rFonts w:ascii="Arial" w:cs="Arial" w:eastAsia="Arial" w:hAnsi="Arial"/>
                <w:sz w:val="16"/>
                <w:szCs w:val="16"/>
                <w:color w:val="auto"/>
              </w:rPr>
              <w:t>- Option award values reported in the SCT for the covered year</w:t>
            </w:r>
          </w:p>
        </w:tc>
        <w:tc>
          <w:tcPr>
            <w:tcW w:w="10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r>
      <w:tr>
        <w:trPr>
          <w:trHeight w:val="168"/>
        </w:trPr>
        <w:tc>
          <w:tcPr>
            <w:tcW w:w="7920" w:type="dxa"/>
            <w:vAlign w:val="bottom"/>
          </w:tcPr>
          <w:p>
            <w:pPr>
              <w:ind w:left="80"/>
              <w:spacing w:after="0" w:line="168" w:lineRule="exact"/>
              <w:rPr>
                <w:sz w:val="20"/>
                <w:szCs w:val="20"/>
                <w:color w:val="auto"/>
              </w:rPr>
            </w:pPr>
            <w:r>
              <w:rPr>
                <w:rFonts w:ascii="Arial" w:cs="Arial" w:eastAsia="Arial" w:hAnsi="Arial"/>
                <w:sz w:val="16"/>
                <w:szCs w:val="16"/>
                <w:color w:val="auto"/>
              </w:rPr>
              <w:t>+ Year end fair value for equity awards granted in the covered year that were outstanding and unvested at</w:t>
            </w:r>
          </w:p>
        </w:tc>
        <w:tc>
          <w:tcPr>
            <w:tcW w:w="1060" w:type="dxa"/>
            <w:vAlign w:val="bottom"/>
            <w:shd w:val="clear" w:color="auto" w:fill="E5E5E5"/>
          </w:tcPr>
          <w:p>
            <w:pPr>
              <w:spacing w:after="0"/>
              <w:rPr>
                <w:sz w:val="14"/>
                <w:szCs w:val="14"/>
                <w:color w:val="auto"/>
              </w:rPr>
            </w:pPr>
          </w:p>
        </w:tc>
        <w:tc>
          <w:tcPr>
            <w:tcW w:w="960" w:type="dxa"/>
            <w:vAlign w:val="bottom"/>
            <w:shd w:val="clear" w:color="auto" w:fill="E5E5E5"/>
          </w:tcPr>
          <w:p>
            <w:pPr>
              <w:spacing w:after="0"/>
              <w:rPr>
                <w:sz w:val="14"/>
                <w:szCs w:val="14"/>
                <w:color w:val="auto"/>
              </w:rPr>
            </w:pPr>
          </w:p>
        </w:tc>
        <w:tc>
          <w:tcPr>
            <w:tcW w:w="1080" w:type="dxa"/>
            <w:vAlign w:val="bottom"/>
            <w:shd w:val="clear" w:color="auto" w:fill="E5E5E5"/>
          </w:tcPr>
          <w:p>
            <w:pPr>
              <w:spacing w:after="0"/>
              <w:rPr>
                <w:sz w:val="14"/>
                <w:szCs w:val="14"/>
                <w:color w:val="auto"/>
              </w:rPr>
            </w:pPr>
          </w:p>
        </w:tc>
      </w:tr>
      <w:tr>
        <w:trPr>
          <w:trHeight w:val="203"/>
        </w:trPr>
        <w:tc>
          <w:tcPr>
            <w:tcW w:w="7920" w:type="dxa"/>
            <w:vAlign w:val="bottom"/>
            <w:tcBorders>
              <w:bottom w:val="single" w:sz="8" w:color="002060"/>
            </w:tcBorders>
          </w:tcPr>
          <w:p>
            <w:pPr>
              <w:ind w:left="80"/>
              <w:spacing w:after="0"/>
              <w:rPr>
                <w:sz w:val="20"/>
                <w:szCs w:val="20"/>
                <w:color w:val="auto"/>
              </w:rPr>
            </w:pPr>
            <w:r>
              <w:rPr>
                <w:rFonts w:ascii="Arial" w:cs="Arial" w:eastAsia="Arial" w:hAnsi="Arial"/>
                <w:sz w:val="16"/>
                <w:szCs w:val="16"/>
                <w:color w:val="auto"/>
              </w:rPr>
              <w:t>year end</w:t>
            </w:r>
          </w:p>
        </w:tc>
        <w:tc>
          <w:tcPr>
            <w:tcW w:w="10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6"/>
                <w:szCs w:val="16"/>
                <w:color w:val="auto"/>
              </w:rPr>
              <w:t>2,807,851</w:t>
            </w:r>
          </w:p>
        </w:tc>
        <w:tc>
          <w:tcPr>
            <w:tcW w:w="9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6"/>
                <w:szCs w:val="16"/>
                <w:color w:val="auto"/>
              </w:rPr>
              <w:t>3,062,523</w:t>
            </w:r>
          </w:p>
        </w:tc>
        <w:tc>
          <w:tcPr>
            <w:tcW w:w="108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6"/>
                <w:szCs w:val="16"/>
                <w:color w:val="auto"/>
              </w:rPr>
              <w:t>3,301,003</w:t>
            </w:r>
          </w:p>
        </w:tc>
      </w:tr>
      <w:tr>
        <w:trPr>
          <w:trHeight w:val="168"/>
        </w:trPr>
        <w:tc>
          <w:tcPr>
            <w:tcW w:w="7920" w:type="dxa"/>
            <w:vAlign w:val="bottom"/>
          </w:tcPr>
          <w:p>
            <w:pPr>
              <w:ind w:left="80"/>
              <w:spacing w:after="0" w:line="168" w:lineRule="exact"/>
              <w:rPr>
                <w:sz w:val="20"/>
                <w:szCs w:val="20"/>
                <w:color w:val="auto"/>
              </w:rPr>
            </w:pPr>
            <w:r>
              <w:rPr>
                <w:rFonts w:ascii="Arial" w:cs="Arial" w:eastAsia="Arial" w:hAnsi="Arial"/>
                <w:sz w:val="16"/>
                <w:szCs w:val="16"/>
                <w:color w:val="auto"/>
              </w:rPr>
              <w:t>+/- Year-over-year change in fair value of equity awards granted in prior years that are outstanding and</w:t>
            </w:r>
          </w:p>
        </w:tc>
        <w:tc>
          <w:tcPr>
            <w:tcW w:w="1060" w:type="dxa"/>
            <w:vAlign w:val="bottom"/>
            <w:shd w:val="clear" w:color="auto" w:fill="E5E5E5"/>
          </w:tcPr>
          <w:p>
            <w:pPr>
              <w:spacing w:after="0"/>
              <w:rPr>
                <w:sz w:val="14"/>
                <w:szCs w:val="14"/>
                <w:color w:val="auto"/>
              </w:rPr>
            </w:pPr>
          </w:p>
        </w:tc>
        <w:tc>
          <w:tcPr>
            <w:tcW w:w="960" w:type="dxa"/>
            <w:vAlign w:val="bottom"/>
            <w:shd w:val="clear" w:color="auto" w:fill="E5E5E5"/>
          </w:tcPr>
          <w:p>
            <w:pPr>
              <w:spacing w:after="0"/>
              <w:rPr>
                <w:sz w:val="14"/>
                <w:szCs w:val="14"/>
                <w:color w:val="auto"/>
              </w:rPr>
            </w:pPr>
          </w:p>
        </w:tc>
        <w:tc>
          <w:tcPr>
            <w:tcW w:w="1080" w:type="dxa"/>
            <w:vAlign w:val="bottom"/>
            <w:shd w:val="clear" w:color="auto" w:fill="E5E5E5"/>
          </w:tcPr>
          <w:p>
            <w:pPr>
              <w:spacing w:after="0"/>
              <w:rPr>
                <w:sz w:val="14"/>
                <w:szCs w:val="14"/>
                <w:color w:val="auto"/>
              </w:rPr>
            </w:pPr>
          </w:p>
        </w:tc>
      </w:tr>
      <w:tr>
        <w:trPr>
          <w:trHeight w:val="203"/>
        </w:trPr>
        <w:tc>
          <w:tcPr>
            <w:tcW w:w="7920" w:type="dxa"/>
            <w:vAlign w:val="bottom"/>
            <w:tcBorders>
              <w:bottom w:val="single" w:sz="8" w:color="002060"/>
            </w:tcBorders>
          </w:tcPr>
          <w:p>
            <w:pPr>
              <w:ind w:left="80"/>
              <w:spacing w:after="0"/>
              <w:rPr>
                <w:sz w:val="20"/>
                <w:szCs w:val="20"/>
                <w:color w:val="auto"/>
              </w:rPr>
            </w:pPr>
            <w:r>
              <w:rPr>
                <w:rFonts w:ascii="Arial" w:cs="Arial" w:eastAsia="Arial" w:hAnsi="Arial"/>
                <w:sz w:val="16"/>
                <w:szCs w:val="16"/>
                <w:color w:val="auto"/>
              </w:rPr>
              <w:t>unvested as of the covered years</w:t>
            </w:r>
          </w:p>
        </w:tc>
        <w:tc>
          <w:tcPr>
            <w:tcW w:w="10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6"/>
                <w:szCs w:val="16"/>
                <w:color w:val="auto"/>
              </w:rPr>
              <w:t>(2,062,567)</w:t>
            </w:r>
          </w:p>
        </w:tc>
        <w:tc>
          <w:tcPr>
            <w:tcW w:w="9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6"/>
                <w:szCs w:val="16"/>
                <w:color w:val="auto"/>
              </w:rPr>
              <w:t>2,053,206</w:t>
            </w:r>
          </w:p>
        </w:tc>
        <w:tc>
          <w:tcPr>
            <w:tcW w:w="108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6"/>
                <w:szCs w:val="16"/>
                <w:color w:val="auto"/>
              </w:rPr>
              <w:t>1,850,633</w:t>
            </w:r>
          </w:p>
        </w:tc>
      </w:tr>
      <w:tr>
        <w:trPr>
          <w:trHeight w:val="183"/>
        </w:trPr>
        <w:tc>
          <w:tcPr>
            <w:tcW w:w="7920" w:type="dxa"/>
            <w:vAlign w:val="bottom"/>
            <w:tcBorders>
              <w:bottom w:val="single" w:sz="8" w:color="002060"/>
            </w:tcBorders>
          </w:tcPr>
          <w:p>
            <w:pPr>
              <w:ind w:left="80"/>
              <w:spacing w:after="0" w:line="183" w:lineRule="exact"/>
              <w:rPr>
                <w:sz w:val="20"/>
                <w:szCs w:val="20"/>
                <w:color w:val="auto"/>
              </w:rPr>
            </w:pPr>
            <w:r>
              <w:rPr>
                <w:rFonts w:ascii="Arial" w:cs="Arial" w:eastAsia="Arial" w:hAnsi="Arial"/>
                <w:sz w:val="16"/>
                <w:szCs w:val="16"/>
                <w:color w:val="auto"/>
              </w:rPr>
              <w:t>+ Vesting date fair value of equity awards granted and vested in the covered year</w:t>
            </w:r>
          </w:p>
        </w:tc>
        <w:tc>
          <w:tcPr>
            <w:tcW w:w="10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7920" w:type="dxa"/>
            <w:vAlign w:val="bottom"/>
            <w:tcBorders>
              <w:bottom w:val="single" w:sz="8" w:color="002060"/>
            </w:tcBorders>
          </w:tcPr>
          <w:p>
            <w:pPr>
              <w:ind w:left="80"/>
              <w:spacing w:after="0" w:line="183" w:lineRule="exact"/>
              <w:rPr>
                <w:sz w:val="20"/>
                <w:szCs w:val="20"/>
                <w:color w:val="auto"/>
              </w:rPr>
            </w:pPr>
            <w:r>
              <w:rPr>
                <w:rFonts w:ascii="Arial" w:cs="Arial" w:eastAsia="Arial" w:hAnsi="Arial"/>
                <w:sz w:val="16"/>
                <w:szCs w:val="16"/>
                <w:color w:val="auto"/>
              </w:rPr>
              <w:t>+/- Year-over-year change in fair value of equity awards granted in prior years that vested in the covered year</w:t>
            </w:r>
          </w:p>
        </w:tc>
        <w:tc>
          <w:tcPr>
            <w:tcW w:w="10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(2,093,505)</w:t>
            </w:r>
          </w:p>
        </w:tc>
        <w:tc>
          <w:tcPr>
            <w:tcW w:w="9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892,293</w:t>
            </w:r>
          </w:p>
        </w:tc>
        <w:tc>
          <w:tcPr>
            <w:tcW w:w="108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(1,198,387)</w:t>
            </w:r>
          </w:p>
        </w:tc>
      </w:tr>
      <w:tr>
        <w:trPr>
          <w:trHeight w:val="183"/>
        </w:trPr>
        <w:tc>
          <w:tcPr>
            <w:tcW w:w="7920" w:type="dxa"/>
            <w:vAlign w:val="bottom"/>
            <w:tcBorders>
              <w:bottom w:val="single" w:sz="8" w:color="002060"/>
            </w:tcBorders>
          </w:tcPr>
          <w:p>
            <w:pPr>
              <w:ind w:left="80"/>
              <w:spacing w:after="0" w:line="183" w:lineRule="exact"/>
              <w:rPr>
                <w:sz w:val="20"/>
                <w:szCs w:val="20"/>
                <w:color w:val="auto"/>
              </w:rPr>
            </w:pPr>
            <w:r>
              <w:rPr>
                <w:rFonts w:ascii="Arial" w:cs="Arial" w:eastAsia="Arial" w:hAnsi="Arial"/>
                <w:sz w:val="16"/>
                <w:szCs w:val="16"/>
                <w:color w:val="auto"/>
              </w:rPr>
              <w:t>- Fair value as of prior-year end of equity awards granted in prior years that failed to vest in the covered year</w:t>
            </w:r>
          </w:p>
        </w:tc>
        <w:tc>
          <w:tcPr>
            <w:tcW w:w="10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7920" w:type="dxa"/>
            <w:vAlign w:val="bottom"/>
            <w:tcBorders>
              <w:bottom w:val="single" w:sz="8" w:color="002060"/>
            </w:tcBorders>
          </w:tcPr>
          <w:p>
            <w:pPr>
              <w:ind w:left="80"/>
              <w:spacing w:after="0" w:line="183" w:lineRule="exact"/>
              <w:rPr>
                <w:sz w:val="20"/>
                <w:szCs w:val="20"/>
                <w:color w:val="auto"/>
              </w:rPr>
            </w:pPr>
            <w:r>
              <w:rPr>
                <w:rFonts w:ascii="Arial" w:cs="Arial" w:eastAsia="Arial" w:hAnsi="Arial"/>
                <w:sz w:val="16"/>
                <w:szCs w:val="16"/>
                <w:color w:val="auto"/>
              </w:rPr>
              <w:t>+ Dollar value of dividends/earnings paid on equity awards that vested in the covered year</w:t>
            </w:r>
          </w:p>
        </w:tc>
        <w:tc>
          <w:tcPr>
            <w:tcW w:w="10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92,108</w:t>
            </w:r>
          </w:p>
        </w:tc>
        <w:tc>
          <w:tcPr>
            <w:tcW w:w="9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10,209</w:t>
            </w:r>
          </w:p>
        </w:tc>
        <w:tc>
          <w:tcPr>
            <w:tcW w:w="108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r>
      <w:tr>
        <w:trPr>
          <w:trHeight w:val="182"/>
        </w:trPr>
        <w:tc>
          <w:tcPr>
            <w:tcW w:w="7920" w:type="dxa"/>
            <w:vAlign w:val="bottom"/>
            <w:tcBorders>
              <w:bottom w:val="single" w:sz="8" w:color="002060"/>
            </w:tcBorders>
          </w:tcPr>
          <w:p>
            <w:pPr>
              <w:ind w:left="80"/>
              <w:spacing w:after="0" w:line="183" w:lineRule="exact"/>
              <w:rPr>
                <w:sz w:val="20"/>
                <w:szCs w:val="20"/>
                <w:color w:val="auto"/>
              </w:rPr>
            </w:pPr>
            <w:r>
              <w:rPr>
                <w:rFonts w:ascii="Arial" w:cs="Arial" w:eastAsia="Arial" w:hAnsi="Arial"/>
                <w:sz w:val="16"/>
                <w:szCs w:val="16"/>
                <w:color w:val="auto"/>
              </w:rPr>
              <w:t>+ Excess fair value for equity award modifications</w:t>
            </w:r>
          </w:p>
        </w:tc>
        <w:tc>
          <w:tcPr>
            <w:tcW w:w="10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r>
      <w:tr>
        <w:trPr>
          <w:trHeight w:val="190"/>
        </w:trPr>
        <w:tc>
          <w:tcPr>
            <w:tcW w:w="7920" w:type="dxa"/>
            <w:vAlign w:val="bottom"/>
            <w:tcBorders>
              <w:bottom w:val="single" w:sz="8" w:color="002060"/>
            </w:tcBorders>
          </w:tcPr>
          <w:p>
            <w:pPr>
              <w:ind w:left="80"/>
              <w:spacing w:after="0" w:line="183" w:lineRule="exact"/>
              <w:rPr>
                <w:sz w:val="20"/>
                <w:szCs w:val="20"/>
                <w:color w:val="auto"/>
              </w:rPr>
            </w:pPr>
            <w:r>
              <w:rPr>
                <w:rFonts w:ascii="Arial" w:cs="Arial" w:eastAsia="Arial" w:hAnsi="Arial"/>
                <w:sz w:val="16"/>
                <w:szCs w:val="16"/>
                <w:color w:val="auto"/>
              </w:rPr>
              <w:t>Compensation Actually Paid to PEO</w:t>
            </w:r>
          </w:p>
        </w:tc>
        <w:tc>
          <w:tcPr>
            <w:tcW w:w="10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696,971</w:t>
            </w:r>
          </w:p>
        </w:tc>
        <w:tc>
          <w:tcPr>
            <w:tcW w:w="9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7,666,457</w:t>
            </w:r>
          </w:p>
        </w:tc>
        <w:tc>
          <w:tcPr>
            <w:tcW w:w="108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5,547,911</w:t>
            </w:r>
          </w:p>
        </w:tc>
      </w:tr>
    </w:tbl>
    <w:p>
      <w:pPr>
        <w:spacing w:after="0" w:line="103" w:lineRule="exact"/>
        <w:rPr>
          <w:sz w:val="20"/>
          <w:szCs w:val="20"/>
          <w:color w:val="auto"/>
        </w:rPr>
      </w:pPr>
    </w:p>
    <w:p>
      <w:pPr>
        <w:ind w:left="880" w:right="360" w:hanging="548"/>
        <w:spacing w:after="0" w:line="271"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Non-PEO Named Executive Officers were Jay Elliott, Jeffrey Hire, Michael Miller and Jason Niswonger for each of 2022, 2021 and 2020.</w:t>
      </w:r>
    </w:p>
    <w:p>
      <w:pPr>
        <w:spacing w:after="0" w:line="5" w:lineRule="exact"/>
        <w:rPr>
          <w:rFonts w:ascii="Arial" w:cs="Arial" w:eastAsia="Arial" w:hAnsi="Arial"/>
          <w:sz w:val="18"/>
          <w:szCs w:val="18"/>
          <w:color w:val="auto"/>
        </w:rPr>
      </w:pPr>
    </w:p>
    <w:p>
      <w:pPr>
        <w:ind w:left="880" w:right="20" w:hanging="548"/>
        <w:spacing w:after="0" w:line="253"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Average compensation actually paid to our non-PEO NEOs in each of 2022, 2021 and 2020 reflects the amounts in the </w:t>
      </w: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Totals for non-PEO NEO’s in the third column of the table above, adjusted as set forth in the table</w:t>
      </w:r>
      <w:r>
        <w:rPr>
          <w:rFonts w:ascii="Arial" w:cs="Arial" w:eastAsia="Arial" w:hAnsi="Arial"/>
          <w:sz w:val="18"/>
          <w:szCs w:val="18"/>
          <w:i w:val="1"/>
          <w:iCs w:val="1"/>
          <w:color w:val="auto"/>
        </w:rPr>
        <w:t xml:space="preserve"> </w:t>
      </w:r>
      <w:r>
        <w:rPr>
          <w:rFonts w:ascii="Arial" w:cs="Arial" w:eastAsia="Arial" w:hAnsi="Arial"/>
          <w:sz w:val="18"/>
          <w:szCs w:val="18"/>
          <w:color w:val="auto"/>
        </w:rPr>
        <w:t>below, determined in accordance with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282575" cy="2660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194" w:lineRule="exact"/>
        <w:rPr>
          <w:sz w:val="20"/>
          <w:szCs w:val="20"/>
          <w:color w:val="auto"/>
        </w:rPr>
      </w:pPr>
    </w:p>
    <w:p>
      <w:pPr>
        <w:ind w:left="240"/>
        <w:spacing w:after="0"/>
        <w:tabs>
          <w:tab w:leader="none" w:pos="660" w:val="left"/>
          <w:tab w:leader="none" w:pos="9320" w:val="left"/>
        </w:tabs>
        <w:rPr>
          <w:sz w:val="20"/>
          <w:szCs w:val="20"/>
          <w:color w:val="auto"/>
        </w:rPr>
      </w:pPr>
      <w:r>
        <w:rPr>
          <w:rFonts w:ascii="Arial" w:cs="Arial" w:eastAsia="Arial" w:hAnsi="Arial"/>
          <w:sz w:val="16"/>
          <w:szCs w:val="16"/>
          <w:color w:val="FFFFFF"/>
        </w:rPr>
        <w:t>74</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Executive Compensation</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940" w:type="dxa"/>
            <w:vAlign w:val="bottom"/>
            <w:shd w:val="clear" w:color="auto" w:fill="E5E5E5"/>
          </w:tcPr>
          <w:p>
            <w:pPr>
              <w:jc w:val="right"/>
              <w:ind w:right="159"/>
              <w:spacing w:after="0"/>
              <w:rPr>
                <w:sz w:val="20"/>
                <w:szCs w:val="20"/>
                <w:color w:val="auto"/>
              </w:rPr>
            </w:pPr>
            <w:r>
              <w:rPr>
                <w:rFonts w:ascii="Arial" w:cs="Arial" w:eastAsia="Arial" w:hAnsi="Arial"/>
                <w:sz w:val="16"/>
                <w:szCs w:val="16"/>
                <w:b w:val="1"/>
                <w:bCs w:val="1"/>
                <w:color w:val="002060"/>
              </w:rPr>
              <w:t>2022</w:t>
            </w:r>
          </w:p>
        </w:tc>
        <w:tc>
          <w:tcPr>
            <w:tcW w:w="960" w:type="dxa"/>
            <w:vAlign w:val="bottom"/>
            <w:shd w:val="clear" w:color="auto" w:fill="E5E5E5"/>
          </w:tcPr>
          <w:p>
            <w:pPr>
              <w:jc w:val="right"/>
              <w:ind w:right="159"/>
              <w:spacing w:after="0"/>
              <w:rPr>
                <w:sz w:val="20"/>
                <w:szCs w:val="20"/>
                <w:color w:val="auto"/>
              </w:rPr>
            </w:pPr>
            <w:r>
              <w:rPr>
                <w:rFonts w:ascii="Arial" w:cs="Arial" w:eastAsia="Arial" w:hAnsi="Arial"/>
                <w:sz w:val="16"/>
                <w:szCs w:val="16"/>
                <w:b w:val="1"/>
                <w:bCs w:val="1"/>
                <w:color w:val="002060"/>
              </w:rPr>
              <w:t>2021</w:t>
            </w:r>
          </w:p>
        </w:tc>
        <w:tc>
          <w:tcPr>
            <w:tcW w:w="1040" w:type="dxa"/>
            <w:vAlign w:val="bottom"/>
            <w:shd w:val="clear" w:color="auto" w:fill="E5E5E5"/>
          </w:tcPr>
          <w:p>
            <w:pPr>
              <w:jc w:val="right"/>
              <w:ind w:right="219"/>
              <w:spacing w:after="0"/>
              <w:rPr>
                <w:sz w:val="20"/>
                <w:szCs w:val="20"/>
                <w:color w:val="auto"/>
              </w:rPr>
            </w:pPr>
            <w:r>
              <w:rPr>
                <w:rFonts w:ascii="Arial" w:cs="Arial" w:eastAsia="Arial" w:hAnsi="Arial"/>
                <w:sz w:val="16"/>
                <w:szCs w:val="16"/>
                <w:b w:val="1"/>
                <w:bCs w:val="1"/>
                <w:color w:val="002060"/>
              </w:rPr>
              <w:t>2020</w:t>
            </w:r>
          </w:p>
        </w:tc>
      </w:tr>
      <w:tr>
        <w:trPr>
          <w:trHeight w:val="224"/>
        </w:trPr>
        <w:tc>
          <w:tcPr>
            <w:tcW w:w="8080" w:type="dxa"/>
            <w:vAlign w:val="bottom"/>
            <w:tcBorders>
              <w:bottom w:val="single" w:sz="8" w:color="002060"/>
            </w:tcBorders>
          </w:tcPr>
          <w:p>
            <w:pPr>
              <w:ind w:left="80"/>
              <w:spacing w:after="0"/>
              <w:rPr>
                <w:sz w:val="20"/>
                <w:szCs w:val="20"/>
                <w:color w:val="auto"/>
              </w:rPr>
            </w:pPr>
            <w:r>
              <w:rPr>
                <w:rFonts w:ascii="Arial" w:cs="Arial" w:eastAsia="Arial" w:hAnsi="Arial"/>
                <w:sz w:val="16"/>
                <w:szCs w:val="16"/>
                <w:color w:val="auto"/>
              </w:rPr>
              <w:t>Average for Non-PEO NEOs</w:t>
            </w:r>
          </w:p>
        </w:tc>
        <w:tc>
          <w:tcPr>
            <w:tcW w:w="940" w:type="dxa"/>
            <w:vAlign w:val="bottom"/>
            <w:tcBorders>
              <w:bottom w:val="single" w:sz="8" w:color="002060"/>
            </w:tcBorders>
            <w:shd w:val="clear" w:color="auto" w:fill="E5E5E5"/>
          </w:tcPr>
          <w:p>
            <w:pPr>
              <w:jc w:val="right"/>
              <w:ind w:right="239"/>
              <w:spacing w:after="0"/>
              <w:rPr>
                <w:sz w:val="20"/>
                <w:szCs w:val="20"/>
                <w:color w:val="auto"/>
              </w:rPr>
            </w:pPr>
            <w:r>
              <w:rPr>
                <w:rFonts w:ascii="Arial" w:cs="Arial" w:eastAsia="Arial" w:hAnsi="Arial"/>
                <w:sz w:val="16"/>
                <w:szCs w:val="16"/>
                <w:b w:val="1"/>
                <w:bCs w:val="1"/>
                <w:color w:val="002060"/>
              </w:rPr>
              <w:t>($)</w:t>
            </w:r>
          </w:p>
        </w:tc>
        <w:tc>
          <w:tcPr>
            <w:tcW w:w="960" w:type="dxa"/>
            <w:vAlign w:val="bottom"/>
            <w:tcBorders>
              <w:bottom w:val="single" w:sz="8" w:color="002060"/>
            </w:tcBorders>
            <w:shd w:val="clear" w:color="auto" w:fill="E5E5E5"/>
          </w:tcPr>
          <w:p>
            <w:pPr>
              <w:jc w:val="right"/>
              <w:ind w:right="239"/>
              <w:spacing w:after="0"/>
              <w:rPr>
                <w:sz w:val="20"/>
                <w:szCs w:val="20"/>
                <w:color w:val="auto"/>
              </w:rPr>
            </w:pPr>
            <w:r>
              <w:rPr>
                <w:rFonts w:ascii="Arial" w:cs="Arial" w:eastAsia="Arial" w:hAnsi="Arial"/>
                <w:sz w:val="16"/>
                <w:szCs w:val="16"/>
                <w:b w:val="1"/>
                <w:bCs w:val="1"/>
                <w:color w:val="002060"/>
              </w:rPr>
              <w:t>($)</w:t>
            </w:r>
          </w:p>
        </w:tc>
        <w:tc>
          <w:tcPr>
            <w:tcW w:w="1040" w:type="dxa"/>
            <w:vAlign w:val="bottom"/>
            <w:tcBorders>
              <w:bottom w:val="single" w:sz="8" w:color="002060"/>
            </w:tcBorders>
            <w:shd w:val="clear" w:color="auto" w:fill="E5E5E5"/>
          </w:tcPr>
          <w:p>
            <w:pPr>
              <w:jc w:val="right"/>
              <w:ind w:right="299"/>
              <w:spacing w:after="0"/>
              <w:rPr>
                <w:sz w:val="20"/>
                <w:szCs w:val="20"/>
                <w:color w:val="auto"/>
              </w:rPr>
            </w:pPr>
            <w:r>
              <w:rPr>
                <w:rFonts w:ascii="Arial" w:cs="Arial" w:eastAsia="Arial" w:hAnsi="Arial"/>
                <w:sz w:val="16"/>
                <w:szCs w:val="16"/>
                <w:b w:val="1"/>
                <w:bCs w:val="1"/>
                <w:color w:val="002060"/>
              </w:rPr>
              <w:t>($)</w:t>
            </w:r>
          </w:p>
        </w:tc>
      </w:tr>
      <w:tr>
        <w:trPr>
          <w:trHeight w:val="189"/>
        </w:trPr>
        <w:tc>
          <w:tcPr>
            <w:tcW w:w="8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Average Summary Compensation Table (SCT) Total Compensation</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1,399,047</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1,213,319</w:t>
            </w:r>
          </w:p>
        </w:tc>
        <w:tc>
          <w:tcPr>
            <w:tcW w:w="1040" w:type="dxa"/>
            <w:vAlign w:val="bottom"/>
            <w:tcBorders>
              <w:bottom w:val="single" w:sz="8" w:color="auto"/>
            </w:tcBorders>
            <w:shd w:val="clear" w:color="auto" w:fill="E5E5E5"/>
          </w:tcPr>
          <w:p>
            <w:pPr>
              <w:jc w:val="right"/>
              <w:ind w:right="79"/>
              <w:spacing w:after="0"/>
              <w:rPr>
                <w:sz w:val="20"/>
                <w:szCs w:val="20"/>
                <w:color w:val="auto"/>
              </w:rPr>
            </w:pPr>
            <w:r>
              <w:rPr>
                <w:rFonts w:ascii="Arial" w:cs="Arial" w:eastAsia="Arial" w:hAnsi="Arial"/>
                <w:sz w:val="16"/>
                <w:szCs w:val="16"/>
                <w:color w:val="auto"/>
              </w:rPr>
              <w:t>1,149,186</w:t>
            </w:r>
          </w:p>
        </w:tc>
      </w:tr>
      <w:tr>
        <w:trPr>
          <w:trHeight w:val="183"/>
        </w:trPr>
        <w:tc>
          <w:tcPr>
            <w:tcW w:w="808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 Aggregate change in actuarial present value of pension benefits</w:t>
            </w:r>
          </w:p>
        </w:tc>
        <w:tc>
          <w:tcPr>
            <w:tcW w:w="94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5E5E5"/>
          </w:tcPr>
          <w:p>
            <w:pPr>
              <w:jc w:val="right"/>
              <w:ind w:right="79"/>
              <w:spacing w:after="0" w:line="183" w:lineRule="exact"/>
              <w:rPr>
                <w:sz w:val="20"/>
                <w:szCs w:val="20"/>
                <w:color w:val="auto"/>
              </w:rPr>
            </w:pPr>
            <w:r>
              <w:rPr>
                <w:rFonts w:ascii="Arial" w:cs="Arial" w:eastAsia="Arial" w:hAnsi="Arial"/>
                <w:sz w:val="16"/>
                <w:szCs w:val="16"/>
                <w:color w:val="auto"/>
              </w:rPr>
              <w:t>-</w:t>
            </w:r>
          </w:p>
        </w:tc>
      </w:tr>
      <w:tr>
        <w:trPr>
          <w:trHeight w:val="183"/>
        </w:trPr>
        <w:tc>
          <w:tcPr>
            <w:tcW w:w="808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 Service cost of pension benefits</w:t>
            </w:r>
          </w:p>
        </w:tc>
        <w:tc>
          <w:tcPr>
            <w:tcW w:w="94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5E5E5"/>
          </w:tcPr>
          <w:p>
            <w:pPr>
              <w:jc w:val="right"/>
              <w:ind w:right="79"/>
              <w:spacing w:after="0" w:line="183" w:lineRule="exact"/>
              <w:rPr>
                <w:sz w:val="20"/>
                <w:szCs w:val="20"/>
                <w:color w:val="auto"/>
              </w:rPr>
            </w:pPr>
            <w:r>
              <w:rPr>
                <w:rFonts w:ascii="Arial" w:cs="Arial" w:eastAsia="Arial" w:hAnsi="Arial"/>
                <w:sz w:val="16"/>
                <w:szCs w:val="16"/>
                <w:color w:val="auto"/>
              </w:rPr>
              <w:t>-</w:t>
            </w:r>
          </w:p>
        </w:tc>
      </w:tr>
      <w:tr>
        <w:trPr>
          <w:trHeight w:val="183"/>
        </w:trPr>
        <w:tc>
          <w:tcPr>
            <w:tcW w:w="808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 Prior service cost of pension benefits</w:t>
            </w:r>
          </w:p>
        </w:tc>
        <w:tc>
          <w:tcPr>
            <w:tcW w:w="94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5E5E5"/>
          </w:tcPr>
          <w:p>
            <w:pPr>
              <w:jc w:val="right"/>
              <w:ind w:right="79"/>
              <w:spacing w:after="0" w:line="183" w:lineRule="exact"/>
              <w:rPr>
                <w:sz w:val="20"/>
                <w:szCs w:val="20"/>
                <w:color w:val="auto"/>
              </w:rPr>
            </w:pPr>
            <w:r>
              <w:rPr>
                <w:rFonts w:ascii="Arial" w:cs="Arial" w:eastAsia="Arial" w:hAnsi="Arial"/>
                <w:sz w:val="16"/>
                <w:szCs w:val="16"/>
                <w:color w:val="auto"/>
              </w:rPr>
              <w:t>-</w:t>
            </w:r>
          </w:p>
        </w:tc>
      </w:tr>
      <w:tr>
        <w:trPr>
          <w:trHeight w:val="183"/>
        </w:trPr>
        <w:tc>
          <w:tcPr>
            <w:tcW w:w="808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 Stock award values reported in the SCT for the covered year</w:t>
            </w:r>
          </w:p>
        </w:tc>
        <w:tc>
          <w:tcPr>
            <w:tcW w:w="94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688,190</w:t>
            </w:r>
          </w:p>
        </w:tc>
        <w:tc>
          <w:tcPr>
            <w:tcW w:w="960" w:type="dxa"/>
            <w:vAlign w:val="bottom"/>
            <w:tcBorders>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556,266</w:t>
            </w:r>
          </w:p>
        </w:tc>
        <w:tc>
          <w:tcPr>
            <w:tcW w:w="1040" w:type="dxa"/>
            <w:vAlign w:val="bottom"/>
            <w:tcBorders>
              <w:bottom w:val="single" w:sz="8" w:color="auto"/>
            </w:tcBorders>
            <w:shd w:val="clear" w:color="auto" w:fill="E5E5E5"/>
          </w:tcPr>
          <w:p>
            <w:pPr>
              <w:jc w:val="right"/>
              <w:ind w:right="79"/>
              <w:spacing w:after="0" w:line="183" w:lineRule="exact"/>
              <w:rPr>
                <w:sz w:val="20"/>
                <w:szCs w:val="20"/>
                <w:color w:val="auto"/>
              </w:rPr>
            </w:pPr>
            <w:r>
              <w:rPr>
                <w:rFonts w:ascii="Arial" w:cs="Arial" w:eastAsia="Arial" w:hAnsi="Arial"/>
                <w:sz w:val="16"/>
                <w:szCs w:val="16"/>
                <w:color w:val="auto"/>
              </w:rPr>
              <w:t>522,471</w:t>
            </w:r>
          </w:p>
        </w:tc>
      </w:tr>
      <w:tr>
        <w:trPr>
          <w:trHeight w:val="183"/>
        </w:trPr>
        <w:tc>
          <w:tcPr>
            <w:tcW w:w="8080" w:type="dxa"/>
            <w:vAlign w:val="bottom"/>
            <w:tcBorders>
              <w:bottom w:val="single" w:sz="8" w:color="002060"/>
            </w:tcBorders>
          </w:tcPr>
          <w:p>
            <w:pPr>
              <w:ind w:left="80"/>
              <w:spacing w:after="0" w:line="183" w:lineRule="exact"/>
              <w:rPr>
                <w:sz w:val="20"/>
                <w:szCs w:val="20"/>
                <w:color w:val="auto"/>
              </w:rPr>
            </w:pPr>
            <w:r>
              <w:rPr>
                <w:rFonts w:ascii="Arial" w:cs="Arial" w:eastAsia="Arial" w:hAnsi="Arial"/>
                <w:sz w:val="16"/>
                <w:szCs w:val="16"/>
                <w:color w:val="auto"/>
              </w:rPr>
              <w:t>- Option award values reported in the SCT for the covered year</w:t>
            </w:r>
          </w:p>
        </w:tc>
        <w:tc>
          <w:tcPr>
            <w:tcW w:w="94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002060"/>
            </w:tcBorders>
            <w:shd w:val="clear" w:color="auto" w:fill="E5E5E5"/>
          </w:tcPr>
          <w:p>
            <w:pPr>
              <w:jc w:val="right"/>
              <w:ind w:right="79"/>
              <w:spacing w:after="0" w:line="183" w:lineRule="exact"/>
              <w:rPr>
                <w:sz w:val="20"/>
                <w:szCs w:val="20"/>
                <w:color w:val="auto"/>
              </w:rPr>
            </w:pPr>
            <w:r>
              <w:rPr>
                <w:rFonts w:ascii="Arial" w:cs="Arial" w:eastAsia="Arial" w:hAnsi="Arial"/>
                <w:sz w:val="16"/>
                <w:szCs w:val="16"/>
                <w:color w:val="auto"/>
              </w:rPr>
              <w:t>-</w:t>
            </w:r>
          </w:p>
        </w:tc>
      </w:tr>
      <w:tr>
        <w:trPr>
          <w:trHeight w:val="168"/>
        </w:trPr>
        <w:tc>
          <w:tcPr>
            <w:tcW w:w="8080" w:type="dxa"/>
            <w:vAlign w:val="bottom"/>
          </w:tcPr>
          <w:p>
            <w:pPr>
              <w:ind w:left="80"/>
              <w:spacing w:after="0" w:line="168" w:lineRule="exact"/>
              <w:rPr>
                <w:sz w:val="20"/>
                <w:szCs w:val="20"/>
                <w:color w:val="auto"/>
              </w:rPr>
            </w:pPr>
            <w:r>
              <w:rPr>
                <w:rFonts w:ascii="Arial" w:cs="Arial" w:eastAsia="Arial" w:hAnsi="Arial"/>
                <w:sz w:val="16"/>
                <w:szCs w:val="16"/>
                <w:color w:val="auto"/>
              </w:rPr>
              <w:t>+ Year end fair value for equity awards granted in the covered year that were outstanding and unvested at year</w:t>
            </w:r>
          </w:p>
        </w:tc>
        <w:tc>
          <w:tcPr>
            <w:tcW w:w="940" w:type="dxa"/>
            <w:vAlign w:val="bottom"/>
            <w:shd w:val="clear" w:color="auto" w:fill="E5E5E5"/>
          </w:tcPr>
          <w:p>
            <w:pPr>
              <w:spacing w:after="0"/>
              <w:rPr>
                <w:sz w:val="14"/>
                <w:szCs w:val="14"/>
                <w:color w:val="auto"/>
              </w:rPr>
            </w:pPr>
          </w:p>
        </w:tc>
        <w:tc>
          <w:tcPr>
            <w:tcW w:w="96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r>
      <w:tr>
        <w:trPr>
          <w:trHeight w:val="203"/>
        </w:trPr>
        <w:tc>
          <w:tcPr>
            <w:tcW w:w="8080" w:type="dxa"/>
            <w:vAlign w:val="bottom"/>
            <w:tcBorders>
              <w:bottom w:val="single" w:sz="8" w:color="002060"/>
            </w:tcBorders>
          </w:tcPr>
          <w:p>
            <w:pPr>
              <w:ind w:left="80"/>
              <w:spacing w:after="0"/>
              <w:rPr>
                <w:sz w:val="20"/>
                <w:szCs w:val="20"/>
                <w:color w:val="auto"/>
              </w:rPr>
            </w:pPr>
            <w:r>
              <w:rPr>
                <w:rFonts w:ascii="Arial" w:cs="Arial" w:eastAsia="Arial" w:hAnsi="Arial"/>
                <w:sz w:val="16"/>
                <w:szCs w:val="16"/>
                <w:color w:val="auto"/>
              </w:rPr>
              <w:t>end</w:t>
            </w:r>
          </w:p>
        </w:tc>
        <w:tc>
          <w:tcPr>
            <w:tcW w:w="94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6"/>
                <w:szCs w:val="16"/>
                <w:color w:val="auto"/>
              </w:rPr>
              <w:t>547,498</w:t>
            </w:r>
          </w:p>
        </w:tc>
        <w:tc>
          <w:tcPr>
            <w:tcW w:w="9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6"/>
                <w:szCs w:val="16"/>
                <w:color w:val="auto"/>
              </w:rPr>
              <w:t>630,242</w:t>
            </w:r>
          </w:p>
        </w:tc>
        <w:tc>
          <w:tcPr>
            <w:tcW w:w="1040" w:type="dxa"/>
            <w:vAlign w:val="bottom"/>
            <w:tcBorders>
              <w:bottom w:val="single" w:sz="8" w:color="002060"/>
            </w:tcBorders>
            <w:shd w:val="clear" w:color="auto" w:fill="E5E5E5"/>
          </w:tcPr>
          <w:p>
            <w:pPr>
              <w:jc w:val="right"/>
              <w:ind w:right="79"/>
              <w:spacing w:after="0"/>
              <w:rPr>
                <w:sz w:val="20"/>
                <w:szCs w:val="20"/>
                <w:color w:val="auto"/>
              </w:rPr>
            </w:pPr>
            <w:r>
              <w:rPr>
                <w:rFonts w:ascii="Arial" w:cs="Arial" w:eastAsia="Arial" w:hAnsi="Arial"/>
                <w:sz w:val="16"/>
                <w:szCs w:val="16"/>
                <w:color w:val="auto"/>
              </w:rPr>
              <w:t>1,308,093</w:t>
            </w:r>
          </w:p>
        </w:tc>
      </w:tr>
      <w:tr>
        <w:trPr>
          <w:trHeight w:val="168"/>
        </w:trPr>
        <w:tc>
          <w:tcPr>
            <w:tcW w:w="8080" w:type="dxa"/>
            <w:vAlign w:val="bottom"/>
          </w:tcPr>
          <w:p>
            <w:pPr>
              <w:ind w:left="80"/>
              <w:spacing w:after="0" w:line="168" w:lineRule="exact"/>
              <w:rPr>
                <w:sz w:val="20"/>
                <w:szCs w:val="20"/>
                <w:color w:val="auto"/>
              </w:rPr>
            </w:pPr>
            <w:r>
              <w:rPr>
                <w:rFonts w:ascii="Arial" w:cs="Arial" w:eastAsia="Arial" w:hAnsi="Arial"/>
                <w:sz w:val="16"/>
                <w:szCs w:val="16"/>
                <w:color w:val="auto"/>
              </w:rPr>
              <w:t>+/- Year-over-year change in fair value of equity awards granted in prior years that are outstanding and</w:t>
            </w:r>
          </w:p>
        </w:tc>
        <w:tc>
          <w:tcPr>
            <w:tcW w:w="940" w:type="dxa"/>
            <w:vAlign w:val="bottom"/>
            <w:shd w:val="clear" w:color="auto" w:fill="E5E5E5"/>
          </w:tcPr>
          <w:p>
            <w:pPr>
              <w:spacing w:after="0"/>
              <w:rPr>
                <w:sz w:val="14"/>
                <w:szCs w:val="14"/>
                <w:color w:val="auto"/>
              </w:rPr>
            </w:pPr>
          </w:p>
        </w:tc>
        <w:tc>
          <w:tcPr>
            <w:tcW w:w="96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r>
      <w:tr>
        <w:trPr>
          <w:trHeight w:val="203"/>
        </w:trPr>
        <w:tc>
          <w:tcPr>
            <w:tcW w:w="8080" w:type="dxa"/>
            <w:vAlign w:val="bottom"/>
            <w:tcBorders>
              <w:bottom w:val="single" w:sz="8" w:color="002060"/>
            </w:tcBorders>
          </w:tcPr>
          <w:p>
            <w:pPr>
              <w:ind w:left="80"/>
              <w:spacing w:after="0"/>
              <w:rPr>
                <w:sz w:val="20"/>
                <w:szCs w:val="20"/>
                <w:color w:val="auto"/>
              </w:rPr>
            </w:pPr>
            <w:r>
              <w:rPr>
                <w:rFonts w:ascii="Arial" w:cs="Arial" w:eastAsia="Arial" w:hAnsi="Arial"/>
                <w:sz w:val="16"/>
                <w:szCs w:val="16"/>
                <w:color w:val="auto"/>
              </w:rPr>
              <w:t>unvested as of the covered years</w:t>
            </w:r>
          </w:p>
        </w:tc>
        <w:tc>
          <w:tcPr>
            <w:tcW w:w="94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6"/>
                <w:szCs w:val="16"/>
                <w:color w:val="auto"/>
              </w:rPr>
              <w:t>(755,678)</w:t>
            </w:r>
          </w:p>
        </w:tc>
        <w:tc>
          <w:tcPr>
            <w:tcW w:w="96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6"/>
                <w:szCs w:val="16"/>
                <w:color w:val="auto"/>
              </w:rPr>
              <w:t>658,604</w:t>
            </w:r>
          </w:p>
        </w:tc>
        <w:tc>
          <w:tcPr>
            <w:tcW w:w="1040" w:type="dxa"/>
            <w:vAlign w:val="bottom"/>
            <w:tcBorders>
              <w:bottom w:val="single" w:sz="8" w:color="002060"/>
            </w:tcBorders>
            <w:shd w:val="clear" w:color="auto" w:fill="E5E5E5"/>
          </w:tcPr>
          <w:p>
            <w:pPr>
              <w:jc w:val="right"/>
              <w:ind w:right="79"/>
              <w:spacing w:after="0"/>
              <w:rPr>
                <w:sz w:val="20"/>
                <w:szCs w:val="20"/>
                <w:color w:val="auto"/>
              </w:rPr>
            </w:pPr>
            <w:r>
              <w:rPr>
                <w:rFonts w:ascii="Arial" w:cs="Arial" w:eastAsia="Arial" w:hAnsi="Arial"/>
                <w:sz w:val="16"/>
                <w:szCs w:val="16"/>
                <w:color w:val="auto"/>
              </w:rPr>
              <w:t>393,249</w:t>
            </w:r>
          </w:p>
        </w:tc>
      </w:tr>
      <w:tr>
        <w:trPr>
          <w:trHeight w:val="183"/>
        </w:trPr>
        <w:tc>
          <w:tcPr>
            <w:tcW w:w="8080" w:type="dxa"/>
            <w:vAlign w:val="bottom"/>
            <w:tcBorders>
              <w:bottom w:val="single" w:sz="8" w:color="002060"/>
            </w:tcBorders>
          </w:tcPr>
          <w:p>
            <w:pPr>
              <w:ind w:left="80"/>
              <w:spacing w:after="0" w:line="183" w:lineRule="exact"/>
              <w:rPr>
                <w:sz w:val="20"/>
                <w:szCs w:val="20"/>
                <w:color w:val="auto"/>
              </w:rPr>
            </w:pPr>
            <w:r>
              <w:rPr>
                <w:rFonts w:ascii="Arial" w:cs="Arial" w:eastAsia="Arial" w:hAnsi="Arial"/>
                <w:sz w:val="16"/>
                <w:szCs w:val="16"/>
                <w:color w:val="auto"/>
              </w:rPr>
              <w:t>+ Vesting date fair value of equity awards granted and vested in the covered year</w:t>
            </w:r>
          </w:p>
        </w:tc>
        <w:tc>
          <w:tcPr>
            <w:tcW w:w="94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002060"/>
            </w:tcBorders>
            <w:shd w:val="clear" w:color="auto" w:fill="E5E5E5"/>
          </w:tcPr>
          <w:p>
            <w:pPr>
              <w:jc w:val="right"/>
              <w:ind w:right="79"/>
              <w:spacing w:after="0" w:line="183" w:lineRule="exact"/>
              <w:rPr>
                <w:sz w:val="20"/>
                <w:szCs w:val="20"/>
                <w:color w:val="auto"/>
              </w:rPr>
            </w:pPr>
            <w:r>
              <w:rPr>
                <w:rFonts w:ascii="Arial" w:cs="Arial" w:eastAsia="Arial" w:hAnsi="Arial"/>
                <w:sz w:val="16"/>
                <w:szCs w:val="16"/>
                <w:color w:val="auto"/>
              </w:rPr>
              <w:t>-</w:t>
            </w:r>
          </w:p>
        </w:tc>
      </w:tr>
      <w:tr>
        <w:trPr>
          <w:trHeight w:val="183"/>
        </w:trPr>
        <w:tc>
          <w:tcPr>
            <w:tcW w:w="8080" w:type="dxa"/>
            <w:vAlign w:val="bottom"/>
            <w:tcBorders>
              <w:bottom w:val="single" w:sz="8" w:color="002060"/>
            </w:tcBorders>
          </w:tcPr>
          <w:p>
            <w:pPr>
              <w:ind w:left="80"/>
              <w:spacing w:after="0" w:line="183" w:lineRule="exact"/>
              <w:rPr>
                <w:sz w:val="20"/>
                <w:szCs w:val="20"/>
                <w:color w:val="auto"/>
              </w:rPr>
            </w:pPr>
            <w:r>
              <w:rPr>
                <w:rFonts w:ascii="Arial" w:cs="Arial" w:eastAsia="Arial" w:hAnsi="Arial"/>
                <w:sz w:val="16"/>
                <w:szCs w:val="16"/>
                <w:color w:val="auto"/>
              </w:rPr>
              <w:t>+/- Year-over-year change in fair value of equity awards granted in prior years that vested in the covered year</w:t>
            </w:r>
          </w:p>
        </w:tc>
        <w:tc>
          <w:tcPr>
            <w:tcW w:w="94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(437,789)</w:t>
            </w:r>
          </w:p>
        </w:tc>
        <w:tc>
          <w:tcPr>
            <w:tcW w:w="9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191,413</w:t>
            </w:r>
          </w:p>
        </w:tc>
        <w:tc>
          <w:tcPr>
            <w:tcW w:w="1040" w:type="dxa"/>
            <w:vAlign w:val="bottom"/>
            <w:tcBorders>
              <w:bottom w:val="single" w:sz="8" w:color="002060"/>
            </w:tcBorders>
            <w:shd w:val="clear" w:color="auto" w:fill="E5E5E5"/>
          </w:tcPr>
          <w:p>
            <w:pPr>
              <w:jc w:val="right"/>
              <w:ind w:right="79"/>
              <w:spacing w:after="0" w:line="183" w:lineRule="exact"/>
              <w:rPr>
                <w:sz w:val="20"/>
                <w:szCs w:val="20"/>
                <w:color w:val="auto"/>
              </w:rPr>
            </w:pPr>
            <w:r>
              <w:rPr>
                <w:rFonts w:ascii="Arial" w:cs="Arial" w:eastAsia="Arial" w:hAnsi="Arial"/>
                <w:sz w:val="16"/>
                <w:szCs w:val="16"/>
                <w:color w:val="auto"/>
              </w:rPr>
              <w:t>(238,121)</w:t>
            </w:r>
          </w:p>
        </w:tc>
      </w:tr>
      <w:tr>
        <w:trPr>
          <w:trHeight w:val="183"/>
        </w:trPr>
        <w:tc>
          <w:tcPr>
            <w:tcW w:w="8080" w:type="dxa"/>
            <w:vAlign w:val="bottom"/>
            <w:tcBorders>
              <w:bottom w:val="single" w:sz="8" w:color="002060"/>
            </w:tcBorders>
          </w:tcPr>
          <w:p>
            <w:pPr>
              <w:ind w:left="80"/>
              <w:spacing w:after="0" w:line="183" w:lineRule="exact"/>
              <w:rPr>
                <w:sz w:val="20"/>
                <w:szCs w:val="20"/>
                <w:color w:val="auto"/>
              </w:rPr>
            </w:pPr>
            <w:r>
              <w:rPr>
                <w:rFonts w:ascii="Arial" w:cs="Arial" w:eastAsia="Arial" w:hAnsi="Arial"/>
                <w:sz w:val="16"/>
                <w:szCs w:val="16"/>
                <w:color w:val="auto"/>
              </w:rPr>
              <w:t>- Fair value as of prior-year end of equity awards granted in prior years that failed to vest in the covered year</w:t>
            </w:r>
          </w:p>
        </w:tc>
        <w:tc>
          <w:tcPr>
            <w:tcW w:w="94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002060"/>
            </w:tcBorders>
            <w:shd w:val="clear" w:color="auto" w:fill="E5E5E5"/>
          </w:tcPr>
          <w:p>
            <w:pPr>
              <w:jc w:val="right"/>
              <w:ind w:right="79"/>
              <w:spacing w:after="0" w:line="183" w:lineRule="exact"/>
              <w:rPr>
                <w:sz w:val="20"/>
                <w:szCs w:val="20"/>
                <w:color w:val="auto"/>
              </w:rPr>
            </w:pPr>
            <w:r>
              <w:rPr>
                <w:rFonts w:ascii="Arial" w:cs="Arial" w:eastAsia="Arial" w:hAnsi="Arial"/>
                <w:sz w:val="16"/>
                <w:szCs w:val="16"/>
                <w:color w:val="auto"/>
              </w:rPr>
              <w:t>-</w:t>
            </w:r>
          </w:p>
        </w:tc>
      </w:tr>
      <w:tr>
        <w:trPr>
          <w:trHeight w:val="183"/>
        </w:trPr>
        <w:tc>
          <w:tcPr>
            <w:tcW w:w="8080" w:type="dxa"/>
            <w:vAlign w:val="bottom"/>
            <w:tcBorders>
              <w:bottom w:val="single" w:sz="8" w:color="002060"/>
            </w:tcBorders>
          </w:tcPr>
          <w:p>
            <w:pPr>
              <w:ind w:left="80"/>
              <w:spacing w:after="0" w:line="183" w:lineRule="exact"/>
              <w:rPr>
                <w:sz w:val="20"/>
                <w:szCs w:val="20"/>
                <w:color w:val="auto"/>
              </w:rPr>
            </w:pPr>
            <w:r>
              <w:rPr>
                <w:rFonts w:ascii="Arial" w:cs="Arial" w:eastAsia="Arial" w:hAnsi="Arial"/>
                <w:sz w:val="16"/>
                <w:szCs w:val="16"/>
                <w:color w:val="auto"/>
              </w:rPr>
              <w:t>+ Dollar value of dividends /earnings paid on equity awards that vested in the covered year</w:t>
            </w:r>
          </w:p>
        </w:tc>
        <w:tc>
          <w:tcPr>
            <w:tcW w:w="94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19,261</w:t>
            </w:r>
          </w:p>
        </w:tc>
        <w:tc>
          <w:tcPr>
            <w:tcW w:w="9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2,190</w:t>
            </w:r>
          </w:p>
        </w:tc>
        <w:tc>
          <w:tcPr>
            <w:tcW w:w="1040" w:type="dxa"/>
            <w:vAlign w:val="bottom"/>
            <w:tcBorders>
              <w:bottom w:val="single" w:sz="8" w:color="002060"/>
            </w:tcBorders>
            <w:shd w:val="clear" w:color="auto" w:fill="E5E5E5"/>
          </w:tcPr>
          <w:p>
            <w:pPr>
              <w:jc w:val="right"/>
              <w:ind w:right="79"/>
              <w:spacing w:after="0" w:line="183" w:lineRule="exact"/>
              <w:rPr>
                <w:sz w:val="20"/>
                <w:szCs w:val="20"/>
                <w:color w:val="auto"/>
              </w:rPr>
            </w:pPr>
            <w:r>
              <w:rPr>
                <w:rFonts w:ascii="Arial" w:cs="Arial" w:eastAsia="Arial" w:hAnsi="Arial"/>
                <w:sz w:val="16"/>
                <w:szCs w:val="16"/>
                <w:color w:val="auto"/>
              </w:rPr>
              <w:t>-</w:t>
            </w:r>
          </w:p>
        </w:tc>
      </w:tr>
      <w:tr>
        <w:trPr>
          <w:trHeight w:val="183"/>
        </w:trPr>
        <w:tc>
          <w:tcPr>
            <w:tcW w:w="8080" w:type="dxa"/>
            <w:vAlign w:val="bottom"/>
            <w:tcBorders>
              <w:bottom w:val="single" w:sz="8" w:color="002060"/>
            </w:tcBorders>
          </w:tcPr>
          <w:p>
            <w:pPr>
              <w:ind w:left="80"/>
              <w:spacing w:after="0" w:line="183" w:lineRule="exact"/>
              <w:rPr>
                <w:sz w:val="20"/>
                <w:szCs w:val="20"/>
                <w:color w:val="auto"/>
              </w:rPr>
            </w:pPr>
            <w:r>
              <w:rPr>
                <w:rFonts w:ascii="Arial" w:cs="Arial" w:eastAsia="Arial" w:hAnsi="Arial"/>
                <w:sz w:val="16"/>
                <w:szCs w:val="16"/>
                <w:color w:val="auto"/>
              </w:rPr>
              <w:t>+ Excess fair value for equity award modifications</w:t>
            </w:r>
          </w:p>
        </w:tc>
        <w:tc>
          <w:tcPr>
            <w:tcW w:w="94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002060"/>
            </w:tcBorders>
            <w:shd w:val="clear" w:color="auto" w:fill="E5E5E5"/>
          </w:tcPr>
          <w:p>
            <w:pPr>
              <w:jc w:val="right"/>
              <w:ind w:right="79"/>
              <w:spacing w:after="0" w:line="183" w:lineRule="exact"/>
              <w:rPr>
                <w:sz w:val="20"/>
                <w:szCs w:val="20"/>
                <w:color w:val="auto"/>
              </w:rPr>
            </w:pPr>
            <w:r>
              <w:rPr>
                <w:rFonts w:ascii="Arial" w:cs="Arial" w:eastAsia="Arial" w:hAnsi="Arial"/>
                <w:sz w:val="16"/>
                <w:szCs w:val="16"/>
                <w:color w:val="auto"/>
              </w:rPr>
              <w:t>-</w:t>
            </w:r>
          </w:p>
        </w:tc>
      </w:tr>
      <w:tr>
        <w:trPr>
          <w:trHeight w:val="189"/>
        </w:trPr>
        <w:tc>
          <w:tcPr>
            <w:tcW w:w="8080" w:type="dxa"/>
            <w:vAlign w:val="bottom"/>
            <w:tcBorders>
              <w:bottom w:val="single" w:sz="8" w:color="002060"/>
            </w:tcBorders>
          </w:tcPr>
          <w:p>
            <w:pPr>
              <w:ind w:left="80"/>
              <w:spacing w:after="0" w:line="183" w:lineRule="exact"/>
              <w:rPr>
                <w:sz w:val="20"/>
                <w:szCs w:val="20"/>
                <w:color w:val="auto"/>
              </w:rPr>
            </w:pPr>
            <w:r>
              <w:rPr>
                <w:rFonts w:ascii="Arial" w:cs="Arial" w:eastAsia="Arial" w:hAnsi="Arial"/>
                <w:sz w:val="16"/>
                <w:szCs w:val="16"/>
                <w:color w:val="auto"/>
              </w:rPr>
              <w:t>Average Compensation Actually Paid to Non-PEO NEOs</w:t>
            </w:r>
          </w:p>
        </w:tc>
        <w:tc>
          <w:tcPr>
            <w:tcW w:w="94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84,150</w:t>
            </w:r>
          </w:p>
        </w:tc>
        <w:tc>
          <w:tcPr>
            <w:tcW w:w="960" w:type="dxa"/>
            <w:vAlign w:val="bottom"/>
            <w:tcBorders>
              <w:bottom w:val="single" w:sz="8" w:color="002060"/>
            </w:tcBorders>
            <w:shd w:val="clear" w:color="auto" w:fill="E5E5E5"/>
          </w:tcPr>
          <w:p>
            <w:pPr>
              <w:jc w:val="right"/>
              <w:spacing w:after="0" w:line="183" w:lineRule="exact"/>
              <w:rPr>
                <w:sz w:val="20"/>
                <w:szCs w:val="20"/>
                <w:color w:val="auto"/>
              </w:rPr>
            </w:pPr>
            <w:r>
              <w:rPr>
                <w:rFonts w:ascii="Arial" w:cs="Arial" w:eastAsia="Arial" w:hAnsi="Arial"/>
                <w:sz w:val="16"/>
                <w:szCs w:val="16"/>
                <w:color w:val="auto"/>
              </w:rPr>
              <w:t>2,139,501</w:t>
            </w:r>
          </w:p>
        </w:tc>
        <w:tc>
          <w:tcPr>
            <w:tcW w:w="1040" w:type="dxa"/>
            <w:vAlign w:val="bottom"/>
            <w:tcBorders>
              <w:bottom w:val="single" w:sz="8" w:color="002060"/>
            </w:tcBorders>
            <w:shd w:val="clear" w:color="auto" w:fill="E5E5E5"/>
          </w:tcPr>
          <w:p>
            <w:pPr>
              <w:jc w:val="right"/>
              <w:ind w:right="79"/>
              <w:spacing w:after="0" w:line="183" w:lineRule="exact"/>
              <w:rPr>
                <w:sz w:val="20"/>
                <w:szCs w:val="20"/>
                <w:color w:val="auto"/>
              </w:rPr>
            </w:pPr>
            <w:r>
              <w:rPr>
                <w:rFonts w:ascii="Arial" w:cs="Arial" w:eastAsia="Arial" w:hAnsi="Arial"/>
                <w:sz w:val="16"/>
                <w:szCs w:val="16"/>
                <w:color w:val="auto"/>
              </w:rPr>
              <w:t>2,089,937</w:t>
            </w:r>
          </w:p>
        </w:tc>
      </w:tr>
    </w:tbl>
    <w:p>
      <w:pPr>
        <w:spacing w:after="0" w:line="103" w:lineRule="exact"/>
        <w:rPr>
          <w:sz w:val="20"/>
          <w:szCs w:val="20"/>
          <w:color w:val="auto"/>
        </w:rPr>
      </w:pPr>
    </w:p>
    <w:p>
      <w:pPr>
        <w:ind w:left="880" w:right="80" w:hanging="548"/>
        <w:spacing w:after="0" w:line="253"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each of the three fiscal years presented in the table, total shareholder return was calculated in accordance with Item 201(e) and Item 402(v) of Regulation S-K. For purposes of this pay versus performance disclosure, the peer group used consists of two published industry indices: the Russell 2000 Index and the S&amp;P 600 Building Products Sub Industry GICS Level 4 Index.</w:t>
      </w:r>
    </w:p>
    <w:p>
      <w:pPr>
        <w:spacing w:after="0" w:line="20" w:lineRule="exact"/>
        <w:rPr>
          <w:rFonts w:ascii="Arial" w:cs="Arial" w:eastAsia="Arial" w:hAnsi="Arial"/>
          <w:sz w:val="18"/>
          <w:szCs w:val="18"/>
          <w:color w:val="auto"/>
        </w:rPr>
      </w:pPr>
    </w:p>
    <w:p>
      <w:pPr>
        <w:ind w:left="880" w:hanging="548"/>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income is rounded to the nearest hundred thousand.</w:t>
      </w:r>
    </w:p>
    <w:p>
      <w:pPr>
        <w:spacing w:after="0" w:line="63" w:lineRule="exact"/>
        <w:rPr>
          <w:rFonts w:ascii="Arial" w:cs="Arial" w:eastAsia="Arial" w:hAnsi="Arial"/>
          <w:sz w:val="18"/>
          <w:szCs w:val="18"/>
          <w:color w:val="auto"/>
        </w:rPr>
      </w:pPr>
    </w:p>
    <w:p>
      <w:pPr>
        <w:ind w:left="880" w:right="180" w:hanging="548"/>
        <w:spacing w:after="0" w:line="253"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Compensation and Human Capital Committee has selected Adjusted EBITDA as the most important financial performance measure used to link our executive compensation to Company performance. See “</w:t>
      </w:r>
      <w:r>
        <w:rPr>
          <w:rFonts w:ascii="Arial" w:cs="Arial" w:eastAsia="Arial" w:hAnsi="Arial"/>
          <w:sz w:val="18"/>
          <w:szCs w:val="18"/>
          <w:i w:val="1"/>
          <w:iCs w:val="1"/>
          <w:color w:val="auto"/>
        </w:rPr>
        <w:t>Additional Information – Use of Non-GAAP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w:t>
      </w:r>
      <w:r>
        <w:rPr>
          <w:rFonts w:ascii="Arial" w:cs="Arial" w:eastAsia="Arial" w:hAnsi="Arial"/>
          <w:sz w:val="18"/>
          <w:szCs w:val="18"/>
          <w:color w:val="auto"/>
        </w:rPr>
        <w:t>” for a reconciliation of Adjusted EBITDA to the most directly comparable GAAP measure.</w:t>
      </w:r>
    </w:p>
    <w:p>
      <w:pPr>
        <w:spacing w:after="0" w:line="169"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The following graphs describe the relationships between executive compensation actually paid as listed in the pay versus performance table to Company Adjusted EBITDA, Net Income and Total Shareholder Return and the relationship between Company Total Shareholder Return to Peer Group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76200</wp:posOffset>
            </wp:positionV>
            <wp:extent cx="291465" cy="2654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194"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Executive Compensation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75</w:t>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2620" cy="69157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2620" cy="691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right="800"/>
        <w:spacing w:after="0" w:line="27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Additional Information – Use of Non-GAAP Financial Measures</w:t>
      </w:r>
      <w:r>
        <w:rPr>
          <w:rFonts w:ascii="Arial" w:cs="Arial" w:eastAsia="Arial" w:hAnsi="Arial"/>
          <w:sz w:val="18"/>
          <w:szCs w:val="18"/>
          <w:color w:val="auto"/>
        </w:rPr>
        <w:t>” for a reconciliation of Adjusted EBITDA to the most directly comparable GAAP measure.</w:t>
      </w:r>
    </w:p>
    <w:p>
      <w:pPr>
        <w:spacing w:after="0" w:line="154"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The following table lists the financial performance measure that we believe represents the most important financial measure used to link compensation actually paid to our executives to Company performance:</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60"/>
        </w:trPr>
        <w:tc>
          <w:tcPr>
            <w:tcW w:w="4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4360" w:type="dxa"/>
            <w:vAlign w:val="bottom"/>
            <w:shd w:val="clear" w:color="auto" w:fill="002060"/>
          </w:tcPr>
          <w:p>
            <w:pPr>
              <w:ind w:left="100"/>
              <w:spacing w:after="0"/>
              <w:rPr>
                <w:sz w:val="20"/>
                <w:szCs w:val="20"/>
                <w:color w:val="auto"/>
              </w:rPr>
            </w:pPr>
            <w:r>
              <w:rPr>
                <w:rFonts w:ascii="Arial" w:cs="Arial" w:eastAsia="Arial" w:hAnsi="Arial"/>
                <w:sz w:val="18"/>
                <w:szCs w:val="18"/>
                <w:color w:val="FFFFFF"/>
              </w:rPr>
              <w:t>Performance-based incentive cash awards</w:t>
            </w:r>
          </w:p>
        </w:tc>
        <w:tc>
          <w:tcPr>
            <w:tcW w:w="1800" w:type="dxa"/>
            <w:vAlign w:val="bottom"/>
            <w:shd w:val="clear" w:color="auto" w:fill="E0E0E0"/>
          </w:tcPr>
          <w:p>
            <w:pPr>
              <w:ind w:left="200"/>
              <w:spacing w:after="0"/>
              <w:rPr>
                <w:sz w:val="20"/>
                <w:szCs w:val="20"/>
                <w:color w:val="auto"/>
              </w:rPr>
            </w:pPr>
            <w:r>
              <w:rPr>
                <w:rFonts w:ascii="Arial" w:cs="Arial" w:eastAsia="Arial" w:hAnsi="Arial"/>
                <w:sz w:val="18"/>
                <w:szCs w:val="18"/>
                <w:color w:val="auto"/>
              </w:rPr>
              <w:t>Adjusted EBITDA</w:t>
            </w:r>
          </w:p>
        </w:tc>
        <w:tc>
          <w:tcPr>
            <w:tcW w:w="2440" w:type="dxa"/>
            <w:vAlign w:val="bottom"/>
          </w:tcPr>
          <w:p>
            <w:pPr>
              <w:spacing w:after="0"/>
              <w:rPr>
                <w:sz w:val="22"/>
                <w:szCs w:val="22"/>
                <w:color w:val="auto"/>
              </w:rPr>
            </w:pPr>
          </w:p>
        </w:tc>
      </w:tr>
      <w:tr>
        <w:trPr>
          <w:trHeight w:val="327"/>
        </w:trPr>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360" w:type="dxa"/>
            <w:vAlign w:val="bottom"/>
            <w:tcBorders>
              <w:bottom w:val="single" w:sz="8" w:color="002060"/>
            </w:tcBorders>
            <w:shd w:val="clear" w:color="auto" w:fill="002060"/>
          </w:tcPr>
          <w:p>
            <w:pPr>
              <w:ind w:left="100"/>
              <w:spacing w:after="0"/>
              <w:rPr>
                <w:sz w:val="20"/>
                <w:szCs w:val="20"/>
                <w:color w:val="auto"/>
              </w:rPr>
            </w:pPr>
            <w:r>
              <w:rPr>
                <w:rFonts w:ascii="Arial" w:cs="Arial" w:eastAsia="Arial" w:hAnsi="Arial"/>
                <w:sz w:val="18"/>
                <w:szCs w:val="18"/>
                <w:color w:val="FFFFFF"/>
              </w:rPr>
              <w:t>Performance-based incentive equity awards</w:t>
            </w:r>
          </w:p>
        </w:tc>
        <w:tc>
          <w:tcPr>
            <w:tcW w:w="1800" w:type="dxa"/>
            <w:vAlign w:val="bottom"/>
            <w:tcBorders>
              <w:bottom w:val="single" w:sz="8" w:color="E0E0E0"/>
            </w:tcBorders>
            <w:shd w:val="clear" w:color="auto" w:fill="E0E0E0"/>
          </w:tcPr>
          <w:p>
            <w:pPr>
              <w:ind w:left="200"/>
              <w:spacing w:after="0"/>
              <w:rPr>
                <w:sz w:val="20"/>
                <w:szCs w:val="20"/>
                <w:color w:val="auto"/>
              </w:rPr>
            </w:pPr>
            <w:r>
              <w:rPr>
                <w:rFonts w:ascii="Arial" w:cs="Arial" w:eastAsia="Arial" w:hAnsi="Arial"/>
                <w:sz w:val="18"/>
                <w:szCs w:val="18"/>
                <w:color w:val="auto"/>
              </w:rPr>
              <w:t>Adjusted EBITDA</w:t>
            </w:r>
          </w:p>
        </w:tc>
        <w:tc>
          <w:tcPr>
            <w:tcW w:w="2440" w:type="dxa"/>
            <w:vAlign w:val="bottom"/>
          </w:tcPr>
          <w:p>
            <w:pPr>
              <w:spacing w:after="0"/>
              <w:rPr>
                <w:sz w:val="24"/>
                <w:szCs w:val="24"/>
                <w:color w:val="auto"/>
              </w:rPr>
            </w:pPr>
          </w:p>
        </w:tc>
      </w:tr>
      <w:tr>
        <w:trPr>
          <w:trHeight w:val="513"/>
        </w:trPr>
        <w:tc>
          <w:tcPr>
            <w:tcW w:w="6780" w:type="dxa"/>
            <w:vAlign w:val="bottom"/>
            <w:gridSpan w:val="3"/>
          </w:tcPr>
          <w:p>
            <w:pPr>
              <w:spacing w:after="0"/>
              <w:rPr>
                <w:sz w:val="24"/>
                <w:szCs w:val="24"/>
                <w:color w:val="auto"/>
              </w:rPr>
            </w:pPr>
          </w:p>
        </w:tc>
        <w:tc>
          <w:tcPr>
            <w:tcW w:w="18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09"/>
        </w:trPr>
        <w:tc>
          <w:tcPr>
            <w:tcW w:w="440" w:type="dxa"/>
            <w:vAlign w:val="bottom"/>
            <w:shd w:val="clear" w:color="auto" w:fill="002060"/>
          </w:tcPr>
          <w:p>
            <w:pPr>
              <w:jc w:val="right"/>
              <w:ind w:right="59"/>
              <w:spacing w:after="0"/>
              <w:rPr>
                <w:sz w:val="20"/>
                <w:szCs w:val="20"/>
                <w:color w:val="auto"/>
              </w:rPr>
            </w:pPr>
            <w:r>
              <w:rPr>
                <w:rFonts w:ascii="Arial" w:cs="Arial" w:eastAsia="Arial" w:hAnsi="Arial"/>
                <w:sz w:val="16"/>
                <w:szCs w:val="16"/>
                <w:color w:val="FFFFFF"/>
              </w:rPr>
              <w:t>76</w:t>
            </w:r>
          </w:p>
        </w:tc>
        <w:tc>
          <w:tcPr>
            <w:tcW w:w="6340" w:type="dxa"/>
            <w:vAlign w:val="bottom"/>
            <w:gridSpan w:val="2"/>
          </w:tcPr>
          <w:p>
            <w:pPr>
              <w:ind w:left="120"/>
              <w:spacing w:after="0"/>
              <w:rPr>
                <w:sz w:val="20"/>
                <w:szCs w:val="20"/>
                <w:color w:val="auto"/>
              </w:rPr>
            </w:pPr>
            <w:r>
              <w:rPr>
                <w:rFonts w:ascii="Arial" w:cs="Arial" w:eastAsia="Arial" w:hAnsi="Arial"/>
                <w:sz w:val="16"/>
                <w:szCs w:val="16"/>
                <w:color w:val="002060"/>
              </w:rPr>
              <w:t>2023 Proxy Statement</w:t>
            </w:r>
          </w:p>
        </w:tc>
        <w:tc>
          <w:tcPr>
            <w:tcW w:w="1800" w:type="dxa"/>
            <w:vAlign w:val="bottom"/>
          </w:tcPr>
          <w:p>
            <w:pPr>
              <w:spacing w:after="0"/>
              <w:rPr>
                <w:sz w:val="24"/>
                <w:szCs w:val="24"/>
                <w:color w:val="auto"/>
              </w:rPr>
            </w:pPr>
          </w:p>
        </w:tc>
        <w:tc>
          <w:tcPr>
            <w:tcW w:w="2440" w:type="dxa"/>
            <w:vAlign w:val="bottom"/>
          </w:tcPr>
          <w:p>
            <w:pPr>
              <w:ind w:left="640"/>
              <w:spacing w:after="0"/>
              <w:rPr>
                <w:sz w:val="20"/>
                <w:szCs w:val="20"/>
                <w:color w:val="auto"/>
              </w:rPr>
            </w:pPr>
            <w:r>
              <w:rPr>
                <w:rFonts w:ascii="Arial" w:cs="Arial" w:eastAsia="Arial" w:hAnsi="Arial"/>
                <w:sz w:val="16"/>
                <w:szCs w:val="16"/>
                <w:color w:val="002060"/>
              </w:rPr>
              <w:t>Executive Compensation</w:t>
            </w:r>
          </w:p>
        </w:tc>
      </w:tr>
      <w:tr>
        <w:trPr>
          <w:trHeight w:val="110"/>
        </w:trPr>
        <w:tc>
          <w:tcPr>
            <w:tcW w:w="440" w:type="dxa"/>
            <w:vAlign w:val="bottom"/>
            <w:shd w:val="clear" w:color="auto" w:fill="002060"/>
          </w:tcPr>
          <w:p>
            <w:pPr>
              <w:spacing w:after="0"/>
              <w:rPr>
                <w:sz w:val="9"/>
                <w:szCs w:val="9"/>
                <w:color w:val="auto"/>
              </w:rPr>
            </w:pPr>
          </w:p>
        </w:tc>
        <w:tc>
          <w:tcPr>
            <w:tcW w:w="198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4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-788035</wp:posOffset>
            </wp:positionV>
            <wp:extent cx="39090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460" w:right="2020"/>
        <w:spacing w:after="0" w:line="254" w:lineRule="auto"/>
        <w:rPr>
          <w:sz w:val="20"/>
          <w:szCs w:val="20"/>
          <w:color w:val="auto"/>
        </w:rPr>
      </w:pPr>
      <w:r>
        <w:rPr>
          <w:rFonts w:ascii="Arial" w:cs="Arial" w:eastAsia="Arial" w:hAnsi="Arial"/>
          <w:sz w:val="40"/>
          <w:szCs w:val="40"/>
          <w:b w:val="1"/>
          <w:bCs w:val="1"/>
          <w:color w:val="0070C0"/>
        </w:rPr>
        <w:t>PROPOSAL 4 – ADVISORY VOTE ON THE FREQUENCY OF ADVISORY VOTES ON EXECUTIVE COMPENSATION</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Overview</w:t>
      </w:r>
    </w:p>
    <w:p>
      <w:pPr>
        <w:spacing w:after="0" w:line="189"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As required by Section 14A of the Exchange Act and as a matter of good corporate governance, we are asking our stockholders for a non-binding advisory vote on whether future advisory votes on executive compensation (such as the one reflected in Proposal 3) should occur every year, every two years or every three years.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vote on Proposal 4 is advisory and non-binding on the Board of Directors. Stockholders may specify one of four choices for Proposal</w:t>
      </w:r>
    </w:p>
    <w:p>
      <w:pPr>
        <w:spacing w:after="0" w:line="14" w:lineRule="exact"/>
        <w:rPr>
          <w:sz w:val="20"/>
          <w:szCs w:val="20"/>
          <w:color w:val="auto"/>
        </w:rPr>
      </w:pPr>
    </w:p>
    <w:p>
      <w:pPr>
        <w:ind w:left="120" w:right="40" w:hanging="4"/>
        <w:spacing w:after="0" w:line="238" w:lineRule="auto"/>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one year, two years, three years or abstain. While this vote is advisory and not binding on the Board, the Compensation and Human Capital Committee will carefully consider the voting results as a reflection of stockholder sentiment. Notwithstanding the Board’s recommendation and the outcome of the stockholder vote on this proposal, the Board may in the future decide to conduct advisory votes on a more or less frequent basis and may vary its practice based on factors such as discussions with our stockholders and the adoption of material changes to our executive compensation programs. The next required vote on the frequency of future stockholder advisory notes on executive compensation will occur no later than the 2029 Annual Meeting of Stockholders.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has determined that holding an advisory vote on executive compensation every year is the most appropriate policy for the Company at this time, and recommends that stockholders vote for future advisory votes on executive compensation to occur every year. While our executive compensation program is designed to promote a long-term connection between pay and performance, the Board recognizes that executive compensation decisions are made annually. Holding an annual advisory vote on executive compensation provides us with more direct and immediate feedback from our stockholders on our executive compensation program. We believe that an annual advisory vote on executive compensation is consistent with our practice of seeking input and engaging in dialogue with our stockholders on corporate governance matters and our executive compensation philosophy, policies and practices.</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Required Vote and Recommendation of the Board</w:t>
      </w:r>
    </w:p>
    <w:p>
      <w:pPr>
        <w:spacing w:after="0" w:line="216"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This advisory vote regarding the frequency of future stockholder advisory votes on executive compensation will be determined by whichever of the options—every one year, two years or three years—receives the greatest number of votes cast. Abstentions and broker non-votes will have no effect on the outcome of this proposal. Unless otherwise instructed, the persons named as proxies will vote for a frequency of every “ONE YEAR” for future advisory votes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456565</wp:posOffset>
            </wp:positionV>
            <wp:extent cx="6711950" cy="11576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71195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740" w:right="580"/>
        <w:spacing w:after="0" w:line="251" w:lineRule="auto"/>
        <w:rPr>
          <w:sz w:val="20"/>
          <w:szCs w:val="20"/>
          <w:color w:val="auto"/>
        </w:rPr>
      </w:pPr>
      <w:r>
        <w:rPr>
          <w:rFonts w:ascii="Arial" w:cs="Arial" w:eastAsia="Arial" w:hAnsi="Arial"/>
          <w:sz w:val="22"/>
          <w:szCs w:val="22"/>
          <w:b w:val="1"/>
          <w:bCs w:val="1"/>
          <w:color w:val="FFFFFF"/>
        </w:rPr>
        <w:t>THE BOARD OF DIRECTORS UNANIMOUSLY RECOMMENDS THAT YOU VOTE FOR THE “ONE YEAR” FREQUENCY OPTION FOR A STOCKHOLDER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6819900</wp:posOffset>
            </wp:positionH>
            <wp:positionV relativeFrom="paragraph">
              <wp:posOffset>448310</wp:posOffset>
            </wp:positionV>
            <wp:extent cx="248285" cy="2660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4828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0"/>
        <w:spacing w:after="0"/>
        <w:tabs>
          <w:tab w:leader="none" w:pos="9000" w:val="left"/>
          <w:tab w:leader="none" w:pos="10840" w:val="left"/>
        </w:tabs>
        <w:rPr>
          <w:sz w:val="20"/>
          <w:szCs w:val="20"/>
          <w:color w:val="auto"/>
        </w:rPr>
      </w:pPr>
      <w:r>
        <w:rPr>
          <w:rFonts w:ascii="Arial" w:cs="Arial" w:eastAsia="Arial" w:hAnsi="Arial"/>
          <w:sz w:val="16"/>
          <w:szCs w:val="16"/>
          <w:color w:val="002060"/>
        </w:rPr>
        <w:t>Proposal 4 – Advisory Vote on Frequency of Advisory Votes on Executive Compensation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77</w:t>
      </w:r>
    </w:p>
    <w:p>
      <w:pPr>
        <w:sectPr>
          <w:pgSz w:w="11900" w:h="16838" w:orient="portrait"/>
          <w:cols w:equalWidth="0" w:num="1">
            <w:col w:w="11120"/>
          </w:cols>
          <w:pgMar w:left="320" w:top="482"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40"/>
          <w:szCs w:val="40"/>
          <w:b w:val="1"/>
          <w:bCs w:val="1"/>
          <w:color w:val="0070C0"/>
        </w:rPr>
        <w:t>PROPOSAL 5 – APPROVAL OF OUR</w:t>
      </w:r>
    </w:p>
    <w:p>
      <w:pPr>
        <w:spacing w:after="0" w:line="39" w:lineRule="exact"/>
        <w:rPr>
          <w:sz w:val="20"/>
          <w:szCs w:val="20"/>
          <w:color w:val="auto"/>
        </w:rPr>
      </w:pPr>
    </w:p>
    <w:p>
      <w:pPr>
        <w:jc w:val="center"/>
        <w:ind w:right="-119"/>
        <w:spacing w:after="0"/>
        <w:rPr>
          <w:sz w:val="20"/>
          <w:szCs w:val="20"/>
          <w:color w:val="auto"/>
        </w:rPr>
      </w:pPr>
      <w:r>
        <w:rPr>
          <w:rFonts w:ascii="Arial" w:cs="Arial" w:eastAsia="Arial" w:hAnsi="Arial"/>
          <w:sz w:val="40"/>
          <w:szCs w:val="40"/>
          <w:b w:val="1"/>
          <w:bCs w:val="1"/>
          <w:color w:val="0070C0"/>
        </w:rPr>
        <w:t>2023 OMNIBUS INCENTIVE PLAN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Background</w:t>
      </w:r>
    </w:p>
    <w:p>
      <w:pPr>
        <w:spacing w:after="0" w:line="189"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Subject to stockholder approval, the Board adopted the Installed Building Products, Inc. 2023 Omnibus Incentive Plan (the “2023 Plan”) on March 14, 2023, upon the recommendation of the Compensation and Human Capital Committee. The Company believes that the 2023 Plan is necessary because the Installed Building Products, Inc. 2014 Omnibus Incentive Plan (the “2014 Plan”) is set to expire in early 2024. If stockholders do not approve the 2023 Plan, it will not be implemented and the Company will not be able to grant equity or equity-based compensation under a stockholder approved plan after the 2014 Plan expires. The Board is therefore recommending that stockholders approve the 2023 Plan to ensure that the Board and the Compensation and Human Capital Committee will be able to make the types of awards desirable to meet the Company’s compensatory needs going forward. The purpose of the 2023 Plan is to enhance the profitability and value of the Company for the benefit of its stockholders by enabling the Company to offer eligible employees, consultants and non-employee directors incentive awards to attract, retain and reward such individuals and strengthen the mutuality of interests between such individuals and the Company’s stockholders.</w:t>
      </w:r>
    </w:p>
    <w:p>
      <w:pPr>
        <w:spacing w:after="0" w:line="139"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 xml:space="preserve">The 2023 Plan is intended to replace the 2014 Plan. If stockholders approve the 2023 Plan, no further grants will be made under the 2014 Plan on the day immediately following the date the 2023 Plan is approved by the Company’s stockholders (i.e., the 2014 Plan will terminate on the Effective Date of the 2023 Plan). </w:t>
      </w:r>
      <w:r>
        <w:rPr>
          <w:rFonts w:ascii="Arial" w:cs="Arial" w:eastAsia="Arial" w:hAnsi="Arial"/>
          <w:sz w:val="18"/>
          <w:szCs w:val="18"/>
          <w:i w:val="1"/>
          <w:iCs w:val="1"/>
          <w:color w:val="auto"/>
        </w:rPr>
        <w:t>See “Effective Date” below.</w:t>
      </w:r>
      <w:r>
        <w:rPr>
          <w:rFonts w:ascii="Arial" w:cs="Arial" w:eastAsia="Arial" w:hAnsi="Arial"/>
          <w:sz w:val="18"/>
          <w:szCs w:val="18"/>
          <w:color w:val="auto"/>
        </w:rPr>
        <w:t xml:space="preserve"> All outstanding awards under the 2014 Plan will continue in accordance with the 2014 Plan and any award agreement executed in connection with such outstanding awards.</w:t>
      </w:r>
    </w:p>
    <w:p>
      <w:pPr>
        <w:spacing w:after="0" w:line="13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Stockholder approval of the 2023 Plan is also necessary to ensure that the 2023 Plan meets the requirements under section 422 of the Internal Revenue Code for issuing incentive stock options and the NYSE approval requirements for equity compensation plans.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Historical Equity Granting Practices</w:t>
      </w:r>
    </w:p>
    <w:p>
      <w:pPr>
        <w:spacing w:after="0" w:line="21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Some stockholders view the burn rate as a useful measure to compare the rates at which peer companies have granted equity. The more equity that a company grants in relation to the total number of its shares of common stock outstanding, the higher that company’s burn rate will be. Over the past three years, our average burn rate has been 0.62% for 2022, 0.45% for 2021, and 0.82% for 2020.</w:t>
      </w:r>
    </w:p>
    <w:p>
      <w:pPr>
        <w:spacing w:after="0" w:line="142"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As of March 30, 2023, 374,686 shares were subject to awards outstanding under the 2014 Plan, none of which were subject to options or SARs, and 1,620,316 million shares were available for awards under the 2014 Plan. We expect to continue making equity awards consistent with our practices over the past three years, and to maintain an average annual burn rate over the next three years in line with our average for the 2020-2022 period. On that basis, we expect that the shares currently remaining available for awards under the 2014 Plan plus an additional 370,000 shares of common stock will likely be sufficient to continue making awards for the next three to five years.</w:t>
      </w:r>
    </w:p>
    <w:p>
      <w:pPr>
        <w:spacing w:after="0" w:line="136"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Shares available for grant under the 2023 Plan would consist of 370,000 shares of common stock plus (i) any shares remaining available for grant under the 2014 Plan (1,620,316 million shares as of March 30, 2023), (ii) unexercised shares subject to appreciation awards (i.e. stock options or other stock-based awards based on the appreciation in value of a share of the Company’s common stock) granted under the 2014 Plan that expire, terminate, or are canceled for any reason without having been exercised in full, and (iii) shares subject to awards that are not appreciation awards granted under the 2014 Plan that are forfeited for any reason.</w:t>
      </w:r>
    </w:p>
    <w:p>
      <w:pPr>
        <w:spacing w:after="0" w:line="13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Based on 28,375,308 shares outstanding as of March 30, 2023, if all 370,000 new shares under the 2023 Plan, all 374,686 shares subject to outstanding awards under the 2014 Plan and all 1,620,316 shares available for future awards under the 2014 Plan are ultimately issued, the shareholder dilution would be 6.6%. We define dilution as the sum of the total number of shares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282575" cy="2660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194" w:lineRule="exact"/>
        <w:rPr>
          <w:sz w:val="20"/>
          <w:szCs w:val="20"/>
          <w:color w:val="auto"/>
        </w:rPr>
      </w:pPr>
    </w:p>
    <w:p>
      <w:pPr>
        <w:ind w:left="240"/>
        <w:spacing w:after="0"/>
        <w:tabs>
          <w:tab w:leader="none" w:pos="660" w:val="left"/>
          <w:tab w:leader="none" w:pos="6900" w:val="left"/>
        </w:tabs>
        <w:rPr>
          <w:sz w:val="20"/>
          <w:szCs w:val="20"/>
          <w:color w:val="auto"/>
        </w:rPr>
      </w:pPr>
      <w:r>
        <w:rPr>
          <w:rFonts w:ascii="Arial" w:cs="Arial" w:eastAsia="Arial" w:hAnsi="Arial"/>
          <w:sz w:val="16"/>
          <w:szCs w:val="16"/>
          <w:color w:val="FFFFFF"/>
        </w:rPr>
        <w:t>78</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Proposal 5 – Approval of our 2023 Omnibus Incentive Plan</w:t>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for future grants under the 2014 Plan plus 370,000 shares of our common stock, divided by the fully diluted number of our common shares outstanding. The Board believes that this level of potential dilution is reasonable for a company of our size in our industry while still giving the Company the ability to retain and motivate key employees and service providers. Expectations regarding future share usage under the 2023 Plan are naturally based on a number of assumptions regarding factors such as future growth in the population of eligible participants, the rate of future compensation increases, the rate at which shares are returned to the 2023 Plan through forfeitures, cancellations and the like, the level at which performance-based awards pay out, and our future stock price performance. While the Compensation and Human Capital Committee believes that the assumptions utilized are reasonable, future share usage will differ from current expectations to the extent that actual events differ from the assumptions utilized.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Summary of the 2023 Plan</w:t>
      </w:r>
    </w:p>
    <w:p>
      <w:pPr>
        <w:spacing w:after="0" w:line="21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following is a summary of the material terms of the 2023 Plan. This summary does not purport to be a complete description of all provisions of the 2023 Plan and is qualified in its entirety by reference to the complete text of the 2023 Plan, a copy of which is attached as Appendix A to this Proxy Statement. You may also obtain a copy of the 2023 Plan, free of charge, by writing to the Company, Installed Building Products, Inc., at 495 South High Street, Suite 50, Columbus, Ohio 43215; Attention: Investor Relations.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Governance Provisions</w:t>
      </w:r>
    </w:p>
    <w:p>
      <w:pPr>
        <w:spacing w:after="0" w:line="21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2023 Plan contains several provisions intended to make awards under the 2023 Plan comply with established principles of good corporate governance. These provisions include:</w:t>
      </w:r>
    </w:p>
    <w:p>
      <w:pPr>
        <w:spacing w:after="0" w:line="181" w:lineRule="exact"/>
        <w:rPr>
          <w:sz w:val="20"/>
          <w:szCs w:val="20"/>
          <w:color w:val="auto"/>
        </w:rPr>
      </w:pPr>
    </w:p>
    <w:p>
      <w:pPr>
        <w:jc w:val="both"/>
        <w:ind w:left="980" w:right="20" w:hanging="432"/>
        <w:spacing w:after="0" w:line="24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Discounted Stock Options. </w:t>
      </w:r>
      <w:r>
        <w:rPr>
          <w:rFonts w:ascii="Arial" w:cs="Arial" w:eastAsia="Arial" w:hAnsi="Arial"/>
          <w:sz w:val="18"/>
          <w:szCs w:val="18"/>
          <w:color w:val="auto"/>
        </w:rPr>
        <w:t>Except for certain substitute awards, stock options may not be granted with an exercise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less than the fair market value of our common stock on the date the stock option is granted (or in the case of an incentive stock option, the exercise price may not be less than 110% of the fair market value of our common stock on the date the stock option is granted). This restriction may not be changed without stockholder approval.</w:t>
      </w:r>
    </w:p>
    <w:p>
      <w:pPr>
        <w:spacing w:after="0" w:line="200" w:lineRule="exact"/>
        <w:rPr>
          <w:rFonts w:ascii="Arial" w:cs="Arial" w:eastAsia="Arial" w:hAnsi="Arial"/>
          <w:sz w:val="18"/>
          <w:szCs w:val="18"/>
          <w:color w:val="auto"/>
        </w:rPr>
      </w:pPr>
    </w:p>
    <w:p>
      <w:pPr>
        <w:jc w:val="both"/>
        <w:ind w:left="980" w:hanging="432"/>
        <w:spacing w:after="0" w:line="253"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Stock Option Repricings. </w:t>
      </w:r>
      <w:r>
        <w:rPr>
          <w:rFonts w:ascii="Arial" w:cs="Arial" w:eastAsia="Arial" w:hAnsi="Arial"/>
          <w:sz w:val="18"/>
          <w:szCs w:val="18"/>
          <w:color w:val="auto"/>
        </w:rPr>
        <w:t>Stock options may not be repriced without stockholder approval, whether by lowering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price of an outstanding option or by cancelling an outstanding option and granting a replacement stock option with a lower exercise price.</w:t>
      </w:r>
    </w:p>
    <w:p>
      <w:pPr>
        <w:spacing w:after="0" w:line="195" w:lineRule="exact"/>
        <w:rPr>
          <w:rFonts w:ascii="Arial" w:cs="Arial" w:eastAsia="Arial" w:hAnsi="Arial"/>
          <w:sz w:val="18"/>
          <w:szCs w:val="18"/>
          <w:color w:val="auto"/>
        </w:rPr>
      </w:pPr>
    </w:p>
    <w:p>
      <w:pPr>
        <w:ind w:left="980" w:right="20" w:hanging="432"/>
        <w:spacing w:after="0" w:line="271"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Liberal Share Recycling. </w:t>
      </w:r>
      <w:r>
        <w:rPr>
          <w:rFonts w:ascii="Arial" w:cs="Arial" w:eastAsia="Arial" w:hAnsi="Arial"/>
          <w:sz w:val="18"/>
          <w:szCs w:val="18"/>
          <w:color w:val="auto"/>
        </w:rPr>
        <w:t>The 2023 Plan allows shares to be recycled only if an award terminates or is canceled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case of stock options, without having been exercised in full) or forfeited for any reason.</w:t>
      </w:r>
    </w:p>
    <w:p>
      <w:pPr>
        <w:spacing w:after="0" w:line="180" w:lineRule="exact"/>
        <w:rPr>
          <w:rFonts w:ascii="Arial" w:cs="Arial" w:eastAsia="Arial" w:hAnsi="Arial"/>
          <w:sz w:val="18"/>
          <w:szCs w:val="18"/>
          <w:color w:val="auto"/>
        </w:rPr>
      </w:pPr>
    </w:p>
    <w:p>
      <w:pPr>
        <w:jc w:val="both"/>
        <w:ind w:left="980" w:right="20" w:hanging="432"/>
        <w:spacing w:after="0" w:line="253"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Cap on Non-Employee Director Compensation</w:t>
      </w:r>
      <w:r>
        <w:rPr>
          <w:rFonts w:ascii="Arial" w:cs="Arial" w:eastAsia="Arial" w:hAnsi="Arial"/>
          <w:sz w:val="18"/>
          <w:szCs w:val="18"/>
          <w:color w:val="auto"/>
        </w:rPr>
        <w:t>. The total compensation paid to a single non-employee director in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calendar year, including the cash compensation and cash value of all equity awards granted to such non-employee director, cannot exceed $400,000.</w:t>
      </w:r>
    </w:p>
    <w:p>
      <w:pPr>
        <w:spacing w:after="0" w:line="195" w:lineRule="exact"/>
        <w:rPr>
          <w:rFonts w:ascii="Arial" w:cs="Arial" w:eastAsia="Arial" w:hAnsi="Arial"/>
          <w:sz w:val="18"/>
          <w:szCs w:val="18"/>
          <w:color w:val="auto"/>
        </w:rPr>
      </w:pPr>
    </w:p>
    <w:p>
      <w:pPr>
        <w:ind w:left="980" w:right="20" w:hanging="432"/>
        <w:spacing w:after="0" w:line="271"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No Evergreen Provision</w:t>
      </w:r>
      <w:r>
        <w:rPr>
          <w:rFonts w:ascii="Arial" w:cs="Arial" w:eastAsia="Arial" w:hAnsi="Arial"/>
          <w:sz w:val="18"/>
          <w:szCs w:val="18"/>
          <w:color w:val="auto"/>
        </w:rPr>
        <w:t>. The 2023 Plan does not contain an automatic provision to replenish the shares of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for issuance.</w:t>
      </w:r>
    </w:p>
    <w:p>
      <w:pPr>
        <w:spacing w:after="0" w:line="180" w:lineRule="exact"/>
        <w:rPr>
          <w:rFonts w:ascii="Arial" w:cs="Arial" w:eastAsia="Arial" w:hAnsi="Arial"/>
          <w:sz w:val="18"/>
          <w:szCs w:val="18"/>
          <w:color w:val="auto"/>
        </w:rPr>
      </w:pPr>
    </w:p>
    <w:p>
      <w:pPr>
        <w:ind w:left="980" w:right="20" w:hanging="432"/>
        <w:spacing w:after="0" w:line="271"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Reload Options. </w:t>
      </w:r>
      <w:r>
        <w:rPr>
          <w:rFonts w:ascii="Arial" w:cs="Arial" w:eastAsia="Arial" w:hAnsi="Arial"/>
          <w:sz w:val="18"/>
          <w:szCs w:val="18"/>
          <w:color w:val="auto"/>
        </w:rPr>
        <w:t>Stock options issued under the 2023 Plan do not provide for the automatic grant of the same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options used to pay for the exercise price of the stock options</w:t>
      </w:r>
    </w:p>
    <w:p>
      <w:pPr>
        <w:spacing w:after="0" w:line="180" w:lineRule="exact"/>
        <w:rPr>
          <w:rFonts w:ascii="Arial" w:cs="Arial" w:eastAsia="Arial" w:hAnsi="Arial"/>
          <w:sz w:val="18"/>
          <w:szCs w:val="18"/>
          <w:color w:val="auto"/>
        </w:rPr>
      </w:pPr>
    </w:p>
    <w:p>
      <w:pPr>
        <w:ind w:left="980" w:hanging="432"/>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Clawback Policies. </w:t>
      </w:r>
      <w:r>
        <w:rPr>
          <w:rFonts w:ascii="Arial" w:cs="Arial" w:eastAsia="Arial" w:hAnsi="Arial"/>
          <w:sz w:val="18"/>
          <w:szCs w:val="18"/>
          <w:color w:val="auto"/>
        </w:rPr>
        <w:t>Awards made under the 2023 Plan will be subject to the Company’s clawback or recoupment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103505</wp:posOffset>
            </wp:positionV>
            <wp:extent cx="291465" cy="2654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237"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Proposal 5 – Approval of our 2023 Omnibus Incentive Plan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79</w:t>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Administration</w:t>
      </w:r>
    </w:p>
    <w:p>
      <w:pPr>
        <w:spacing w:after="0" w:line="210"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Board appointed the Compensation and Human Capital Committee to administer the 2023 Plan. The Compensation and Human Capital Committee is authorized to grant awards to eligible employees, consultants and non-employee directors. All members of the Compensation and Human Capital Committee are “non-employee directors” within the meaning of Rule 16b-3 under the Exchange Act, and “independent directors” under applicable NYSE rules. The Compensation and Human Capital Committee has the full authority and discretion to grant and administer awards under the 2023 Plan, including, but not limited to, the authority to: select eligible employees, consultants and non-employee directors to whom awards may from time to time be granted; determine the number of shares of common stock to be covered by each award; determine the type and terms and conditions of each award; condition the grant, vesting or payment of any award on the attainment of performance criteria over a performance period, set such goals and certify the attainment of such goals; and construe and interpret the terms and provisions of the 2023 Plan and any award agreements thereunder.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Eligibility</w:t>
      </w:r>
    </w:p>
    <w:p>
      <w:pPr>
        <w:spacing w:after="0" w:line="210"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Awards under the 2023 Plan, including performance-based awards, may be made to consultants, non-employee directors, and eligible employees. As of December 31, 2022, there were approximately 10,300 employees and six non-employee directors eligible to participate in the 2023 Plan.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Award Types, Available Shares, and Award Limits</w:t>
      </w:r>
    </w:p>
    <w:p>
      <w:pPr>
        <w:spacing w:after="0" w:line="210"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Stock options (both incentive stock options and non-qualified stock options), restricted stock, other stock-based awards, and performance-based cash awards are available for grant under the 2023 Plan. The maximum number of shares of Company common stock that may be issued in connection with awards made under the 2023 Plan is 370,000 shares plus (i) any shares remaining available for grant under the 2014 Plan (1,620,316 million shares as of March 30, 2023), (ii) unexercised shares subject to appreciation awards (i.e. stock options or other stock-based awards based on the appreciation in value of a share of the Company’s common stock) granted under the 2014 Plan that expire, terminate, or are canceled for any reason without having been exercised in full, and (iii) shares subject to awards that are not appreciation awards granted under the 2014 Plan that are forfeited for any reason. No eligible employee or consultant may be granted awards (other than stock options or other stock-based awards in the form of stock appreciation rights) in respect of more than 500,000 shares of common stock in any fiscal year.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Adjustments</w:t>
      </w:r>
    </w:p>
    <w:p>
      <w:pPr>
        <w:spacing w:after="0" w:line="21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number and kind of shares authorized for grant under the 2023 Plan, the number of shares subject to an award, the exercise price of awards, and the individual participant award limits (other than the cash limits) shall be adjusted by the Compensation and Human Capital Committee as the committee determines, in good faith, to be necessary or advisable to prevent substantial dilution or enlargement of the rights of participants under the 2023 Plan in the event of any change in the capital structure or business of the Company by reason of any stock split, reverse stock split, stock dividend, combination or reclassification of shares, recapitalization, merger, consolidation, spin-off, split-off, reorganization or partial or complete liquidation, issuance of rights or warrants to purchase common stock or securities convertible into common stock, sale or transfer of all or part of the Company’s assets or business, or other corporate transaction or event that would be considered an “equity restructuring” for purposes of FASB ASC Topic 718.</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Non-Transferability of Awards</w:t>
      </w:r>
    </w:p>
    <w:p>
      <w:pPr>
        <w:spacing w:after="0" w:line="210"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Except as the Compensation and Human Capital Committee may permit, at the time of grant or thereafter, awards granted under the 2023 Plan are generally not transferable by a participant other than by will or the laws of descent and distribution. Shares of our common stock acquired by a permissible transferee will continue to be subject to the terms of the 2023 Plan and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282575" cy="2654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194" w:lineRule="exact"/>
        <w:rPr>
          <w:sz w:val="20"/>
          <w:szCs w:val="20"/>
          <w:color w:val="auto"/>
        </w:rPr>
      </w:pPr>
    </w:p>
    <w:p>
      <w:pPr>
        <w:ind w:left="240"/>
        <w:spacing w:after="0"/>
        <w:tabs>
          <w:tab w:leader="none" w:pos="660" w:val="left"/>
          <w:tab w:leader="none" w:pos="6900" w:val="left"/>
        </w:tabs>
        <w:rPr>
          <w:sz w:val="20"/>
          <w:szCs w:val="20"/>
          <w:color w:val="auto"/>
        </w:rPr>
      </w:pPr>
      <w:r>
        <w:rPr>
          <w:rFonts w:ascii="Arial" w:cs="Arial" w:eastAsia="Arial" w:hAnsi="Arial"/>
          <w:sz w:val="16"/>
          <w:szCs w:val="16"/>
          <w:color w:val="FFFFFF"/>
        </w:rPr>
        <w:t>80</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Proposal 5 – Approval of our 2023 Omnibus Incentive Plan</w:t>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 of Certain Transactions; Change in Control</w:t>
      </w:r>
    </w:p>
    <w:p>
      <w:pPr>
        <w:spacing w:after="0" w:line="210" w:lineRule="exact"/>
        <w:rPr>
          <w:sz w:val="20"/>
          <w:szCs w:val="20"/>
          <w:color w:val="auto"/>
        </w:rPr>
      </w:pPr>
    </w:p>
    <w:p>
      <w:pPr>
        <w:jc w:val="both"/>
        <w:ind w:left="120"/>
        <w:spacing w:after="0" w:line="254" w:lineRule="auto"/>
        <w:rPr>
          <w:sz w:val="20"/>
          <w:szCs w:val="20"/>
          <w:color w:val="auto"/>
        </w:rPr>
      </w:pPr>
      <w:r>
        <w:rPr>
          <w:rFonts w:ascii="Arial" w:cs="Arial" w:eastAsia="Arial" w:hAnsi="Arial"/>
          <w:sz w:val="17"/>
          <w:szCs w:val="17"/>
          <w:color w:val="auto"/>
        </w:rPr>
        <w:t>In the event of a change in control, except as otherwise provided by the Compensation and Human Capital Committee in an award agreement, unvested awards will not vest. Instead, the Compensation and Human Capital Committee may, in its sole discretion provide for outstanding awards to be treated in accordance with one of the following methods: (i) awards (whether or not vested) may be continued, assumed or substituted for; (ii) awards may be purchased for an amount of cash equal to the change in control price per share; and/or</w:t>
      </w:r>
    </w:p>
    <w:p>
      <w:pPr>
        <w:jc w:val="both"/>
        <w:ind w:left="120" w:right="20" w:hanging="4"/>
        <w:spacing w:after="0" w:line="237" w:lineRule="auto"/>
        <w:tabs>
          <w:tab w:leader="none" w:pos="4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stock options or other stock-based appreciation awards may be cancelled if the change in control price is less than the applicable exercise price. However, the Compensation and Human Capital Committee may in its sole discretion provide for the acceleration of vesting and lapse of restrictions of an award at any time. For the purposes of the foregoing, a “change in control” generally means the occurrence of one of the following events: (i) the acquisition (including through purchase, reorganization, merger or consolidation) by a person or entity of 45% or more of the voting power of the securities entitled to vote to elect our Board; (ii) an election of individuals to our Board that causes a change in two-thirds of the Board, unless the individuals elected are approved by a vote of at least two-thirds of the directors then in office who either were directors as of the effective date of the 2023 Plan or whose election or nomination for election was previously so approved; or (iii) the sale or other disposition of all or substantially all of our assets.</w:t>
      </w:r>
    </w:p>
    <w:p>
      <w:pPr>
        <w:spacing w:after="0" w:line="183"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auto"/>
        </w:rPr>
        <w:t>In addition, upon the occurrence of an “acquisition event” (as defined below), the Compensation and Human Capital Committee may terminate all outstanding and unexercised options (or any other stock-based awards that are subject to exercise by the holder thereof) (referred to as the “exercisable awards”), effective as of the date of the acquisition event, by delivering a termination notice to each participant at least 20 days prior to the date of the acquisition event. During the period after which notice is provided, each participant may exercise all of his or her then outstanding and vested exercisable awards, subject to the occurrence of the acquisition event. Any exercisable award that has an exercise price that is equal to or greater than the fair market value of our common stock on the date of the acquisition event may be canceled by the Compensation and Human Capital Committee without consideration. Under the 2023 Plan, an “acquisition event” means (i) a merger or consolidation in which the Company is not the surviving entity, (ii) any transaction that results in the acquisition of all or substantially all of the Company’s outstanding common stock by a single person or group of persons, or (iii) the sale or transfer of all or substantially all of the Company’s assets.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w:t>
      </w:r>
    </w:p>
    <w:p>
      <w:pPr>
        <w:spacing w:after="0" w:line="21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Assuming that the 2023 Plan is approved by the stockholders at the Annual Meeting, awards under the 2023 Plan may not be made after May 26, 2033, but awards granted prior to such date may extend beyond that date.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210"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Board may at any time amend, in whole or in part, any or all of the provisions of the 2023 Plan, or suspend or terminate it entirely, retroactively or otherwise. Except as required to comply with applicable law, no such amendment may reduce the rights of a participant with respect to awards previously granted without the consent of such participant. In addition, without the approval of our stockholders, no amendment may be made that would: increase the aggregate number of shares of our common stock that may be issued under the 2023 Plan; increase the maximum individual participant share limitations for a fiscal year or year of a performance period; change the classification of individuals eligible to receive awards under the 2023 Plan; extend the maximum option term; alter the performance criteria; amend the terms of any outstanding stock option or other stock appreciation award to reduce the exercise price thereof (i.e., reprice); cancel any outstanding “in-the-money” stock option or other stock appreciation award in exchange for cash, other awards or stock option or other stock appreciation award with a lower exercise price; or require stockholder approval under the rules of any exchange or system on which the Company’s securities are listed or traded.</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Federal Income Tax Considerations</w:t>
      </w:r>
    </w:p>
    <w:p>
      <w:pPr>
        <w:spacing w:after="0" w:line="210"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The following is a summary of the principal United States federal income tax consequences to the Company and to participants subject to U.S. taxation with respect to awards granted under the 2023 Plan. This summary is not intended to be exhaustive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66675</wp:posOffset>
            </wp:positionV>
            <wp:extent cx="291465" cy="2654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179"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Proposal 5 – Approval of our 2023 Omnibus Incentive Plan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81</w:t>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does not discuss the income tax laws of any city, state or foreign jurisdiction in which a participant may reside. Participants are advised to consult with their own tax advisors with respect to the tax consequences inherent in the ownership and/or exercise of the awards, and the ownership and disposition of any underlying securities.</w:t>
      </w:r>
    </w:p>
    <w:p>
      <w:pPr>
        <w:spacing w:after="0" w:line="169" w:lineRule="exact"/>
        <w:rPr>
          <w:sz w:val="20"/>
          <w:szCs w:val="20"/>
          <w:color w:val="auto"/>
        </w:rPr>
      </w:pPr>
    </w:p>
    <w:p>
      <w:pPr>
        <w:jc w:val="both"/>
        <w:ind w:left="120" w:right="20"/>
        <w:spacing w:after="0"/>
        <w:rPr>
          <w:sz w:val="20"/>
          <w:szCs w:val="20"/>
          <w:color w:val="auto"/>
        </w:rPr>
      </w:pPr>
      <w:r>
        <w:rPr>
          <w:rFonts w:ascii="Arial" w:cs="Arial" w:eastAsia="Arial" w:hAnsi="Arial"/>
          <w:sz w:val="18"/>
          <w:szCs w:val="18"/>
          <w:i w:val="1"/>
          <w:iCs w:val="1"/>
          <w:color w:val="auto"/>
        </w:rPr>
        <w:t>Non-Qualified Stock Options</w:t>
      </w:r>
      <w:r>
        <w:rPr>
          <w:rFonts w:ascii="Arial" w:cs="Arial" w:eastAsia="Arial" w:hAnsi="Arial"/>
          <w:sz w:val="18"/>
          <w:szCs w:val="18"/>
          <w:color w:val="auto"/>
        </w:rPr>
        <w:t>. A participant who is granted a nonqualified stock option under the 2023 Plan will not recognize any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for federal income tax purposes on the grant of the option. Generally, on the exercise of the option, the participant will recognize taxable ordinary income equal to the excess of the fair market value of the shares on the exercise date over the option price for the shares. Upon disposition of the shares purchased pursuant to the stock option, the participant will recognize long-term or short-term capital gain or loss, as the case may be, equal to the difference between the amount realized on such disposition and the basis for such shares, which basis includes the amount paid for the shares and the amount previously recognized by the participant as ordinary income. If the common stock received upon exercise of an option is restricted stock, the rules regarding restricted stock will apply.</w:t>
      </w:r>
    </w:p>
    <w:p>
      <w:pPr>
        <w:spacing w:after="0" w:line="18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A participant who is granted an incentive stock option, or ISO, will not recognize any taxable income for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purposes either on the grant or exercise of the ISO. The aggregate fair market value of common stock (determined at the grant date) with respect to which ISOs can be exercisable for the first time during any calendar year cannot exceed $100,000. Any excess will be treated as a non-qualified stock option. If the participant disposes of the shares purchased pursuant to the ISO more than two years after the date of grant and more than one year after the issuance of the shares to the participant (the required statutory “holding period”),</w:t>
      </w:r>
    </w:p>
    <w:p>
      <w:pPr>
        <w:spacing w:after="0" w:line="4" w:lineRule="exact"/>
        <w:rPr>
          <w:sz w:val="20"/>
          <w:szCs w:val="20"/>
          <w:color w:val="auto"/>
        </w:rPr>
      </w:pPr>
    </w:p>
    <w:p>
      <w:pPr>
        <w:jc w:val="both"/>
        <w:ind w:left="120" w:hanging="4"/>
        <w:spacing w:after="0" w:line="234" w:lineRule="auto"/>
        <w:tabs>
          <w:tab w:leader="none" w:pos="39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participant will recognize long-term capital gain or loss, as the case may be, equal to the difference between the selling price and the option price; and (b) the Company will not be entitled to a deduction with respect to the shares of stock so issued. If the holding period requirements are not met, any gain realized upon disposition will be taxed as ordinary income to the extent of the excess of the lesser of</w:t>
      </w:r>
    </w:p>
    <w:p>
      <w:pPr>
        <w:spacing w:after="0" w:line="2" w:lineRule="exact"/>
        <w:rPr>
          <w:rFonts w:ascii="Arial" w:cs="Arial" w:eastAsia="Arial" w:hAnsi="Arial"/>
          <w:sz w:val="18"/>
          <w:szCs w:val="18"/>
          <w:color w:val="auto"/>
        </w:rPr>
      </w:pPr>
    </w:p>
    <w:p>
      <w:pPr>
        <w:jc w:val="both"/>
        <w:ind w:left="120" w:right="20" w:hanging="4"/>
        <w:spacing w:after="0" w:line="239" w:lineRule="auto"/>
        <w:tabs>
          <w:tab w:leader="none" w:pos="3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excess of the fair market value of the shares at the time of exercise over the option price, and (ii) the gain on the sale. Also in that case, the Company will be entitled to a deduction in the year of disposition in an amount equal to the ordinary income recognized by the participant. Any additional gain will be taxed as short-term or long-term capital gain depending upon the holding period for the stock. A sale for less than the option price results in a capital loss. The excess of the fair market value of the shares on the date of exercise over the option price is, however, includable in the option holder’s income for alternative minimum tax purposes.</w:t>
      </w:r>
    </w:p>
    <w:p>
      <w:pPr>
        <w:spacing w:after="0" w:line="180"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A participant will not be taxed at the date of grant of an award of restricted stock, but will be taxed at ordinary income</w:t>
      </w:r>
      <w:r>
        <w:rPr>
          <w:rFonts w:ascii="Arial" w:cs="Arial" w:eastAsia="Arial" w:hAnsi="Arial"/>
          <w:sz w:val="18"/>
          <w:szCs w:val="18"/>
          <w:i w:val="1"/>
          <w:iCs w:val="1"/>
          <w:color w:val="auto"/>
        </w:rPr>
        <w:t xml:space="preserve"> </w:t>
      </w:r>
      <w:r>
        <w:rPr>
          <w:rFonts w:ascii="Arial" w:cs="Arial" w:eastAsia="Arial" w:hAnsi="Arial"/>
          <w:sz w:val="18"/>
          <w:szCs w:val="18"/>
          <w:color w:val="auto"/>
        </w:rPr>
        <w:t>rates on the fair market value of any shares of restricted stock as of the date that the restrictions lapse and the shares vest, unless the participant elects under Section 83(b) of the Internal Revenue Code to include in income the fair market value of the restricted stock as of the date of such grant. Any disposition of shares after restrictions lapse will be subject to the regular rules governing long-term and short-term capital gains and losses, with the basis for this purpose equal to the fair market value of the shares at the end of the restricted period (or on the date of the grant of the restricted shares, if the participant has made an election under Section 83(b) of the Internal Revenue Code). To the extent unrestricted dividends are paid during the restricted period under the applicable award agreement, any such dividends will be taxable to the participant at ordinary income tax rates and will be deductible by the company unless the participant has made a Section 83(b) election, in which case the dividends will thereafter be taxable to the participant as dividends and will not be deductible by the Company.</w:t>
      </w:r>
    </w:p>
    <w:p>
      <w:pPr>
        <w:spacing w:after="0" w:line="180" w:lineRule="exact"/>
        <w:rPr>
          <w:sz w:val="20"/>
          <w:szCs w:val="20"/>
          <w:color w:val="auto"/>
        </w:rPr>
      </w:pPr>
    </w:p>
    <w:p>
      <w:pPr>
        <w:jc w:val="both"/>
        <w:ind w:left="120" w:right="20"/>
        <w:spacing w:after="0"/>
        <w:rPr>
          <w:sz w:val="20"/>
          <w:szCs w:val="20"/>
          <w:color w:val="auto"/>
        </w:rPr>
      </w:pPr>
      <w:r>
        <w:rPr>
          <w:rFonts w:ascii="Arial" w:cs="Arial" w:eastAsia="Arial" w:hAnsi="Arial"/>
          <w:sz w:val="18"/>
          <w:szCs w:val="18"/>
          <w:i w:val="1"/>
          <w:iCs w:val="1"/>
          <w:color w:val="auto"/>
        </w:rPr>
        <w:t>Other Stock-Based Awards</w:t>
      </w:r>
      <w:r>
        <w:rPr>
          <w:rFonts w:ascii="Arial" w:cs="Arial" w:eastAsia="Arial" w:hAnsi="Arial"/>
          <w:sz w:val="18"/>
          <w:szCs w:val="18"/>
          <w:color w:val="auto"/>
        </w:rPr>
        <w:t>. A participant generally will not recognize taxable income upon the grant of another stock-based award. When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conditions and requirements for the grants have been satisfied and the award is settled, any cash received or the fair market value of any common stock received will constitute ordinary income to the participant. If a participant sells any shares of stock acquired pursuant to the grant of another stock-based award, the difference between the amount realized on the sale and the participant’s tax basis with respect to those shares (which, generally, will be equal to the amount of income the participant reported with respect to the payment of the shares of common stock) will be taxed as short- or long-term capital gain or loss, depending on whether the one-year capital gain holding period is met.</w:t>
      </w:r>
    </w:p>
    <w:p>
      <w:pPr>
        <w:spacing w:after="0" w:line="18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i w:val="1"/>
          <w:iCs w:val="1"/>
          <w:color w:val="auto"/>
        </w:rPr>
        <w:t>Performance-Based Cash Awards</w:t>
      </w:r>
      <w:r>
        <w:rPr>
          <w:rFonts w:ascii="Arial" w:cs="Arial" w:eastAsia="Arial" w:hAnsi="Arial"/>
          <w:sz w:val="18"/>
          <w:szCs w:val="18"/>
          <w:color w:val="auto"/>
        </w:rPr>
        <w:t>. A participant generally will not recognize taxable income upon the grant of a performance-based cash</w:t>
      </w:r>
      <w:r>
        <w:rPr>
          <w:rFonts w:ascii="Arial" w:cs="Arial" w:eastAsia="Arial" w:hAnsi="Arial"/>
          <w:sz w:val="18"/>
          <w:szCs w:val="18"/>
          <w:i w:val="1"/>
          <w:iCs w:val="1"/>
          <w:color w:val="auto"/>
        </w:rPr>
        <w:t xml:space="preserve"> </w:t>
      </w:r>
      <w:r>
        <w:rPr>
          <w:rFonts w:ascii="Arial" w:cs="Arial" w:eastAsia="Arial" w:hAnsi="Arial"/>
          <w:sz w:val="18"/>
          <w:szCs w:val="18"/>
          <w:color w:val="auto"/>
        </w:rPr>
        <w:t>award. When the conditions and requirements for the awards have been satisfied and the award is settled, the cash received will constitute ordinary income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282575" cy="2654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194" w:lineRule="exact"/>
        <w:rPr>
          <w:sz w:val="20"/>
          <w:szCs w:val="20"/>
          <w:color w:val="auto"/>
        </w:rPr>
      </w:pPr>
    </w:p>
    <w:p>
      <w:pPr>
        <w:ind w:left="240"/>
        <w:spacing w:after="0"/>
        <w:tabs>
          <w:tab w:leader="none" w:pos="660" w:val="left"/>
          <w:tab w:leader="none" w:pos="6900" w:val="left"/>
        </w:tabs>
        <w:rPr>
          <w:sz w:val="20"/>
          <w:szCs w:val="20"/>
          <w:color w:val="auto"/>
        </w:rPr>
      </w:pPr>
      <w:r>
        <w:rPr>
          <w:rFonts w:ascii="Arial" w:cs="Arial" w:eastAsia="Arial" w:hAnsi="Arial"/>
          <w:sz w:val="16"/>
          <w:szCs w:val="16"/>
          <w:color w:val="FFFFFF"/>
        </w:rPr>
        <w:t>82</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Proposal 5 – Approval of our 2023 Omnibus Incentive Plan</w:t>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i w:val="1"/>
          <w:iCs w:val="1"/>
          <w:color w:val="auto"/>
        </w:rPr>
        <w:t>Company Tax Deduction</w:t>
      </w:r>
      <w:r>
        <w:rPr>
          <w:rFonts w:ascii="Arial" w:cs="Arial" w:eastAsia="Arial" w:hAnsi="Arial"/>
          <w:sz w:val="18"/>
          <w:szCs w:val="18"/>
          <w:color w:val="auto"/>
        </w:rPr>
        <w:t>. To the extent that a participant recognizes ordinary income in the circumstances described above,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or affiliate for which the participant performs services will generally be entitled to a corresponding federal income tax deduction, provided that, among other things, the income meets the test of reasonableness, is an ordinary and necessary business expense, is not an “excess parachute payment” within the meaning of Internal Revenue Code Section 280G.</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Effective Date</w:t>
      </w:r>
    </w:p>
    <w:p>
      <w:pPr>
        <w:spacing w:after="0" w:line="210"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2023 Plan will become effective on the day immediately following its approval by the Company’s stockholders (the “Effective Date”). Assuming that the 2023 Plan is approved by the stockholders at the Annual Meeting, the Effective Date of the 2023 Plan will be May 26, 2023.</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Plan Benefits</w:t>
      </w:r>
    </w:p>
    <w:p>
      <w:pPr>
        <w:spacing w:after="0" w:line="210"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Future grants under the 2023 Plan will be made at the discretion of the 2023 Plan administrator and, accordingly, are not yet determinable. In addition, benefits under the 2023 Plan will depend on a number of factors, including the fair market value of our common stock on future dates and the exercise decisions made by participants. Consequently, at this time, it is not possible to determine the future benefits that might be received by participants receiving discretionary grants under the 2023 Plan.</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Required Vote and Recommendation of the Board</w:t>
      </w:r>
    </w:p>
    <w:p>
      <w:pPr>
        <w:spacing w:after="0" w:line="216"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affirmative vote of a majority of the shares present or represented by proxy at the Annual Meeting and entitled to vote is required for approval of our 2023 Omnibus Incentive Plan. Abstentions will have the same effect as votes “AGAINST” this proposal. Broker non-votes will have no effect on the outcome of this proposal. Unless otherwise instructed, the persons named as proxies will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456565</wp:posOffset>
            </wp:positionV>
            <wp:extent cx="6711950" cy="10026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71195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740" w:right="600"/>
        <w:spacing w:after="0" w:line="272" w:lineRule="auto"/>
        <w:rPr>
          <w:sz w:val="20"/>
          <w:szCs w:val="20"/>
          <w:color w:val="auto"/>
        </w:rPr>
      </w:pPr>
      <w:r>
        <w:rPr>
          <w:rFonts w:ascii="Arial" w:cs="Arial" w:eastAsia="Arial" w:hAnsi="Arial"/>
          <w:sz w:val="22"/>
          <w:szCs w:val="22"/>
          <w:b w:val="1"/>
          <w:bCs w:val="1"/>
          <w:color w:val="FFFFFF"/>
        </w:rPr>
        <w:t>THE BOARD OF DIRECTORS UNANIMOUSLY RECOMMENDS THAT YOU VOTE “FOR” THE APPROVAL OF OUR 2023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434340</wp:posOffset>
            </wp:positionV>
            <wp:extent cx="291465" cy="2654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Proposal 5 – Approval of our 2023 Omnibus Incentive Plan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83</w:t>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40"/>
          <w:szCs w:val="40"/>
          <w:b w:val="1"/>
          <w:bCs w:val="1"/>
          <w:color w:val="0070C0"/>
        </w:rPr>
        <w:t>STOCK OWNERSHIP INFORMATION</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Stock Ownership Table</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beneficial ownership of our common stock as of March 30, 2023 held by:</w:t>
      </w:r>
    </w:p>
    <w:p>
      <w:pPr>
        <w:spacing w:after="0" w:line="117" w:lineRule="exact"/>
        <w:rPr>
          <w:sz w:val="20"/>
          <w:szCs w:val="20"/>
          <w:color w:val="auto"/>
        </w:rPr>
      </w:pPr>
    </w:p>
    <w:p>
      <w:pPr>
        <w:ind w:left="760" w:hanging="320"/>
        <w:spacing w:after="0"/>
        <w:tabs>
          <w:tab w:leader="none" w:pos="760" w:val="left"/>
        </w:tabs>
        <w:numPr>
          <w:ilvl w:val="0"/>
          <w:numId w:val="55"/>
        </w:numPr>
        <w:rPr>
          <w:rFonts w:ascii="Arial" w:cs="Arial" w:eastAsia="Arial" w:hAnsi="Arial"/>
          <w:sz w:val="18"/>
          <w:szCs w:val="18"/>
          <w:color w:val="0070C0"/>
        </w:rPr>
      </w:pPr>
      <w:r>
        <w:rPr>
          <w:rFonts w:ascii="Arial" w:cs="Arial" w:eastAsia="Arial" w:hAnsi="Arial"/>
          <w:sz w:val="18"/>
          <w:szCs w:val="18"/>
          <w:color w:val="auto"/>
        </w:rPr>
        <w:t>each person whom we know to beneficially own more than 5% of our outstanding common stock;</w:t>
      </w:r>
    </w:p>
    <w:p>
      <w:pPr>
        <w:spacing w:after="0" w:line="36" w:lineRule="exact"/>
        <w:rPr>
          <w:rFonts w:ascii="Arial" w:cs="Arial" w:eastAsia="Arial" w:hAnsi="Arial"/>
          <w:sz w:val="18"/>
          <w:szCs w:val="18"/>
          <w:color w:val="0070C0"/>
        </w:rPr>
      </w:pPr>
    </w:p>
    <w:p>
      <w:pPr>
        <w:ind w:left="760" w:hanging="320"/>
        <w:spacing w:after="0"/>
        <w:tabs>
          <w:tab w:leader="none" w:pos="760" w:val="left"/>
        </w:tabs>
        <w:numPr>
          <w:ilvl w:val="0"/>
          <w:numId w:val="55"/>
        </w:numPr>
        <w:rPr>
          <w:rFonts w:ascii="Arial" w:cs="Arial" w:eastAsia="Arial" w:hAnsi="Arial"/>
          <w:sz w:val="18"/>
          <w:szCs w:val="18"/>
          <w:color w:val="0070C0"/>
        </w:rPr>
      </w:pPr>
      <w:r>
        <w:rPr>
          <w:rFonts w:ascii="Arial" w:cs="Arial" w:eastAsia="Arial" w:hAnsi="Arial"/>
          <w:sz w:val="18"/>
          <w:szCs w:val="18"/>
          <w:color w:val="auto"/>
        </w:rPr>
        <w:t>each director;</w:t>
      </w:r>
    </w:p>
    <w:p>
      <w:pPr>
        <w:spacing w:after="0" w:line="36" w:lineRule="exact"/>
        <w:rPr>
          <w:rFonts w:ascii="Arial" w:cs="Arial" w:eastAsia="Arial" w:hAnsi="Arial"/>
          <w:sz w:val="18"/>
          <w:szCs w:val="18"/>
          <w:color w:val="0070C0"/>
        </w:rPr>
      </w:pPr>
    </w:p>
    <w:p>
      <w:pPr>
        <w:ind w:left="760" w:hanging="320"/>
        <w:spacing w:after="0"/>
        <w:tabs>
          <w:tab w:leader="none" w:pos="760" w:val="left"/>
        </w:tabs>
        <w:numPr>
          <w:ilvl w:val="0"/>
          <w:numId w:val="55"/>
        </w:numPr>
        <w:rPr>
          <w:rFonts w:ascii="Arial" w:cs="Arial" w:eastAsia="Arial" w:hAnsi="Arial"/>
          <w:sz w:val="18"/>
          <w:szCs w:val="18"/>
          <w:color w:val="0070C0"/>
        </w:rPr>
      </w:pPr>
      <w:r>
        <w:rPr>
          <w:rFonts w:ascii="Arial" w:cs="Arial" w:eastAsia="Arial" w:hAnsi="Arial"/>
          <w:sz w:val="18"/>
          <w:szCs w:val="18"/>
          <w:color w:val="auto"/>
        </w:rPr>
        <w:t>each director nominee;</w:t>
      </w:r>
    </w:p>
    <w:p>
      <w:pPr>
        <w:spacing w:after="0" w:line="36" w:lineRule="exact"/>
        <w:rPr>
          <w:rFonts w:ascii="Arial" w:cs="Arial" w:eastAsia="Arial" w:hAnsi="Arial"/>
          <w:sz w:val="18"/>
          <w:szCs w:val="18"/>
          <w:color w:val="0070C0"/>
        </w:rPr>
      </w:pPr>
    </w:p>
    <w:p>
      <w:pPr>
        <w:ind w:left="760" w:hanging="320"/>
        <w:spacing w:after="0"/>
        <w:tabs>
          <w:tab w:leader="none" w:pos="760" w:val="left"/>
        </w:tabs>
        <w:numPr>
          <w:ilvl w:val="0"/>
          <w:numId w:val="55"/>
        </w:numPr>
        <w:rPr>
          <w:rFonts w:ascii="Arial" w:cs="Arial" w:eastAsia="Arial" w:hAnsi="Arial"/>
          <w:sz w:val="18"/>
          <w:szCs w:val="18"/>
          <w:color w:val="0070C0"/>
        </w:rPr>
      </w:pPr>
      <w:r>
        <w:rPr>
          <w:rFonts w:ascii="Arial" w:cs="Arial" w:eastAsia="Arial" w:hAnsi="Arial"/>
          <w:sz w:val="18"/>
          <w:szCs w:val="18"/>
          <w:color w:val="auto"/>
        </w:rPr>
        <w:t>each named executive officer; and</w:t>
      </w:r>
    </w:p>
    <w:p>
      <w:pPr>
        <w:spacing w:after="0" w:line="36" w:lineRule="exact"/>
        <w:rPr>
          <w:rFonts w:ascii="Arial" w:cs="Arial" w:eastAsia="Arial" w:hAnsi="Arial"/>
          <w:sz w:val="18"/>
          <w:szCs w:val="18"/>
          <w:color w:val="0070C0"/>
        </w:rPr>
      </w:pPr>
    </w:p>
    <w:p>
      <w:pPr>
        <w:ind w:left="760" w:hanging="320"/>
        <w:spacing w:after="0"/>
        <w:tabs>
          <w:tab w:leader="none" w:pos="760" w:val="left"/>
        </w:tabs>
        <w:numPr>
          <w:ilvl w:val="0"/>
          <w:numId w:val="55"/>
        </w:numPr>
        <w:rPr>
          <w:rFonts w:ascii="Arial" w:cs="Arial" w:eastAsia="Arial" w:hAnsi="Arial"/>
          <w:sz w:val="18"/>
          <w:szCs w:val="18"/>
          <w:color w:val="0070C0"/>
        </w:rPr>
      </w:pPr>
      <w:r>
        <w:rPr>
          <w:rFonts w:ascii="Arial" w:cs="Arial" w:eastAsia="Arial" w:hAnsi="Arial"/>
          <w:sz w:val="18"/>
          <w:szCs w:val="18"/>
          <w:color w:val="auto"/>
        </w:rPr>
        <w:t>all directors and executive officers as a group.</w:t>
      </w:r>
    </w:p>
    <w:p>
      <w:pPr>
        <w:spacing w:after="0" w:line="185"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auto"/>
        </w:rPr>
        <w:t>Unless otherwise indicated, the address of each executive officer and director is c/o Installed Building Products, Inc., 495 South High Street, Suite 50, Columbus, Ohio 43215.</w:t>
      </w:r>
    </w:p>
    <w:p>
      <w:pPr>
        <w:spacing w:after="0" w:line="113"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The number of shares of common stock “beneficially owned” is determined under certain SEC rules and is not necessarily indicative of ownership for any other purpose. Under these rules, beneficial ownership includes shares as to which the stockholder has sole or shared voting power or investment power and shares as to which the stockholder has the right to acquire beneficial ownership within 60 days after March 30, 2023, including shares that could be purchased by the exercise of options or warrants. Unless otherwise indicated, to our knowledge all persons named in the table have sole voting and investment power with respect to their shares of our common stock. Each stockholder’s percentage ownership is based on 28,375,308 shares of common stock outstanding as of March 30, 2023.</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44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2340" w:type="dxa"/>
            <w:vAlign w:val="bottom"/>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Shares of Common Stock</w:t>
            </w:r>
          </w:p>
        </w:tc>
      </w:tr>
      <w:tr>
        <w:trPr>
          <w:trHeight w:val="224"/>
        </w:trPr>
        <w:tc>
          <w:tcPr>
            <w:tcW w:w="44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2340" w:type="dxa"/>
            <w:vAlign w:val="bottom"/>
            <w:tcBorders>
              <w:bottom w:val="single" w:sz="8" w:color="002060"/>
            </w:tcBorders>
            <w:gridSpan w:val="2"/>
            <w:shd w:val="clear" w:color="auto" w:fill="E5E5E5"/>
          </w:tcPr>
          <w:p>
            <w:pPr>
              <w:jc w:val="center"/>
              <w:spacing w:after="0"/>
              <w:rPr>
                <w:sz w:val="20"/>
                <w:szCs w:val="20"/>
                <w:color w:val="auto"/>
              </w:rPr>
            </w:pPr>
            <w:r>
              <w:rPr>
                <w:rFonts w:ascii="Arial" w:cs="Arial" w:eastAsia="Arial" w:hAnsi="Arial"/>
                <w:sz w:val="16"/>
                <w:szCs w:val="16"/>
                <w:b w:val="1"/>
                <w:bCs w:val="1"/>
                <w:color w:val="002060"/>
              </w:rPr>
              <w:t>Beneficially Owned</w:t>
            </w:r>
          </w:p>
        </w:tc>
      </w:tr>
      <w:tr>
        <w:trPr>
          <w:trHeight w:val="226"/>
        </w:trPr>
        <w:tc>
          <w:tcPr>
            <w:tcW w:w="8680" w:type="dxa"/>
            <w:vAlign w:val="bottom"/>
            <w:tcBorders>
              <w:bottom w:val="single" w:sz="8" w:color="002060"/>
            </w:tcBorders>
            <w:gridSpan w:val="2"/>
          </w:tcPr>
          <w:p>
            <w:pPr>
              <w:ind w:left="80"/>
              <w:spacing w:after="0"/>
              <w:rPr>
                <w:sz w:val="20"/>
                <w:szCs w:val="20"/>
                <w:color w:val="auto"/>
              </w:rPr>
            </w:pPr>
            <w:r>
              <w:rPr>
                <w:rFonts w:ascii="Arial" w:cs="Arial" w:eastAsia="Arial" w:hAnsi="Arial"/>
                <w:sz w:val="16"/>
                <w:szCs w:val="16"/>
                <w:b w:val="1"/>
                <w:bCs w:val="1"/>
                <w:color w:val="002060"/>
              </w:rPr>
              <w:t>Name of Beneficial Owner</w:t>
            </w:r>
          </w:p>
        </w:tc>
        <w:tc>
          <w:tcPr>
            <w:tcW w:w="1300" w:type="dxa"/>
            <w:vAlign w:val="bottom"/>
            <w:tcBorders>
              <w:bottom w:val="single" w:sz="8" w:color="002060"/>
            </w:tcBorders>
            <w:shd w:val="clear" w:color="auto" w:fill="E5E5E5"/>
          </w:tcPr>
          <w:p>
            <w:pPr>
              <w:jc w:val="right"/>
              <w:ind w:right="252"/>
              <w:spacing w:after="0"/>
              <w:rPr>
                <w:sz w:val="20"/>
                <w:szCs w:val="20"/>
                <w:color w:val="auto"/>
              </w:rPr>
            </w:pPr>
            <w:r>
              <w:rPr>
                <w:rFonts w:ascii="Arial" w:cs="Arial" w:eastAsia="Arial" w:hAnsi="Arial"/>
                <w:sz w:val="16"/>
                <w:szCs w:val="16"/>
                <w:b w:val="1"/>
                <w:bCs w:val="1"/>
                <w:color w:val="002060"/>
              </w:rPr>
              <w:t>Number</w:t>
            </w:r>
          </w:p>
        </w:tc>
        <w:tc>
          <w:tcPr>
            <w:tcW w:w="1040" w:type="dxa"/>
            <w:vAlign w:val="bottom"/>
            <w:tcBorders>
              <w:bottom w:val="single" w:sz="8" w:color="002060"/>
            </w:tcBorders>
            <w:shd w:val="clear" w:color="auto" w:fill="E5E5E5"/>
          </w:tcPr>
          <w:p>
            <w:pPr>
              <w:ind w:left="140"/>
              <w:spacing w:after="0"/>
              <w:rPr>
                <w:sz w:val="20"/>
                <w:szCs w:val="20"/>
                <w:color w:val="auto"/>
              </w:rPr>
            </w:pPr>
            <w:r>
              <w:rPr>
                <w:rFonts w:ascii="Arial" w:cs="Arial" w:eastAsia="Arial" w:hAnsi="Arial"/>
                <w:sz w:val="16"/>
                <w:szCs w:val="16"/>
                <w:b w:val="1"/>
                <w:bCs w:val="1"/>
                <w:color w:val="002060"/>
              </w:rPr>
              <w:t>Percent</w:t>
            </w:r>
          </w:p>
        </w:tc>
      </w:tr>
      <w:tr>
        <w:trPr>
          <w:trHeight w:val="267"/>
        </w:trPr>
        <w:tc>
          <w:tcPr>
            <w:tcW w:w="8680" w:type="dxa"/>
            <w:vAlign w:val="bottom"/>
            <w:gridSpan w:val="2"/>
            <w:shd w:val="clear" w:color="auto" w:fill="E5E5E5"/>
          </w:tcPr>
          <w:p>
            <w:pPr>
              <w:ind w:left="100"/>
              <w:spacing w:after="0"/>
              <w:rPr>
                <w:sz w:val="20"/>
                <w:szCs w:val="20"/>
                <w:color w:val="auto"/>
              </w:rPr>
            </w:pPr>
            <w:r>
              <w:rPr>
                <w:rFonts w:ascii="Arial" w:cs="Arial" w:eastAsia="Arial" w:hAnsi="Arial"/>
                <w:sz w:val="18"/>
                <w:szCs w:val="18"/>
                <w:b w:val="1"/>
                <w:bCs w:val="1"/>
                <w:color w:val="002060"/>
              </w:rPr>
              <w:t>5% Stockholders:</w:t>
            </w:r>
          </w:p>
        </w:tc>
        <w:tc>
          <w:tcPr>
            <w:tcW w:w="1300" w:type="dxa"/>
            <w:vAlign w:val="bottom"/>
            <w:shd w:val="clear" w:color="auto" w:fill="E5E5E5"/>
          </w:tcPr>
          <w:p>
            <w:pPr>
              <w:spacing w:after="0"/>
              <w:rPr>
                <w:sz w:val="23"/>
                <w:szCs w:val="23"/>
                <w:color w:val="auto"/>
              </w:rPr>
            </w:pPr>
          </w:p>
        </w:tc>
        <w:tc>
          <w:tcPr>
            <w:tcW w:w="1040" w:type="dxa"/>
            <w:vAlign w:val="bottom"/>
            <w:shd w:val="clear" w:color="auto" w:fill="E5E5E5"/>
          </w:tcPr>
          <w:p>
            <w:pPr>
              <w:spacing w:after="0"/>
              <w:rPr>
                <w:sz w:val="23"/>
                <w:szCs w:val="23"/>
                <w:color w:val="auto"/>
              </w:rPr>
            </w:pPr>
          </w:p>
        </w:tc>
      </w:tr>
      <w:tr>
        <w:trPr>
          <w:trHeight w:val="279"/>
        </w:trPr>
        <w:tc>
          <w:tcPr>
            <w:tcW w:w="440" w:type="dxa"/>
            <w:vAlign w:val="bottom"/>
            <w:tcBorders>
              <w:bottom w:val="single" w:sz="8" w:color="002060"/>
            </w:tcBorders>
          </w:tcPr>
          <w:p>
            <w:pPr>
              <w:spacing w:after="0"/>
              <w:rPr>
                <w:sz w:val="24"/>
                <w:szCs w:val="24"/>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BlackRock, Inc.(1)</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4,049,280</w:t>
            </w:r>
          </w:p>
        </w:tc>
        <w:tc>
          <w:tcPr>
            <w:tcW w:w="104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8"/>
                <w:szCs w:val="18"/>
                <w:color w:val="auto"/>
              </w:rPr>
              <w:t>14.3</w:t>
            </w:r>
          </w:p>
        </w:tc>
      </w:tr>
      <w:tr>
        <w:trPr>
          <w:trHeight w:val="263"/>
        </w:trPr>
        <w:tc>
          <w:tcPr>
            <w:tcW w:w="440" w:type="dxa"/>
            <w:vAlign w:val="bottom"/>
            <w:tcBorders>
              <w:bottom w:val="single" w:sz="8" w:color="002060"/>
            </w:tcBorders>
          </w:tcPr>
          <w:p>
            <w:pPr>
              <w:spacing w:after="0"/>
              <w:rPr>
                <w:sz w:val="22"/>
                <w:szCs w:val="22"/>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PJAM IBP Holdings, Inc.(2)</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2,797,819</w:t>
            </w:r>
          </w:p>
        </w:tc>
        <w:tc>
          <w:tcPr>
            <w:tcW w:w="1040" w:type="dxa"/>
            <w:vAlign w:val="bottom"/>
            <w:tcBorders>
              <w:bottom w:val="single" w:sz="8" w:color="002060"/>
            </w:tcBorders>
            <w:shd w:val="clear" w:color="auto" w:fill="E5E5E5"/>
          </w:tcPr>
          <w:p>
            <w:pPr>
              <w:ind w:left="400"/>
              <w:spacing w:after="0"/>
              <w:rPr>
                <w:sz w:val="20"/>
                <w:szCs w:val="20"/>
                <w:color w:val="auto"/>
              </w:rPr>
            </w:pPr>
            <w:r>
              <w:rPr>
                <w:rFonts w:ascii="Arial" w:cs="Arial" w:eastAsia="Arial" w:hAnsi="Arial"/>
                <w:sz w:val="18"/>
                <w:szCs w:val="18"/>
                <w:color w:val="auto"/>
              </w:rPr>
              <w:t>9.9</w:t>
            </w:r>
          </w:p>
        </w:tc>
      </w:tr>
      <w:tr>
        <w:trPr>
          <w:trHeight w:val="263"/>
        </w:trPr>
        <w:tc>
          <w:tcPr>
            <w:tcW w:w="440" w:type="dxa"/>
            <w:vAlign w:val="bottom"/>
            <w:tcBorders>
              <w:bottom w:val="single" w:sz="8" w:color="002060"/>
            </w:tcBorders>
          </w:tcPr>
          <w:p>
            <w:pPr>
              <w:spacing w:after="0"/>
              <w:rPr>
                <w:sz w:val="22"/>
                <w:szCs w:val="22"/>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The Vanguard Group, Inc.(3)</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2,563,829</w:t>
            </w:r>
          </w:p>
        </w:tc>
        <w:tc>
          <w:tcPr>
            <w:tcW w:w="1040" w:type="dxa"/>
            <w:vAlign w:val="bottom"/>
            <w:tcBorders>
              <w:bottom w:val="single" w:sz="8" w:color="002060"/>
            </w:tcBorders>
            <w:shd w:val="clear" w:color="auto" w:fill="E5E5E5"/>
          </w:tcPr>
          <w:p>
            <w:pPr>
              <w:ind w:left="400"/>
              <w:spacing w:after="0"/>
              <w:rPr>
                <w:sz w:val="20"/>
                <w:szCs w:val="20"/>
                <w:color w:val="auto"/>
              </w:rPr>
            </w:pPr>
            <w:r>
              <w:rPr>
                <w:rFonts w:ascii="Arial" w:cs="Arial" w:eastAsia="Arial" w:hAnsi="Arial"/>
                <w:sz w:val="18"/>
                <w:szCs w:val="18"/>
                <w:color w:val="auto"/>
              </w:rPr>
              <w:t>9.0</w:t>
            </w:r>
          </w:p>
        </w:tc>
      </w:tr>
      <w:tr>
        <w:trPr>
          <w:trHeight w:val="263"/>
        </w:trPr>
        <w:tc>
          <w:tcPr>
            <w:tcW w:w="440" w:type="dxa"/>
            <w:vAlign w:val="bottom"/>
            <w:tcBorders>
              <w:bottom w:val="single" w:sz="8" w:color="002060"/>
            </w:tcBorders>
          </w:tcPr>
          <w:p>
            <w:pPr>
              <w:spacing w:after="0"/>
              <w:rPr>
                <w:sz w:val="22"/>
                <w:szCs w:val="22"/>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Findlay Park Partners LLP(4)</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1,486,220</w:t>
            </w:r>
          </w:p>
        </w:tc>
        <w:tc>
          <w:tcPr>
            <w:tcW w:w="1040" w:type="dxa"/>
            <w:vAlign w:val="bottom"/>
            <w:tcBorders>
              <w:bottom w:val="single" w:sz="8" w:color="002060"/>
            </w:tcBorders>
            <w:shd w:val="clear" w:color="auto" w:fill="E5E5E5"/>
          </w:tcPr>
          <w:p>
            <w:pPr>
              <w:ind w:left="400"/>
              <w:spacing w:after="0"/>
              <w:rPr>
                <w:sz w:val="20"/>
                <w:szCs w:val="20"/>
                <w:color w:val="auto"/>
              </w:rPr>
            </w:pPr>
            <w:r>
              <w:rPr>
                <w:rFonts w:ascii="Arial" w:cs="Arial" w:eastAsia="Arial" w:hAnsi="Arial"/>
                <w:sz w:val="18"/>
                <w:szCs w:val="18"/>
                <w:color w:val="auto"/>
              </w:rPr>
              <w:t>5.2</w:t>
            </w:r>
          </w:p>
        </w:tc>
      </w:tr>
      <w:tr>
        <w:trPr>
          <w:trHeight w:val="263"/>
        </w:trPr>
        <w:tc>
          <w:tcPr>
            <w:tcW w:w="440" w:type="dxa"/>
            <w:vAlign w:val="bottom"/>
            <w:tcBorders>
              <w:bottom w:val="single" w:sz="8" w:color="002060"/>
            </w:tcBorders>
          </w:tcPr>
          <w:p>
            <w:pPr>
              <w:spacing w:after="0"/>
              <w:rPr>
                <w:sz w:val="22"/>
                <w:szCs w:val="22"/>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Installed Building Systems, Inc.(2)</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1,516,194</w:t>
            </w:r>
          </w:p>
        </w:tc>
        <w:tc>
          <w:tcPr>
            <w:tcW w:w="1040" w:type="dxa"/>
            <w:vAlign w:val="bottom"/>
            <w:tcBorders>
              <w:bottom w:val="single" w:sz="8" w:color="002060"/>
            </w:tcBorders>
            <w:shd w:val="clear" w:color="auto" w:fill="E5E5E5"/>
          </w:tcPr>
          <w:p>
            <w:pPr>
              <w:ind w:left="400"/>
              <w:spacing w:after="0"/>
              <w:rPr>
                <w:sz w:val="20"/>
                <w:szCs w:val="20"/>
                <w:color w:val="auto"/>
              </w:rPr>
            </w:pPr>
            <w:r>
              <w:rPr>
                <w:rFonts w:ascii="Arial" w:cs="Arial" w:eastAsia="Arial" w:hAnsi="Arial"/>
                <w:sz w:val="18"/>
                <w:szCs w:val="18"/>
                <w:color w:val="auto"/>
              </w:rPr>
              <w:t>5.3</w:t>
            </w:r>
          </w:p>
        </w:tc>
      </w:tr>
      <w:tr>
        <w:trPr>
          <w:trHeight w:val="268"/>
        </w:trPr>
        <w:tc>
          <w:tcPr>
            <w:tcW w:w="8680" w:type="dxa"/>
            <w:vAlign w:val="bottom"/>
            <w:tcBorders>
              <w:bottom w:val="single" w:sz="8" w:color="002060"/>
            </w:tcBorders>
            <w:gridSpan w:val="2"/>
            <w:shd w:val="clear" w:color="auto" w:fill="E5E5E5"/>
          </w:tcPr>
          <w:p>
            <w:pPr>
              <w:ind w:left="100"/>
              <w:spacing w:after="0"/>
              <w:rPr>
                <w:sz w:val="20"/>
                <w:szCs w:val="20"/>
                <w:color w:val="auto"/>
              </w:rPr>
            </w:pPr>
            <w:r>
              <w:rPr>
                <w:rFonts w:ascii="Arial" w:cs="Arial" w:eastAsia="Arial" w:hAnsi="Arial"/>
                <w:sz w:val="18"/>
                <w:szCs w:val="18"/>
                <w:b w:val="1"/>
                <w:bCs w:val="1"/>
                <w:color w:val="002060"/>
              </w:rPr>
              <w:t>Director Nominee:</w:t>
            </w:r>
          </w:p>
        </w:tc>
        <w:tc>
          <w:tcPr>
            <w:tcW w:w="1300" w:type="dxa"/>
            <w:vAlign w:val="bottom"/>
            <w:tcBorders>
              <w:bottom w:val="single" w:sz="8" w:color="002060"/>
            </w:tcBorders>
            <w:shd w:val="clear" w:color="auto" w:fill="E5E5E5"/>
          </w:tcPr>
          <w:p>
            <w:pPr>
              <w:spacing w:after="0"/>
              <w:rPr>
                <w:sz w:val="23"/>
                <w:szCs w:val="23"/>
                <w:color w:val="auto"/>
              </w:rPr>
            </w:pPr>
          </w:p>
        </w:tc>
        <w:tc>
          <w:tcPr>
            <w:tcW w:w="1040" w:type="dxa"/>
            <w:vAlign w:val="bottom"/>
            <w:tcBorders>
              <w:bottom w:val="single" w:sz="8" w:color="002060"/>
            </w:tcBorders>
            <w:shd w:val="clear" w:color="auto" w:fill="E5E5E5"/>
          </w:tcPr>
          <w:p>
            <w:pPr>
              <w:spacing w:after="0"/>
              <w:rPr>
                <w:sz w:val="23"/>
                <w:szCs w:val="23"/>
                <w:color w:val="auto"/>
              </w:rPr>
            </w:pPr>
          </w:p>
        </w:tc>
      </w:tr>
      <w:tr>
        <w:trPr>
          <w:trHeight w:val="260"/>
        </w:trPr>
        <w:tc>
          <w:tcPr>
            <w:tcW w:w="440" w:type="dxa"/>
            <w:vAlign w:val="bottom"/>
            <w:tcBorders>
              <w:bottom w:val="single" w:sz="8" w:color="002060"/>
            </w:tcBorders>
          </w:tcPr>
          <w:p>
            <w:pPr>
              <w:spacing w:after="0"/>
              <w:rPr>
                <w:sz w:val="22"/>
                <w:szCs w:val="22"/>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Marchelle E. Moore</w:t>
            </w:r>
          </w:p>
        </w:tc>
        <w:tc>
          <w:tcPr>
            <w:tcW w:w="1300" w:type="dxa"/>
            <w:vAlign w:val="bottom"/>
            <w:tcBorders>
              <w:bottom w:val="single" w:sz="8" w:color="002060"/>
            </w:tcBorders>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002060"/>
            </w:tcBorders>
          </w:tcPr>
          <w:p>
            <w:pPr>
              <w:jc w:val="center"/>
              <w:spacing w:after="0"/>
              <w:rPr>
                <w:sz w:val="20"/>
                <w:szCs w:val="20"/>
                <w:color w:val="auto"/>
              </w:rPr>
            </w:pPr>
            <w:r>
              <w:rPr>
                <w:rFonts w:ascii="Arial" w:cs="Arial" w:eastAsia="Arial" w:hAnsi="Arial"/>
                <w:sz w:val="18"/>
                <w:szCs w:val="18"/>
                <w:color w:val="auto"/>
                <w:w w:val="99"/>
              </w:rPr>
              <w:t>-</w:t>
            </w:r>
          </w:p>
        </w:tc>
      </w:tr>
      <w:tr>
        <w:trPr>
          <w:trHeight w:val="268"/>
        </w:trPr>
        <w:tc>
          <w:tcPr>
            <w:tcW w:w="8680" w:type="dxa"/>
            <w:vAlign w:val="bottom"/>
            <w:gridSpan w:val="2"/>
            <w:shd w:val="clear" w:color="auto" w:fill="E5E5E5"/>
          </w:tcPr>
          <w:p>
            <w:pPr>
              <w:ind w:left="100"/>
              <w:spacing w:after="0"/>
              <w:rPr>
                <w:sz w:val="20"/>
                <w:szCs w:val="20"/>
                <w:color w:val="auto"/>
              </w:rPr>
            </w:pPr>
            <w:r>
              <w:rPr>
                <w:rFonts w:ascii="Arial" w:cs="Arial" w:eastAsia="Arial" w:hAnsi="Arial"/>
                <w:sz w:val="18"/>
                <w:szCs w:val="18"/>
                <w:b w:val="1"/>
                <w:bCs w:val="1"/>
                <w:color w:val="002060"/>
              </w:rPr>
              <w:t>Directors and Named Executive Officers:</w:t>
            </w:r>
          </w:p>
        </w:tc>
        <w:tc>
          <w:tcPr>
            <w:tcW w:w="1300" w:type="dxa"/>
            <w:vAlign w:val="bottom"/>
            <w:shd w:val="clear" w:color="auto" w:fill="E5E5E5"/>
          </w:tcPr>
          <w:p>
            <w:pPr>
              <w:spacing w:after="0"/>
              <w:rPr>
                <w:sz w:val="23"/>
                <w:szCs w:val="23"/>
                <w:color w:val="auto"/>
              </w:rPr>
            </w:pPr>
          </w:p>
        </w:tc>
        <w:tc>
          <w:tcPr>
            <w:tcW w:w="1040" w:type="dxa"/>
            <w:vAlign w:val="bottom"/>
            <w:shd w:val="clear" w:color="auto" w:fill="E5E5E5"/>
          </w:tcPr>
          <w:p>
            <w:pPr>
              <w:spacing w:after="0"/>
              <w:rPr>
                <w:sz w:val="23"/>
                <w:szCs w:val="23"/>
                <w:color w:val="auto"/>
              </w:rPr>
            </w:pPr>
          </w:p>
        </w:tc>
      </w:tr>
      <w:tr>
        <w:trPr>
          <w:trHeight w:val="279"/>
        </w:trPr>
        <w:tc>
          <w:tcPr>
            <w:tcW w:w="440" w:type="dxa"/>
            <w:vAlign w:val="bottom"/>
            <w:tcBorders>
              <w:bottom w:val="single" w:sz="8" w:color="002060"/>
            </w:tcBorders>
          </w:tcPr>
          <w:p>
            <w:pPr>
              <w:spacing w:after="0"/>
              <w:rPr>
                <w:sz w:val="24"/>
                <w:szCs w:val="24"/>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Margot L. Carter(5)</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7,106</w:t>
            </w:r>
          </w:p>
        </w:tc>
        <w:tc>
          <w:tcPr>
            <w:tcW w:w="1040" w:type="dxa"/>
            <w:vAlign w:val="bottom"/>
            <w:tcBorders>
              <w:bottom w:val="single" w:sz="8" w:color="002060"/>
            </w:tcBorders>
            <w:shd w:val="clear" w:color="auto" w:fill="E5E5E5"/>
          </w:tcPr>
          <w:p>
            <w:pPr>
              <w:ind w:left="420"/>
              <w:spacing w:after="0"/>
              <w:rPr>
                <w:sz w:val="20"/>
                <w:szCs w:val="20"/>
                <w:color w:val="auto"/>
              </w:rPr>
            </w:pPr>
            <w:r>
              <w:rPr>
                <w:rFonts w:ascii="Arial" w:cs="Arial" w:eastAsia="Arial" w:hAnsi="Arial"/>
                <w:sz w:val="18"/>
                <w:szCs w:val="18"/>
                <w:color w:val="auto"/>
              </w:rPr>
              <w:t>*</w:t>
            </w:r>
          </w:p>
        </w:tc>
      </w:tr>
      <w:tr>
        <w:trPr>
          <w:trHeight w:val="263"/>
        </w:trPr>
        <w:tc>
          <w:tcPr>
            <w:tcW w:w="440" w:type="dxa"/>
            <w:vAlign w:val="bottom"/>
            <w:tcBorders>
              <w:bottom w:val="single" w:sz="8" w:color="002060"/>
            </w:tcBorders>
          </w:tcPr>
          <w:p>
            <w:pPr>
              <w:spacing w:after="0"/>
              <w:rPr>
                <w:sz w:val="22"/>
                <w:szCs w:val="22"/>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Jeffrey W. Edwards(2)(6)</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4,662,602</w:t>
            </w:r>
          </w:p>
        </w:tc>
        <w:tc>
          <w:tcPr>
            <w:tcW w:w="104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8"/>
                <w:szCs w:val="18"/>
                <w:color w:val="auto"/>
              </w:rPr>
              <w:t>16.4</w:t>
            </w:r>
          </w:p>
        </w:tc>
      </w:tr>
      <w:tr>
        <w:trPr>
          <w:trHeight w:val="263"/>
        </w:trPr>
        <w:tc>
          <w:tcPr>
            <w:tcW w:w="440" w:type="dxa"/>
            <w:vAlign w:val="bottom"/>
            <w:tcBorders>
              <w:bottom w:val="single" w:sz="8" w:color="002060"/>
            </w:tcBorders>
          </w:tcPr>
          <w:p>
            <w:pPr>
              <w:spacing w:after="0"/>
              <w:rPr>
                <w:sz w:val="22"/>
                <w:szCs w:val="22"/>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Jay P. Elliott(7)</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31,990</w:t>
            </w:r>
          </w:p>
        </w:tc>
        <w:tc>
          <w:tcPr>
            <w:tcW w:w="1040" w:type="dxa"/>
            <w:vAlign w:val="bottom"/>
            <w:tcBorders>
              <w:bottom w:val="single" w:sz="8" w:color="002060"/>
            </w:tcBorders>
            <w:shd w:val="clear" w:color="auto" w:fill="E5E5E5"/>
          </w:tcPr>
          <w:p>
            <w:pPr>
              <w:ind w:left="420"/>
              <w:spacing w:after="0"/>
              <w:rPr>
                <w:sz w:val="20"/>
                <w:szCs w:val="20"/>
                <w:color w:val="auto"/>
              </w:rPr>
            </w:pPr>
            <w:r>
              <w:rPr>
                <w:rFonts w:ascii="Arial" w:cs="Arial" w:eastAsia="Arial" w:hAnsi="Arial"/>
                <w:sz w:val="18"/>
                <w:szCs w:val="18"/>
                <w:color w:val="auto"/>
              </w:rPr>
              <w:t>*</w:t>
            </w:r>
          </w:p>
        </w:tc>
      </w:tr>
      <w:tr>
        <w:trPr>
          <w:trHeight w:val="263"/>
        </w:trPr>
        <w:tc>
          <w:tcPr>
            <w:tcW w:w="440" w:type="dxa"/>
            <w:vAlign w:val="bottom"/>
            <w:tcBorders>
              <w:bottom w:val="single" w:sz="8" w:color="002060"/>
            </w:tcBorders>
          </w:tcPr>
          <w:p>
            <w:pPr>
              <w:spacing w:after="0"/>
              <w:rPr>
                <w:sz w:val="22"/>
                <w:szCs w:val="22"/>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W. Jeffrey Hire(8)</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47,466</w:t>
            </w:r>
          </w:p>
        </w:tc>
        <w:tc>
          <w:tcPr>
            <w:tcW w:w="1040" w:type="dxa"/>
            <w:vAlign w:val="bottom"/>
            <w:tcBorders>
              <w:bottom w:val="single" w:sz="8" w:color="002060"/>
            </w:tcBorders>
            <w:shd w:val="clear" w:color="auto" w:fill="E5E5E5"/>
          </w:tcPr>
          <w:p>
            <w:pPr>
              <w:ind w:left="420"/>
              <w:spacing w:after="0"/>
              <w:rPr>
                <w:sz w:val="20"/>
                <w:szCs w:val="20"/>
                <w:color w:val="auto"/>
              </w:rPr>
            </w:pPr>
            <w:r>
              <w:rPr>
                <w:rFonts w:ascii="Arial" w:cs="Arial" w:eastAsia="Arial" w:hAnsi="Arial"/>
                <w:sz w:val="18"/>
                <w:szCs w:val="18"/>
                <w:color w:val="auto"/>
              </w:rPr>
              <w:t>*</w:t>
            </w:r>
          </w:p>
        </w:tc>
      </w:tr>
      <w:tr>
        <w:trPr>
          <w:trHeight w:val="264"/>
        </w:trPr>
        <w:tc>
          <w:tcPr>
            <w:tcW w:w="440" w:type="dxa"/>
            <w:vAlign w:val="bottom"/>
            <w:tcBorders>
              <w:bottom w:val="single" w:sz="8" w:color="002060"/>
            </w:tcBorders>
          </w:tcPr>
          <w:p>
            <w:pPr>
              <w:spacing w:after="0"/>
              <w:rPr>
                <w:sz w:val="22"/>
                <w:szCs w:val="22"/>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Lawrence A. Hilsheimer(5)</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25,616</w:t>
            </w:r>
          </w:p>
        </w:tc>
        <w:tc>
          <w:tcPr>
            <w:tcW w:w="1040" w:type="dxa"/>
            <w:vAlign w:val="bottom"/>
            <w:tcBorders>
              <w:bottom w:val="single" w:sz="8" w:color="002060"/>
            </w:tcBorders>
            <w:shd w:val="clear" w:color="auto" w:fill="E5E5E5"/>
          </w:tcPr>
          <w:p>
            <w:pPr>
              <w:ind w:left="420"/>
              <w:spacing w:after="0"/>
              <w:rPr>
                <w:sz w:val="20"/>
                <w:szCs w:val="20"/>
                <w:color w:val="auto"/>
              </w:rPr>
            </w:pPr>
            <w:r>
              <w:rPr>
                <w:rFonts w:ascii="Arial" w:cs="Arial" w:eastAsia="Arial" w:hAnsi="Arial"/>
                <w:sz w:val="18"/>
                <w:szCs w:val="18"/>
                <w:color w:val="auto"/>
              </w:rPr>
              <w:t>*</w:t>
            </w:r>
          </w:p>
        </w:tc>
      </w:tr>
      <w:tr>
        <w:trPr>
          <w:trHeight w:val="263"/>
        </w:trPr>
        <w:tc>
          <w:tcPr>
            <w:tcW w:w="440" w:type="dxa"/>
            <w:vAlign w:val="bottom"/>
            <w:tcBorders>
              <w:bottom w:val="single" w:sz="8" w:color="002060"/>
            </w:tcBorders>
          </w:tcPr>
          <w:p>
            <w:pPr>
              <w:spacing w:after="0"/>
              <w:rPr>
                <w:sz w:val="22"/>
                <w:szCs w:val="22"/>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Janet E. Jackson(5)</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9,110</w:t>
            </w:r>
          </w:p>
        </w:tc>
        <w:tc>
          <w:tcPr>
            <w:tcW w:w="1040" w:type="dxa"/>
            <w:vAlign w:val="bottom"/>
            <w:tcBorders>
              <w:bottom w:val="single" w:sz="8" w:color="002060"/>
            </w:tcBorders>
            <w:shd w:val="clear" w:color="auto" w:fill="E5E5E5"/>
          </w:tcPr>
          <w:p>
            <w:pPr>
              <w:ind w:left="420"/>
              <w:spacing w:after="0"/>
              <w:rPr>
                <w:sz w:val="20"/>
                <w:szCs w:val="20"/>
                <w:color w:val="auto"/>
              </w:rPr>
            </w:pPr>
            <w:r>
              <w:rPr>
                <w:rFonts w:ascii="Arial" w:cs="Arial" w:eastAsia="Arial" w:hAnsi="Arial"/>
                <w:sz w:val="18"/>
                <w:szCs w:val="18"/>
                <w:color w:val="auto"/>
              </w:rPr>
              <w:t>*</w:t>
            </w:r>
          </w:p>
        </w:tc>
      </w:tr>
      <w:tr>
        <w:trPr>
          <w:trHeight w:val="263"/>
        </w:trPr>
        <w:tc>
          <w:tcPr>
            <w:tcW w:w="440" w:type="dxa"/>
            <w:vAlign w:val="bottom"/>
            <w:tcBorders>
              <w:bottom w:val="single" w:sz="8" w:color="002060"/>
            </w:tcBorders>
          </w:tcPr>
          <w:p>
            <w:pPr>
              <w:spacing w:after="0"/>
              <w:rPr>
                <w:sz w:val="22"/>
                <w:szCs w:val="22"/>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David R. Meuse(5)</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3,440</w:t>
            </w:r>
          </w:p>
        </w:tc>
        <w:tc>
          <w:tcPr>
            <w:tcW w:w="1040" w:type="dxa"/>
            <w:vAlign w:val="bottom"/>
            <w:tcBorders>
              <w:bottom w:val="single" w:sz="8" w:color="002060"/>
            </w:tcBorders>
            <w:shd w:val="clear" w:color="auto" w:fill="E5E5E5"/>
          </w:tcPr>
          <w:p>
            <w:pPr>
              <w:ind w:left="420"/>
              <w:spacing w:after="0"/>
              <w:rPr>
                <w:sz w:val="20"/>
                <w:szCs w:val="20"/>
                <w:color w:val="auto"/>
              </w:rPr>
            </w:pPr>
            <w:r>
              <w:rPr>
                <w:rFonts w:ascii="Arial" w:cs="Arial" w:eastAsia="Arial" w:hAnsi="Arial"/>
                <w:sz w:val="18"/>
                <w:szCs w:val="18"/>
                <w:color w:val="auto"/>
              </w:rPr>
              <w:t>*</w:t>
            </w:r>
          </w:p>
        </w:tc>
      </w:tr>
      <w:tr>
        <w:trPr>
          <w:trHeight w:val="264"/>
        </w:trPr>
        <w:tc>
          <w:tcPr>
            <w:tcW w:w="440" w:type="dxa"/>
            <w:vAlign w:val="bottom"/>
            <w:tcBorders>
              <w:bottom w:val="single" w:sz="8" w:color="002060"/>
            </w:tcBorders>
          </w:tcPr>
          <w:p>
            <w:pPr>
              <w:spacing w:after="0"/>
              <w:rPr>
                <w:sz w:val="22"/>
                <w:szCs w:val="22"/>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Michael T. Miller(9)</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70,092</w:t>
            </w:r>
          </w:p>
        </w:tc>
        <w:tc>
          <w:tcPr>
            <w:tcW w:w="1040" w:type="dxa"/>
            <w:vAlign w:val="bottom"/>
            <w:tcBorders>
              <w:bottom w:val="single" w:sz="8" w:color="002060"/>
            </w:tcBorders>
            <w:shd w:val="clear" w:color="auto" w:fill="E5E5E5"/>
          </w:tcPr>
          <w:p>
            <w:pPr>
              <w:ind w:left="420"/>
              <w:spacing w:after="0"/>
              <w:rPr>
                <w:sz w:val="20"/>
                <w:szCs w:val="20"/>
                <w:color w:val="auto"/>
              </w:rPr>
            </w:pPr>
            <w:r>
              <w:rPr>
                <w:rFonts w:ascii="Arial" w:cs="Arial" w:eastAsia="Arial" w:hAnsi="Arial"/>
                <w:sz w:val="18"/>
                <w:szCs w:val="18"/>
                <w:color w:val="auto"/>
              </w:rPr>
              <w:t>*</w:t>
            </w:r>
          </w:p>
        </w:tc>
      </w:tr>
      <w:tr>
        <w:trPr>
          <w:trHeight w:val="263"/>
        </w:trPr>
        <w:tc>
          <w:tcPr>
            <w:tcW w:w="440" w:type="dxa"/>
            <w:vAlign w:val="bottom"/>
            <w:tcBorders>
              <w:bottom w:val="single" w:sz="8" w:color="002060"/>
            </w:tcBorders>
          </w:tcPr>
          <w:p>
            <w:pPr>
              <w:spacing w:after="0"/>
              <w:rPr>
                <w:sz w:val="22"/>
                <w:szCs w:val="22"/>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Jason R. Niswonger(10)</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23,006</w:t>
            </w:r>
          </w:p>
        </w:tc>
        <w:tc>
          <w:tcPr>
            <w:tcW w:w="1040" w:type="dxa"/>
            <w:vAlign w:val="bottom"/>
            <w:tcBorders>
              <w:bottom w:val="single" w:sz="8" w:color="002060"/>
            </w:tcBorders>
            <w:shd w:val="clear" w:color="auto" w:fill="E5E5E5"/>
          </w:tcPr>
          <w:p>
            <w:pPr>
              <w:ind w:left="420"/>
              <w:spacing w:after="0"/>
              <w:rPr>
                <w:sz w:val="20"/>
                <w:szCs w:val="20"/>
                <w:color w:val="auto"/>
              </w:rPr>
            </w:pPr>
            <w:r>
              <w:rPr>
                <w:rFonts w:ascii="Arial" w:cs="Arial" w:eastAsia="Arial" w:hAnsi="Arial"/>
                <w:sz w:val="18"/>
                <w:szCs w:val="18"/>
                <w:color w:val="auto"/>
              </w:rPr>
              <w:t>*</w:t>
            </w:r>
          </w:p>
        </w:tc>
      </w:tr>
      <w:tr>
        <w:trPr>
          <w:trHeight w:val="264"/>
        </w:trPr>
        <w:tc>
          <w:tcPr>
            <w:tcW w:w="440" w:type="dxa"/>
            <w:vAlign w:val="bottom"/>
            <w:tcBorders>
              <w:bottom w:val="single" w:sz="8" w:color="002060"/>
            </w:tcBorders>
          </w:tcPr>
          <w:p>
            <w:pPr>
              <w:spacing w:after="0"/>
              <w:rPr>
                <w:sz w:val="22"/>
                <w:szCs w:val="22"/>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Robert H. Schottenstein(11)</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970</w:t>
            </w:r>
          </w:p>
        </w:tc>
        <w:tc>
          <w:tcPr>
            <w:tcW w:w="1040" w:type="dxa"/>
            <w:vAlign w:val="bottom"/>
            <w:tcBorders>
              <w:bottom w:val="single" w:sz="8" w:color="002060"/>
            </w:tcBorders>
            <w:shd w:val="clear" w:color="auto" w:fill="E5E5E5"/>
          </w:tcPr>
          <w:p>
            <w:pPr>
              <w:ind w:left="420"/>
              <w:spacing w:after="0"/>
              <w:rPr>
                <w:sz w:val="20"/>
                <w:szCs w:val="20"/>
                <w:color w:val="auto"/>
              </w:rPr>
            </w:pPr>
            <w:r>
              <w:rPr>
                <w:rFonts w:ascii="Arial" w:cs="Arial" w:eastAsia="Arial" w:hAnsi="Arial"/>
                <w:sz w:val="18"/>
                <w:szCs w:val="18"/>
                <w:color w:val="auto"/>
              </w:rPr>
              <w:t>*</w:t>
            </w:r>
          </w:p>
        </w:tc>
      </w:tr>
      <w:tr>
        <w:trPr>
          <w:trHeight w:val="264"/>
        </w:trPr>
        <w:tc>
          <w:tcPr>
            <w:tcW w:w="440" w:type="dxa"/>
            <w:vAlign w:val="bottom"/>
            <w:tcBorders>
              <w:bottom w:val="single" w:sz="8" w:color="002060"/>
            </w:tcBorders>
          </w:tcPr>
          <w:p>
            <w:pPr>
              <w:spacing w:after="0"/>
              <w:rPr>
                <w:sz w:val="22"/>
                <w:szCs w:val="22"/>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Michael H. Thomas(5)</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8,669</w:t>
            </w:r>
          </w:p>
        </w:tc>
        <w:tc>
          <w:tcPr>
            <w:tcW w:w="1040" w:type="dxa"/>
            <w:vAlign w:val="bottom"/>
            <w:tcBorders>
              <w:bottom w:val="single" w:sz="8" w:color="002060"/>
            </w:tcBorders>
            <w:shd w:val="clear" w:color="auto" w:fill="E5E5E5"/>
          </w:tcPr>
          <w:p>
            <w:pPr>
              <w:ind w:left="420"/>
              <w:spacing w:after="0"/>
              <w:rPr>
                <w:sz w:val="20"/>
                <w:szCs w:val="20"/>
                <w:color w:val="auto"/>
              </w:rPr>
            </w:pPr>
            <w:r>
              <w:rPr>
                <w:rFonts w:ascii="Arial" w:cs="Arial" w:eastAsia="Arial" w:hAnsi="Arial"/>
                <w:sz w:val="18"/>
                <w:szCs w:val="18"/>
                <w:color w:val="auto"/>
              </w:rPr>
              <w:t>*</w:t>
            </w:r>
          </w:p>
        </w:tc>
      </w:tr>
      <w:tr>
        <w:trPr>
          <w:trHeight w:val="263"/>
        </w:trPr>
        <w:tc>
          <w:tcPr>
            <w:tcW w:w="440" w:type="dxa"/>
            <w:vAlign w:val="bottom"/>
            <w:tcBorders>
              <w:bottom w:val="single" w:sz="8" w:color="002060"/>
            </w:tcBorders>
          </w:tcPr>
          <w:p>
            <w:pPr>
              <w:spacing w:after="0"/>
              <w:rPr>
                <w:sz w:val="22"/>
                <w:szCs w:val="22"/>
                <w:color w:val="auto"/>
              </w:rPr>
            </w:pPr>
          </w:p>
        </w:tc>
        <w:tc>
          <w:tcPr>
            <w:tcW w:w="8240" w:type="dxa"/>
            <w:vAlign w:val="bottom"/>
            <w:tcBorders>
              <w:bottom w:val="single" w:sz="8" w:color="002060"/>
            </w:tcBorders>
          </w:tcPr>
          <w:p>
            <w:pPr>
              <w:ind w:left="100"/>
              <w:spacing w:after="0"/>
              <w:rPr>
                <w:sz w:val="20"/>
                <w:szCs w:val="20"/>
                <w:color w:val="auto"/>
              </w:rPr>
            </w:pPr>
            <w:r>
              <w:rPr>
                <w:rFonts w:ascii="Arial" w:cs="Arial" w:eastAsia="Arial" w:hAnsi="Arial"/>
                <w:sz w:val="18"/>
                <w:szCs w:val="18"/>
                <w:color w:val="auto"/>
              </w:rPr>
              <w:t>Vikas Verma(12)</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22,643</w:t>
            </w:r>
          </w:p>
        </w:tc>
        <w:tc>
          <w:tcPr>
            <w:tcW w:w="1040" w:type="dxa"/>
            <w:vAlign w:val="bottom"/>
            <w:tcBorders>
              <w:bottom w:val="single" w:sz="8" w:color="002060"/>
            </w:tcBorders>
            <w:shd w:val="clear" w:color="auto" w:fill="E5E5E5"/>
          </w:tcPr>
          <w:p>
            <w:pPr>
              <w:ind w:left="420"/>
              <w:spacing w:after="0"/>
              <w:rPr>
                <w:sz w:val="20"/>
                <w:szCs w:val="20"/>
                <w:color w:val="auto"/>
              </w:rPr>
            </w:pPr>
            <w:r>
              <w:rPr>
                <w:rFonts w:ascii="Arial" w:cs="Arial" w:eastAsia="Arial" w:hAnsi="Arial"/>
                <w:sz w:val="18"/>
                <w:szCs w:val="18"/>
                <w:color w:val="auto"/>
              </w:rPr>
              <w:t>*</w:t>
            </w:r>
          </w:p>
        </w:tc>
      </w:tr>
      <w:tr>
        <w:trPr>
          <w:trHeight w:val="275"/>
        </w:trPr>
        <w:tc>
          <w:tcPr>
            <w:tcW w:w="8680" w:type="dxa"/>
            <w:vAlign w:val="bottom"/>
            <w:tcBorders>
              <w:bottom w:val="single" w:sz="8" w:color="002060"/>
            </w:tcBorders>
            <w:gridSpan w:val="2"/>
            <w:shd w:val="clear" w:color="auto" w:fill="E5E5E5"/>
          </w:tcPr>
          <w:p>
            <w:pPr>
              <w:ind w:left="100"/>
              <w:spacing w:after="0"/>
              <w:rPr>
                <w:sz w:val="20"/>
                <w:szCs w:val="20"/>
                <w:color w:val="auto"/>
              </w:rPr>
            </w:pPr>
            <w:r>
              <w:rPr>
                <w:rFonts w:ascii="Arial" w:cs="Arial" w:eastAsia="Arial" w:hAnsi="Arial"/>
                <w:sz w:val="18"/>
                <w:szCs w:val="18"/>
                <w:b w:val="1"/>
                <w:bCs w:val="1"/>
                <w:color w:val="002060"/>
              </w:rPr>
              <w:t>Directors and Executive Officers as a Group (13 persons)</w:t>
            </w:r>
          </w:p>
        </w:tc>
        <w:tc>
          <w:tcPr>
            <w:tcW w:w="1300" w:type="dxa"/>
            <w:vAlign w:val="bottom"/>
            <w:tcBorders>
              <w:bottom w:val="single" w:sz="8" w:color="002060"/>
            </w:tcBorders>
            <w:shd w:val="clear" w:color="auto" w:fill="E5E5E5"/>
          </w:tcPr>
          <w:p>
            <w:pPr>
              <w:jc w:val="right"/>
              <w:ind w:right="92"/>
              <w:spacing w:after="0"/>
              <w:rPr>
                <w:sz w:val="20"/>
                <w:szCs w:val="20"/>
                <w:color w:val="auto"/>
              </w:rPr>
            </w:pPr>
            <w:r>
              <w:rPr>
                <w:rFonts w:ascii="Arial" w:cs="Arial" w:eastAsia="Arial" w:hAnsi="Arial"/>
                <w:sz w:val="18"/>
                <w:szCs w:val="18"/>
                <w:color w:val="auto"/>
              </w:rPr>
              <w:t>4,919,742</w:t>
            </w:r>
          </w:p>
        </w:tc>
        <w:tc>
          <w:tcPr>
            <w:tcW w:w="1040" w:type="dxa"/>
            <w:vAlign w:val="bottom"/>
            <w:tcBorders>
              <w:bottom w:val="single" w:sz="8" w:color="002060"/>
            </w:tcBorders>
            <w:shd w:val="clear" w:color="auto" w:fill="E5E5E5"/>
          </w:tcPr>
          <w:p>
            <w:pPr>
              <w:jc w:val="center"/>
              <w:spacing w:after="0"/>
              <w:rPr>
                <w:sz w:val="20"/>
                <w:szCs w:val="20"/>
                <w:color w:val="auto"/>
              </w:rPr>
            </w:pPr>
            <w:r>
              <w:rPr>
                <w:rFonts w:ascii="Arial" w:cs="Arial" w:eastAsia="Arial" w:hAnsi="Arial"/>
                <w:sz w:val="18"/>
                <w:szCs w:val="18"/>
                <w:color w:val="auto"/>
              </w:rPr>
              <w:t>17.3</w:t>
            </w:r>
          </w:p>
        </w:tc>
      </w:tr>
      <w:tr>
        <w:trPr>
          <w:trHeight w:val="341"/>
        </w:trPr>
        <w:tc>
          <w:tcPr>
            <w:tcW w:w="440" w:type="dxa"/>
            <w:vAlign w:val="bottom"/>
          </w:tcPr>
          <w:p>
            <w:pPr>
              <w:spacing w:after="0"/>
              <w:rPr>
                <w:sz w:val="20"/>
                <w:szCs w:val="20"/>
                <w:color w:val="auto"/>
              </w:rPr>
            </w:pPr>
            <w:r>
              <w:rPr>
                <w:rFonts w:ascii="Arial" w:cs="Arial" w:eastAsia="Arial" w:hAnsi="Arial"/>
                <w:sz w:val="18"/>
                <w:szCs w:val="18"/>
                <w:color w:val="auto"/>
              </w:rPr>
              <w:t>*</w:t>
            </w:r>
          </w:p>
        </w:tc>
        <w:tc>
          <w:tcPr>
            <w:tcW w:w="8240" w:type="dxa"/>
            <w:vAlign w:val="bottom"/>
          </w:tcPr>
          <w:p>
            <w:pPr>
              <w:ind w:left="100"/>
              <w:spacing w:after="0"/>
              <w:rPr>
                <w:sz w:val="20"/>
                <w:szCs w:val="20"/>
                <w:color w:val="auto"/>
              </w:rPr>
            </w:pPr>
            <w:r>
              <w:rPr>
                <w:rFonts w:ascii="Arial" w:cs="Arial" w:eastAsia="Arial" w:hAnsi="Arial"/>
                <w:sz w:val="18"/>
                <w:szCs w:val="18"/>
                <w:color w:val="auto"/>
              </w:rPr>
              <w:t>Less than 1%</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31"/>
        </w:trPr>
        <w:tc>
          <w:tcPr>
            <w:tcW w:w="44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2340" w:type="dxa"/>
            <w:vAlign w:val="bottom"/>
            <w:gridSpan w:val="2"/>
          </w:tcPr>
          <w:p>
            <w:pPr>
              <w:spacing w:after="0"/>
              <w:rPr>
                <w:sz w:val="11"/>
                <w:szCs w:val="11"/>
                <w:color w:val="auto"/>
              </w:rPr>
            </w:pPr>
          </w:p>
        </w:tc>
      </w:tr>
      <w:tr>
        <w:trPr>
          <w:trHeight w:val="309"/>
        </w:trPr>
        <w:tc>
          <w:tcPr>
            <w:tcW w:w="440" w:type="dxa"/>
            <w:vAlign w:val="bottom"/>
            <w:shd w:val="clear" w:color="auto" w:fill="002060"/>
          </w:tcPr>
          <w:p>
            <w:pPr>
              <w:ind w:left="120"/>
              <w:spacing w:after="0"/>
              <w:rPr>
                <w:sz w:val="20"/>
                <w:szCs w:val="20"/>
                <w:color w:val="auto"/>
              </w:rPr>
            </w:pPr>
            <w:r>
              <w:rPr>
                <w:rFonts w:ascii="Arial" w:cs="Arial" w:eastAsia="Arial" w:hAnsi="Arial"/>
                <w:sz w:val="16"/>
                <w:szCs w:val="16"/>
                <w:color w:val="FFFFFF"/>
              </w:rPr>
              <w:t>84</w:t>
            </w:r>
          </w:p>
        </w:tc>
        <w:tc>
          <w:tcPr>
            <w:tcW w:w="8240" w:type="dxa"/>
            <w:vAlign w:val="bottom"/>
          </w:tcPr>
          <w:p>
            <w:pPr>
              <w:ind w:left="120"/>
              <w:spacing w:after="0"/>
              <w:rPr>
                <w:sz w:val="20"/>
                <w:szCs w:val="20"/>
                <w:color w:val="auto"/>
              </w:rPr>
            </w:pPr>
            <w:r>
              <w:rPr>
                <w:rFonts w:ascii="Arial" w:cs="Arial" w:eastAsia="Arial" w:hAnsi="Arial"/>
                <w:sz w:val="16"/>
                <w:szCs w:val="16"/>
                <w:color w:val="002060"/>
              </w:rPr>
              <w:t>2023 Proxy Statement</w:t>
            </w:r>
          </w:p>
        </w:tc>
        <w:tc>
          <w:tcPr>
            <w:tcW w:w="2340" w:type="dxa"/>
            <w:vAlign w:val="bottom"/>
            <w:gridSpan w:val="2"/>
          </w:tcPr>
          <w:p>
            <w:pPr>
              <w:ind w:left="260"/>
              <w:spacing w:after="0"/>
              <w:rPr>
                <w:sz w:val="20"/>
                <w:szCs w:val="20"/>
                <w:color w:val="auto"/>
              </w:rPr>
            </w:pPr>
            <w:r>
              <w:rPr>
                <w:rFonts w:ascii="Arial" w:cs="Arial" w:eastAsia="Arial" w:hAnsi="Arial"/>
                <w:sz w:val="16"/>
                <w:szCs w:val="16"/>
                <w:color w:val="002060"/>
              </w:rPr>
              <w:t>Stock Ownership Information</w:t>
            </w:r>
          </w:p>
        </w:tc>
      </w:tr>
      <w:tr>
        <w:trPr>
          <w:trHeight w:val="110"/>
        </w:trPr>
        <w:tc>
          <w:tcPr>
            <w:tcW w:w="440" w:type="dxa"/>
            <w:vAlign w:val="bottom"/>
            <w:shd w:val="clear" w:color="auto" w:fill="002060"/>
          </w:tcPr>
          <w:p>
            <w:pPr>
              <w:spacing w:after="0"/>
              <w:rPr>
                <w:sz w:val="9"/>
                <w:szCs w:val="9"/>
                <w:color w:val="auto"/>
              </w:rPr>
            </w:pPr>
          </w:p>
        </w:tc>
        <w:tc>
          <w:tcPr>
            <w:tcW w:w="8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-4697095</wp:posOffset>
            </wp:positionV>
            <wp:extent cx="8890" cy="41148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411480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660" w:right="140" w:hanging="544"/>
        <w:spacing w:after="0" w:line="24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Information reported is based on a Schedule 13G/A, as filed with the SEC on January 26, 2023, reporting beneficial ownership as of December 31, 2022, in which BlackRock, Inc. reported sole voting power over 4,001,737 shares of our common stock and sole dispositive power over 4,049,280 shares of our common stock. The address for BlackRock, Inc. is 55 East 52nd Street, New York, NY 10055.</w:t>
      </w:r>
    </w:p>
    <w:p>
      <w:pPr>
        <w:spacing w:after="0" w:line="79" w:lineRule="exact"/>
        <w:rPr>
          <w:rFonts w:ascii="Arial" w:cs="Arial" w:eastAsia="Arial" w:hAnsi="Arial"/>
          <w:sz w:val="18"/>
          <w:szCs w:val="18"/>
          <w:color w:val="auto"/>
        </w:rPr>
      </w:pPr>
    </w:p>
    <w:p>
      <w:pPr>
        <w:ind w:left="660" w:right="40" w:hanging="544"/>
        <w:spacing w:after="0" w:line="23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Information reported is based on a Schedule 13G/A as filed with the SEC on January 27, 2023, reporting beneficial ownership as of December 31, 2022, as updated by Form 4s as filed with the SEC on February 22, 2023, March 9, 2023 and March 15, 2023 in which PJAM IBP Holdings, Inc. (“PJAM”) and IBP Holding Company, the sole shareholder of PJAM, reported shared voting and dispositive power over 2,797,819 shares of our common stock, Installed Building Systems, Inc. (“IBS”) reported shared voting and dispositive power over 1,516,194 shares of our common stock and Jeffrey W. Edwards reported (i) sole voting and dispositive power over 175,181 shares of our common stock, (ii) shared voting and dispositive power over 4,314,013 shares of our common stock directly held by PJAM and IBS, and (iii) shared voting and dispositive power over 173,408 shares of our common stock held by Tremont FT, Inc. as trustee. Mr. Edwards disclaims any beneficial ownership of shares in which he does not have a pecuniary interest. The address for PJAM, IBP Holding Company, IBS and Jeffrey W. Edwards is 495 South High Street, Suite 150, Columbus, OH 43215.</w:t>
      </w:r>
    </w:p>
    <w:p>
      <w:pPr>
        <w:spacing w:after="0" w:line="85" w:lineRule="exact"/>
        <w:rPr>
          <w:rFonts w:ascii="Arial" w:cs="Arial" w:eastAsia="Arial" w:hAnsi="Arial"/>
          <w:sz w:val="18"/>
          <w:szCs w:val="18"/>
          <w:color w:val="auto"/>
        </w:rPr>
      </w:pPr>
    </w:p>
    <w:p>
      <w:pPr>
        <w:ind w:left="660" w:right="60" w:hanging="544"/>
        <w:spacing w:after="0" w:line="24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Information reported is based on a Schedule 13G/A as filed with the SEC on February 9, 2023, reporting beneficial ownership as of December 31, 2022, in which The Vanguard Group reported shared voting power over 40,797 shares of our common stock, sole dispositive power over 2,499,683 shares of our common stock and shared dispositive power over 64,146 shares of our common stock. The address for The Vanguard Group is 100 Vanguard Blvd., Malvern, PA 19355.</w:t>
      </w:r>
    </w:p>
    <w:p>
      <w:pPr>
        <w:spacing w:after="0" w:line="79" w:lineRule="exact"/>
        <w:rPr>
          <w:rFonts w:ascii="Arial" w:cs="Arial" w:eastAsia="Arial" w:hAnsi="Arial"/>
          <w:sz w:val="18"/>
          <w:szCs w:val="18"/>
          <w:color w:val="auto"/>
        </w:rPr>
      </w:pPr>
    </w:p>
    <w:p>
      <w:pPr>
        <w:ind w:left="660" w:right="60" w:hanging="544"/>
        <w:spacing w:after="0" w:line="22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Information reported is based on a Schedule 13G/A as filed with the SEC on February 9, 2023, reporting beneficial ownership as of December 31, 2022, in which Findlay Park Partners LLP and Findlay Park Funds ICAB – Findlay Park American Fund reported shared voting and dispositive power over 1,486,220 shares of our common stock. Findlay Park American Fund is a sub-fund of Findlay Park Funds ICAV. The address for Findlay Park Partners LLP is Almack House, 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28 King Street, London, SW1Y 6QW, United Kingdom and the address for Findlay Park American Fund is 30 Herbert Street, Dublin 2, D02 W329, Ireland.</w:t>
      </w:r>
    </w:p>
    <w:p>
      <w:pPr>
        <w:spacing w:after="0" w:line="86" w:lineRule="exact"/>
        <w:rPr>
          <w:rFonts w:ascii="Arial" w:cs="Arial" w:eastAsia="Arial" w:hAnsi="Arial"/>
          <w:sz w:val="18"/>
          <w:szCs w:val="18"/>
          <w:color w:val="auto"/>
        </w:rPr>
      </w:pPr>
    </w:p>
    <w:p>
      <w:pPr>
        <w:ind w:left="660" w:hanging="544"/>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1,067 shares of restricted stock that vest on May 26, 2023.</w:t>
      </w:r>
    </w:p>
    <w:p>
      <w:pPr>
        <w:spacing w:after="0" w:line="117" w:lineRule="exact"/>
        <w:rPr>
          <w:rFonts w:ascii="Arial" w:cs="Arial" w:eastAsia="Arial" w:hAnsi="Arial"/>
          <w:sz w:val="18"/>
          <w:szCs w:val="18"/>
          <w:color w:val="auto"/>
        </w:rPr>
      </w:pPr>
    </w:p>
    <w:p>
      <w:pPr>
        <w:ind w:left="660" w:right="260" w:hanging="544"/>
        <w:spacing w:after="0" w:line="241"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16,192 shares of restricted stock that vest on April 20, 2023, 21,919 shares of restricted stock that vest in equal installments (rounded to the nearest whole share) on each of April 20, 2023 and 2024, and 32,802 shares of restricted stock that vest in equal installments (rounded to the nearest whole share) on each of April 20, 2024 and 2025, generally subject to</w:t>
      </w:r>
    </w:p>
    <w:p>
      <w:pPr>
        <w:spacing w:after="0" w:line="1" w:lineRule="exact"/>
        <w:rPr>
          <w:rFonts w:ascii="Arial" w:cs="Arial" w:eastAsia="Arial" w:hAnsi="Arial"/>
          <w:sz w:val="18"/>
          <w:szCs w:val="18"/>
          <w:color w:val="auto"/>
        </w:rPr>
      </w:pPr>
    </w:p>
    <w:p>
      <w:pPr>
        <w:ind w:left="660" w:right="260"/>
        <w:spacing w:after="0" w:line="250" w:lineRule="auto"/>
        <w:rPr>
          <w:rFonts w:ascii="Arial" w:cs="Arial" w:eastAsia="Arial" w:hAnsi="Arial"/>
          <w:sz w:val="18"/>
          <w:szCs w:val="18"/>
          <w:color w:val="auto"/>
        </w:rPr>
      </w:pPr>
      <w:r>
        <w:rPr>
          <w:rFonts w:ascii="Arial" w:cs="Arial" w:eastAsia="Arial" w:hAnsi="Arial"/>
          <w:sz w:val="18"/>
          <w:szCs w:val="18"/>
          <w:color w:val="auto"/>
        </w:rPr>
        <w:t>Mr. Edwards’ continued employment on the applicable vesting date. These shares of restricted stock are included in the 175,181 shares reflected in note (2) with respect to which Mr. Edwards has sole voting and dispositive power.</w:t>
      </w:r>
    </w:p>
    <w:p>
      <w:pPr>
        <w:spacing w:after="0" w:line="77" w:lineRule="exact"/>
        <w:rPr>
          <w:rFonts w:ascii="Arial" w:cs="Arial" w:eastAsia="Arial" w:hAnsi="Arial"/>
          <w:sz w:val="18"/>
          <w:szCs w:val="18"/>
          <w:color w:val="auto"/>
        </w:rPr>
      </w:pPr>
    </w:p>
    <w:p>
      <w:pPr>
        <w:ind w:left="660" w:right="100" w:hanging="544"/>
        <w:spacing w:after="0" w:line="24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6,071 shares of restricted stock that vest on April 20, 2023, 8,141 shares of restricted stock that vest in equal installments (rounded to the nearest whole share) on each of April 20, 2023 and 2024, and 10,933 shares of restricted stock that vest in equal installments (rounded to the nearest whole share) on each of April 20, 2024 and 2025, generally subject to Mr. Elliott’s continued employment on the applicable vesting date.</w:t>
      </w:r>
    </w:p>
    <w:p>
      <w:pPr>
        <w:spacing w:after="0" w:line="79" w:lineRule="exact"/>
        <w:rPr>
          <w:rFonts w:ascii="Arial" w:cs="Arial" w:eastAsia="Arial" w:hAnsi="Arial"/>
          <w:sz w:val="18"/>
          <w:szCs w:val="18"/>
          <w:color w:val="auto"/>
        </w:rPr>
      </w:pPr>
    </w:p>
    <w:p>
      <w:pPr>
        <w:jc w:val="both"/>
        <w:ind w:left="660" w:hanging="544"/>
        <w:spacing w:after="0" w:line="259"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Includes 11,506 shares of restricted stock that vest on April 20, 2023, 1,174 shares of restricted stock that vest in equal installments (rounded to the nearest whole share) on April 20, 2023 and 2024 and 2,187 shares of restricted stock that vest in equal installments</w:t>
      </w:r>
    </w:p>
    <w:p>
      <w:pPr>
        <w:spacing w:after="0" w:line="1" w:lineRule="exact"/>
        <w:rPr>
          <w:rFonts w:ascii="Arial" w:cs="Arial" w:eastAsia="Arial" w:hAnsi="Arial"/>
          <w:sz w:val="17"/>
          <w:szCs w:val="17"/>
          <w:color w:val="auto"/>
        </w:rPr>
      </w:pPr>
    </w:p>
    <w:p>
      <w:pPr>
        <w:ind w:left="660" w:right="100"/>
        <w:spacing w:after="0" w:line="250" w:lineRule="auto"/>
        <w:rPr>
          <w:rFonts w:ascii="Arial" w:cs="Arial" w:eastAsia="Arial" w:hAnsi="Arial"/>
          <w:sz w:val="17"/>
          <w:szCs w:val="17"/>
          <w:color w:val="auto"/>
        </w:rPr>
      </w:pPr>
      <w:r>
        <w:rPr>
          <w:rFonts w:ascii="Arial" w:cs="Arial" w:eastAsia="Arial" w:hAnsi="Arial"/>
          <w:sz w:val="18"/>
          <w:szCs w:val="18"/>
          <w:color w:val="auto"/>
        </w:rPr>
        <w:t>(rounded to the nearest whole share) on each of April 20, 2024 and 2025, generally subject to Mr. Hire’s continued employment on the applicable vesting date.</w:t>
      </w:r>
    </w:p>
    <w:p>
      <w:pPr>
        <w:spacing w:after="0" w:line="77" w:lineRule="exact"/>
        <w:rPr>
          <w:rFonts w:ascii="Arial" w:cs="Arial" w:eastAsia="Arial" w:hAnsi="Arial"/>
          <w:sz w:val="17"/>
          <w:szCs w:val="17"/>
          <w:color w:val="auto"/>
        </w:rPr>
      </w:pPr>
    </w:p>
    <w:p>
      <w:pPr>
        <w:ind w:left="660" w:right="100" w:hanging="544"/>
        <w:spacing w:after="0" w:line="24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5,667 shares of restricted stock that vest on April 20, 2023, 7,554 shares of restricted stock that vest in equal installments (rounded to the nearest whole share) on each of April 20, 2023 and 2024, and 10,551 shares of restricted stock that vest in equal installments (rounded to the nearest whole share) on each of April 20, 2024 and 2025, generally subject to Mr. Miller’s continued employment on the applicable vesting date. Includes 46,320 shares of common stock held by a trust of which Mr. Miller is the sole trustee and sole beneficiary and exercises sole voting and investment power.</w:t>
      </w:r>
    </w:p>
    <w:p>
      <w:pPr>
        <w:spacing w:after="0" w:line="81" w:lineRule="exact"/>
        <w:rPr>
          <w:rFonts w:ascii="Arial" w:cs="Arial" w:eastAsia="Arial" w:hAnsi="Arial"/>
          <w:sz w:val="18"/>
          <w:szCs w:val="18"/>
          <w:color w:val="auto"/>
        </w:rPr>
      </w:pPr>
    </w:p>
    <w:p>
      <w:pPr>
        <w:ind w:left="660" w:hanging="544"/>
        <w:spacing w:after="0" w:line="24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14,565 shares of restricted stock that vest on April 20, 2023, 1,174 shares of restricted stock that vest in equal installments (rounded to the nearest whole share) on each of April 20, 2023 and 2024 and 3,060 shares of restricted stock that vest in equal installments (rounded to the nearest whole share) on each of April 20, 2024 and 2025, generally subject to Mr. Niswonger’s continued employment on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79375</wp:posOffset>
            </wp:positionV>
            <wp:extent cx="291465" cy="2660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91465" cy="266065"/>
                    </a:xfrm>
                    <a:prstGeom prst="rect">
                      <a:avLst/>
                    </a:prstGeom>
                    <a:noFill/>
                  </pic:spPr>
                </pic:pic>
              </a:graphicData>
            </a:graphic>
          </wp:anchor>
        </w:drawing>
      </w:r>
    </w:p>
    <w:p>
      <w:pPr>
        <w:spacing w:after="0" w:line="199"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Stock Ownership Information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85</w:t>
      </w:r>
    </w:p>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hanging="544"/>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970 shares of restricted stock that vest on May 26, 2023.</w:t>
      </w:r>
    </w:p>
    <w:p>
      <w:pPr>
        <w:spacing w:after="0" w:line="117" w:lineRule="exact"/>
        <w:rPr>
          <w:rFonts w:ascii="Arial" w:cs="Arial" w:eastAsia="Arial" w:hAnsi="Arial"/>
          <w:sz w:val="18"/>
          <w:szCs w:val="18"/>
          <w:color w:val="auto"/>
        </w:rPr>
      </w:pPr>
    </w:p>
    <w:p>
      <w:pPr>
        <w:jc w:val="both"/>
        <w:ind w:left="660" w:right="260" w:hanging="544"/>
        <w:spacing w:after="0" w:line="25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1,127 shares of restricted stock that vest on April 20, 2023, 836 shares of restricted stock that vest in equal installments (rounded to the nearest whole share) on each of April 20, 2023 and 2024, and 2,061 shares of restricted stock that vest in equal installments (rounded to the nearest whole share) on each of April 20, 2023, 2024 and 2025.</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Securities Authorized for Issuance under Equity Compensation Plans</w:t>
      </w:r>
    </w:p>
    <w:p>
      <w:pPr>
        <w:spacing w:after="0" w:line="108" w:lineRule="exact"/>
        <w:rPr>
          <w:sz w:val="20"/>
          <w:szCs w:val="20"/>
          <w:color w:val="auto"/>
        </w:rPr>
      </w:pPr>
    </w:p>
    <w:p>
      <w:pPr>
        <w:ind w:left="120" w:right="200"/>
        <w:spacing w:after="0" w:line="242" w:lineRule="auto"/>
        <w:rPr>
          <w:sz w:val="20"/>
          <w:szCs w:val="20"/>
          <w:color w:val="auto"/>
        </w:rPr>
      </w:pPr>
      <w:r>
        <w:rPr>
          <w:rFonts w:ascii="Arial" w:cs="Arial" w:eastAsia="Arial" w:hAnsi="Arial"/>
          <w:sz w:val="18"/>
          <w:szCs w:val="18"/>
          <w:color w:val="auto"/>
        </w:rPr>
        <w:t>The following table sets forth information regarding the shares of our common stock issuable under our 2014 Omnibus Incentive Plan as of December 31, 2022. The plan authorizes the grant of stock options, stock appreciation rights, stock equivalent units, restricted stock, restricted stock units, bonus awards, performance shares, performance units and other stock-based awards. The aggregate number of shares of our common stock initially reserved for issuance under the plan was 3,000,000. As of December 31, 2022, there were 298,811 shares issuable pursuant to outstanding restricted stock awards granted under the plan, and 15,711 shares issuable pursuant to outstanding restricted stock units granted under the plan. No other equity-based awards have been issued.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8320" w:type="dxa"/>
            <w:vAlign w:val="bottom"/>
          </w:tcPr>
          <w:p>
            <w:pPr>
              <w:spacing w:after="0"/>
              <w:rPr>
                <w:sz w:val="19"/>
                <w:szCs w:val="19"/>
                <w:color w:val="auto"/>
              </w:rPr>
            </w:pPr>
          </w:p>
        </w:tc>
        <w:tc>
          <w:tcPr>
            <w:tcW w:w="27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Number of Securities Remaining</w:t>
            </w:r>
          </w:p>
        </w:tc>
      </w:tr>
      <w:tr>
        <w:trPr>
          <w:trHeight w:val="189"/>
        </w:trPr>
        <w:tc>
          <w:tcPr>
            <w:tcW w:w="8320" w:type="dxa"/>
            <w:vAlign w:val="bottom"/>
          </w:tcPr>
          <w:p>
            <w:pPr>
              <w:spacing w:after="0"/>
              <w:rPr>
                <w:sz w:val="16"/>
                <w:szCs w:val="16"/>
                <w:color w:val="auto"/>
              </w:rPr>
            </w:pPr>
          </w:p>
        </w:tc>
        <w:tc>
          <w:tcPr>
            <w:tcW w:w="27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Available for Future Issuance</w:t>
            </w:r>
          </w:p>
        </w:tc>
      </w:tr>
      <w:tr>
        <w:trPr>
          <w:trHeight w:val="189"/>
        </w:trPr>
        <w:tc>
          <w:tcPr>
            <w:tcW w:w="8320" w:type="dxa"/>
            <w:vAlign w:val="bottom"/>
          </w:tcPr>
          <w:p>
            <w:pPr>
              <w:spacing w:after="0"/>
              <w:rPr>
                <w:sz w:val="16"/>
                <w:szCs w:val="16"/>
                <w:color w:val="auto"/>
              </w:rPr>
            </w:pPr>
          </w:p>
        </w:tc>
        <w:tc>
          <w:tcPr>
            <w:tcW w:w="27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rPr>
              <w:t>under Equity Compensation</w:t>
            </w:r>
          </w:p>
        </w:tc>
      </w:tr>
      <w:tr>
        <w:trPr>
          <w:trHeight w:val="189"/>
        </w:trPr>
        <w:tc>
          <w:tcPr>
            <w:tcW w:w="8320" w:type="dxa"/>
            <w:vAlign w:val="bottom"/>
          </w:tcPr>
          <w:p>
            <w:pPr>
              <w:spacing w:after="0"/>
              <w:rPr>
                <w:sz w:val="16"/>
                <w:szCs w:val="16"/>
                <w:color w:val="auto"/>
              </w:rPr>
            </w:pPr>
          </w:p>
        </w:tc>
        <w:tc>
          <w:tcPr>
            <w:tcW w:w="270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1F4E79"/>
                <w:w w:val="98"/>
              </w:rPr>
              <w:t>Plans</w:t>
            </w:r>
          </w:p>
        </w:tc>
      </w:tr>
      <w:tr>
        <w:trPr>
          <w:trHeight w:val="251"/>
        </w:trPr>
        <w:tc>
          <w:tcPr>
            <w:tcW w:w="8320" w:type="dxa"/>
            <w:vAlign w:val="bottom"/>
          </w:tcPr>
          <w:p>
            <w:pPr>
              <w:spacing w:after="0"/>
              <w:rPr>
                <w:sz w:val="21"/>
                <w:szCs w:val="21"/>
                <w:color w:val="auto"/>
              </w:rPr>
            </w:pPr>
          </w:p>
        </w:tc>
        <w:tc>
          <w:tcPr>
            <w:tcW w:w="270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6"/>
                <w:szCs w:val="16"/>
                <w:b w:val="1"/>
                <w:bCs w:val="1"/>
                <w:color w:val="1F4E79"/>
              </w:rPr>
              <w:t>(#)</w:t>
            </w:r>
          </w:p>
        </w:tc>
      </w:tr>
      <w:tr>
        <w:trPr>
          <w:trHeight w:val="265"/>
        </w:trPr>
        <w:tc>
          <w:tcPr>
            <w:tcW w:w="8320" w:type="dxa"/>
            <w:vAlign w:val="bottom"/>
            <w:tcBorders>
              <w:top w:val="single" w:sz="8" w:color="002060"/>
              <w:bottom w:val="single" w:sz="8" w:color="002060"/>
            </w:tcBorders>
          </w:tcPr>
          <w:p>
            <w:pPr>
              <w:ind w:left="200"/>
              <w:spacing w:after="0"/>
              <w:rPr>
                <w:sz w:val="20"/>
                <w:szCs w:val="20"/>
                <w:color w:val="auto"/>
              </w:rPr>
            </w:pPr>
            <w:r>
              <w:rPr>
                <w:rFonts w:ascii="Arial" w:cs="Arial" w:eastAsia="Arial" w:hAnsi="Arial"/>
                <w:sz w:val="18"/>
                <w:szCs w:val="18"/>
                <w:color w:val="auto"/>
              </w:rPr>
              <w:t>Equity compensation plans approved by security holders:</w:t>
            </w:r>
          </w:p>
        </w:tc>
        <w:tc>
          <w:tcPr>
            <w:tcW w:w="2700" w:type="dxa"/>
            <w:vAlign w:val="bottom"/>
            <w:tcBorders>
              <w:top w:val="single" w:sz="8" w:color="002060"/>
              <w:bottom w:val="single" w:sz="8" w:color="002060"/>
            </w:tcBorders>
            <w:shd w:val="clear" w:color="auto" w:fill="E5E5E5"/>
          </w:tcPr>
          <w:p>
            <w:pPr>
              <w:spacing w:after="0"/>
              <w:rPr>
                <w:sz w:val="23"/>
                <w:szCs w:val="23"/>
                <w:color w:val="auto"/>
              </w:rPr>
            </w:pPr>
          </w:p>
        </w:tc>
      </w:tr>
      <w:tr>
        <w:trPr>
          <w:trHeight w:val="264"/>
        </w:trPr>
        <w:tc>
          <w:tcPr>
            <w:tcW w:w="8320" w:type="dxa"/>
            <w:vAlign w:val="bottom"/>
            <w:tcBorders>
              <w:bottom w:val="single" w:sz="8" w:color="002060"/>
            </w:tcBorders>
          </w:tcPr>
          <w:p>
            <w:pPr>
              <w:ind w:left="540"/>
              <w:spacing w:after="0"/>
              <w:rPr>
                <w:sz w:val="20"/>
                <w:szCs w:val="20"/>
                <w:color w:val="auto"/>
              </w:rPr>
            </w:pPr>
            <w:r>
              <w:rPr>
                <w:rFonts w:ascii="Arial" w:cs="Arial" w:eastAsia="Arial" w:hAnsi="Arial"/>
                <w:sz w:val="18"/>
                <w:szCs w:val="18"/>
                <w:color w:val="auto"/>
              </w:rPr>
              <w:t>2014 Omnibus Incentive Plan</w:t>
            </w:r>
          </w:p>
        </w:tc>
        <w:tc>
          <w:tcPr>
            <w:tcW w:w="270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1,689,231</w:t>
            </w:r>
          </w:p>
        </w:tc>
      </w:tr>
      <w:tr>
        <w:trPr>
          <w:trHeight w:val="263"/>
        </w:trPr>
        <w:tc>
          <w:tcPr>
            <w:tcW w:w="8320" w:type="dxa"/>
            <w:vAlign w:val="bottom"/>
            <w:tcBorders>
              <w:bottom w:val="single" w:sz="8" w:color="002060"/>
            </w:tcBorders>
          </w:tcPr>
          <w:p>
            <w:pPr>
              <w:ind w:left="540"/>
              <w:spacing w:after="0"/>
              <w:rPr>
                <w:sz w:val="20"/>
                <w:szCs w:val="20"/>
                <w:color w:val="auto"/>
              </w:rPr>
            </w:pPr>
            <w:r>
              <w:rPr>
                <w:rFonts w:ascii="Arial" w:cs="Arial" w:eastAsia="Arial" w:hAnsi="Arial"/>
                <w:sz w:val="18"/>
                <w:szCs w:val="18"/>
                <w:color w:val="auto"/>
              </w:rPr>
              <w:t>Equity compensation plans not approved by stockholders</w:t>
            </w:r>
          </w:p>
        </w:tc>
        <w:tc>
          <w:tcPr>
            <w:tcW w:w="270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8320" w:type="dxa"/>
            <w:vAlign w:val="bottom"/>
            <w:tcBorders>
              <w:bottom w:val="single" w:sz="8" w:color="002060"/>
            </w:tcBorders>
          </w:tcPr>
          <w:p>
            <w:pPr>
              <w:ind w:left="200"/>
              <w:spacing w:after="0"/>
              <w:rPr>
                <w:sz w:val="20"/>
                <w:szCs w:val="20"/>
                <w:color w:val="auto"/>
              </w:rPr>
            </w:pPr>
            <w:r>
              <w:rPr>
                <w:rFonts w:ascii="Arial" w:cs="Arial" w:eastAsia="Arial" w:hAnsi="Arial"/>
                <w:sz w:val="18"/>
                <w:szCs w:val="18"/>
                <w:color w:val="auto"/>
              </w:rPr>
              <w:t>Total</w:t>
            </w:r>
          </w:p>
        </w:tc>
        <w:tc>
          <w:tcPr>
            <w:tcW w:w="2700" w:type="dxa"/>
            <w:vAlign w:val="bottom"/>
            <w:tcBorders>
              <w:bottom w:val="single" w:sz="8" w:color="002060"/>
            </w:tcBorders>
            <w:shd w:val="clear" w:color="auto" w:fill="E5E5E5"/>
          </w:tcPr>
          <w:p>
            <w:pPr>
              <w:jc w:val="right"/>
              <w:spacing w:after="0"/>
              <w:rPr>
                <w:sz w:val="20"/>
                <w:szCs w:val="20"/>
                <w:color w:val="auto"/>
              </w:rPr>
            </w:pPr>
            <w:r>
              <w:rPr>
                <w:rFonts w:ascii="Arial" w:cs="Arial" w:eastAsia="Arial" w:hAnsi="Arial"/>
                <w:sz w:val="18"/>
                <w:szCs w:val="18"/>
                <w:color w:val="auto"/>
              </w:rPr>
              <w:t>1,689,231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471170</wp:posOffset>
            </wp:positionV>
            <wp:extent cx="5674995" cy="30092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674995" cy="300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40"/>
        <w:spacing w:after="0"/>
        <w:tabs>
          <w:tab w:leader="none" w:pos="660" w:val="left"/>
          <w:tab w:leader="none" w:pos="9040" w:val="left"/>
        </w:tabs>
        <w:rPr>
          <w:sz w:val="20"/>
          <w:szCs w:val="20"/>
          <w:color w:val="auto"/>
        </w:rPr>
      </w:pPr>
      <w:r>
        <w:rPr>
          <w:rFonts w:ascii="Arial" w:cs="Arial" w:eastAsia="Arial" w:hAnsi="Arial"/>
          <w:sz w:val="16"/>
          <w:szCs w:val="16"/>
          <w:color w:val="FFFFFF"/>
        </w:rPr>
        <w:t>86</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Stock Ownership Information</w:t>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460" w:right="800"/>
        <w:spacing w:after="0" w:line="284" w:lineRule="auto"/>
        <w:rPr>
          <w:sz w:val="20"/>
          <w:szCs w:val="20"/>
          <w:color w:val="auto"/>
        </w:rPr>
      </w:pPr>
      <w:r>
        <w:rPr>
          <w:rFonts w:ascii="Arial" w:cs="Arial" w:eastAsia="Arial" w:hAnsi="Arial"/>
          <w:sz w:val="40"/>
          <w:szCs w:val="40"/>
          <w:b w:val="1"/>
          <w:bCs w:val="1"/>
          <w:color w:val="0070C0"/>
        </w:rPr>
        <w:t>CERTAIN RELATIONSHIPS AND RELATED-PARTY TRANSACTIONS</w:t>
      </w:r>
    </w:p>
    <w:p>
      <w:pPr>
        <w:spacing w:after="0" w:line="278" w:lineRule="exact"/>
        <w:rPr>
          <w:sz w:val="20"/>
          <w:szCs w:val="20"/>
          <w:color w:val="auto"/>
        </w:rPr>
      </w:pPr>
    </w:p>
    <w:p>
      <w:pPr>
        <w:ind w:left="120" w:right="220"/>
        <w:spacing w:after="0" w:line="252" w:lineRule="auto"/>
        <w:rPr>
          <w:sz w:val="20"/>
          <w:szCs w:val="20"/>
          <w:color w:val="auto"/>
        </w:rPr>
      </w:pPr>
      <w:r>
        <w:rPr>
          <w:rFonts w:ascii="Arial" w:cs="Arial" w:eastAsia="Arial" w:hAnsi="Arial"/>
          <w:sz w:val="18"/>
          <w:szCs w:val="18"/>
          <w:i w:val="1"/>
          <w:iCs w:val="1"/>
          <w:color w:val="auto"/>
        </w:rPr>
        <w:t>Jeff Edwards, Peter Edwards Jr., Anne Edwards and Michael Edwards, and the investment entities through which they directly and indirectly beneficially own shares of our common stock, are referred to throughout this section as the Edwards Investors. Peter Edwards Jr., Anne Edwards and Michael Edwards are the siblings of Jeff Edwards.</w:t>
      </w:r>
    </w:p>
    <w:p>
      <w:pPr>
        <w:spacing w:after="0" w:line="3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Affiliate Sales</w:t>
      </w:r>
    </w:p>
    <w:p>
      <w:pPr>
        <w:spacing w:after="0" w:line="21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Our operating subsidiaries install building products in the ordinary course of their businesses to entities affiliated with certain of our directors and executive officers. These transactions are performed on terms comparable to those that could be obtained in an arm’s-length transaction with an unrelated third party. In 2022, these sales were to:</w:t>
      </w:r>
    </w:p>
    <w:p>
      <w:pPr>
        <w:spacing w:after="0" w:line="74" w:lineRule="exact"/>
        <w:rPr>
          <w:sz w:val="20"/>
          <w:szCs w:val="20"/>
          <w:color w:val="auto"/>
        </w:rPr>
      </w:pPr>
    </w:p>
    <w:p>
      <w:pPr>
        <w:ind w:left="540" w:hanging="208"/>
        <w:spacing w:after="0"/>
        <w:tabs>
          <w:tab w:leader="none" w:pos="540" w:val="left"/>
        </w:tabs>
        <w:numPr>
          <w:ilvl w:val="0"/>
          <w:numId w:val="58"/>
        </w:numPr>
        <w:rPr>
          <w:rFonts w:ascii="Arial" w:cs="Arial" w:eastAsia="Arial" w:hAnsi="Arial"/>
          <w:sz w:val="18"/>
          <w:szCs w:val="18"/>
          <w:color w:val="0070C0"/>
        </w:rPr>
      </w:pPr>
      <w:r>
        <w:rPr>
          <w:rFonts w:ascii="Arial" w:cs="Arial" w:eastAsia="Arial" w:hAnsi="Arial"/>
          <w:sz w:val="18"/>
          <w:szCs w:val="18"/>
          <w:color w:val="auto"/>
        </w:rPr>
        <w:t>Edwards Investors affiliates: $1,612,521</w:t>
      </w:r>
    </w:p>
    <w:p>
      <w:pPr>
        <w:spacing w:after="0" w:line="36" w:lineRule="exact"/>
        <w:rPr>
          <w:rFonts w:ascii="Arial" w:cs="Arial" w:eastAsia="Arial" w:hAnsi="Arial"/>
          <w:sz w:val="18"/>
          <w:szCs w:val="18"/>
          <w:color w:val="0070C0"/>
        </w:rPr>
      </w:pPr>
    </w:p>
    <w:p>
      <w:pPr>
        <w:ind w:left="540" w:hanging="208"/>
        <w:spacing w:after="0"/>
        <w:tabs>
          <w:tab w:leader="none" w:pos="540" w:val="left"/>
        </w:tabs>
        <w:numPr>
          <w:ilvl w:val="0"/>
          <w:numId w:val="58"/>
        </w:numPr>
        <w:rPr>
          <w:rFonts w:ascii="Arial" w:cs="Arial" w:eastAsia="Arial" w:hAnsi="Arial"/>
          <w:sz w:val="18"/>
          <w:szCs w:val="18"/>
          <w:color w:val="0070C0"/>
        </w:rPr>
      </w:pPr>
      <w:r>
        <w:rPr>
          <w:rFonts w:ascii="Arial" w:cs="Arial" w:eastAsia="Arial" w:hAnsi="Arial"/>
          <w:sz w:val="18"/>
          <w:szCs w:val="18"/>
          <w:color w:val="auto"/>
        </w:rPr>
        <w:t>Vikas Verma related entities: $668,854</w:t>
      </w:r>
    </w:p>
    <w:p>
      <w:pPr>
        <w:spacing w:after="0" w:line="36" w:lineRule="exact"/>
        <w:rPr>
          <w:rFonts w:ascii="Arial" w:cs="Arial" w:eastAsia="Arial" w:hAnsi="Arial"/>
          <w:sz w:val="18"/>
          <w:szCs w:val="18"/>
          <w:color w:val="0070C0"/>
        </w:rPr>
      </w:pPr>
    </w:p>
    <w:p>
      <w:pPr>
        <w:ind w:left="540" w:hanging="208"/>
        <w:spacing w:after="0"/>
        <w:tabs>
          <w:tab w:leader="none" w:pos="540" w:val="left"/>
        </w:tabs>
        <w:numPr>
          <w:ilvl w:val="0"/>
          <w:numId w:val="58"/>
        </w:numPr>
        <w:rPr>
          <w:rFonts w:ascii="Arial" w:cs="Arial" w:eastAsia="Arial" w:hAnsi="Arial"/>
          <w:sz w:val="18"/>
          <w:szCs w:val="18"/>
          <w:color w:val="0070C0"/>
        </w:rPr>
      </w:pPr>
      <w:r>
        <w:rPr>
          <w:rFonts w:ascii="Arial" w:cs="Arial" w:eastAsia="Arial" w:hAnsi="Arial"/>
          <w:sz w:val="18"/>
          <w:szCs w:val="18"/>
          <w:color w:val="auto"/>
        </w:rPr>
        <w:t>Robert H. Schottenstein affiliates: $10,501,651</w:t>
      </w: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Real Property Leases</w:t>
      </w:r>
    </w:p>
    <w:p>
      <w:pPr>
        <w:spacing w:after="0" w:line="216"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Prior to May 2017, we leased our headquarters in Columbus, Ohio from an entity affiliated with the Edwards Investors. In May 2017, the property was sold to an unrelated third party and our headquarters building is now under a master lease between the new owner and The Edwards Companies, LLC, an entity affiliated with the Edwards Investors, to which we pay rent payments. Base rent payments for 2022 were $606,776.</w:t>
      </w:r>
    </w:p>
    <w:p>
      <w:pPr>
        <w:spacing w:after="0" w:line="174"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We lease two branch locations in Columbus, Ohio from Peter H. Edwards, an immediate family member of the Edwards Investors. Base rent payments for 2022 were $229,601 and $124,446, respectively.</w:t>
      </w:r>
    </w:p>
    <w:p>
      <w:pPr>
        <w:spacing w:after="0" w:line="154"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We lease four locations – two in Marietta, Georgia, one in Charlotte, North Carolina and one in Universal City, Texas — from entities in which Vikas Verma, one of our directors, has a 75% interest. Base rent payments for 2022 were $69,556, $ 69,556, $84,949 and $173,028, respectively. One of the properties in Marietta, Georgia was sold to a third party unaffiliated with Mr. Verma in February 2022 and we vacated the other property located in Marietta, Georgia on December 31, 2022.</w:t>
      </w:r>
    </w:p>
    <w:p>
      <w:pPr>
        <w:spacing w:after="0" w:line="174"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auto"/>
        </w:rPr>
        <w:t>In each case under the applicable lease, we are also obligated to pay our proportionate share of certain common area maintenance charges, taxes, insurance premiums and other costs of operation, depending on the terms of the lease.</w:t>
      </w:r>
    </w:p>
    <w:p>
      <w:pPr>
        <w:spacing w:after="0" w:line="3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Estimating Agreement</w:t>
      </w:r>
    </w:p>
    <w:p>
      <w:pPr>
        <w:spacing w:after="0" w:line="216"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Alpha Insulation and Water Proofing Company and Alpha Insulation and Water Proofing, Inc., two of our subsidiaries, are parties to an Independent Contract Agreement for job estimating services with an entity in which Vikas Verma, one of our directors, has a 75% interest. In 2022, the annual fee under this agreement was $667,440, subject to adjustment if the number of estimating jobs exceeded a prescribed amount. Payments in 2022 under this contract totaled $667,440. The contract automatically renews from year to year unless either party provides notice of termination at least 180 days in advance of the expiration date.</w:t>
      </w:r>
    </w:p>
    <w:p>
      <w:pPr>
        <w:spacing w:after="0" w:line="3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Aircraft Lease</w:t>
      </w:r>
    </w:p>
    <w:p>
      <w:pPr>
        <w:spacing w:after="0" w:line="216"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In 2019, we entered into an aircraft lease agreement with an affiliate of the Edwards Investors, pursuant to which we lease the use of an aircraft for business travel on a non-priority basis. The lease agreement automatically renews every 29 days unless terminated on ten days’ notice by either party and is updated for current rental rate charges each year. In 2022, lease payments, including operating expenses, totaled $359,749.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79375</wp:posOffset>
            </wp:positionV>
            <wp:extent cx="291465" cy="2654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199"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Certain Relationships and Related-Party Transactions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87</w:t>
      </w:r>
    </w:p>
    <w:p>
      <w:pPr>
        <w:sectPr>
          <w:pgSz w:w="11900" w:h="16838" w:orient="portrait"/>
          <w:cols w:equalWidth="0" w:num="1">
            <w:col w:w="11120"/>
          </w:cols>
          <w:pgMar w:left="320" w:top="482"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Policies and Procedures for Related-Party Transactions</w:t>
      </w:r>
    </w:p>
    <w:p>
      <w:pPr>
        <w:spacing w:after="0" w:line="216"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Our Board of Directors has adopted a Related-Party Transaction Policy (“Policy”) for the review and approval or ratification of certain related-party transactions. The Policy is administered by the Audit Committee with the assistance of our General Counsel, Chief Financial Officer and Chief Accounting Officer.</w:t>
      </w:r>
    </w:p>
    <w:p>
      <w:pPr>
        <w:spacing w:after="0" w:line="169"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The Policy applies to any transaction, arrangement or relationship (or any series of similar transactions, arrangements or relationships) in which:</w:t>
      </w:r>
    </w:p>
    <w:p>
      <w:pPr>
        <w:spacing w:after="0" w:line="181" w:lineRule="exact"/>
        <w:rPr>
          <w:sz w:val="20"/>
          <w:szCs w:val="20"/>
          <w:color w:val="auto"/>
        </w:rPr>
      </w:pPr>
    </w:p>
    <w:p>
      <w:pPr>
        <w:ind w:left="1320" w:right="5420"/>
        <w:spacing w:after="0" w:line="276" w:lineRule="auto"/>
        <w:rPr>
          <w:sz w:val="20"/>
          <w:szCs w:val="20"/>
          <w:color w:val="auto"/>
        </w:rPr>
      </w:pPr>
      <w:r>
        <w:rPr>
          <w:rFonts w:ascii="Arial" w:cs="Arial" w:eastAsia="Arial" w:hAnsi="Arial"/>
          <w:sz w:val="17"/>
          <w:szCs w:val="17"/>
          <w:color w:val="auto"/>
        </w:rPr>
        <w:t>the Company or one of our subsidiaries is a participant; the amount involved exceeds $120,000; and</w:t>
      </w:r>
    </w:p>
    <w:p>
      <w:pPr>
        <w:ind w:left="880"/>
        <w:spacing w:after="0"/>
        <w:rPr>
          <w:sz w:val="20"/>
          <w:szCs w:val="20"/>
          <w:color w:val="auto"/>
        </w:rPr>
      </w:pPr>
      <w:r>
        <w:rPr>
          <w:rFonts w:ascii="Arial" w:cs="Arial" w:eastAsia="Arial" w:hAnsi="Arial"/>
          <w:sz w:val="18"/>
          <w:szCs w:val="18"/>
          <w:color w:val="auto"/>
        </w:rPr>
        <w:t>a Related Party (as defined below) had, has or will have a direct or indirect material interest.</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transaction meeting these criteria is a “Related-Party Transaction.”</w:t>
      </w:r>
    </w:p>
    <w:p>
      <w:pPr>
        <w:spacing w:after="0" w:line="212"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Under the Policy, a “Related Party” is any person who: (i) is, or, at any time since the beginning of our last fiscal year, was, a director, executive officer or director nominee, or an immediate family member of any such person; or (ii) is known by us to be the beneficial owner of more than 5% of our common stock, or an immediate family member of such person.</w:t>
      </w:r>
    </w:p>
    <w:p>
      <w:pPr>
        <w:spacing w:after="0" w:line="16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Prior to entering into a potential Related-Party Transaction, the Related Party (or the person whose immediate family member is the Related Party) or any member of management aware of the transaction must provide notice of the facts and circumstances of the proposed transaction to our General Counsel, Chief Financial Officer or Chief Accounting Officer, who will assess whether the proposed transaction is subject to the Policy. If it is determined that the proposed transaction is a Related-Party Transaction, it is submitted to the Audit Committee for consideration at its next meeting. If it is not practicable or desirable to wait until the next Audit Committee meeting, the transaction may be submitted to the Chair of the Audit Committee for consideration (with any action taken by the Chair reported to the Audit Committee at its next regular meeting).</w:t>
      </w:r>
    </w:p>
    <w:p>
      <w:pPr>
        <w:spacing w:after="0" w:line="185" w:lineRule="exact"/>
        <w:rPr>
          <w:sz w:val="20"/>
          <w:szCs w:val="20"/>
          <w:color w:val="auto"/>
        </w:rPr>
      </w:pPr>
    </w:p>
    <w:p>
      <w:pPr>
        <w:ind w:left="120" w:right="1140"/>
        <w:spacing w:after="0" w:line="271" w:lineRule="auto"/>
        <w:rPr>
          <w:sz w:val="20"/>
          <w:szCs w:val="20"/>
          <w:color w:val="auto"/>
        </w:rPr>
      </w:pPr>
      <w:r>
        <w:rPr>
          <w:rFonts w:ascii="Arial" w:cs="Arial" w:eastAsia="Arial" w:hAnsi="Arial"/>
          <w:sz w:val="18"/>
          <w:szCs w:val="18"/>
          <w:color w:val="auto"/>
        </w:rPr>
        <w:t>When considering a proposed Related-Party Transaction, the Audit Committee reviews all of the relevant available facts and circumstances, including:</w:t>
      </w:r>
    </w:p>
    <w:p>
      <w:pPr>
        <w:spacing w:after="0" w:line="181" w:lineRule="exact"/>
        <w:rPr>
          <w:sz w:val="20"/>
          <w:szCs w:val="20"/>
          <w:color w:val="auto"/>
        </w:rPr>
      </w:pPr>
    </w:p>
    <w:p>
      <w:pPr>
        <w:ind w:left="1320" w:right="6100"/>
        <w:spacing w:after="0" w:line="276" w:lineRule="auto"/>
        <w:rPr>
          <w:sz w:val="20"/>
          <w:szCs w:val="20"/>
          <w:color w:val="auto"/>
        </w:rPr>
      </w:pPr>
      <w:r>
        <w:rPr>
          <w:rFonts w:ascii="Arial" w:cs="Arial" w:eastAsia="Arial" w:hAnsi="Arial"/>
          <w:sz w:val="17"/>
          <w:szCs w:val="17"/>
          <w:color w:val="auto"/>
        </w:rPr>
        <w:t>the benefits of the transaction to the Company; any impact on a director’s independence;</w:t>
      </w:r>
    </w:p>
    <w:p>
      <w:pPr>
        <w:ind w:left="1320" w:right="3420"/>
        <w:spacing w:after="0" w:line="250" w:lineRule="auto"/>
        <w:rPr>
          <w:sz w:val="20"/>
          <w:szCs w:val="20"/>
          <w:color w:val="auto"/>
        </w:rPr>
      </w:pPr>
      <w:r>
        <w:rPr>
          <w:rFonts w:ascii="Arial" w:cs="Arial" w:eastAsia="Arial" w:hAnsi="Arial"/>
          <w:sz w:val="18"/>
          <w:szCs w:val="18"/>
          <w:color w:val="auto"/>
        </w:rPr>
        <w:t>the availability of other sellers or purchasers of comparable products or services; the terms of the transaction;</w:t>
      </w:r>
    </w:p>
    <w:p>
      <w:pPr>
        <w:ind w:left="1320" w:right="140"/>
        <w:spacing w:after="0" w:line="259" w:lineRule="auto"/>
        <w:rPr>
          <w:sz w:val="20"/>
          <w:szCs w:val="20"/>
          <w:color w:val="auto"/>
        </w:rPr>
      </w:pPr>
      <w:r>
        <w:rPr>
          <w:rFonts w:ascii="Arial" w:cs="Arial" w:eastAsia="Arial" w:hAnsi="Arial"/>
          <w:sz w:val="18"/>
          <w:szCs w:val="18"/>
          <w:color w:val="auto"/>
        </w:rPr>
        <w:t>whether</w:t>
      </w:r>
      <w:r>
        <w:rPr>
          <w:rFonts w:ascii="Arial" w:cs="Arial" w:eastAsia="Arial" w:hAnsi="Arial"/>
          <w:sz w:val="35"/>
          <w:szCs w:val="35"/>
          <w:color w:val="auto"/>
          <w:vertAlign w:val="subscript"/>
        </w:rPr>
        <w:t>and</w:t>
      </w:r>
      <w:r>
        <w:rPr>
          <w:rFonts w:ascii="Arial" w:cs="Arial" w:eastAsia="Arial" w:hAnsi="Arial"/>
          <w:sz w:val="18"/>
          <w:szCs w:val="18"/>
          <w:color w:val="auto"/>
        </w:rPr>
        <w:t xml:space="preserve"> the transaction is on terms comparable to those obtainable in an arm’s-length transaction with an unrelated party; the extent of the Related Party’s interest in the transaction.</w:t>
      </w:r>
    </w:p>
    <w:p>
      <w:pPr>
        <w:spacing w:after="0" w:line="161"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The Audit Committee will approve a Related-Party Transaction if it determines that the transaction is in, or is not inconsistent with, the best interests of the Company and our stockholders. No member of the Audit Committee may participate in the consideration or approval of a transaction as to which he or she or any member of his or her immediate family is the Related Party, but may participate in the discussion of the transaction at the Audit Committee meeting if requested by the Chair of the Audit Committee.</w:t>
      </w:r>
    </w:p>
    <w:p>
      <w:pPr>
        <w:spacing w:after="0" w:line="174"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The Related-Party Transaction Policy prohibits the Company from directly or indirectly extending or maintaining credit to, arranging for the extension of credit for, or renewing an extension of credit, in each case in the form of a personal loan, to any director or executive officer of the Company, except in the case of a trade receivable relating to work performed by the Company for the director or executive officer or an affiliate thereof in the ordinary course of the Company’s business on terms comparable to those that could be obtained in an arm’s length transaction with an unrelated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282575" cy="2660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82575" cy="266065"/>
                    </a:xfrm>
                    <a:prstGeom prst="rect">
                      <a:avLst/>
                    </a:prstGeom>
                    <a:noFill/>
                  </pic:spPr>
                </pic:pic>
              </a:graphicData>
            </a:graphic>
          </wp:anchor>
        </w:drawing>
      </w:r>
    </w:p>
    <w:p>
      <w:pPr>
        <w:spacing w:after="0" w:line="202" w:lineRule="exact"/>
        <w:rPr>
          <w:sz w:val="20"/>
          <w:szCs w:val="20"/>
          <w:color w:val="auto"/>
        </w:rPr>
      </w:pPr>
    </w:p>
    <w:p>
      <w:pPr>
        <w:ind w:left="240"/>
        <w:spacing w:after="0"/>
        <w:tabs>
          <w:tab w:leader="none" w:pos="660" w:val="left"/>
          <w:tab w:leader="none" w:pos="7260" w:val="left"/>
        </w:tabs>
        <w:rPr>
          <w:sz w:val="20"/>
          <w:szCs w:val="20"/>
          <w:color w:val="auto"/>
        </w:rPr>
      </w:pPr>
      <w:r>
        <w:rPr>
          <w:rFonts w:ascii="Arial" w:cs="Arial" w:eastAsia="Arial" w:hAnsi="Arial"/>
          <w:sz w:val="16"/>
          <w:szCs w:val="16"/>
          <w:color w:val="FFFFFF"/>
        </w:rPr>
        <w:t>88</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Certain Relationships and Related-Party Transactions</w:t>
      </w:r>
    </w:p>
    <w:p>
      <w:pPr>
        <w:sectPr>
          <w:pgSz w:w="11900" w:h="16838" w:orient="portrait"/>
          <w:cols w:equalWidth="0" w:num="1">
            <w:col w:w="11140"/>
          </w:cols>
          <w:pgMar w:left="320" w:top="482"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If a director or a member of management becomes aware of a Related-Party Transaction that has not been approved by the Audit Committee, he or she must promptly notify our General Counsel, Chief Financial Officer or Chief Accounting Officer. If the transaction is pending or ongoing, it is submitted to the Audit Committee for review, and the Audit Committee will consider the relevant facts and circumstances and evaluate all options, including ratification, amendment or termination of the transaction. If the transaction is completed, the Audit Committee will determine if rescission of the transaction and/or disciplinary action is appropriate.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the transactions described in this section were approved by the Audit Committee in accordance with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480695</wp:posOffset>
            </wp:positionV>
            <wp:extent cx="6643370" cy="49206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643370" cy="4920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Certain Relationships and Related-Party Transactions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89</w:t>
      </w:r>
    </w:p>
    <w:p>
      <w:pPr>
        <w:sectPr>
          <w:pgSz w:w="11900" w:h="16838" w:orient="portrait"/>
          <w:cols w:equalWidth="0" w:num="1">
            <w:col w:w="11060"/>
          </w:cols>
          <w:pgMar w:left="320" w:top="482" w:right="5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440" w:right="380"/>
        <w:spacing w:after="0" w:line="284" w:lineRule="auto"/>
        <w:rPr>
          <w:sz w:val="20"/>
          <w:szCs w:val="20"/>
          <w:color w:val="auto"/>
        </w:rPr>
      </w:pPr>
      <w:r>
        <w:rPr>
          <w:rFonts w:ascii="Arial" w:cs="Arial" w:eastAsia="Arial" w:hAnsi="Arial"/>
          <w:sz w:val="40"/>
          <w:szCs w:val="40"/>
          <w:b w:val="1"/>
          <w:bCs w:val="1"/>
          <w:color w:val="0070C0"/>
        </w:rPr>
        <w:t>STOCKHOLDER PROPOSALS FOR THE 2024 ANNUAL MEETING</w:t>
      </w:r>
    </w:p>
    <w:p>
      <w:pPr>
        <w:spacing w:after="0" w:line="276"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Pursuant to SEC rules, if a stockholder wishes to present a proposal to be included in our proxy statement for our 2024 Annual Meeting of Stockholders (the “2024 Annual Meeting”), the proposal must be received in writing by our Corporate Secretary at Installed Building Products, Inc., 495 South High Street, Suite 50, Columbus, Ohio 43215 no later than December 15, 2023. Any such proposal may be included in our 2024 proxy statement if it complies with SEC rules.</w:t>
      </w:r>
    </w:p>
    <w:p>
      <w:pPr>
        <w:spacing w:after="0" w:line="174"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 order to nominate a candidate for director at our 2024 Annual Meeting or to bring any other business before the 2024 Annual Meeting not to be included in our proxy statement, stockholders must comply with our Bylaws, which provide that stockholders wishing to nominate a candidate for director or to bring any other business before the 2024 Annual Meeting must provide notice no earlier than the close of business on January 26, 2024, and no later than the close of business on February 26, 2024. If the 2024 Annual Meeting is more than 30 days before, or more than 70 days after, the anniversary of this Annual Meeting, then notice must be received no earlier than the close of business 120 days prior to the 2024 Annual Meeting and no later than the close of business 90 days prior to the 2024 Annual Meeting (or 10 days following the date on which we publicly disclose the date of the 2024 Annual Meeting). If a stockholder does not meet these deadlines, or does not satisfy the requirements of Rule 14a-4 of the Exchange Act, proxies solicited by the Board for the 2024 Annual Meeting will confer discretionary authority to vote on such proposal if the matter is raised at the Annual Meeting. All stockholder nominations and proposals must set forth the information specified in our Bylaws and must be submitted in writing to our Corporate Secretary, Installed Building Products, Inc., 495 South High Street, Suite 50, Columbus, Ohio 43215.</w:t>
      </w:r>
    </w:p>
    <w:p>
      <w:pPr>
        <w:spacing w:after="0" w:line="186"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Under our Bylaws, if the number of directors to be elected at an annual meeting of stockholders is increased and we do not make a public announcement naming the nominees for the additional directorship(s) at least 100 days prior to the anniversary of the previous year’s annual meeting, a stockholder nomination with respect to the additional directorship(s) shall be considered timely if delivered to our Corporate Secretary no later than 10 days following the date when we publicly announce the increase in the number of directors.</w:t>
      </w:r>
    </w:p>
    <w:p>
      <w:pPr>
        <w:spacing w:after="0" w:line="174" w:lineRule="exact"/>
        <w:rPr>
          <w:sz w:val="20"/>
          <w:szCs w:val="20"/>
          <w:color w:val="auto"/>
        </w:rPr>
      </w:pPr>
    </w:p>
    <w:p>
      <w:pPr>
        <w:jc w:val="both"/>
        <w:ind w:left="120" w:right="320"/>
        <w:spacing w:after="0" w:line="253" w:lineRule="auto"/>
        <w:rPr>
          <w:sz w:val="20"/>
          <w:szCs w:val="20"/>
          <w:color w:val="auto"/>
        </w:rPr>
      </w:pPr>
      <w:r>
        <w:rPr>
          <w:rFonts w:ascii="Arial" w:cs="Arial" w:eastAsia="Arial" w:hAnsi="Arial"/>
          <w:sz w:val="18"/>
          <w:szCs w:val="18"/>
          <w:color w:val="auto"/>
        </w:rPr>
        <w:t>In addition to satisfying the foregoing requirements under the Company’s bylaws, to comply with the universal proxy rules stockholders who intend to solicit proxies in support of director nominees other than the Company’s nominees must provide notice that sets forth the information required by Rule 14a-19 under the Exchange Act no later than March 26, 2024.</w:t>
      </w:r>
    </w:p>
    <w:p>
      <w:pPr>
        <w:spacing w:after="0" w:line="169"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 xml:space="preserve">A copy of our Bylaws may be obtained without charge from our Corporate Secretary at Installed Building Products, Inc., 495 South High Street, Suite 50, Columbus, Ohio 43215, or may be found on our website at </w:t>
      </w:r>
      <w:r>
        <w:rPr>
          <w:rFonts w:ascii="Arial" w:cs="Arial" w:eastAsia="Arial" w:hAnsi="Arial"/>
          <w:sz w:val="18"/>
          <w:szCs w:val="18"/>
          <w:i w:val="1"/>
          <w:iCs w:val="1"/>
          <w:u w:val="single" w:color="auto"/>
          <w:color w:val="0070C0"/>
        </w:rPr>
        <w:t>www.installedbuildingproducts.com</w:t>
      </w:r>
      <w:r>
        <w:rPr>
          <w:rFonts w:ascii="Arial" w:cs="Arial" w:eastAsia="Arial" w:hAnsi="Arial"/>
          <w:sz w:val="18"/>
          <w:szCs w:val="18"/>
          <w:color w:val="auto"/>
        </w:rPr>
        <w:t xml:space="preserve"> under the “Investors” section. A nomination or proposal that does not comply with our Bylaws and/or applicable SEC rules will be excluded from our proxy materials in accordance with applicable SEC rules. Compliance with the above procedures does not necessarily require us to include the proposed nominee or proposal in our proxy materials. We reserve the right to omit from our proxy statements any proposals that we are not required to include under applicable SEC rules. Please carefully review our Bylaws and applicable SEC rules prior to submitting any nominations or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282575" cy="26543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82575" cy="265430"/>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-667385</wp:posOffset>
            </wp:positionV>
            <wp:extent cx="3175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210" w:lineRule="exact"/>
        <w:rPr>
          <w:sz w:val="20"/>
          <w:szCs w:val="20"/>
          <w:color w:val="auto"/>
        </w:rPr>
      </w:pPr>
    </w:p>
    <w:p>
      <w:pPr>
        <w:ind w:left="240"/>
        <w:spacing w:after="0"/>
        <w:tabs>
          <w:tab w:leader="none" w:pos="660" w:val="left"/>
          <w:tab w:leader="none" w:pos="7420" w:val="left"/>
        </w:tabs>
        <w:rPr>
          <w:sz w:val="20"/>
          <w:szCs w:val="20"/>
          <w:color w:val="auto"/>
        </w:rPr>
      </w:pPr>
      <w:r>
        <w:rPr>
          <w:rFonts w:ascii="Arial" w:cs="Arial" w:eastAsia="Arial" w:hAnsi="Arial"/>
          <w:sz w:val="16"/>
          <w:szCs w:val="16"/>
          <w:color w:val="FFFFFF"/>
        </w:rPr>
        <w:t>90</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Stockholder Proposals for the 2024 Annual Meeting</w:t>
      </w:r>
    </w:p>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40"/>
          <w:szCs w:val="40"/>
          <w:b w:val="1"/>
          <w:bCs w:val="1"/>
          <w:color w:val="0070C0"/>
        </w:rPr>
        <w:t>ADDITIONAL INFORMATION</w:t>
      </w: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Householding of Proxy Materials</w:t>
      </w:r>
    </w:p>
    <w:p>
      <w:pPr>
        <w:spacing w:after="0" w:line="216"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The SEC has adopted a “householding” rule concerning the delivery of proxy materials, which reduce printing and postage costs. “Householding” means that stockholders with the same last name and address will receive only one copy of the proxy materials unless we receive instructions to the contrary from any stockholder at that address. We will promptly deliver upon request a separate copy of our proxy materials to a stockholder at a shared address. A stockholder who wishes to receive a separate copy of our proxy materials, or wishes to stop receiving separate copies of such materials, may make a request by writing to Computershare Investor Services, P.O. Box 43006, Providence, Rhode Island 02940-3006 or by calling (781) 575-3100.</w:t>
      </w:r>
    </w:p>
    <w:p>
      <w:pPr>
        <w:spacing w:after="0" w:line="17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A number of brokerage firms have also instituted householding. If you and members of your household have multiple accounts holding shares of our common stock, you may have received a householding notification from your broker, bank or other nominee. Please contact that organization if you have questions, require additional copies of our proxy materials or wish to revoke your decision to household.</w:t>
      </w:r>
    </w:p>
    <w:p>
      <w:pPr>
        <w:spacing w:after="0" w:line="3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Incorporation by Reference</w:t>
      </w:r>
    </w:p>
    <w:p>
      <w:pPr>
        <w:spacing w:after="0" w:line="216"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Neither the Compensation and Human Capital Committee Report nor the Audit Committee Report included in this Proxy Statement is “soliciting material,” and is not deemed filed with the SEC. Neither shall be deemed incorporated by reference into any prior or future filings made by us with the SEC irrespective of any general incorporation language, except to the extent that we specifically incorporate such information by reference. This Proxy Statement includes several website addresses, which are intended to provide textual references only. Information contained on our website, or any website that is linked or otherwise referenced herein, is not incorporated into, or a part of this Proxy Statement.</w:t>
      </w:r>
    </w:p>
    <w:p>
      <w:pPr>
        <w:spacing w:after="0" w:line="38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Forward Looking Statements</w:t>
      </w:r>
    </w:p>
    <w:p>
      <w:pPr>
        <w:spacing w:after="0" w:line="21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This Proxy Statement contains forward-looking statements, including with respect to the housing industry, our operations, our ESG initiatives, and our business model. These statements are based on management’s current expectations, beliefs, estimates and projections. These statements are not guarantees and are subject to certain uncertainties and other factors, many of which are beyond the Company’s control, including local, state and federal laws and economic conditions that may impact our operations or ESG-related performance. Please refer to our Annual Report on Form 10-K for the year ended December 31, 2022, including the sections captioned “Risk Factors” and “Information regarding Forward-Looking Statements and Risk Factors Summary” for a description of the risks and uncertainties related to the forward-looking statements included herein. Our actual performance, including the development or of any program or initiative may differ materially in the future. Forward-looking and other statements in this Proxy Statement regarding our ESG and sustainability plans and goals are not an indication that these statements are material to investors or required to be disclosed in our filings with the SEC. Historical, current, and forward-looking ESG and sustainability-related statements may be based on standards for measuring progress that are still developing, internal controls and processes that continue to evolve, and assumptions that are subject to change in the future.</w:t>
      </w:r>
    </w:p>
    <w:p>
      <w:pPr>
        <w:spacing w:after="0" w:line="38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Availability of SEC Filings, Code of Ethics and Committee Charters</w:t>
      </w:r>
    </w:p>
    <w:p>
      <w:pPr>
        <w:spacing w:after="0" w:line="216"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 xml:space="preserve">Copies of our reports filed with the SEC on Forms 10-K, 10-Q and 8-K, and any amendments to those reports, as well as copies of our Code of Business Conduct and Ethics, the charters of our Board committees and reports of beneficial ownership of our common stock filed by executive officers, directors and beneficial owners of more than 10% of our outstanding common stock are posted on our website at </w:t>
      </w:r>
      <w:r>
        <w:rPr>
          <w:rFonts w:ascii="Arial" w:cs="Arial" w:eastAsia="Arial" w:hAnsi="Arial"/>
          <w:sz w:val="18"/>
          <w:szCs w:val="18"/>
          <w:i w:val="1"/>
          <w:iCs w:val="1"/>
          <w:u w:val="single" w:color="auto"/>
          <w:color w:val="0070C0"/>
        </w:rPr>
        <w:t>www.installedbuildingsproducts.com</w:t>
      </w:r>
      <w:r>
        <w:rPr>
          <w:rFonts w:ascii="Arial" w:cs="Arial" w:eastAsia="Arial" w:hAnsi="Arial"/>
          <w:sz w:val="18"/>
          <w:szCs w:val="18"/>
          <w:color w:val="auto"/>
        </w:rPr>
        <w:t xml:space="preserve"> under the “Investors” section, or may be requested at no cost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79375</wp:posOffset>
            </wp:positionV>
            <wp:extent cx="291465" cy="2660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91465" cy="266065"/>
                    </a:xfrm>
                    <a:prstGeom prst="rect">
                      <a:avLst/>
                    </a:prstGeom>
                    <a:noFill/>
                  </pic:spPr>
                </pic:pic>
              </a:graphicData>
            </a:graphic>
          </wp:anchor>
        </w:drawing>
      </w:r>
    </w:p>
    <w:p>
      <w:pPr>
        <w:spacing w:after="0" w:line="199"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Additional Information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91</w:t>
      </w:r>
    </w:p>
    <w:p>
      <w:pPr>
        <w:sectPr>
          <w:pgSz w:w="11900" w:h="16838" w:orient="portrait"/>
          <w:cols w:equalWidth="0" w:num="1">
            <w:col w:w="11120"/>
          </w:cols>
          <w:pgMar w:left="320" w:top="482"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right="280"/>
        <w:spacing w:after="0" w:line="247" w:lineRule="auto"/>
        <w:rPr>
          <w:sz w:val="20"/>
          <w:szCs w:val="20"/>
          <w:color w:val="auto"/>
        </w:rPr>
      </w:pPr>
      <w:r>
        <w:rPr>
          <w:rFonts w:ascii="Arial" w:cs="Arial" w:eastAsia="Arial" w:hAnsi="Arial"/>
          <w:sz w:val="18"/>
          <w:szCs w:val="18"/>
          <w:color w:val="auto"/>
        </w:rPr>
        <w:t xml:space="preserve">telephone at (614) 221-3399, by email at </w:t>
      </w:r>
      <w:r>
        <w:rPr>
          <w:rFonts w:ascii="Arial" w:cs="Arial" w:eastAsia="Arial" w:hAnsi="Arial"/>
          <w:sz w:val="18"/>
          <w:szCs w:val="18"/>
          <w:i w:val="1"/>
          <w:iCs w:val="1"/>
          <w:u w:val="single" w:color="auto"/>
          <w:color w:val="0070C0"/>
        </w:rPr>
        <w:t>InvestorRelations@installed.net</w:t>
      </w:r>
      <w:r>
        <w:rPr>
          <w:rFonts w:ascii="Arial" w:cs="Arial" w:eastAsia="Arial" w:hAnsi="Arial"/>
          <w:sz w:val="18"/>
          <w:szCs w:val="18"/>
          <w:color w:val="auto"/>
        </w:rPr>
        <w:t xml:space="preserve"> or by mail at Installed Building Products, Inc., 495 South High Street, Suite 50, Columbus, Ohio 43215, Attention: Investor Relations. We will furnish, without charge, a copy of our Form 10-K to our stockholders of record as of the record date upon written request to: Installed Building Products, Inc., 495 South High Street, Suite 50, Columbus, Ohio 43215, Attention: Investor Relations.</w:t>
      </w:r>
    </w:p>
    <w:p>
      <w:pPr>
        <w:spacing w:after="0" w:line="3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2060"/>
        </w:rPr>
        <w:t>Use of Non-GAAP Financial Measures</w:t>
      </w:r>
    </w:p>
    <w:p>
      <w:pPr>
        <w:spacing w:after="0" w:line="216" w:lineRule="exact"/>
        <w:rPr>
          <w:sz w:val="20"/>
          <w:szCs w:val="20"/>
          <w:color w:val="auto"/>
        </w:rPr>
      </w:pPr>
    </w:p>
    <w:p>
      <w:pPr>
        <w:ind w:left="120" w:right="480"/>
        <w:spacing w:after="0" w:line="253" w:lineRule="auto"/>
        <w:rPr>
          <w:sz w:val="20"/>
          <w:szCs w:val="20"/>
          <w:color w:val="auto"/>
        </w:rPr>
      </w:pPr>
      <w:r>
        <w:rPr>
          <w:rFonts w:ascii="Arial" w:cs="Arial" w:eastAsia="Arial" w:hAnsi="Arial"/>
          <w:sz w:val="18"/>
          <w:szCs w:val="18"/>
          <w:color w:val="auto"/>
        </w:rPr>
        <w:t>This Proxy Statement contains the non-GAAP financial measure of Adjusted EBITDA which is not calculated in accordance with U.S. generally accepted accounting principles (“GAAP”). The reasons for the use of this measure to the most directly comparable GAAP measure and other information relating to this measure are included below.</w:t>
      </w:r>
    </w:p>
    <w:p>
      <w:pPr>
        <w:spacing w:after="0" w:line="169"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Adjusted EBITDA measures performance by adjusting EBITDA for certain income or expense items that are not considered part of our core operations. We believe that this measure assists both management and the Compensation and Human Capital Committee in analyzing and benchmarking the performance and value of our business and the performance of our executive team.</w:t>
      </w:r>
    </w:p>
    <w:p>
      <w:pPr>
        <w:spacing w:after="0" w:line="169"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We believe the Adjusted EBITDA measure is useful to investors and to us as a measure of comparative operating performance from period to period as it measures our changes in pricing decisions, cost controls and other factors that impact operating performance, and removes the effect of our capital structure (primarily interest expense), asset base (primarily depreciation and amortization), items outside our control (primarily income taxes) and the volatility related to the timing and extent of other activities such as asset impairments and non-core income and expenses. Accordingly, we believe that this measure is useful for comparing general operating performance from period to period. In addition, we use various EBITDA-based measures in determining the achievement of awards under certain of our incentive compensation programs. Other companies may define Adjusted EBITDA differently and, as a result, our measure may not be directly comparable to measures of other companies. In addition, Adjusted EBITDA may be defined differently for purposes of covenants contained in our revolving credit facility or any future facility.</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255"/>
        </w:trPr>
        <w:tc>
          <w:tcPr>
            <w:tcW w:w="6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 in thousands)</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CCEEFF"/>
            </w:tcBorders>
          </w:tcPr>
          <w:p>
            <w:pPr>
              <w:spacing w:after="0"/>
              <w:rPr>
                <w:sz w:val="22"/>
                <w:szCs w:val="22"/>
                <w:color w:val="auto"/>
              </w:rPr>
            </w:pPr>
          </w:p>
        </w:tc>
      </w:tr>
      <w:tr>
        <w:trPr>
          <w:trHeight w:val="243"/>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52"/>
        </w:trPr>
        <w:tc>
          <w:tcPr>
            <w:tcW w:w="6620" w:type="dxa"/>
            <w:vAlign w:val="bottom"/>
          </w:tcPr>
          <w:p>
            <w:pPr>
              <w:ind w:left="60"/>
              <w:spacing w:after="0"/>
              <w:rPr>
                <w:sz w:val="20"/>
                <w:szCs w:val="20"/>
                <w:color w:val="auto"/>
              </w:rPr>
            </w:pPr>
            <w:r>
              <w:rPr>
                <w:rFonts w:ascii="Arial" w:cs="Arial" w:eastAsia="Arial" w:hAnsi="Arial"/>
                <w:sz w:val="18"/>
                <w:szCs w:val="18"/>
                <w:color w:val="auto"/>
              </w:rPr>
              <w:t>Net income, as reported</w:t>
            </w: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223,428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118,763</w:t>
            </w:r>
          </w:p>
        </w:tc>
        <w:tc>
          <w:tcPr>
            <w:tcW w:w="40" w:type="dxa"/>
            <w:vAlign w:val="bottom"/>
          </w:tcPr>
          <w:p>
            <w:pPr>
              <w:spacing w:after="0"/>
              <w:rPr>
                <w:sz w:val="21"/>
                <w:szCs w:val="21"/>
                <w:color w:val="auto"/>
              </w:rPr>
            </w:pPr>
          </w:p>
        </w:tc>
      </w:tr>
      <w:tr>
        <w:trPr>
          <w:trHeight w:val="261"/>
        </w:trPr>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41,574</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32,842</w:t>
            </w:r>
          </w:p>
        </w:tc>
        <w:tc>
          <w:tcPr>
            <w:tcW w:w="40" w:type="dxa"/>
            <w:vAlign w:val="bottom"/>
            <w:shd w:val="clear" w:color="auto" w:fill="CCEEFF"/>
          </w:tcPr>
          <w:p>
            <w:pPr>
              <w:spacing w:after="0"/>
              <w:rPr>
                <w:sz w:val="22"/>
                <w:szCs w:val="22"/>
                <w:color w:val="auto"/>
              </w:rPr>
            </w:pPr>
          </w:p>
        </w:tc>
      </w:tr>
      <w:tr>
        <w:trPr>
          <w:trHeight w:val="252"/>
        </w:trPr>
        <w:tc>
          <w:tcPr>
            <w:tcW w:w="6620" w:type="dxa"/>
            <w:vAlign w:val="bottom"/>
          </w:tcPr>
          <w:p>
            <w:pPr>
              <w:ind w:left="200"/>
              <w:spacing w:after="0"/>
              <w:rPr>
                <w:sz w:val="20"/>
                <w:szCs w:val="20"/>
                <w:color w:val="auto"/>
              </w:rPr>
            </w:pPr>
            <w:r>
              <w:rPr>
                <w:rFonts w:ascii="Arial" w:cs="Arial" w:eastAsia="Arial" w:hAnsi="Arial"/>
                <w:sz w:val="18"/>
                <w:szCs w:val="18"/>
                <w:color w:val="auto"/>
              </w:rPr>
              <w:t>Provision for income tax</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79,879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36,712</w:t>
            </w:r>
          </w:p>
        </w:tc>
        <w:tc>
          <w:tcPr>
            <w:tcW w:w="40" w:type="dxa"/>
            <w:vAlign w:val="bottom"/>
          </w:tcPr>
          <w:p>
            <w:pPr>
              <w:spacing w:after="0"/>
              <w:rPr>
                <w:sz w:val="21"/>
                <w:szCs w:val="21"/>
                <w:color w:val="auto"/>
              </w:rPr>
            </w:pPr>
          </w:p>
        </w:tc>
      </w:tr>
      <w:tr>
        <w:trPr>
          <w:trHeight w:val="268"/>
        </w:trPr>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91,045</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80,641</w:t>
            </w:r>
          </w:p>
        </w:tc>
        <w:tc>
          <w:tcPr>
            <w:tcW w:w="40" w:type="dxa"/>
            <w:vAlign w:val="bottom"/>
            <w:shd w:val="clear" w:color="auto" w:fill="CCEEFF"/>
          </w:tcPr>
          <w:p>
            <w:pPr>
              <w:spacing w:after="0"/>
              <w:rPr>
                <w:sz w:val="23"/>
                <w:szCs w:val="23"/>
                <w:color w:val="auto"/>
              </w:rPr>
            </w:pPr>
          </w:p>
        </w:tc>
      </w:tr>
      <w:tr>
        <w:trPr>
          <w:trHeight w:val="277"/>
        </w:trPr>
        <w:tc>
          <w:tcPr>
            <w:tcW w:w="6620" w:type="dxa"/>
            <w:vAlign w:val="bottom"/>
          </w:tcPr>
          <w:p>
            <w:pPr>
              <w:ind w:left="60"/>
              <w:spacing w:after="0"/>
              <w:rPr>
                <w:sz w:val="20"/>
                <w:szCs w:val="20"/>
                <w:color w:val="auto"/>
              </w:rPr>
            </w:pPr>
            <w:r>
              <w:rPr>
                <w:rFonts w:ascii="Arial" w:cs="Arial" w:eastAsia="Arial" w:hAnsi="Arial"/>
                <w:sz w:val="18"/>
                <w:szCs w:val="18"/>
                <w:color w:val="auto"/>
              </w:rPr>
              <w:t>EBITDA</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435,926</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268,958</w:t>
            </w:r>
          </w:p>
        </w:tc>
        <w:tc>
          <w:tcPr>
            <w:tcW w:w="40" w:type="dxa"/>
            <w:vAlign w:val="bottom"/>
          </w:tcPr>
          <w:p>
            <w:pPr>
              <w:spacing w:after="0"/>
              <w:rPr>
                <w:sz w:val="24"/>
                <w:szCs w:val="24"/>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related expenses</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3,827</w:t>
            </w:r>
          </w:p>
        </w:tc>
        <w:tc>
          <w:tcPr>
            <w:tcW w:w="40" w:type="dxa"/>
            <w:vAlign w:val="bottom"/>
            <w:shd w:val="clear" w:color="auto" w:fill="CCEEFF"/>
          </w:tcPr>
          <w:p>
            <w:pPr>
              <w:spacing w:after="0"/>
              <w:rPr>
                <w:sz w:val="21"/>
                <w:szCs w:val="21"/>
                <w:color w:val="auto"/>
              </w:rPr>
            </w:pPr>
          </w:p>
        </w:tc>
      </w:tr>
      <w:tr>
        <w:trPr>
          <w:trHeight w:val="252"/>
        </w:trPr>
        <w:tc>
          <w:tcPr>
            <w:tcW w:w="6620" w:type="dxa"/>
            <w:vAlign w:val="bottom"/>
          </w:tcPr>
          <w:p>
            <w:pPr>
              <w:ind w:left="200"/>
              <w:spacing w:after="0"/>
              <w:rPr>
                <w:sz w:val="20"/>
                <w:szCs w:val="20"/>
                <w:color w:val="auto"/>
              </w:rPr>
            </w:pPr>
            <w:r>
              <w:rPr>
                <w:rFonts w:ascii="Arial" w:cs="Arial" w:eastAsia="Arial" w:hAnsi="Arial"/>
                <w:sz w:val="18"/>
                <w:szCs w:val="18"/>
                <w:color w:val="auto"/>
              </w:rPr>
              <w:t>Gains on acquisition earnouts</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(16,109)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(1,035)</w:t>
            </w:r>
          </w:p>
        </w:tc>
        <w:tc>
          <w:tcPr>
            <w:tcW w:w="40" w:type="dxa"/>
            <w:vAlign w:val="bottom"/>
          </w:tcPr>
          <w:p>
            <w:pPr>
              <w:spacing w:after="0"/>
              <w:rPr>
                <w:sz w:val="21"/>
                <w:szCs w:val="21"/>
                <w:color w:val="auto"/>
              </w:rPr>
            </w:pPr>
          </w:p>
        </w:tc>
      </w:tr>
      <w:tr>
        <w:trPr>
          <w:trHeight w:val="261"/>
        </w:trPr>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based compensation expense</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13,818</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13,752</w:t>
            </w:r>
          </w:p>
        </w:tc>
        <w:tc>
          <w:tcPr>
            <w:tcW w:w="40" w:type="dxa"/>
            <w:vAlign w:val="bottom"/>
            <w:shd w:val="clear" w:color="auto" w:fill="CCEEFF"/>
          </w:tcPr>
          <w:p>
            <w:pPr>
              <w:spacing w:after="0"/>
              <w:rPr>
                <w:sz w:val="22"/>
                <w:szCs w:val="22"/>
                <w:color w:val="auto"/>
              </w:rPr>
            </w:pPr>
          </w:p>
        </w:tc>
      </w:tr>
      <w:tr>
        <w:trPr>
          <w:trHeight w:val="252"/>
        </w:trPr>
        <w:tc>
          <w:tcPr>
            <w:tcW w:w="6620" w:type="dxa"/>
            <w:vAlign w:val="bottom"/>
          </w:tcPr>
          <w:p>
            <w:pPr>
              <w:ind w:left="200"/>
              <w:spacing w:after="0"/>
              <w:rPr>
                <w:sz w:val="20"/>
                <w:szCs w:val="20"/>
                <w:color w:val="auto"/>
              </w:rPr>
            </w:pPr>
            <w:r>
              <w:rPr>
                <w:rFonts w:ascii="Arial" w:cs="Arial" w:eastAsia="Arial" w:hAnsi="Arial"/>
                <w:sz w:val="18"/>
                <w:szCs w:val="18"/>
                <w:color w:val="auto"/>
              </w:rPr>
              <w:t>COVID-19 expenses(1)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437</w:t>
            </w:r>
          </w:p>
        </w:tc>
        <w:tc>
          <w:tcPr>
            <w:tcW w:w="40" w:type="dxa"/>
            <w:vAlign w:val="bottom"/>
          </w:tcPr>
          <w:p>
            <w:pPr>
              <w:spacing w:after="0"/>
              <w:rPr>
                <w:sz w:val="21"/>
                <w:szCs w:val="21"/>
                <w:color w:val="auto"/>
              </w:rPr>
            </w:pPr>
          </w:p>
        </w:tc>
      </w:tr>
      <w:tr>
        <w:trPr>
          <w:trHeight w:val="261"/>
        </w:trPr>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assets</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40" w:type="dxa"/>
            <w:vAlign w:val="bottom"/>
            <w:shd w:val="clear" w:color="auto" w:fill="CCEEFF"/>
          </w:tcPr>
          <w:p>
            <w:pPr>
              <w:spacing w:after="0"/>
              <w:rPr>
                <w:sz w:val="22"/>
                <w:szCs w:val="22"/>
                <w:color w:val="auto"/>
              </w:rPr>
            </w:pPr>
          </w:p>
        </w:tc>
      </w:tr>
      <w:tr>
        <w:trPr>
          <w:trHeight w:val="263"/>
        </w:trPr>
        <w:tc>
          <w:tcPr>
            <w:tcW w:w="6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Legal reserve</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2,345</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2"/>
                <w:szCs w:val="22"/>
                <w:color w:val="auto"/>
              </w:rPr>
            </w:pPr>
          </w:p>
        </w:tc>
      </w:tr>
      <w:tr>
        <w:trPr>
          <w:trHeight w:val="277"/>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439,284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285,440</w:t>
            </w:r>
          </w:p>
        </w:tc>
        <w:tc>
          <w:tcPr>
            <w:tcW w:w="40" w:type="dxa"/>
            <w:vAlign w:val="bottom"/>
            <w:shd w:val="clear" w:color="auto" w:fill="CCEEFF"/>
          </w:tcPr>
          <w:p>
            <w:pPr>
              <w:spacing w:after="0"/>
              <w:rPr>
                <w:sz w:val="24"/>
                <w:szCs w:val="24"/>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Addback of employee pay, employee medical expenses and legal fees directly attributable to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282575" cy="2654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237" w:lineRule="exact"/>
        <w:rPr>
          <w:sz w:val="20"/>
          <w:szCs w:val="20"/>
          <w:color w:val="auto"/>
        </w:rPr>
      </w:pPr>
    </w:p>
    <w:p>
      <w:pPr>
        <w:ind w:left="240"/>
        <w:spacing w:after="0"/>
        <w:tabs>
          <w:tab w:leader="none" w:pos="660" w:val="left"/>
          <w:tab w:leader="none" w:pos="9540" w:val="left"/>
        </w:tabs>
        <w:rPr>
          <w:sz w:val="20"/>
          <w:szCs w:val="20"/>
          <w:color w:val="auto"/>
        </w:rPr>
      </w:pPr>
      <w:r>
        <w:rPr>
          <w:rFonts w:ascii="Arial" w:cs="Arial" w:eastAsia="Arial" w:hAnsi="Arial"/>
          <w:sz w:val="16"/>
          <w:szCs w:val="16"/>
          <w:color w:val="FFFFFF"/>
        </w:rPr>
        <w:t>92</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Additional Information</w:t>
      </w:r>
    </w:p>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40"/>
          <w:szCs w:val="40"/>
          <w:b w:val="1"/>
          <w:bCs w:val="1"/>
          <w:color w:val="0070C0"/>
        </w:rPr>
        <w:t>FREQUENTLY ASKED QUESTIONS</w:t>
      </w:r>
    </w:p>
    <w:p>
      <w:pPr>
        <w:spacing w:after="0" w:line="200" w:lineRule="exact"/>
        <w:rPr>
          <w:sz w:val="20"/>
          <w:szCs w:val="20"/>
          <w:color w:val="auto"/>
        </w:rPr>
      </w:pPr>
    </w:p>
    <w:p>
      <w:pPr>
        <w:spacing w:after="0" w:line="246"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Several of the questions and answers below refer to “stockholder of record” or “beneficial owner.” If your shares were registered directly in your name with our transfer agent on the record date, then you are a “stockholder of record” with respect to those shares. If your shares were held in an account at a brokerage firm, bank or other nominee on the record date, then you are a “beneficial owner” of those shares.</w:t>
      </w:r>
    </w:p>
    <w:p>
      <w:pPr>
        <w:spacing w:after="0" w:line="181" w:lineRule="exact"/>
        <w:rPr>
          <w:sz w:val="20"/>
          <w:szCs w:val="20"/>
          <w:color w:val="auto"/>
        </w:rPr>
      </w:pPr>
    </w:p>
    <w:p>
      <w:pPr>
        <w:ind w:left="660" w:hanging="544"/>
        <w:spacing w:after="0"/>
        <w:tabs>
          <w:tab w:leader="none" w:pos="660" w:val="left"/>
        </w:tabs>
        <w:numPr>
          <w:ilvl w:val="0"/>
          <w:numId w:val="62"/>
        </w:numPr>
        <w:rPr>
          <w:rFonts w:ascii="Arial" w:cs="Arial" w:eastAsia="Arial" w:hAnsi="Arial"/>
          <w:sz w:val="18"/>
          <w:szCs w:val="18"/>
          <w:b w:val="1"/>
          <w:bCs w:val="1"/>
          <w:i w:val="1"/>
          <w:iCs w:val="1"/>
          <w:color w:val="002060"/>
        </w:rPr>
      </w:pPr>
      <w:r>
        <w:rPr>
          <w:rFonts w:ascii="Arial" w:cs="Arial" w:eastAsia="Arial" w:hAnsi="Arial"/>
          <w:sz w:val="18"/>
          <w:szCs w:val="18"/>
          <w:b w:val="1"/>
          <w:bCs w:val="1"/>
          <w:i w:val="1"/>
          <w:iCs w:val="1"/>
          <w:color w:val="002060"/>
        </w:rPr>
        <w:t>Can I participate in the Annual Meeting in person?</w:t>
      </w:r>
    </w:p>
    <w:p>
      <w:pPr>
        <w:spacing w:after="0" w:line="115" w:lineRule="exact"/>
        <w:rPr>
          <w:sz w:val="20"/>
          <w:szCs w:val="20"/>
          <w:color w:val="auto"/>
        </w:rPr>
      </w:pPr>
    </w:p>
    <w:p>
      <w:pPr>
        <w:ind w:left="660" w:right="240" w:hanging="544"/>
        <w:spacing w:after="0" w:line="244" w:lineRule="auto"/>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Our Annual Meeting is conducted virtually by a live webcast and online shareholder tools. This format promotes stockholder attendance and participation, enabling stockholders to participate fully and equally from any location. The virtual format results in cost savings to the Company and stockholders and is designed to enhance stockholder access and participation. You will be afforded the same rights and opportunities to participate in the virtual meeting as you would at an in-person meeting. You may participate in the Annual Meeting in the following ways:</w:t>
      </w:r>
    </w:p>
    <w:p>
      <w:pPr>
        <w:spacing w:after="0" w:line="68" w:lineRule="exact"/>
        <w:rPr>
          <w:rFonts w:ascii="Arial" w:cs="Arial" w:eastAsia="Arial" w:hAnsi="Arial"/>
          <w:sz w:val="18"/>
          <w:szCs w:val="18"/>
          <w:b w:val="1"/>
          <w:bCs w:val="1"/>
          <w:color w:val="auto"/>
        </w:rPr>
      </w:pPr>
    </w:p>
    <w:p>
      <w:pPr>
        <w:ind w:left="660" w:right="20"/>
        <w:spacing w:after="0" w:line="253"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Stockholders of Record</w:t>
      </w:r>
      <w:r>
        <w:rPr>
          <w:rFonts w:ascii="Arial" w:cs="Arial" w:eastAsia="Arial" w:hAnsi="Arial"/>
          <w:sz w:val="18"/>
          <w:szCs w:val="18"/>
          <w:color w:val="auto"/>
        </w:rPr>
        <w:t xml:space="preserve">. You can listen to the Annual Meeting, submit questions and vote by going to </w:t>
      </w:r>
      <w:r>
        <w:rPr>
          <w:rFonts w:ascii="Arial" w:cs="Arial" w:eastAsia="Arial" w:hAnsi="Arial"/>
          <w:sz w:val="18"/>
          <w:szCs w:val="18"/>
          <w:i w:val="1"/>
          <w:iCs w:val="1"/>
          <w:u w:val="single" w:color="auto"/>
          <w:color w:val="0070C0"/>
        </w:rPr>
        <w:t>www.meetnow.global/MMS997W</w:t>
      </w:r>
      <w:r>
        <w:rPr>
          <w:rFonts w:ascii="Arial" w:cs="Arial" w:eastAsia="Arial" w:hAnsi="Arial"/>
          <w:sz w:val="18"/>
          <w:szCs w:val="18"/>
          <w:i w:val="1"/>
          <w:iCs w:val="1"/>
          <w:color w:val="0070C0"/>
        </w:rPr>
        <w:t xml:space="preserve"> </w:t>
      </w:r>
      <w:r>
        <w:rPr>
          <w:rFonts w:ascii="Arial" w:cs="Arial" w:eastAsia="Arial" w:hAnsi="Arial"/>
          <w:sz w:val="18"/>
          <w:szCs w:val="18"/>
          <w:color w:val="000000"/>
        </w:rPr>
        <w:t>and clicking on “Join Meeting Now” and then entering your Control Number under the stockholder</w:t>
      </w:r>
      <w:r>
        <w:rPr>
          <w:rFonts w:ascii="Arial" w:cs="Arial" w:eastAsia="Arial" w:hAnsi="Arial"/>
          <w:sz w:val="18"/>
          <w:szCs w:val="18"/>
          <w:i w:val="1"/>
          <w:iCs w:val="1"/>
          <w:color w:val="0070C0"/>
        </w:rPr>
        <w:t xml:space="preserve"> </w:t>
      </w:r>
      <w:r>
        <w:rPr>
          <w:rFonts w:ascii="Arial" w:cs="Arial" w:eastAsia="Arial" w:hAnsi="Arial"/>
          <w:sz w:val="18"/>
          <w:szCs w:val="18"/>
          <w:color w:val="000000"/>
        </w:rPr>
        <w:t>tab.</w:t>
      </w:r>
    </w:p>
    <w:p>
      <w:pPr>
        <w:spacing w:after="0" w:line="6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Beneficial Owners</w:t>
      </w:r>
      <w:r>
        <w:rPr>
          <w:rFonts w:ascii="Arial" w:cs="Arial" w:eastAsia="Arial" w:hAnsi="Arial"/>
          <w:sz w:val="18"/>
          <w:szCs w:val="18"/>
          <w:color w:val="auto"/>
        </w:rPr>
        <w:t>. You may participate in the Annual Meeting in one of two ways:</w:t>
      </w:r>
    </w:p>
    <w:p>
      <w:pPr>
        <w:spacing w:after="0" w:line="117" w:lineRule="exact"/>
        <w:rPr>
          <w:rFonts w:ascii="Arial" w:cs="Arial" w:eastAsia="Arial" w:hAnsi="Arial"/>
          <w:sz w:val="18"/>
          <w:szCs w:val="18"/>
          <w:b w:val="1"/>
          <w:bCs w:val="1"/>
          <w:color w:val="auto"/>
        </w:rPr>
      </w:pPr>
    </w:p>
    <w:p>
      <w:pPr>
        <w:ind w:left="1420" w:hanging="427"/>
        <w:spacing w:after="0" w:line="244" w:lineRule="auto"/>
        <w:tabs>
          <w:tab w:leader="none" w:pos="1420" w:val="left"/>
        </w:tabs>
        <w:numPr>
          <w:ilvl w:val="1"/>
          <w:numId w:val="63"/>
        </w:numPr>
        <w:rPr>
          <w:rFonts w:ascii="Arial" w:cs="Arial" w:eastAsia="Arial" w:hAnsi="Arial"/>
          <w:sz w:val="18"/>
          <w:szCs w:val="18"/>
          <w:color w:val="0070C0"/>
        </w:rPr>
      </w:pPr>
      <w:r>
        <w:rPr>
          <w:rFonts w:ascii="Arial" w:cs="Arial" w:eastAsia="Arial" w:hAnsi="Arial"/>
          <w:sz w:val="18"/>
          <w:szCs w:val="18"/>
          <w:color w:val="auto"/>
        </w:rPr>
        <w:t>If you wish to submit questions or vote during the Annual Meeting (rather than instructing your brokerage firm, bank or other nominee how to vote your shares), you must register in advance. See “</w:t>
      </w:r>
      <w:r>
        <w:rPr>
          <w:rFonts w:ascii="Arial" w:cs="Arial" w:eastAsia="Arial" w:hAnsi="Arial"/>
          <w:sz w:val="18"/>
          <w:szCs w:val="18"/>
          <w:i w:val="1"/>
          <w:iCs w:val="1"/>
          <w:color w:val="auto"/>
        </w:rPr>
        <w:t>How do I register to participate in the Annual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w:t>
      </w:r>
      <w:r>
        <w:rPr>
          <w:rFonts w:ascii="Arial" w:cs="Arial" w:eastAsia="Arial" w:hAnsi="Arial"/>
          <w:sz w:val="18"/>
          <w:szCs w:val="18"/>
          <w:color w:val="auto"/>
        </w:rPr>
        <w:t>?” below. When you receive your registration confirmation, you can listen to the Annual Meeting, submit questions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vote by going to </w:t>
      </w:r>
      <w:r>
        <w:rPr>
          <w:rFonts w:ascii="Arial" w:cs="Arial" w:eastAsia="Arial" w:hAnsi="Arial"/>
          <w:sz w:val="18"/>
          <w:szCs w:val="18"/>
          <w:i w:val="1"/>
          <w:iCs w:val="1"/>
          <w:u w:val="single" w:color="auto"/>
          <w:color w:val="0070C0"/>
        </w:rPr>
        <w:t>www.meetnow.global/MMS997W</w:t>
      </w:r>
      <w:r>
        <w:rPr>
          <w:rFonts w:ascii="Arial" w:cs="Arial" w:eastAsia="Arial" w:hAnsi="Arial"/>
          <w:sz w:val="18"/>
          <w:szCs w:val="18"/>
          <w:color w:val="auto"/>
        </w:rPr>
        <w:t xml:space="preserve"> and clicking on “Join Meeting Now” and then entering your control number under the stockholder tab.</w:t>
      </w:r>
    </w:p>
    <w:p>
      <w:pPr>
        <w:ind w:left="1420" w:right="300" w:hanging="427"/>
        <w:spacing w:after="0" w:line="271" w:lineRule="auto"/>
        <w:tabs>
          <w:tab w:leader="none" w:pos="1420" w:val="left"/>
        </w:tabs>
        <w:numPr>
          <w:ilvl w:val="1"/>
          <w:numId w:val="63"/>
        </w:numPr>
        <w:rPr>
          <w:rFonts w:ascii="Arial" w:cs="Arial" w:eastAsia="Arial" w:hAnsi="Arial"/>
          <w:sz w:val="18"/>
          <w:szCs w:val="18"/>
          <w:color w:val="0070C0"/>
        </w:rPr>
      </w:pPr>
      <w:r>
        <w:rPr>
          <w:rFonts w:ascii="Arial" w:cs="Arial" w:eastAsia="Arial" w:hAnsi="Arial"/>
          <w:sz w:val="18"/>
          <w:szCs w:val="18"/>
          <w:color w:val="auto"/>
        </w:rPr>
        <w:t xml:space="preserve">If you wish to listen to the Annual Meeting, but do not wish to submit questions or vote during the Annual Meeting, you may go to </w:t>
      </w:r>
      <w:r>
        <w:rPr>
          <w:rFonts w:ascii="Arial" w:cs="Arial" w:eastAsia="Arial" w:hAnsi="Arial"/>
          <w:sz w:val="18"/>
          <w:szCs w:val="18"/>
          <w:i w:val="1"/>
          <w:iCs w:val="1"/>
          <w:u w:val="single" w:color="auto"/>
          <w:color w:val="0070C0"/>
        </w:rPr>
        <w:t>www.meetnow.global/MMS997W</w:t>
      </w:r>
      <w:r>
        <w:rPr>
          <w:rFonts w:ascii="Arial" w:cs="Arial" w:eastAsia="Arial" w:hAnsi="Arial"/>
          <w:sz w:val="18"/>
          <w:szCs w:val="18"/>
          <w:color w:val="auto"/>
        </w:rPr>
        <w:t xml:space="preserve"> and click on “Join Meeting Now” and then click on “Guest.”</w:t>
      </w:r>
    </w:p>
    <w:p>
      <w:pPr>
        <w:spacing w:after="0" w:line="46" w:lineRule="exact"/>
        <w:rPr>
          <w:sz w:val="20"/>
          <w:szCs w:val="20"/>
          <w:color w:val="auto"/>
        </w:rPr>
      </w:pPr>
    </w:p>
    <w:p>
      <w:pPr>
        <w:ind w:left="660" w:right="20"/>
        <w:spacing w:after="0" w:line="244" w:lineRule="auto"/>
        <w:rPr>
          <w:sz w:val="20"/>
          <w:szCs w:val="20"/>
          <w:color w:val="auto"/>
        </w:rPr>
      </w:pPr>
      <w:r>
        <w:rPr>
          <w:rFonts w:ascii="Arial" w:cs="Arial" w:eastAsia="Arial" w:hAnsi="Arial"/>
          <w:sz w:val="18"/>
          <w:szCs w:val="18"/>
          <w:color w:val="auto"/>
        </w:rPr>
        <w:t xml:space="preserve">The virtual meeting platform is fully supported across browsers (MS Edge, Firefox, Chrome and Safari) and devices (desktops, laptops, tablets and cell phones) running the most up-to-date version of applicable software and plugins. Internet Explorer is not a supported browser. Participants should ensure that they have a strong WiFi connection. We encourage you to access the meeting prior to the start time. For further assistance you may call 1-888-724-2416 within the U.S. or 1-781-575-2748 outside of the U.S. An audio replay of the Annual Meeting will be available at </w:t>
      </w:r>
      <w:r>
        <w:rPr>
          <w:rFonts w:ascii="Arial" w:cs="Arial" w:eastAsia="Arial" w:hAnsi="Arial"/>
          <w:sz w:val="18"/>
          <w:szCs w:val="18"/>
          <w:i w:val="1"/>
          <w:iCs w:val="1"/>
          <w:u w:val="single" w:color="auto"/>
          <w:color w:val="0070C0"/>
        </w:rPr>
        <w:t>https://edge.media-server.com/mmc/p/rsydmucf</w:t>
      </w:r>
      <w:r>
        <w:rPr>
          <w:rFonts w:ascii="Arial" w:cs="Arial" w:eastAsia="Arial" w:hAnsi="Arial"/>
          <w:sz w:val="18"/>
          <w:szCs w:val="18"/>
          <w:color w:val="auto"/>
        </w:rPr>
        <w:t xml:space="preserve"> for one year.</w:t>
      </w:r>
    </w:p>
    <w:p>
      <w:pPr>
        <w:spacing w:after="0" w:line="205" w:lineRule="exact"/>
        <w:rPr>
          <w:sz w:val="20"/>
          <w:szCs w:val="20"/>
          <w:color w:val="auto"/>
        </w:rPr>
      </w:pPr>
    </w:p>
    <w:p>
      <w:pPr>
        <w:ind w:left="660" w:hanging="544"/>
        <w:spacing w:after="0"/>
        <w:tabs>
          <w:tab w:leader="none" w:pos="660" w:val="left"/>
        </w:tabs>
        <w:numPr>
          <w:ilvl w:val="0"/>
          <w:numId w:val="64"/>
        </w:numPr>
        <w:rPr>
          <w:rFonts w:ascii="Arial" w:cs="Arial" w:eastAsia="Arial" w:hAnsi="Arial"/>
          <w:sz w:val="18"/>
          <w:szCs w:val="18"/>
          <w:b w:val="1"/>
          <w:bCs w:val="1"/>
          <w:i w:val="1"/>
          <w:iCs w:val="1"/>
          <w:color w:val="002060"/>
        </w:rPr>
      </w:pPr>
      <w:r>
        <w:rPr>
          <w:rFonts w:ascii="Arial" w:cs="Arial" w:eastAsia="Arial" w:hAnsi="Arial"/>
          <w:sz w:val="18"/>
          <w:szCs w:val="18"/>
          <w:b w:val="1"/>
          <w:bCs w:val="1"/>
          <w:i w:val="1"/>
          <w:iCs w:val="1"/>
          <w:color w:val="002060"/>
        </w:rPr>
        <w:t>How do I register to participate in the Annual Meeting?</w:t>
      </w:r>
    </w:p>
    <w:p>
      <w:pPr>
        <w:spacing w:after="0" w:line="115" w:lineRule="exact"/>
        <w:rPr>
          <w:sz w:val="20"/>
          <w:szCs w:val="20"/>
          <w:color w:val="auto"/>
        </w:rPr>
      </w:pPr>
    </w:p>
    <w:p>
      <w:pPr>
        <w:ind w:left="660" w:right="100" w:hanging="544"/>
        <w:spacing w:after="0" w:line="271" w:lineRule="auto"/>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Stockholders of Record</w:t>
      </w:r>
      <w:r>
        <w:rPr>
          <w:rFonts w:ascii="Arial" w:cs="Arial" w:eastAsia="Arial" w:hAnsi="Arial"/>
          <w:sz w:val="18"/>
          <w:szCs w:val="18"/>
          <w:color w:val="auto"/>
        </w:rPr>
        <w:t>. You do not need to register. Follow the instructions on your Notice or proxy card. See “</w:t>
      </w:r>
      <w:r>
        <w:rPr>
          <w:rFonts w:ascii="Arial" w:cs="Arial" w:eastAsia="Arial" w:hAnsi="Arial"/>
          <w:sz w:val="18"/>
          <w:szCs w:val="18"/>
          <w:i w:val="1"/>
          <w:iCs w:val="1"/>
          <w:color w:val="auto"/>
        </w:rPr>
        <w:t>Can I participate in</w:t>
      </w:r>
      <w:r>
        <w:rPr>
          <w:rFonts w:ascii="Arial" w:cs="Arial" w:eastAsia="Arial" w:hAnsi="Arial"/>
          <w:sz w:val="18"/>
          <w:szCs w:val="18"/>
          <w:color w:val="auto"/>
        </w:rPr>
        <w:t xml:space="preserve"> </w:t>
      </w:r>
      <w:r>
        <w:rPr>
          <w:rFonts w:ascii="Arial" w:cs="Arial" w:eastAsia="Arial" w:hAnsi="Arial"/>
          <w:sz w:val="18"/>
          <w:szCs w:val="18"/>
          <w:i w:val="1"/>
          <w:iCs w:val="1"/>
          <w:color w:val="auto"/>
        </w:rPr>
        <w:t>the Annual Meeting in person</w:t>
      </w:r>
      <w:r>
        <w:rPr>
          <w:rFonts w:ascii="Arial" w:cs="Arial" w:eastAsia="Arial" w:hAnsi="Arial"/>
          <w:sz w:val="18"/>
          <w:szCs w:val="18"/>
          <w:color w:val="auto"/>
        </w:rPr>
        <w:t>?” above.</w:t>
      </w:r>
    </w:p>
    <w:p>
      <w:pPr>
        <w:spacing w:after="0" w:line="45" w:lineRule="exact"/>
        <w:rPr>
          <w:rFonts w:ascii="Arial" w:cs="Arial" w:eastAsia="Arial" w:hAnsi="Arial"/>
          <w:sz w:val="18"/>
          <w:szCs w:val="18"/>
          <w:b w:val="1"/>
          <w:bCs w:val="1"/>
          <w:color w:val="auto"/>
        </w:rPr>
      </w:pPr>
    </w:p>
    <w:p>
      <w:pPr>
        <w:jc w:val="both"/>
        <w:ind w:left="660" w:right="320"/>
        <w:spacing w:after="0" w:line="253"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Beneficial Owners</w:t>
      </w:r>
      <w:r>
        <w:rPr>
          <w:rFonts w:ascii="Arial" w:cs="Arial" w:eastAsia="Arial" w:hAnsi="Arial"/>
          <w:sz w:val="18"/>
          <w:szCs w:val="18"/>
          <w:color w:val="auto"/>
        </w:rPr>
        <w:t>. If you wish to submit questions or vote during the Annual Meeting (rather than directing your brokerage firm, bank or other nominee how to vote your shares), you must register in advance. If you only want to listen to the Annual Meeting, then you do not need to register. See “</w:t>
      </w:r>
      <w:r>
        <w:rPr>
          <w:rFonts w:ascii="Arial" w:cs="Arial" w:eastAsia="Arial" w:hAnsi="Arial"/>
          <w:sz w:val="18"/>
          <w:szCs w:val="18"/>
          <w:i w:val="1"/>
          <w:iCs w:val="1"/>
          <w:color w:val="auto"/>
        </w:rPr>
        <w:t>Can I participate in the Annual Meeting in person</w:t>
      </w:r>
      <w:r>
        <w:rPr>
          <w:rFonts w:ascii="Arial" w:cs="Arial" w:eastAsia="Arial" w:hAnsi="Arial"/>
          <w:sz w:val="18"/>
          <w:szCs w:val="18"/>
          <w:color w:val="auto"/>
        </w:rPr>
        <w:t>?” above.</w:t>
      </w:r>
    </w:p>
    <w:p>
      <w:pPr>
        <w:spacing w:after="0" w:line="60" w:lineRule="exact"/>
        <w:rPr>
          <w:rFonts w:ascii="Arial" w:cs="Arial" w:eastAsia="Arial" w:hAnsi="Arial"/>
          <w:sz w:val="18"/>
          <w:szCs w:val="18"/>
          <w:b w:val="1"/>
          <w:bCs w:val="1"/>
          <w:color w:val="auto"/>
        </w:rPr>
      </w:pPr>
    </w:p>
    <w:p>
      <w:pPr>
        <w:ind w:left="660" w:right="20"/>
        <w:spacing w:after="0"/>
        <w:rPr>
          <w:rFonts w:ascii="Arial" w:cs="Arial" w:eastAsia="Arial" w:hAnsi="Arial"/>
          <w:sz w:val="18"/>
          <w:szCs w:val="18"/>
          <w:b w:val="1"/>
          <w:bCs w:val="1"/>
          <w:color w:val="auto"/>
        </w:rPr>
      </w:pPr>
      <w:r>
        <w:rPr>
          <w:rFonts w:ascii="Arial" w:cs="Arial" w:eastAsia="Arial" w:hAnsi="Arial"/>
          <w:sz w:val="18"/>
          <w:szCs w:val="18"/>
          <w:color w:val="auto"/>
        </w:rPr>
        <w:t xml:space="preserve">If you wish to register to participate in the Annual Meeting, you must provide our transfer agent, Computershare Trust Company, N.A. (“Computershare”) with your name, email address and a copy of a legal proxy from your brokerage firm, bank or other nominee reflecting your beneficial ownership. Registration requests must be in writing and mailed to Computershare Investor Services, Installed Building Products, Inc. – Legal Proxy, P.O. Box 43001, Providence, Rhode Island 02940-3001. Alternatively, you may forward a copy of the email from your broker granting you a legal proxy or forward an image of your legal proxy to </w:t>
      </w:r>
      <w:r>
        <w:rPr>
          <w:rFonts w:ascii="Arial" w:cs="Arial" w:eastAsia="Arial" w:hAnsi="Arial"/>
          <w:sz w:val="18"/>
          <w:szCs w:val="18"/>
          <w:i w:val="1"/>
          <w:iCs w:val="1"/>
          <w:u w:val="single" w:color="auto"/>
          <w:color w:val="0070C0"/>
        </w:rPr>
        <w:t>legalproxy@computershare.com</w:t>
      </w:r>
      <w:r>
        <w:rPr>
          <w:rFonts w:ascii="Arial" w:cs="Arial" w:eastAsia="Arial" w:hAnsi="Arial"/>
          <w:sz w:val="18"/>
          <w:szCs w:val="18"/>
          <w:color w:val="000000"/>
        </w:rPr>
        <w:t>. Requests for registration must be labeled “Legal Proxy” and be received no later than 5:00 p.m.,</w:t>
      </w:r>
      <w:r>
        <w:rPr>
          <w:rFonts w:ascii="Arial" w:cs="Arial" w:eastAsia="Arial" w:hAnsi="Arial"/>
          <w:sz w:val="18"/>
          <w:szCs w:val="18"/>
          <w:i w:val="1"/>
          <w:iCs w:val="1"/>
          <w:color w:val="0070C0"/>
        </w:rPr>
        <w:t xml:space="preserve"> </w:t>
      </w:r>
      <w:r>
        <w:rPr>
          <w:rFonts w:ascii="Arial" w:cs="Arial" w:eastAsia="Arial" w:hAnsi="Arial"/>
          <w:sz w:val="18"/>
          <w:szCs w:val="18"/>
          <w:color w:val="000000"/>
        </w:rPr>
        <w:t>Eastern Time, on May 19, 2023. You will receive an email from Computershare acknowledging your registration and providing you with a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83185</wp:posOffset>
            </wp:positionV>
            <wp:extent cx="291465" cy="2660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91465" cy="266065"/>
                    </a:xfrm>
                    <a:prstGeom prst="rect">
                      <a:avLst/>
                    </a:prstGeom>
                    <a:noFill/>
                  </pic:spPr>
                </pic:pic>
              </a:graphicData>
            </a:graphic>
          </wp:anchor>
        </w:drawing>
      </w:r>
    </w:p>
    <w:p>
      <w:pPr>
        <w:spacing w:after="0" w:line="205"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Frequently Asked Questions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93</w:t>
      </w:r>
    </w:p>
    <w:p>
      <w:pPr>
        <w:sectPr>
          <w:pgSz w:w="11900" w:h="16838" w:orient="portrait"/>
          <w:cols w:equalWidth="0" w:num="1">
            <w:col w:w="11100"/>
          </w:cols>
          <w:pgMar w:left="320" w:top="482"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hanging="544"/>
        <w:spacing w:after="0"/>
        <w:tabs>
          <w:tab w:leader="none" w:pos="660" w:val="left"/>
        </w:tabs>
        <w:numPr>
          <w:ilvl w:val="0"/>
          <w:numId w:val="66"/>
        </w:numPr>
        <w:rPr>
          <w:rFonts w:ascii="Arial" w:cs="Arial" w:eastAsia="Arial" w:hAnsi="Arial"/>
          <w:sz w:val="18"/>
          <w:szCs w:val="18"/>
          <w:b w:val="1"/>
          <w:bCs w:val="1"/>
          <w:i w:val="1"/>
          <w:iCs w:val="1"/>
          <w:color w:val="002060"/>
        </w:rPr>
      </w:pPr>
      <w:r>
        <w:rPr>
          <w:rFonts w:ascii="Arial" w:cs="Arial" w:eastAsia="Arial" w:hAnsi="Arial"/>
          <w:sz w:val="18"/>
          <w:szCs w:val="18"/>
          <w:b w:val="1"/>
          <w:bCs w:val="1"/>
          <w:i w:val="1"/>
          <w:iCs w:val="1"/>
          <w:color w:val="002060"/>
        </w:rPr>
        <w:t>Who is entitled to vote at the Annual Meeting?</w:t>
      </w:r>
    </w:p>
    <w:p>
      <w:pPr>
        <w:spacing w:after="0" w:line="115" w:lineRule="exact"/>
        <w:rPr>
          <w:sz w:val="20"/>
          <w:szCs w:val="20"/>
          <w:color w:val="auto"/>
        </w:rPr>
      </w:pPr>
    </w:p>
    <w:p>
      <w:pPr>
        <w:ind w:left="660" w:right="300" w:hanging="544"/>
        <w:spacing w:after="0" w:line="253" w:lineRule="auto"/>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Only holders of record of our common stock at the close of business on March 30, 2023, the record date for the Annual Meeting, are entitled to notice of and to vote at the Annual Meeting. Each share of common stock is entitled to one vote for each director nominee and one vote for each other matter to be voted on at the Annual Meeting.</w:t>
      </w:r>
    </w:p>
    <w:p>
      <w:pPr>
        <w:spacing w:after="0" w:line="60" w:lineRule="exact"/>
        <w:rPr>
          <w:rFonts w:ascii="Arial" w:cs="Arial" w:eastAsia="Arial" w:hAnsi="Arial"/>
          <w:sz w:val="18"/>
          <w:szCs w:val="18"/>
          <w:b w:val="1"/>
          <w:bCs w:val="1"/>
          <w:color w:val="auto"/>
        </w:rPr>
      </w:pPr>
    </w:p>
    <w:p>
      <w:pPr>
        <w:ind w:left="660"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A list of our stockholders entitled to vote at the Annual Meeting will be available for examination by any stockholder during ordinary business hours at our principal executive offices at 495 S. High Street, Suite 50, Columbus, Ohio 43215 for a period of ten days prior to the Annual Meeting. During the Annual Meeting, the list will be posted at </w:t>
      </w:r>
      <w:r>
        <w:rPr>
          <w:rFonts w:ascii="Arial" w:cs="Arial" w:eastAsia="Arial" w:hAnsi="Arial"/>
          <w:sz w:val="18"/>
          <w:szCs w:val="18"/>
          <w:i w:val="1"/>
          <w:iCs w:val="1"/>
          <w:u w:val="single" w:color="auto"/>
          <w:color w:val="0070C0"/>
        </w:rPr>
        <w:t>www.meetnow.global/MMS997W</w:t>
      </w:r>
      <w:r>
        <w:rPr>
          <w:rFonts w:ascii="Arial" w:cs="Arial" w:eastAsia="Arial" w:hAnsi="Arial"/>
          <w:sz w:val="18"/>
          <w:szCs w:val="18"/>
          <w:i w:val="1"/>
          <w:iCs w:val="1"/>
          <w:color w:val="auto"/>
        </w:rPr>
        <w:t>.</w:t>
      </w:r>
    </w:p>
    <w:p>
      <w:pPr>
        <w:spacing w:after="0" w:line="198" w:lineRule="exact"/>
        <w:rPr>
          <w:sz w:val="20"/>
          <w:szCs w:val="20"/>
          <w:color w:val="auto"/>
        </w:rPr>
      </w:pPr>
    </w:p>
    <w:p>
      <w:pPr>
        <w:ind w:left="660" w:hanging="544"/>
        <w:spacing w:after="0"/>
        <w:tabs>
          <w:tab w:leader="none" w:pos="660" w:val="left"/>
        </w:tabs>
        <w:numPr>
          <w:ilvl w:val="0"/>
          <w:numId w:val="68"/>
        </w:numPr>
        <w:rPr>
          <w:rFonts w:ascii="Arial" w:cs="Arial" w:eastAsia="Arial" w:hAnsi="Arial"/>
          <w:sz w:val="18"/>
          <w:szCs w:val="18"/>
          <w:b w:val="1"/>
          <w:bCs w:val="1"/>
          <w:i w:val="1"/>
          <w:iCs w:val="1"/>
          <w:color w:val="002060"/>
        </w:rPr>
      </w:pPr>
      <w:r>
        <w:rPr>
          <w:rFonts w:ascii="Arial" w:cs="Arial" w:eastAsia="Arial" w:hAnsi="Arial"/>
          <w:sz w:val="18"/>
          <w:szCs w:val="18"/>
          <w:b w:val="1"/>
          <w:bCs w:val="1"/>
          <w:i w:val="1"/>
          <w:iCs w:val="1"/>
          <w:color w:val="002060"/>
        </w:rPr>
        <w:t>How do I vote?</w:t>
      </w:r>
    </w:p>
    <w:p>
      <w:pPr>
        <w:spacing w:after="0" w:line="115" w:lineRule="exact"/>
        <w:rPr>
          <w:sz w:val="20"/>
          <w:szCs w:val="20"/>
          <w:color w:val="auto"/>
        </w:rPr>
      </w:pPr>
    </w:p>
    <w:p>
      <w:pPr>
        <w:ind w:left="660" w:hanging="544"/>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Stockholders of Record</w:t>
      </w:r>
      <w:r>
        <w:rPr>
          <w:rFonts w:ascii="Arial" w:cs="Arial" w:eastAsia="Arial" w:hAnsi="Arial"/>
          <w:sz w:val="18"/>
          <w:szCs w:val="18"/>
          <w:color w:val="auto"/>
        </w:rPr>
        <w:t>. You may vote in any of the following ways:</w:t>
      </w:r>
    </w:p>
    <w:p>
      <w:pPr>
        <w:spacing w:after="0" w:line="171" w:lineRule="exact"/>
        <w:rPr>
          <w:sz w:val="20"/>
          <w:szCs w:val="20"/>
          <w:color w:val="auto"/>
        </w:rPr>
      </w:pPr>
    </w:p>
    <w:p>
      <w:pPr>
        <w:ind w:left="2000" w:right="640"/>
        <w:spacing w:after="0" w:line="271" w:lineRule="auto"/>
        <w:rPr>
          <w:sz w:val="20"/>
          <w:szCs w:val="20"/>
          <w:color w:val="auto"/>
        </w:rPr>
      </w:pPr>
      <w:r>
        <w:rPr>
          <w:rFonts w:ascii="Arial" w:cs="Arial" w:eastAsia="Arial" w:hAnsi="Arial"/>
          <w:sz w:val="18"/>
          <w:szCs w:val="18"/>
          <w:b w:val="1"/>
          <w:bCs w:val="1"/>
          <w:color w:val="auto"/>
        </w:rPr>
        <w:t xml:space="preserve">Online. </w:t>
      </w:r>
      <w:r>
        <w:rPr>
          <w:rFonts w:ascii="Arial" w:cs="Arial" w:eastAsia="Arial" w:hAnsi="Arial"/>
          <w:sz w:val="18"/>
          <w:szCs w:val="18"/>
          <w:color w:val="auto"/>
        </w:rPr>
        <w:t>You may vote at</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0070C0"/>
        </w:rPr>
        <w:t>www.envisionreports.com/IBP</w:t>
      </w:r>
      <w:r>
        <w:rPr>
          <w:rFonts w:ascii="Arial" w:cs="Arial" w:eastAsia="Arial" w:hAnsi="Arial"/>
          <w:sz w:val="18"/>
          <w:szCs w:val="18"/>
          <w:color w:val="auto"/>
        </w:rPr>
        <w:t>, 24 hours a day, seven days a week. Votes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no later than the closing of the polls at the Annual Meeting.</w:t>
      </w:r>
    </w:p>
    <w:p>
      <w:pPr>
        <w:spacing w:after="0" w:line="208" w:lineRule="exact"/>
        <w:rPr>
          <w:sz w:val="20"/>
          <w:szCs w:val="20"/>
          <w:color w:val="auto"/>
        </w:rPr>
      </w:pPr>
    </w:p>
    <w:p>
      <w:pPr>
        <w:ind w:left="2000" w:right="120"/>
        <w:spacing w:after="0" w:line="271" w:lineRule="auto"/>
        <w:rPr>
          <w:sz w:val="20"/>
          <w:szCs w:val="20"/>
          <w:color w:val="auto"/>
        </w:rPr>
      </w:pPr>
      <w:r>
        <w:rPr>
          <w:rFonts w:ascii="Arial" w:cs="Arial" w:eastAsia="Arial" w:hAnsi="Arial"/>
          <w:sz w:val="18"/>
          <w:szCs w:val="18"/>
          <w:b w:val="1"/>
          <w:bCs w:val="1"/>
          <w:color w:val="auto"/>
        </w:rPr>
        <w:t xml:space="preserve">By Phone. </w:t>
      </w:r>
      <w:r>
        <w:rPr>
          <w:rFonts w:ascii="Arial" w:cs="Arial" w:eastAsia="Arial" w:hAnsi="Arial"/>
          <w:sz w:val="18"/>
          <w:szCs w:val="18"/>
          <w:color w:val="auto"/>
        </w:rPr>
        <w:t>You may vote by calling 1-800-652-8683, 24 hours a day, seven days a week. Votes must be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no later than the closing of the polls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-284480</wp:posOffset>
            </wp:positionV>
            <wp:extent cx="179705" cy="3517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79705" cy="351790"/>
                    </a:xfrm>
                    <a:prstGeom prst="rect">
                      <a:avLst/>
                    </a:prstGeom>
                    <a:noFill/>
                  </pic:spPr>
                </pic:pic>
              </a:graphicData>
            </a:graphic>
          </wp:anchor>
        </w:drawing>
      </w:r>
    </w:p>
    <w:p>
      <w:pPr>
        <w:spacing w:after="0" w:line="188" w:lineRule="exact"/>
        <w:rPr>
          <w:sz w:val="20"/>
          <w:szCs w:val="20"/>
          <w:color w:val="auto"/>
        </w:rPr>
      </w:pPr>
    </w:p>
    <w:p>
      <w:pPr>
        <w:ind w:left="2000" w:right="60"/>
        <w:spacing w:after="0" w:line="275" w:lineRule="auto"/>
        <w:rPr>
          <w:sz w:val="20"/>
          <w:szCs w:val="20"/>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If you received printed proxy materials, you may vote by completing, signing and dating each proxy card</w:t>
      </w:r>
      <w:r>
        <w:rPr>
          <w:rFonts w:ascii="Arial" w:cs="Arial" w:eastAsia="Arial" w:hAnsi="Arial"/>
          <w:sz w:val="17"/>
          <w:szCs w:val="17"/>
          <w:b w:val="1"/>
          <w:bCs w:val="1"/>
          <w:color w:val="auto"/>
        </w:rPr>
        <w:t xml:space="preserve"> </w:t>
      </w:r>
      <w:r>
        <w:rPr>
          <w:rFonts w:ascii="Arial" w:cs="Arial" w:eastAsia="Arial" w:hAnsi="Arial"/>
          <w:sz w:val="17"/>
          <w:szCs w:val="17"/>
          <w:color w:val="auto"/>
        </w:rPr>
        <w:t>and returning it in the prepaid envelope to Computershare Investor Services. Sign your name exactly as it appears on the proxy card. Proxy cards must be received no later than the closing of the polls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-379730</wp:posOffset>
            </wp:positionV>
            <wp:extent cx="531495" cy="3511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31495" cy="351155"/>
                    </a:xfrm>
                    <a:prstGeom prst="rect">
                      <a:avLst/>
                    </a:prstGeom>
                    <a:noFill/>
                  </pic:spPr>
                </pic:pic>
              </a:graphicData>
            </a:graphic>
          </wp:anchor>
        </w:drawing>
      </w:r>
    </w:p>
    <w:p>
      <w:pPr>
        <w:spacing w:after="0" w:line="51" w:lineRule="exact"/>
        <w:rPr>
          <w:sz w:val="20"/>
          <w:szCs w:val="20"/>
          <w:color w:val="auto"/>
        </w:rPr>
      </w:pPr>
    </w:p>
    <w:p>
      <w:pPr>
        <w:ind w:left="2000" w:right="560"/>
        <w:spacing w:after="0" w:line="253" w:lineRule="auto"/>
        <w:rPr>
          <w:sz w:val="20"/>
          <w:szCs w:val="20"/>
          <w:color w:val="auto"/>
        </w:rPr>
      </w:pPr>
      <w:r>
        <w:rPr>
          <w:rFonts w:ascii="Arial" w:cs="Arial" w:eastAsia="Arial" w:hAnsi="Arial"/>
          <w:sz w:val="18"/>
          <w:szCs w:val="18"/>
          <w:b w:val="1"/>
          <w:bCs w:val="1"/>
          <w:color w:val="auto"/>
        </w:rPr>
        <w:t>At the Annual Meeting</w:t>
      </w:r>
      <w:r>
        <w:rPr>
          <w:rFonts w:ascii="Arial" w:cs="Arial" w:eastAsia="Arial" w:hAnsi="Arial"/>
          <w:sz w:val="18"/>
          <w:szCs w:val="18"/>
          <w:color w:val="auto"/>
        </w:rPr>
        <w:t>. Instructions on how to vote during the Annual Meeting are posted at</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0070C0"/>
        </w:rPr>
        <w:t>www.meetnow.global/MMS997W</w:t>
      </w:r>
      <w:r>
        <w:rPr>
          <w:rFonts w:ascii="Arial" w:cs="Arial" w:eastAsia="Arial" w:hAnsi="Arial"/>
          <w:sz w:val="18"/>
          <w:szCs w:val="18"/>
          <w:color w:val="000000"/>
        </w:rPr>
        <w:t>. Votes must be received no later than the closing of the polls at the Annual</w:t>
      </w:r>
      <w:r>
        <w:rPr>
          <w:rFonts w:ascii="Arial" w:cs="Arial" w:eastAsia="Arial" w:hAnsi="Arial"/>
          <w:sz w:val="18"/>
          <w:szCs w:val="18"/>
          <w:i w:val="1"/>
          <w:iCs w:val="1"/>
          <w:color w:val="0070C0"/>
        </w:rPr>
        <w:t xml:space="preserve"> </w:t>
      </w:r>
      <w:r>
        <w:rPr>
          <w:rFonts w:ascii="Arial" w:cs="Arial" w:eastAsia="Arial" w:hAnsi="Arial"/>
          <w:sz w:val="18"/>
          <w:szCs w:val="18"/>
          <w:color w:val="000000"/>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-368935</wp:posOffset>
            </wp:positionV>
            <wp:extent cx="531495" cy="3517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31495" cy="351790"/>
                    </a:xfrm>
                    <a:prstGeom prst="rect">
                      <a:avLst/>
                    </a:prstGeom>
                    <a:noFill/>
                  </pic:spPr>
                </pic:pic>
              </a:graphicData>
            </a:graphic>
          </wp:anchor>
        </w:drawing>
      </w:r>
    </w:p>
    <w:p>
      <w:pPr>
        <w:spacing w:after="0" w:line="108" w:lineRule="exact"/>
        <w:rPr>
          <w:sz w:val="20"/>
          <w:szCs w:val="20"/>
          <w:color w:val="auto"/>
        </w:rPr>
      </w:pPr>
    </w:p>
    <w:p>
      <w:pPr>
        <w:ind w:left="660" w:right="80"/>
        <w:spacing w:after="0" w:line="253" w:lineRule="auto"/>
        <w:rPr>
          <w:sz w:val="20"/>
          <w:szCs w:val="20"/>
          <w:color w:val="auto"/>
        </w:rPr>
      </w:pPr>
      <w:r>
        <w:rPr>
          <w:rFonts w:ascii="Arial" w:cs="Arial" w:eastAsia="Arial" w:hAnsi="Arial"/>
          <w:sz w:val="18"/>
          <w:szCs w:val="18"/>
          <w:color w:val="auto"/>
        </w:rPr>
        <w:t>Voting online, by phone or at the Annual Meeting authorizes the persons named as proxies to vote as you direct in the same manner as if you had completed, signed, dated and returned a proxy card. If you vote online or by phone, or plan to vote during the Annual Meeting webcast, do not return your proxy card(s).</w:t>
      </w:r>
    </w:p>
    <w:p>
      <w:pPr>
        <w:spacing w:after="0" w:line="61" w:lineRule="exact"/>
        <w:rPr>
          <w:sz w:val="20"/>
          <w:szCs w:val="20"/>
          <w:color w:val="auto"/>
        </w:rPr>
      </w:pPr>
    </w:p>
    <w:p>
      <w:pPr>
        <w:ind w:left="660" w:right="140"/>
        <w:spacing w:after="0"/>
        <w:rPr>
          <w:sz w:val="20"/>
          <w:szCs w:val="20"/>
          <w:color w:val="auto"/>
        </w:rPr>
      </w:pPr>
      <w:r>
        <w:rPr>
          <w:rFonts w:ascii="Arial" w:cs="Arial" w:eastAsia="Arial" w:hAnsi="Arial"/>
          <w:sz w:val="18"/>
          <w:szCs w:val="18"/>
          <w:u w:val="single" w:color="auto"/>
          <w:color w:val="auto"/>
        </w:rPr>
        <w:t>Beneficial Owners.</w:t>
      </w:r>
      <w:r>
        <w:rPr>
          <w:rFonts w:ascii="Arial" w:cs="Arial" w:eastAsia="Arial" w:hAnsi="Arial"/>
          <w:sz w:val="18"/>
          <w:szCs w:val="18"/>
          <w:color w:val="auto"/>
        </w:rPr>
        <w:t xml:space="preserve"> If you are a beneficial owner, the organization holding your account is the stockholder of record for purposes of participating in and voting at the Annual Meeting; however, you have the right to direct that organization how to vote the shares in your account by following the instructions provided by the organization. Alternatively, you may vote your shares directly at the Annual Meeting by obtaining a legal proxy from your brokerage firm, bank or other nominee and registering in advance to participate in the Annual Meeting. See “</w:t>
      </w:r>
      <w:r>
        <w:rPr>
          <w:rFonts w:ascii="Arial" w:cs="Arial" w:eastAsia="Arial" w:hAnsi="Arial"/>
          <w:sz w:val="18"/>
          <w:szCs w:val="18"/>
          <w:i w:val="1"/>
          <w:iCs w:val="1"/>
          <w:color w:val="auto"/>
        </w:rPr>
        <w:t>How do I register to participate in the Annual Meeting</w:t>
      </w:r>
      <w:r>
        <w:rPr>
          <w:rFonts w:ascii="Arial" w:cs="Arial" w:eastAsia="Arial" w:hAnsi="Arial"/>
          <w:sz w:val="18"/>
          <w:szCs w:val="18"/>
          <w:color w:val="auto"/>
        </w:rPr>
        <w:t>?” above. When you receive your registration confirmation, you may vote in any of the ways in which a stockholder of record may vote described above (except by mail).</w:t>
      </w:r>
    </w:p>
    <w:p>
      <w:pPr>
        <w:spacing w:after="0" w:line="77" w:lineRule="exact"/>
        <w:rPr>
          <w:sz w:val="20"/>
          <w:szCs w:val="20"/>
          <w:color w:val="auto"/>
        </w:rPr>
      </w:pPr>
    </w:p>
    <w:p>
      <w:pPr>
        <w:ind w:left="660" w:right="40"/>
        <w:spacing w:after="0" w:line="247" w:lineRule="auto"/>
        <w:rPr>
          <w:sz w:val="20"/>
          <w:szCs w:val="20"/>
          <w:color w:val="auto"/>
        </w:rPr>
      </w:pPr>
      <w:r>
        <w:rPr>
          <w:rFonts w:ascii="Arial" w:cs="Arial" w:eastAsia="Arial" w:hAnsi="Arial"/>
          <w:sz w:val="18"/>
          <w:szCs w:val="18"/>
          <w:color w:val="auto"/>
        </w:rPr>
        <w:t>The availability of online and telephone voting will depend on the voting procedures established by your broker, bank or other nominee. If you do not provide voting instructions to the organization holding your account, the organization may nevertheless be able to vote your shares on some, but not all, of the proposals presented at the Annual Meeting. See “</w:t>
      </w:r>
      <w:r>
        <w:rPr>
          <w:rFonts w:ascii="Arial" w:cs="Arial" w:eastAsia="Arial" w:hAnsi="Arial"/>
          <w:sz w:val="18"/>
          <w:szCs w:val="18"/>
          <w:i w:val="1"/>
          <w:iCs w:val="1"/>
          <w:color w:val="auto"/>
        </w:rPr>
        <w:t>What happens if I do not vote</w:t>
      </w:r>
      <w:r>
        <w:rPr>
          <w:rFonts w:ascii="Arial" w:cs="Arial" w:eastAsia="Arial" w:hAnsi="Arial"/>
          <w:sz w:val="18"/>
          <w:szCs w:val="18"/>
          <w:color w:val="auto"/>
        </w:rPr>
        <w:t xml:space="preserve"> </w:t>
      </w:r>
      <w:r>
        <w:rPr>
          <w:rFonts w:ascii="Arial" w:cs="Arial" w:eastAsia="Arial" w:hAnsi="Arial"/>
          <w:sz w:val="18"/>
          <w:szCs w:val="18"/>
          <w:i w:val="1"/>
          <w:iCs w:val="1"/>
          <w:color w:val="auto"/>
        </w:rPr>
        <w:t>my shares?</w:t>
      </w:r>
      <w:r>
        <w:rPr>
          <w:rFonts w:ascii="Arial" w:cs="Arial" w:eastAsia="Arial" w:hAnsi="Arial"/>
          <w:sz w:val="18"/>
          <w:szCs w:val="18"/>
          <w:color w:val="auto"/>
        </w:rPr>
        <w:t>” below.</w:t>
      </w:r>
    </w:p>
    <w:p>
      <w:pPr>
        <w:spacing w:after="0" w:line="203" w:lineRule="exact"/>
        <w:rPr>
          <w:sz w:val="20"/>
          <w:szCs w:val="20"/>
          <w:color w:val="auto"/>
        </w:rPr>
      </w:pPr>
    </w:p>
    <w:p>
      <w:pPr>
        <w:ind w:left="660" w:hanging="544"/>
        <w:spacing w:after="0"/>
        <w:tabs>
          <w:tab w:leader="none" w:pos="660" w:val="left"/>
        </w:tabs>
        <w:numPr>
          <w:ilvl w:val="0"/>
          <w:numId w:val="70"/>
        </w:numPr>
        <w:rPr>
          <w:rFonts w:ascii="Arial" w:cs="Arial" w:eastAsia="Arial" w:hAnsi="Arial"/>
          <w:sz w:val="18"/>
          <w:szCs w:val="18"/>
          <w:b w:val="1"/>
          <w:bCs w:val="1"/>
          <w:i w:val="1"/>
          <w:iCs w:val="1"/>
          <w:color w:val="002060"/>
        </w:rPr>
      </w:pPr>
      <w:r>
        <w:rPr>
          <w:rFonts w:ascii="Arial" w:cs="Arial" w:eastAsia="Arial" w:hAnsi="Arial"/>
          <w:sz w:val="18"/>
          <w:szCs w:val="18"/>
          <w:b w:val="1"/>
          <w:bCs w:val="1"/>
          <w:i w:val="1"/>
          <w:iCs w:val="1"/>
          <w:color w:val="002060"/>
        </w:rPr>
        <w:t>What if I received more than one proxy card or Notice?</w:t>
      </w:r>
    </w:p>
    <w:p>
      <w:pPr>
        <w:spacing w:after="0" w:line="115" w:lineRule="exact"/>
        <w:rPr>
          <w:sz w:val="20"/>
          <w:szCs w:val="20"/>
          <w:color w:val="auto"/>
        </w:rPr>
      </w:pPr>
    </w:p>
    <w:p>
      <w:pPr>
        <w:ind w:left="660" w:right="120" w:hanging="544"/>
        <w:spacing w:after="0" w:line="253" w:lineRule="auto"/>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If you received more than one proxy card or Notice, your shares are registered in more than one name or are registered in multiple accounts. To make certain all of your shares are voted, please complete, sign, date and return each proxy card, or if you vote online, by telephone or at the Annual Meeting, vote once for each Notice you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282575" cy="2654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194" w:lineRule="exact"/>
        <w:rPr>
          <w:sz w:val="20"/>
          <w:szCs w:val="20"/>
          <w:color w:val="auto"/>
        </w:rPr>
      </w:pPr>
    </w:p>
    <w:p>
      <w:pPr>
        <w:ind w:left="240"/>
        <w:spacing w:after="0"/>
        <w:tabs>
          <w:tab w:leader="none" w:pos="660" w:val="left"/>
          <w:tab w:leader="none" w:pos="9080" w:val="left"/>
        </w:tabs>
        <w:rPr>
          <w:sz w:val="20"/>
          <w:szCs w:val="20"/>
          <w:color w:val="auto"/>
        </w:rPr>
      </w:pPr>
      <w:r>
        <w:rPr>
          <w:rFonts w:ascii="Arial" w:cs="Arial" w:eastAsia="Arial" w:hAnsi="Arial"/>
          <w:sz w:val="16"/>
          <w:szCs w:val="16"/>
          <w:color w:val="FFFFFF"/>
        </w:rPr>
        <w:t>94</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Frequently Asked Questions</w:t>
      </w:r>
    </w:p>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hanging="544"/>
        <w:spacing w:after="0"/>
        <w:tabs>
          <w:tab w:leader="none" w:pos="660" w:val="left"/>
        </w:tabs>
        <w:numPr>
          <w:ilvl w:val="0"/>
          <w:numId w:val="72"/>
        </w:numPr>
        <w:rPr>
          <w:rFonts w:ascii="Arial" w:cs="Arial" w:eastAsia="Arial" w:hAnsi="Arial"/>
          <w:sz w:val="18"/>
          <w:szCs w:val="18"/>
          <w:b w:val="1"/>
          <w:bCs w:val="1"/>
          <w:i w:val="1"/>
          <w:iCs w:val="1"/>
          <w:color w:val="002060"/>
        </w:rPr>
      </w:pPr>
      <w:r>
        <w:rPr>
          <w:rFonts w:ascii="Arial" w:cs="Arial" w:eastAsia="Arial" w:hAnsi="Arial"/>
          <w:sz w:val="18"/>
          <w:szCs w:val="18"/>
          <w:b w:val="1"/>
          <w:bCs w:val="1"/>
          <w:i w:val="1"/>
          <w:iCs w:val="1"/>
          <w:color w:val="002060"/>
        </w:rPr>
        <w:t>Can I revoke my proxy or change my vote?</w:t>
      </w:r>
    </w:p>
    <w:p>
      <w:pPr>
        <w:spacing w:after="0" w:line="115" w:lineRule="exact"/>
        <w:rPr>
          <w:sz w:val="20"/>
          <w:szCs w:val="20"/>
          <w:color w:val="auto"/>
        </w:rPr>
      </w:pPr>
    </w:p>
    <w:p>
      <w:pPr>
        <w:ind w:left="660" w:right="240" w:hanging="544"/>
        <w:spacing w:after="0" w:line="271" w:lineRule="auto"/>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Stockholders of Record</w:t>
      </w:r>
      <w:r>
        <w:rPr>
          <w:rFonts w:ascii="Arial" w:cs="Arial" w:eastAsia="Arial" w:hAnsi="Arial"/>
          <w:sz w:val="18"/>
          <w:szCs w:val="18"/>
          <w:color w:val="auto"/>
        </w:rPr>
        <w:t>. You may revoke your proxy or change your vote at any time before the closing of the polls at the Annual Meeting by:</w:t>
      </w:r>
    </w:p>
    <w:p>
      <w:pPr>
        <w:spacing w:after="0" w:line="59" w:lineRule="exact"/>
        <w:rPr>
          <w:rFonts w:ascii="Arial" w:cs="Arial" w:eastAsia="Arial" w:hAnsi="Arial"/>
          <w:sz w:val="18"/>
          <w:szCs w:val="18"/>
          <w:b w:val="1"/>
          <w:bCs w:val="1"/>
          <w:color w:val="auto"/>
        </w:rPr>
      </w:pPr>
    </w:p>
    <w:p>
      <w:pPr>
        <w:ind w:left="1420" w:hanging="427"/>
        <w:spacing w:after="0"/>
        <w:tabs>
          <w:tab w:leader="none" w:pos="1420" w:val="left"/>
        </w:tabs>
        <w:numPr>
          <w:ilvl w:val="1"/>
          <w:numId w:val="73"/>
        </w:numPr>
        <w:rPr>
          <w:rFonts w:ascii="Arial" w:cs="Arial" w:eastAsia="Arial" w:hAnsi="Arial"/>
          <w:sz w:val="18"/>
          <w:szCs w:val="18"/>
          <w:color w:val="0070C0"/>
        </w:rPr>
      </w:pPr>
      <w:r>
        <w:rPr>
          <w:rFonts w:ascii="Arial" w:cs="Arial" w:eastAsia="Arial" w:hAnsi="Arial"/>
          <w:sz w:val="18"/>
          <w:szCs w:val="18"/>
          <w:color w:val="auto"/>
        </w:rPr>
        <w:t>signing and returning a new proxy card with a later date;</w:t>
      </w:r>
    </w:p>
    <w:p>
      <w:pPr>
        <w:spacing w:after="0" w:line="36" w:lineRule="exact"/>
        <w:rPr>
          <w:rFonts w:ascii="Arial" w:cs="Arial" w:eastAsia="Arial" w:hAnsi="Arial"/>
          <w:sz w:val="18"/>
          <w:szCs w:val="18"/>
          <w:color w:val="0070C0"/>
        </w:rPr>
      </w:pPr>
    </w:p>
    <w:p>
      <w:pPr>
        <w:ind w:left="1420" w:hanging="427"/>
        <w:spacing w:after="0"/>
        <w:tabs>
          <w:tab w:leader="none" w:pos="1420" w:val="left"/>
        </w:tabs>
        <w:numPr>
          <w:ilvl w:val="1"/>
          <w:numId w:val="73"/>
        </w:numPr>
        <w:rPr>
          <w:rFonts w:ascii="Arial" w:cs="Arial" w:eastAsia="Arial" w:hAnsi="Arial"/>
          <w:sz w:val="18"/>
          <w:szCs w:val="18"/>
          <w:color w:val="0070C0"/>
        </w:rPr>
      </w:pPr>
      <w:r>
        <w:rPr>
          <w:rFonts w:ascii="Arial" w:cs="Arial" w:eastAsia="Arial" w:hAnsi="Arial"/>
          <w:sz w:val="18"/>
          <w:szCs w:val="18"/>
          <w:color w:val="auto"/>
        </w:rPr>
        <w:t>submitting a later-dated vote online or by phone — only your latest vote will be counted;</w:t>
      </w:r>
    </w:p>
    <w:p>
      <w:pPr>
        <w:spacing w:after="0" w:line="36" w:lineRule="exact"/>
        <w:rPr>
          <w:rFonts w:ascii="Arial" w:cs="Arial" w:eastAsia="Arial" w:hAnsi="Arial"/>
          <w:sz w:val="18"/>
          <w:szCs w:val="18"/>
          <w:color w:val="0070C0"/>
        </w:rPr>
      </w:pPr>
    </w:p>
    <w:p>
      <w:pPr>
        <w:ind w:left="1420" w:hanging="427"/>
        <w:spacing w:after="0"/>
        <w:tabs>
          <w:tab w:leader="none" w:pos="1420" w:val="left"/>
        </w:tabs>
        <w:numPr>
          <w:ilvl w:val="1"/>
          <w:numId w:val="73"/>
        </w:numPr>
        <w:rPr>
          <w:rFonts w:ascii="Arial" w:cs="Arial" w:eastAsia="Arial" w:hAnsi="Arial"/>
          <w:sz w:val="18"/>
          <w:szCs w:val="18"/>
          <w:color w:val="0070C0"/>
        </w:rPr>
      </w:pPr>
      <w:r>
        <w:rPr>
          <w:rFonts w:ascii="Arial" w:cs="Arial" w:eastAsia="Arial" w:hAnsi="Arial"/>
          <w:sz w:val="18"/>
          <w:szCs w:val="18"/>
          <w:color w:val="auto"/>
        </w:rPr>
        <w:t>participating in the Annual Meeting and voting during the meeting; or</w:t>
      </w:r>
    </w:p>
    <w:p>
      <w:pPr>
        <w:spacing w:after="0" w:line="36" w:lineRule="exact"/>
        <w:rPr>
          <w:rFonts w:ascii="Arial" w:cs="Arial" w:eastAsia="Arial" w:hAnsi="Arial"/>
          <w:sz w:val="18"/>
          <w:szCs w:val="18"/>
          <w:color w:val="0070C0"/>
        </w:rPr>
      </w:pPr>
    </w:p>
    <w:p>
      <w:pPr>
        <w:ind w:left="1420" w:hanging="427"/>
        <w:spacing w:after="0" w:line="271" w:lineRule="auto"/>
        <w:tabs>
          <w:tab w:leader="none" w:pos="1420" w:val="left"/>
        </w:tabs>
        <w:numPr>
          <w:ilvl w:val="1"/>
          <w:numId w:val="73"/>
        </w:numPr>
        <w:rPr>
          <w:rFonts w:ascii="Arial" w:cs="Arial" w:eastAsia="Arial" w:hAnsi="Arial"/>
          <w:sz w:val="18"/>
          <w:szCs w:val="18"/>
          <w:color w:val="0070C0"/>
        </w:rPr>
      </w:pPr>
      <w:r>
        <w:rPr>
          <w:rFonts w:ascii="Arial" w:cs="Arial" w:eastAsia="Arial" w:hAnsi="Arial"/>
          <w:sz w:val="18"/>
          <w:szCs w:val="18"/>
          <w:color w:val="auto"/>
        </w:rPr>
        <w:t>delivering a written revocation to our Corporate Secretary at Installed Building Products, Inc., 495 South High Street, Suite 50, Columbus, Ohio 43215, which must be received no later than May 24, 2023.</w:t>
      </w:r>
    </w:p>
    <w:p>
      <w:pPr>
        <w:spacing w:after="0" w:line="46" w:lineRule="exact"/>
        <w:rPr>
          <w:sz w:val="20"/>
          <w:szCs w:val="20"/>
          <w:color w:val="auto"/>
        </w:rPr>
      </w:pPr>
    </w:p>
    <w:p>
      <w:pPr>
        <w:ind w:left="660" w:right="660"/>
        <w:spacing w:after="0" w:line="271" w:lineRule="auto"/>
        <w:rPr>
          <w:sz w:val="20"/>
          <w:szCs w:val="20"/>
          <w:color w:val="auto"/>
        </w:rPr>
      </w:pPr>
      <w:r>
        <w:rPr>
          <w:rFonts w:ascii="Arial" w:cs="Arial" w:eastAsia="Arial" w:hAnsi="Arial"/>
          <w:sz w:val="18"/>
          <w:szCs w:val="18"/>
          <w:color w:val="auto"/>
        </w:rPr>
        <w:t>If you participate in the Annual Meeting without voting during the meeting, it will not cause a previously submitted vote to be revoked unless you specifically request that your prior proxy be revoked.</w:t>
      </w:r>
    </w:p>
    <w:p>
      <w:pPr>
        <w:spacing w:after="0" w:line="46" w:lineRule="exact"/>
        <w:rPr>
          <w:sz w:val="20"/>
          <w:szCs w:val="20"/>
          <w:color w:val="auto"/>
        </w:rPr>
      </w:pPr>
    </w:p>
    <w:p>
      <w:pPr>
        <w:ind w:left="660" w:right="120"/>
        <w:spacing w:after="0" w:line="253" w:lineRule="auto"/>
        <w:rPr>
          <w:sz w:val="20"/>
          <w:szCs w:val="20"/>
          <w:color w:val="auto"/>
        </w:rPr>
      </w:pPr>
      <w:r>
        <w:rPr>
          <w:rFonts w:ascii="Arial" w:cs="Arial" w:eastAsia="Arial" w:hAnsi="Arial"/>
          <w:sz w:val="18"/>
          <w:szCs w:val="18"/>
          <w:u w:val="single" w:color="auto"/>
          <w:color w:val="auto"/>
        </w:rPr>
        <w:t>Beneficial Owners</w:t>
      </w:r>
      <w:r>
        <w:rPr>
          <w:rFonts w:ascii="Arial" w:cs="Arial" w:eastAsia="Arial" w:hAnsi="Arial"/>
          <w:sz w:val="18"/>
          <w:szCs w:val="18"/>
          <w:color w:val="auto"/>
        </w:rPr>
        <w:t>. You should contact the broker, bank or other nominee holding your shares to obtain instructions for revoking or changing your vote. If you registered in advance to participate in the Annual Meeting, you may change your vote by submitting a later-dated vote online, by phone or by voting during the meeting.</w:t>
      </w:r>
    </w:p>
    <w:p>
      <w:pPr>
        <w:spacing w:after="0" w:line="198" w:lineRule="exact"/>
        <w:rPr>
          <w:sz w:val="20"/>
          <w:szCs w:val="20"/>
          <w:color w:val="auto"/>
        </w:rPr>
      </w:pPr>
    </w:p>
    <w:p>
      <w:pPr>
        <w:ind w:left="660" w:hanging="544"/>
        <w:spacing w:after="0"/>
        <w:tabs>
          <w:tab w:leader="none" w:pos="660" w:val="left"/>
        </w:tabs>
        <w:numPr>
          <w:ilvl w:val="0"/>
          <w:numId w:val="74"/>
        </w:numPr>
        <w:rPr>
          <w:rFonts w:ascii="Arial" w:cs="Arial" w:eastAsia="Arial" w:hAnsi="Arial"/>
          <w:sz w:val="18"/>
          <w:szCs w:val="18"/>
          <w:b w:val="1"/>
          <w:bCs w:val="1"/>
          <w:i w:val="1"/>
          <w:iCs w:val="1"/>
          <w:color w:val="002060"/>
        </w:rPr>
      </w:pPr>
      <w:r>
        <w:rPr>
          <w:rFonts w:ascii="Arial" w:cs="Arial" w:eastAsia="Arial" w:hAnsi="Arial"/>
          <w:sz w:val="18"/>
          <w:szCs w:val="18"/>
          <w:b w:val="1"/>
          <w:bCs w:val="1"/>
          <w:i w:val="1"/>
          <w:iCs w:val="1"/>
          <w:color w:val="002060"/>
        </w:rPr>
        <w:t>What if I do not vote?</w:t>
      </w:r>
    </w:p>
    <w:p>
      <w:pPr>
        <w:spacing w:after="0" w:line="115" w:lineRule="exact"/>
        <w:rPr>
          <w:sz w:val="20"/>
          <w:szCs w:val="20"/>
          <w:color w:val="auto"/>
        </w:rPr>
      </w:pPr>
    </w:p>
    <w:p>
      <w:pPr>
        <w:ind w:left="660" w:right="260" w:hanging="544"/>
        <w:spacing w:after="0" w:line="253" w:lineRule="auto"/>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Stockholders of Record</w:t>
      </w:r>
      <w:r>
        <w:rPr>
          <w:rFonts w:ascii="Arial" w:cs="Arial" w:eastAsia="Arial" w:hAnsi="Arial"/>
          <w:sz w:val="18"/>
          <w:szCs w:val="18"/>
          <w:color w:val="auto"/>
        </w:rPr>
        <w:t>. If you do not vote by proxy card, online, telephone or during the Annual Meeting, your shares will not be voted. If you submit a proxy but fail to provide voting instructions, your proxy will be voted in the manner recommended by the Board of Directors.</w:t>
      </w:r>
    </w:p>
    <w:p>
      <w:pPr>
        <w:spacing w:after="0" w:line="6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Beneficial Owners</w:t>
      </w:r>
      <w:r>
        <w:rPr>
          <w:rFonts w:ascii="Arial" w:cs="Arial" w:eastAsia="Arial" w:hAnsi="Arial"/>
          <w:sz w:val="18"/>
          <w:szCs w:val="18"/>
          <w:color w:val="auto"/>
        </w:rPr>
        <w:t>. If you do not provide your broker, bank or other nominee with voting instructions, the organization may vote your shares on certain routine, or “discretionary,” matters. The ratification of the appointment of our independent registered public accounting firm is a discretionary matter. On this proposal, the organization holding your account may either vote your shares in the absence of your instructions or may choose not to vote your shares. The remaining proposals are not considered discretionary and cannot be voted without your instructions, which is called a “broker non-vote.” In the case of a broker non-vote, your shares will not have any effect on the outcome of the proposal. If you registered in advance to participate in the Annual Meeting but do not vote your shares online, by phone or during the Annual Meeting, your shares will not be voted.</w:t>
      </w:r>
    </w:p>
    <w:p>
      <w:pPr>
        <w:spacing w:after="0" w:line="214" w:lineRule="exact"/>
        <w:rPr>
          <w:sz w:val="20"/>
          <w:szCs w:val="20"/>
          <w:color w:val="auto"/>
        </w:rPr>
      </w:pPr>
    </w:p>
    <w:p>
      <w:pPr>
        <w:ind w:left="660" w:hanging="544"/>
        <w:spacing w:after="0"/>
        <w:tabs>
          <w:tab w:leader="none" w:pos="660" w:val="left"/>
        </w:tabs>
        <w:numPr>
          <w:ilvl w:val="0"/>
          <w:numId w:val="76"/>
        </w:numPr>
        <w:rPr>
          <w:rFonts w:ascii="Arial" w:cs="Arial" w:eastAsia="Arial" w:hAnsi="Arial"/>
          <w:sz w:val="18"/>
          <w:szCs w:val="18"/>
          <w:b w:val="1"/>
          <w:bCs w:val="1"/>
          <w:i w:val="1"/>
          <w:iCs w:val="1"/>
          <w:color w:val="002060"/>
        </w:rPr>
      </w:pPr>
      <w:r>
        <w:rPr>
          <w:rFonts w:ascii="Arial" w:cs="Arial" w:eastAsia="Arial" w:hAnsi="Arial"/>
          <w:sz w:val="18"/>
          <w:szCs w:val="18"/>
          <w:b w:val="1"/>
          <w:bCs w:val="1"/>
          <w:i w:val="1"/>
          <w:iCs w:val="1"/>
          <w:color w:val="002060"/>
        </w:rPr>
        <w:t>How many shares must be present to conduct business at the Annual Meeting?</w:t>
      </w:r>
    </w:p>
    <w:p>
      <w:pPr>
        <w:spacing w:after="0" w:line="115" w:lineRule="exact"/>
        <w:rPr>
          <w:sz w:val="20"/>
          <w:szCs w:val="20"/>
          <w:color w:val="auto"/>
        </w:rPr>
      </w:pPr>
    </w:p>
    <w:p>
      <w:pPr>
        <w:ind w:left="660" w:hanging="544"/>
        <w:spacing w:after="0" w:line="242" w:lineRule="auto"/>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In order to carry out the business of the Annual Meeting, a quorum must be present. A quorum is present if holders of at least a majority of the outstanding shares entitled to vote are present or represented by proxy at the Annual Meeting. Abstentions and broker non-votes are counted as present and entitled to vote for purposes of determining a quorum, as is virtual attendance at the Annual Meeting. On the record date, we had 28,375,308 shares entitled to vote, meaning that at least 14,187,655 shares must be present or represented by proxy to have a quorum. If a quorum is not present, the Annual Meeting may be adjourned until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82550</wp:posOffset>
            </wp:positionV>
            <wp:extent cx="291465" cy="26543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204"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Frequently Asked Questions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95</w:t>
      </w:r>
    </w:p>
    <w:p>
      <w:pPr>
        <w:sectPr>
          <w:pgSz w:w="11900" w:h="16838" w:orient="portrait"/>
          <w:cols w:equalWidth="0" w:num="1">
            <w:col w:w="11120"/>
          </w:cols>
          <w:pgMar w:left="320" w:top="482"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hanging="544"/>
        <w:spacing w:after="0"/>
        <w:tabs>
          <w:tab w:leader="none" w:pos="660" w:val="left"/>
        </w:tabs>
        <w:numPr>
          <w:ilvl w:val="0"/>
          <w:numId w:val="78"/>
        </w:numPr>
        <w:rPr>
          <w:rFonts w:ascii="Arial" w:cs="Arial" w:eastAsia="Arial" w:hAnsi="Arial"/>
          <w:sz w:val="18"/>
          <w:szCs w:val="18"/>
          <w:b w:val="1"/>
          <w:bCs w:val="1"/>
          <w:i w:val="1"/>
          <w:iCs w:val="1"/>
          <w:color w:val="002060"/>
        </w:rPr>
      </w:pPr>
      <w:r>
        <w:rPr>
          <w:rFonts w:ascii="Arial" w:cs="Arial" w:eastAsia="Arial" w:hAnsi="Arial"/>
          <w:sz w:val="18"/>
          <w:szCs w:val="18"/>
          <w:b w:val="1"/>
          <w:bCs w:val="1"/>
          <w:i w:val="1"/>
          <w:iCs w:val="1"/>
          <w:color w:val="002060"/>
        </w:rPr>
        <w:t>How many votes are required to approve each proposal?</w:t>
      </w:r>
    </w:p>
    <w:p>
      <w:pPr>
        <w:spacing w:after="0" w:line="237" w:lineRule="exact"/>
        <w:rPr>
          <w:sz w:val="20"/>
          <w:szCs w:val="20"/>
          <w:color w:val="auto"/>
        </w:rPr>
      </w:pPr>
    </w:p>
    <w:tbl>
      <w:tblPr>
        <w:tblLayout w:type="fixed"/>
        <w:tblInd w:w="140" w:type="dxa"/>
        <w:tblCellMar>
          <w:top w:w="0" w:type="dxa"/>
          <w:left w:w="0" w:type="dxa"/>
          <w:bottom w:w="0" w:type="dxa"/>
          <w:right w:w="0" w:type="dxa"/>
        </w:tblCellMar>
      </w:tblPr>
      <w:tr>
        <w:trPr>
          <w:trHeight w:val="228"/>
        </w:trPr>
        <w:tc>
          <w:tcPr>
            <w:tcW w:w="400" w:type="dxa"/>
            <w:vAlign w:val="bottom"/>
          </w:tcPr>
          <w:p>
            <w:pPr>
              <w:spacing w:after="0"/>
              <w:rPr>
                <w:sz w:val="20"/>
                <w:szCs w:val="20"/>
                <w:color w:val="auto"/>
              </w:rPr>
            </w:pPr>
            <w:r>
              <w:rPr>
                <w:rFonts w:ascii="Arial" w:cs="Arial" w:eastAsia="Arial" w:hAnsi="Arial"/>
                <w:sz w:val="18"/>
                <w:szCs w:val="18"/>
                <w:b w:val="1"/>
                <w:bCs w:val="1"/>
                <w:color w:val="auto"/>
              </w:rPr>
              <w:t>A.</w:t>
            </w:r>
          </w:p>
        </w:tc>
        <w:tc>
          <w:tcPr>
            <w:tcW w:w="20" w:type="dxa"/>
            <w:vAlign w:val="bottom"/>
            <w:tcBorders>
              <w:bottom w:val="single" w:sz="8" w:color="0070C0"/>
            </w:tcBorders>
          </w:tcPr>
          <w:p>
            <w:pPr>
              <w:spacing w:after="0"/>
              <w:rPr>
                <w:sz w:val="19"/>
                <w:szCs w:val="19"/>
                <w:color w:val="auto"/>
              </w:rPr>
            </w:pPr>
          </w:p>
        </w:tc>
        <w:tc>
          <w:tcPr>
            <w:tcW w:w="920" w:type="dxa"/>
            <w:vAlign w:val="bottom"/>
            <w:tcBorders>
              <w:bottom w:val="single" w:sz="8" w:color="0070C0"/>
            </w:tcBorders>
          </w:tcPr>
          <w:p>
            <w:pPr>
              <w:spacing w:after="0"/>
              <w:rPr>
                <w:sz w:val="19"/>
                <w:szCs w:val="19"/>
                <w:color w:val="auto"/>
              </w:rPr>
            </w:pPr>
          </w:p>
        </w:tc>
        <w:tc>
          <w:tcPr>
            <w:tcW w:w="4320" w:type="dxa"/>
            <w:vAlign w:val="bottom"/>
            <w:tcBorders>
              <w:bottom w:val="single" w:sz="8" w:color="0070C0"/>
            </w:tcBorders>
          </w:tcPr>
          <w:p>
            <w:pPr>
              <w:ind w:left="1340"/>
              <w:spacing w:after="0"/>
              <w:rPr>
                <w:sz w:val="20"/>
                <w:szCs w:val="20"/>
                <w:color w:val="auto"/>
              </w:rPr>
            </w:pPr>
            <w:r>
              <w:rPr>
                <w:rFonts w:ascii="Arial" w:cs="Arial" w:eastAsia="Arial" w:hAnsi="Arial"/>
                <w:sz w:val="18"/>
                <w:szCs w:val="18"/>
                <w:b w:val="1"/>
                <w:bCs w:val="1"/>
                <w:color w:val="0070C0"/>
              </w:rPr>
              <w:t>Proposal</w:t>
            </w:r>
          </w:p>
        </w:tc>
        <w:tc>
          <w:tcPr>
            <w:tcW w:w="5340" w:type="dxa"/>
            <w:vAlign w:val="bottom"/>
            <w:tcBorders>
              <w:bottom w:val="single" w:sz="8" w:color="0070C0"/>
            </w:tcBorders>
          </w:tcPr>
          <w:p>
            <w:pPr>
              <w:ind w:left="2220"/>
              <w:spacing w:after="0"/>
              <w:rPr>
                <w:sz w:val="20"/>
                <w:szCs w:val="20"/>
                <w:color w:val="auto"/>
              </w:rPr>
            </w:pPr>
            <w:r>
              <w:rPr>
                <w:rFonts w:ascii="Arial" w:cs="Arial" w:eastAsia="Arial" w:hAnsi="Arial"/>
                <w:sz w:val="18"/>
                <w:szCs w:val="18"/>
                <w:b w:val="1"/>
                <w:bCs w:val="1"/>
                <w:color w:val="0070C0"/>
              </w:rPr>
              <w:t>Required Vote</w:t>
            </w: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 Election of Michael T. Miller, Marchelle E. Moore</w:t>
            </w:r>
          </w:p>
        </w:tc>
        <w:tc>
          <w:tcPr>
            <w:tcW w:w="5340" w:type="dxa"/>
            <w:vAlign w:val="bottom"/>
          </w:tcPr>
          <w:p>
            <w:pPr>
              <w:ind w:left="300"/>
              <w:spacing w:after="0"/>
              <w:rPr>
                <w:sz w:val="20"/>
                <w:szCs w:val="20"/>
                <w:color w:val="auto"/>
              </w:rPr>
            </w:pPr>
            <w:r>
              <w:rPr>
                <w:rFonts w:ascii="Arial" w:cs="Arial" w:eastAsia="Arial" w:hAnsi="Arial"/>
                <w:sz w:val="18"/>
                <w:szCs w:val="18"/>
                <w:color w:val="auto"/>
              </w:rPr>
              <w:t>Majority of the votes cast at the Annual Meeting</w:t>
            </w:r>
          </w:p>
        </w:tc>
      </w:tr>
      <w:tr>
        <w:trPr>
          <w:trHeight w:val="191"/>
        </w:trPr>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and Robert</w:t>
            </w:r>
          </w:p>
        </w:tc>
        <w:tc>
          <w:tcPr>
            <w:tcW w:w="4320" w:type="dxa"/>
            <w:vAlign w:val="bottom"/>
          </w:tcPr>
          <w:p>
            <w:pPr>
              <w:ind w:left="20"/>
              <w:spacing w:after="0" w:line="191" w:lineRule="exact"/>
              <w:rPr>
                <w:sz w:val="20"/>
                <w:szCs w:val="20"/>
                <w:color w:val="auto"/>
              </w:rPr>
            </w:pPr>
            <w:r>
              <w:rPr>
                <w:rFonts w:ascii="Arial" w:cs="Arial" w:eastAsia="Arial" w:hAnsi="Arial"/>
                <w:sz w:val="18"/>
                <w:szCs w:val="18"/>
                <w:color w:val="auto"/>
              </w:rPr>
              <w:t>H. Schottenstein as directors to serve for three-</w:t>
            </w:r>
          </w:p>
        </w:tc>
        <w:tc>
          <w:tcPr>
            <w:tcW w:w="5340" w:type="dxa"/>
            <w:vAlign w:val="bottom"/>
          </w:tcPr>
          <w:p>
            <w:pPr>
              <w:spacing w:after="0"/>
              <w:rPr>
                <w:sz w:val="16"/>
                <w:szCs w:val="16"/>
                <w:color w:val="auto"/>
              </w:rPr>
            </w:pPr>
          </w:p>
        </w:tc>
      </w:tr>
      <w:tr>
        <w:trPr>
          <w:trHeight w:val="239"/>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year terms</w:t>
            </w:r>
          </w:p>
        </w:tc>
        <w:tc>
          <w:tcPr>
            <w:tcW w:w="5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57150</wp:posOffset>
            </wp:positionV>
            <wp:extent cx="672909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729095"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26" w:lineRule="exact"/>
        <w:rPr>
          <w:sz w:val="20"/>
          <w:szCs w:val="20"/>
          <w:color w:val="auto"/>
        </w:rPr>
      </w:pPr>
    </w:p>
    <w:p>
      <w:pPr>
        <w:ind w:left="560"/>
        <w:spacing w:after="0" w:line="253" w:lineRule="auto"/>
        <w:rPr>
          <w:sz w:val="20"/>
          <w:szCs w:val="20"/>
          <w:color w:val="auto"/>
        </w:rPr>
      </w:pPr>
      <w:r>
        <w:rPr>
          <w:rFonts w:ascii="Arial" w:cs="Arial" w:eastAsia="Arial" w:hAnsi="Arial"/>
          <w:sz w:val="18"/>
          <w:szCs w:val="18"/>
          <w:b w:val="1"/>
          <w:bCs w:val="1"/>
          <w:u w:val="single" w:color="auto"/>
          <w:color w:val="auto"/>
        </w:rPr>
        <w:t>Proposal 2</w:t>
      </w:r>
      <w:r>
        <w:rPr>
          <w:rFonts w:ascii="Arial" w:cs="Arial" w:eastAsia="Arial" w:hAnsi="Arial"/>
          <w:sz w:val="18"/>
          <w:szCs w:val="18"/>
          <w:b w:val="1"/>
          <w:bCs w:val="1"/>
          <w:color w:val="auto"/>
        </w:rPr>
        <w:t xml:space="preserve"> </w:t>
      </w:r>
      <w:r>
        <w:rPr>
          <w:rFonts w:ascii="Arial" w:cs="Arial" w:eastAsia="Arial" w:hAnsi="Arial"/>
          <w:sz w:val="18"/>
          <w:szCs w:val="18"/>
          <w:color w:val="auto"/>
        </w:rPr>
        <w:t>– Ratification of the appointment of Deloitte &amp; Touche</w:t>
      </w:r>
      <w:r>
        <w:rPr>
          <w:rFonts w:ascii="Arial" w:cs="Arial" w:eastAsia="Arial" w:hAnsi="Arial"/>
          <w:sz w:val="18"/>
          <w:szCs w:val="18"/>
          <w:b w:val="1"/>
          <w:bCs w:val="1"/>
          <w:color w:val="auto"/>
        </w:rPr>
        <w:t xml:space="preserve"> </w:t>
      </w:r>
      <w:r>
        <w:rPr>
          <w:rFonts w:ascii="Arial" w:cs="Arial" w:eastAsia="Arial" w:hAnsi="Arial"/>
          <w:sz w:val="18"/>
          <w:szCs w:val="18"/>
          <w:color w:val="auto"/>
        </w:rPr>
        <w:t>LLP as our independent registered public accounting firm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50800</wp:posOffset>
            </wp:positionV>
            <wp:extent cx="672909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729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Majority of the shares present or represented by proxy at the Annual Meeting and entitled to vote</w:t>
      </w:r>
    </w:p>
    <w:p>
      <w:pPr>
        <w:spacing w:after="0" w:line="289" w:lineRule="exact"/>
        <w:rPr>
          <w:sz w:val="20"/>
          <w:szCs w:val="20"/>
          <w:color w:val="auto"/>
        </w:rPr>
      </w:pPr>
    </w:p>
    <w:p>
      <w:pPr>
        <w:sectPr>
          <w:pgSz w:w="11900" w:h="16838" w:orient="portrait"/>
          <w:cols w:equalWidth="0" w:num="2">
            <w:col w:w="5760" w:space="340"/>
            <w:col w:w="5040"/>
          </w:cols>
          <w:pgMar w:left="320" w:top="482" w:right="439" w:bottom="1440" w:gutter="0" w:footer="0" w:header="0"/>
          <w:type w:val="continuous"/>
        </w:sectPr>
      </w:pPr>
    </w:p>
    <w:tbl>
      <w:tblPr>
        <w:tblLayout w:type="fixed"/>
        <w:tblInd w:w="5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Proposal 3</w:t>
            </w:r>
          </w:p>
        </w:tc>
        <w:tc>
          <w:tcPr>
            <w:tcW w:w="4420" w:type="dxa"/>
            <w:vAlign w:val="bottom"/>
          </w:tcPr>
          <w:p>
            <w:pPr>
              <w:ind w:left="20"/>
              <w:spacing w:after="0"/>
              <w:rPr>
                <w:sz w:val="20"/>
                <w:szCs w:val="20"/>
                <w:color w:val="auto"/>
              </w:rPr>
            </w:pPr>
            <w:r>
              <w:rPr>
                <w:rFonts w:ascii="Arial" w:cs="Arial" w:eastAsia="Arial" w:hAnsi="Arial"/>
                <w:sz w:val="18"/>
                <w:szCs w:val="18"/>
                <w:color w:val="auto"/>
              </w:rPr>
              <w:t>– Approval, on an advisory basis, of the</w:t>
            </w:r>
          </w:p>
        </w:tc>
        <w:tc>
          <w:tcPr>
            <w:tcW w:w="5220" w:type="dxa"/>
            <w:vAlign w:val="bottom"/>
          </w:tcPr>
          <w:p>
            <w:pPr>
              <w:ind w:left="180"/>
              <w:spacing w:after="0"/>
              <w:rPr>
                <w:sz w:val="20"/>
                <w:szCs w:val="20"/>
                <w:color w:val="auto"/>
              </w:rPr>
            </w:pPr>
            <w:r>
              <w:rPr>
                <w:rFonts w:ascii="Arial" w:cs="Arial" w:eastAsia="Arial" w:hAnsi="Arial"/>
                <w:sz w:val="18"/>
                <w:szCs w:val="18"/>
                <w:color w:val="auto"/>
              </w:rPr>
              <w:t>Majority of the shares present or represented by proxy at the</w:t>
            </w:r>
          </w:p>
        </w:tc>
      </w:tr>
      <w:tr>
        <w:trPr>
          <w:trHeight w:val="232"/>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82"/>
              </w:rPr>
              <w:t>compensation</w:t>
            </w:r>
          </w:p>
        </w:tc>
        <w:tc>
          <w:tcPr>
            <w:tcW w:w="4420" w:type="dxa"/>
            <w:vAlign w:val="bottom"/>
          </w:tcPr>
          <w:p>
            <w:pPr>
              <w:ind w:left="220"/>
              <w:spacing w:after="0"/>
              <w:rPr>
                <w:sz w:val="20"/>
                <w:szCs w:val="20"/>
                <w:color w:val="auto"/>
              </w:rPr>
            </w:pPr>
            <w:r>
              <w:rPr>
                <w:rFonts w:ascii="Arial" w:cs="Arial" w:eastAsia="Arial" w:hAnsi="Arial"/>
                <w:sz w:val="18"/>
                <w:szCs w:val="18"/>
                <w:color w:val="auto"/>
              </w:rPr>
              <w:t>of our named executive officers</w:t>
            </w:r>
          </w:p>
        </w:tc>
        <w:tc>
          <w:tcPr>
            <w:tcW w:w="5220" w:type="dxa"/>
            <w:vAlign w:val="bottom"/>
          </w:tcPr>
          <w:p>
            <w:pPr>
              <w:ind w:left="180"/>
              <w:spacing w:after="0"/>
              <w:rPr>
                <w:sz w:val="20"/>
                <w:szCs w:val="20"/>
                <w:color w:val="auto"/>
              </w:rPr>
            </w:pPr>
            <w:r>
              <w:rPr>
                <w:rFonts w:ascii="Arial" w:cs="Arial" w:eastAsia="Arial" w:hAnsi="Arial"/>
                <w:sz w:val="18"/>
                <w:szCs w:val="18"/>
                <w:color w:val="auto"/>
              </w:rPr>
              <w:t>Annual Meeting and entitled to vote</w:t>
            </w:r>
          </w:p>
        </w:tc>
      </w:tr>
      <w:tr>
        <w:trPr>
          <w:trHeight w:val="85"/>
        </w:trPr>
        <w:tc>
          <w:tcPr>
            <w:tcW w:w="20" w:type="dxa"/>
            <w:vAlign w:val="bottom"/>
            <w:tcBorders>
              <w:bottom w:val="single" w:sz="8" w:color="002060"/>
            </w:tcBorders>
          </w:tcPr>
          <w:p>
            <w:pPr>
              <w:spacing w:after="0"/>
              <w:rPr>
                <w:sz w:val="7"/>
                <w:szCs w:val="7"/>
                <w:color w:val="auto"/>
              </w:rPr>
            </w:pPr>
          </w:p>
        </w:tc>
        <w:tc>
          <w:tcPr>
            <w:tcW w:w="920" w:type="dxa"/>
            <w:vAlign w:val="bottom"/>
            <w:tcBorders>
              <w:bottom w:val="single" w:sz="8" w:color="002060"/>
            </w:tcBorders>
          </w:tcPr>
          <w:p>
            <w:pPr>
              <w:spacing w:after="0"/>
              <w:rPr>
                <w:sz w:val="7"/>
                <w:szCs w:val="7"/>
                <w:color w:val="auto"/>
              </w:rPr>
            </w:pPr>
          </w:p>
        </w:tc>
        <w:tc>
          <w:tcPr>
            <w:tcW w:w="20" w:type="dxa"/>
            <w:vAlign w:val="bottom"/>
            <w:tcBorders>
              <w:bottom w:val="single" w:sz="8" w:color="002060"/>
            </w:tcBorders>
          </w:tcPr>
          <w:p>
            <w:pPr>
              <w:spacing w:after="0"/>
              <w:rPr>
                <w:sz w:val="7"/>
                <w:szCs w:val="7"/>
                <w:color w:val="auto"/>
              </w:rPr>
            </w:pPr>
          </w:p>
        </w:tc>
        <w:tc>
          <w:tcPr>
            <w:tcW w:w="4420" w:type="dxa"/>
            <w:vAlign w:val="bottom"/>
            <w:tcBorders>
              <w:bottom w:val="single" w:sz="8" w:color="002060"/>
            </w:tcBorders>
          </w:tcPr>
          <w:p>
            <w:pPr>
              <w:spacing w:after="0"/>
              <w:rPr>
                <w:sz w:val="7"/>
                <w:szCs w:val="7"/>
                <w:color w:val="auto"/>
              </w:rPr>
            </w:pPr>
          </w:p>
        </w:tc>
        <w:tc>
          <w:tcPr>
            <w:tcW w:w="5220" w:type="dxa"/>
            <w:vAlign w:val="bottom"/>
            <w:tcBorders>
              <w:bottom w:val="single" w:sz="8" w:color="002060"/>
            </w:tcBorders>
          </w:tcPr>
          <w:p>
            <w:pPr>
              <w:spacing w:after="0"/>
              <w:rPr>
                <w:sz w:val="7"/>
                <w:szCs w:val="7"/>
                <w:color w:val="auto"/>
              </w:rPr>
            </w:pPr>
          </w:p>
        </w:tc>
      </w:tr>
      <w:tr>
        <w:trPr>
          <w:trHeight w:val="209"/>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99"/>
              </w:rPr>
              <w:t>Proposal 4</w:t>
            </w:r>
          </w:p>
        </w:tc>
        <w:tc>
          <w:tcPr>
            <w:tcW w:w="4420" w:type="dxa"/>
            <w:vAlign w:val="bottom"/>
          </w:tcPr>
          <w:p>
            <w:pPr>
              <w:ind w:left="20"/>
              <w:spacing w:after="0"/>
              <w:rPr>
                <w:sz w:val="20"/>
                <w:szCs w:val="20"/>
                <w:color w:val="auto"/>
              </w:rPr>
            </w:pPr>
            <w:r>
              <w:rPr>
                <w:rFonts w:ascii="Arial" w:cs="Arial" w:eastAsia="Arial" w:hAnsi="Arial"/>
                <w:sz w:val="18"/>
                <w:szCs w:val="18"/>
                <w:color w:val="auto"/>
              </w:rPr>
              <w:t>– Vote, on an advisory basis, on the frequency (every</w:t>
            </w:r>
          </w:p>
        </w:tc>
        <w:tc>
          <w:tcPr>
            <w:tcW w:w="5220" w:type="dxa"/>
            <w:vAlign w:val="bottom"/>
          </w:tcPr>
          <w:p>
            <w:pPr>
              <w:ind w:left="180"/>
              <w:spacing w:after="0"/>
              <w:rPr>
                <w:sz w:val="20"/>
                <w:szCs w:val="20"/>
                <w:color w:val="auto"/>
              </w:rPr>
            </w:pPr>
            <w:r>
              <w:rPr>
                <w:rFonts w:ascii="Arial" w:cs="Arial" w:eastAsia="Arial" w:hAnsi="Arial"/>
                <w:sz w:val="18"/>
                <w:szCs w:val="18"/>
                <w:color w:val="auto"/>
              </w:rPr>
              <w:t>Whichever choice—every one year, two years or three years—</w:t>
            </w:r>
          </w:p>
        </w:tc>
      </w:tr>
      <w:tr>
        <w:trPr>
          <w:trHeight w:val="191"/>
        </w:trPr>
        <w:tc>
          <w:tcPr>
            <w:tcW w:w="20" w:type="dxa"/>
            <w:vAlign w:val="bottom"/>
          </w:tcPr>
          <w:p>
            <w:pPr>
              <w:spacing w:after="0"/>
              <w:rPr>
                <w:sz w:val="16"/>
                <w:szCs w:val="16"/>
                <w:color w:val="auto"/>
              </w:rPr>
            </w:pPr>
          </w:p>
        </w:tc>
        <w:tc>
          <w:tcPr>
            <w:tcW w:w="9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year, every</w:t>
            </w:r>
          </w:p>
        </w:tc>
        <w:tc>
          <w:tcPr>
            <w:tcW w:w="4440" w:type="dxa"/>
            <w:vAlign w:val="bottom"/>
            <w:gridSpan w:val="2"/>
          </w:tcPr>
          <w:p>
            <w:pPr>
              <w:spacing w:after="0" w:line="191" w:lineRule="exact"/>
              <w:rPr>
                <w:sz w:val="20"/>
                <w:szCs w:val="20"/>
                <w:color w:val="auto"/>
              </w:rPr>
            </w:pPr>
            <w:r>
              <w:rPr>
                <w:rFonts w:ascii="Arial" w:cs="Arial" w:eastAsia="Arial" w:hAnsi="Arial"/>
                <w:sz w:val="18"/>
                <w:szCs w:val="18"/>
                <w:color w:val="auto"/>
              </w:rPr>
              <w:t>two years or every three years) of the advisory vote</w:t>
            </w:r>
          </w:p>
        </w:tc>
        <w:tc>
          <w:tcPr>
            <w:tcW w:w="5220" w:type="dxa"/>
            <w:vAlign w:val="bottom"/>
          </w:tcPr>
          <w:p>
            <w:pPr>
              <w:ind w:left="180"/>
              <w:spacing w:after="0" w:line="191" w:lineRule="exact"/>
              <w:rPr>
                <w:sz w:val="20"/>
                <w:szCs w:val="20"/>
                <w:color w:val="auto"/>
              </w:rPr>
            </w:pPr>
            <w:r>
              <w:rPr>
                <w:rFonts w:ascii="Arial" w:cs="Arial" w:eastAsia="Arial" w:hAnsi="Arial"/>
                <w:sz w:val="18"/>
                <w:szCs w:val="18"/>
                <w:color w:val="auto"/>
              </w:rPr>
              <w:t>receives the greatest number of votes cast</w:t>
            </w:r>
          </w:p>
        </w:tc>
      </w:tr>
      <w:tr>
        <w:trPr>
          <w:trHeight w:val="239"/>
        </w:trPr>
        <w:tc>
          <w:tcPr>
            <w:tcW w:w="20" w:type="dxa"/>
            <w:vAlign w:val="bottom"/>
          </w:tcPr>
          <w:p>
            <w:pPr>
              <w:spacing w:after="0"/>
              <w:rPr>
                <w:sz w:val="20"/>
                <w:szCs w:val="20"/>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on the compensation of our named executive officers</w:t>
            </w:r>
          </w:p>
        </w:tc>
        <w:tc>
          <w:tcPr>
            <w:tcW w:w="5220" w:type="dxa"/>
            <w:vAlign w:val="bottom"/>
          </w:tcPr>
          <w:p>
            <w:pPr>
              <w:spacing w:after="0"/>
              <w:rPr>
                <w:sz w:val="20"/>
                <w:szCs w:val="20"/>
                <w:color w:val="auto"/>
              </w:rPr>
            </w:pPr>
          </w:p>
        </w:tc>
      </w:tr>
      <w:tr>
        <w:trPr>
          <w:trHeight w:val="90"/>
        </w:trPr>
        <w:tc>
          <w:tcPr>
            <w:tcW w:w="20" w:type="dxa"/>
            <w:vAlign w:val="bottom"/>
            <w:tcBorders>
              <w:bottom w:val="single" w:sz="8" w:color="002060"/>
            </w:tcBorders>
          </w:tcPr>
          <w:p>
            <w:pPr>
              <w:spacing w:after="0"/>
              <w:rPr>
                <w:sz w:val="7"/>
                <w:szCs w:val="7"/>
                <w:color w:val="auto"/>
              </w:rPr>
            </w:pPr>
          </w:p>
        </w:tc>
        <w:tc>
          <w:tcPr>
            <w:tcW w:w="920" w:type="dxa"/>
            <w:vAlign w:val="bottom"/>
            <w:tcBorders>
              <w:bottom w:val="single" w:sz="8" w:color="002060"/>
            </w:tcBorders>
          </w:tcPr>
          <w:p>
            <w:pPr>
              <w:spacing w:after="0"/>
              <w:rPr>
                <w:sz w:val="7"/>
                <w:szCs w:val="7"/>
                <w:color w:val="auto"/>
              </w:rPr>
            </w:pPr>
          </w:p>
        </w:tc>
        <w:tc>
          <w:tcPr>
            <w:tcW w:w="20" w:type="dxa"/>
            <w:vAlign w:val="bottom"/>
            <w:tcBorders>
              <w:bottom w:val="single" w:sz="8" w:color="002060"/>
            </w:tcBorders>
          </w:tcPr>
          <w:p>
            <w:pPr>
              <w:spacing w:after="0"/>
              <w:rPr>
                <w:sz w:val="7"/>
                <w:szCs w:val="7"/>
                <w:color w:val="auto"/>
              </w:rPr>
            </w:pPr>
          </w:p>
        </w:tc>
        <w:tc>
          <w:tcPr>
            <w:tcW w:w="4420" w:type="dxa"/>
            <w:vAlign w:val="bottom"/>
            <w:tcBorders>
              <w:bottom w:val="single" w:sz="8" w:color="002060"/>
            </w:tcBorders>
          </w:tcPr>
          <w:p>
            <w:pPr>
              <w:spacing w:after="0"/>
              <w:rPr>
                <w:sz w:val="7"/>
                <w:szCs w:val="7"/>
                <w:color w:val="auto"/>
              </w:rPr>
            </w:pPr>
          </w:p>
        </w:tc>
        <w:tc>
          <w:tcPr>
            <w:tcW w:w="5220" w:type="dxa"/>
            <w:vAlign w:val="bottom"/>
            <w:tcBorders>
              <w:bottom w:val="single" w:sz="8" w:color="002060"/>
            </w:tcBorders>
          </w:tcPr>
          <w:p>
            <w:pPr>
              <w:spacing w:after="0"/>
              <w:rPr>
                <w:sz w:val="7"/>
                <w:szCs w:val="7"/>
                <w:color w:val="auto"/>
              </w:rPr>
            </w:pPr>
          </w:p>
        </w:tc>
      </w:tr>
      <w:tr>
        <w:trPr>
          <w:trHeight w:val="209"/>
        </w:trPr>
        <w:tc>
          <w:tcPr>
            <w:tcW w:w="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99"/>
              </w:rPr>
              <w:t>Proposal 5</w:t>
            </w:r>
          </w:p>
        </w:tc>
        <w:tc>
          <w:tcPr>
            <w:tcW w:w="4420" w:type="dxa"/>
            <w:vAlign w:val="bottom"/>
          </w:tcPr>
          <w:p>
            <w:pPr>
              <w:ind w:left="20"/>
              <w:spacing w:after="0"/>
              <w:rPr>
                <w:sz w:val="20"/>
                <w:szCs w:val="20"/>
                <w:color w:val="auto"/>
              </w:rPr>
            </w:pPr>
            <w:r>
              <w:rPr>
                <w:rFonts w:ascii="Arial" w:cs="Arial" w:eastAsia="Arial" w:hAnsi="Arial"/>
                <w:sz w:val="18"/>
                <w:szCs w:val="18"/>
                <w:color w:val="auto"/>
              </w:rPr>
              <w:t>– Approval of our 2023 Omnibus Incentive Plan</w:t>
            </w:r>
          </w:p>
        </w:tc>
        <w:tc>
          <w:tcPr>
            <w:tcW w:w="5220" w:type="dxa"/>
            <w:vAlign w:val="bottom"/>
          </w:tcPr>
          <w:p>
            <w:pPr>
              <w:ind w:left="180"/>
              <w:spacing w:after="0"/>
              <w:rPr>
                <w:sz w:val="20"/>
                <w:szCs w:val="20"/>
                <w:color w:val="auto"/>
              </w:rPr>
            </w:pPr>
            <w:r>
              <w:rPr>
                <w:rFonts w:ascii="Arial" w:cs="Arial" w:eastAsia="Arial" w:hAnsi="Arial"/>
                <w:sz w:val="18"/>
                <w:szCs w:val="18"/>
                <w:color w:val="auto"/>
              </w:rPr>
              <w:t>Majority of the shares present or represented by proxy at the</w:t>
            </w:r>
          </w:p>
        </w:tc>
      </w:tr>
      <w:tr>
        <w:trPr>
          <w:trHeight w:val="227"/>
        </w:trPr>
        <w:tc>
          <w:tcPr>
            <w:tcW w:w="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rPr>
              <w:t>Annual Meeting and entitled to vote</w:t>
            </w:r>
          </w:p>
        </w:tc>
      </w:tr>
      <w:tr>
        <w:trPr>
          <w:trHeight w:val="98"/>
        </w:trPr>
        <w:tc>
          <w:tcPr>
            <w:tcW w:w="20" w:type="dxa"/>
            <w:vAlign w:val="bottom"/>
            <w:tcBorders>
              <w:bottom w:val="single" w:sz="8" w:color="0070C0"/>
            </w:tcBorders>
          </w:tcPr>
          <w:p>
            <w:pPr>
              <w:spacing w:after="0"/>
              <w:rPr>
                <w:sz w:val="8"/>
                <w:szCs w:val="8"/>
                <w:color w:val="auto"/>
              </w:rPr>
            </w:pPr>
          </w:p>
        </w:tc>
        <w:tc>
          <w:tcPr>
            <w:tcW w:w="920" w:type="dxa"/>
            <w:vAlign w:val="bottom"/>
            <w:tcBorders>
              <w:bottom w:val="single" w:sz="8" w:color="0070C0"/>
            </w:tcBorders>
          </w:tcPr>
          <w:p>
            <w:pPr>
              <w:spacing w:after="0"/>
              <w:rPr>
                <w:sz w:val="8"/>
                <w:szCs w:val="8"/>
                <w:color w:val="auto"/>
              </w:rPr>
            </w:pPr>
          </w:p>
        </w:tc>
        <w:tc>
          <w:tcPr>
            <w:tcW w:w="20" w:type="dxa"/>
            <w:vAlign w:val="bottom"/>
            <w:tcBorders>
              <w:bottom w:val="single" w:sz="8" w:color="0070C0"/>
            </w:tcBorders>
          </w:tcPr>
          <w:p>
            <w:pPr>
              <w:spacing w:after="0"/>
              <w:rPr>
                <w:sz w:val="8"/>
                <w:szCs w:val="8"/>
                <w:color w:val="auto"/>
              </w:rPr>
            </w:pPr>
          </w:p>
        </w:tc>
        <w:tc>
          <w:tcPr>
            <w:tcW w:w="4420" w:type="dxa"/>
            <w:vAlign w:val="bottom"/>
            <w:tcBorders>
              <w:bottom w:val="single" w:sz="8" w:color="0070C0"/>
            </w:tcBorders>
          </w:tcPr>
          <w:p>
            <w:pPr>
              <w:spacing w:after="0"/>
              <w:rPr>
                <w:sz w:val="8"/>
                <w:szCs w:val="8"/>
                <w:color w:val="auto"/>
              </w:rPr>
            </w:pPr>
          </w:p>
        </w:tc>
        <w:tc>
          <w:tcPr>
            <w:tcW w:w="5220" w:type="dxa"/>
            <w:vAlign w:val="bottom"/>
            <w:tcBorders>
              <w:bottom w:val="single" w:sz="8" w:color="0070C0"/>
            </w:tcBorders>
          </w:tcPr>
          <w:p>
            <w:pPr>
              <w:spacing w:after="0"/>
              <w:rPr>
                <w:sz w:val="8"/>
                <w:szCs w:val="8"/>
                <w:color w:val="auto"/>
              </w:rPr>
            </w:pPr>
          </w:p>
        </w:tc>
      </w:tr>
    </w:tbl>
    <w:p>
      <w:pPr>
        <w:spacing w:after="0" w:line="226" w:lineRule="exact"/>
        <w:rPr>
          <w:sz w:val="20"/>
          <w:szCs w:val="20"/>
          <w:color w:val="auto"/>
        </w:rPr>
      </w:pPr>
    </w:p>
    <w:p>
      <w:pPr>
        <w:ind w:left="660" w:hanging="544"/>
        <w:spacing w:after="0"/>
        <w:tabs>
          <w:tab w:leader="none" w:pos="660" w:val="left"/>
        </w:tabs>
        <w:numPr>
          <w:ilvl w:val="0"/>
          <w:numId w:val="79"/>
        </w:numPr>
        <w:rPr>
          <w:rFonts w:ascii="Arial" w:cs="Arial" w:eastAsia="Arial" w:hAnsi="Arial"/>
          <w:sz w:val="18"/>
          <w:szCs w:val="18"/>
          <w:b w:val="1"/>
          <w:bCs w:val="1"/>
          <w:i w:val="1"/>
          <w:iCs w:val="1"/>
          <w:color w:val="002060"/>
        </w:rPr>
      </w:pPr>
      <w:r>
        <w:rPr>
          <w:rFonts w:ascii="Arial" w:cs="Arial" w:eastAsia="Arial" w:hAnsi="Arial"/>
          <w:sz w:val="18"/>
          <w:szCs w:val="18"/>
          <w:b w:val="1"/>
          <w:bCs w:val="1"/>
          <w:i w:val="1"/>
          <w:iCs w:val="1"/>
          <w:color w:val="002060"/>
        </w:rPr>
        <w:t>Where can I find the voting results?</w:t>
      </w:r>
    </w:p>
    <w:p>
      <w:pPr>
        <w:spacing w:after="0" w:line="115" w:lineRule="exact"/>
        <w:rPr>
          <w:sz w:val="20"/>
          <w:szCs w:val="20"/>
          <w:color w:val="auto"/>
        </w:rPr>
      </w:pPr>
    </w:p>
    <w:p>
      <w:pPr>
        <w:ind w:left="660" w:right="20" w:hanging="544"/>
        <w:spacing w:after="0" w:line="247" w:lineRule="auto"/>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Preliminary voting results will be announced at the Annual Meeting. Final voting results will be published in a current report on Form 8-K to be filed with the SEC within four business days after the Annual Meeting. If final voting results are not available at that time, we will provide preliminary voting results in the Form 8-K and will provide the final voting results in an amendment to the Form 8-K as soon as they become available.</w:t>
      </w:r>
    </w:p>
    <w:p>
      <w:pPr>
        <w:spacing w:after="0" w:line="203" w:lineRule="exact"/>
        <w:rPr>
          <w:sz w:val="20"/>
          <w:szCs w:val="20"/>
          <w:color w:val="auto"/>
        </w:rPr>
      </w:pPr>
    </w:p>
    <w:p>
      <w:pPr>
        <w:ind w:left="660" w:hanging="544"/>
        <w:spacing w:after="0"/>
        <w:tabs>
          <w:tab w:leader="none" w:pos="660" w:val="left"/>
        </w:tabs>
        <w:numPr>
          <w:ilvl w:val="0"/>
          <w:numId w:val="81"/>
        </w:numPr>
        <w:rPr>
          <w:rFonts w:ascii="Arial" w:cs="Arial" w:eastAsia="Arial" w:hAnsi="Arial"/>
          <w:sz w:val="18"/>
          <w:szCs w:val="18"/>
          <w:b w:val="1"/>
          <w:bCs w:val="1"/>
          <w:i w:val="1"/>
          <w:iCs w:val="1"/>
          <w:color w:val="002060"/>
        </w:rPr>
      </w:pPr>
      <w:r>
        <w:rPr>
          <w:rFonts w:ascii="Arial" w:cs="Arial" w:eastAsia="Arial" w:hAnsi="Arial"/>
          <w:sz w:val="18"/>
          <w:szCs w:val="18"/>
          <w:b w:val="1"/>
          <w:bCs w:val="1"/>
          <w:i w:val="1"/>
          <w:iCs w:val="1"/>
          <w:color w:val="002060"/>
        </w:rPr>
        <w:t>Who is conducting this proxy solicitation?</w:t>
      </w:r>
    </w:p>
    <w:p>
      <w:pPr>
        <w:spacing w:after="0" w:line="115" w:lineRule="exact"/>
        <w:rPr>
          <w:sz w:val="20"/>
          <w:szCs w:val="20"/>
          <w:color w:val="auto"/>
        </w:rPr>
      </w:pPr>
    </w:p>
    <w:p>
      <w:pPr>
        <w:ind w:left="660" w:right="60" w:hanging="544"/>
        <w:spacing w:after="0" w:line="242" w:lineRule="auto"/>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Our Board of Directors is soliciting your vote for the proposals being submitted at the Annual Meeting. Solicitation is being made by mail or internet but could also be made by our directors, officers and select other employees telephonically, electronically or by other means of communication. The Company will bear the cost of soliciting proxies. Directors, officers and employees who help us in the solicitation will not be specially compensated for those services, but may be reimbursed for their out-of-pocket expenses. We are requesting brokers, banks and other nominees to forward our proxy materials to beneficial owners and will reimburse them for their reasonable out-of-pocket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282575" cy="2654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204" w:lineRule="exact"/>
        <w:rPr>
          <w:sz w:val="20"/>
          <w:szCs w:val="20"/>
          <w:color w:val="auto"/>
        </w:rPr>
      </w:pPr>
    </w:p>
    <w:p>
      <w:pPr>
        <w:ind w:left="240"/>
        <w:spacing w:after="0"/>
        <w:tabs>
          <w:tab w:leader="none" w:pos="660" w:val="left"/>
          <w:tab w:leader="none" w:pos="9080" w:val="left"/>
        </w:tabs>
        <w:rPr>
          <w:sz w:val="20"/>
          <w:szCs w:val="20"/>
          <w:color w:val="auto"/>
        </w:rPr>
      </w:pPr>
      <w:r>
        <w:rPr>
          <w:rFonts w:ascii="Arial" w:cs="Arial" w:eastAsia="Arial" w:hAnsi="Arial"/>
          <w:sz w:val="16"/>
          <w:szCs w:val="16"/>
          <w:color w:val="FFFFFF"/>
        </w:rPr>
        <w:t>96</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Frequently Asked Questions</w:t>
      </w:r>
    </w:p>
    <w:p>
      <w:pPr>
        <w:sectPr>
          <w:pgSz w:w="11900" w:h="16838" w:orient="portrait"/>
          <w:cols w:equalWidth="0" w:num="1">
            <w:col w:w="11140"/>
          </w:cols>
          <w:pgMar w:left="320" w:top="482" w:right="4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480060" cy="2489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800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40"/>
          <w:szCs w:val="40"/>
          <w:b w:val="1"/>
          <w:bCs w:val="1"/>
          <w:color w:val="0070C0"/>
        </w:rPr>
        <w:t>OTHER MATTERS</w:t>
      </w:r>
    </w:p>
    <w:p>
      <w:pPr>
        <w:spacing w:after="0" w:line="200" w:lineRule="exact"/>
        <w:rPr>
          <w:sz w:val="20"/>
          <w:szCs w:val="20"/>
          <w:color w:val="auto"/>
        </w:rPr>
      </w:pPr>
    </w:p>
    <w:p>
      <w:pPr>
        <w:spacing w:after="0" w:line="246"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We are not aware of any other matters that will be presented for consideration at the Annual Meeting. If any other matters are properly brought before the meeting, the persons named as proxies will vote on such matters in accordance with their best judgment.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1474470" cy="4203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47447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Shelley A. McBride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Counsel and Secretary</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480695</wp:posOffset>
            </wp:positionV>
            <wp:extent cx="5606415" cy="44323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606415" cy="443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tabs>
          <w:tab w:leader="none" w:pos="8940" w:val="left"/>
          <w:tab w:leader="none" w:pos="10800" w:val="left"/>
        </w:tabs>
        <w:rPr>
          <w:sz w:val="20"/>
          <w:szCs w:val="20"/>
          <w:color w:val="auto"/>
        </w:rPr>
      </w:pPr>
      <w:r>
        <w:rPr>
          <w:rFonts w:ascii="Arial" w:cs="Arial" w:eastAsia="Arial" w:hAnsi="Arial"/>
          <w:sz w:val="16"/>
          <w:szCs w:val="16"/>
          <w:color w:val="002060"/>
        </w:rPr>
        <w:t>Other Matters</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97</w:t>
      </w:r>
    </w:p>
    <w:p>
      <w:pPr>
        <w:sectPr>
          <w:pgSz w:w="11900" w:h="16838" w:orient="portrait"/>
          <w:cols w:equalWidth="0" w:num="1">
            <w:col w:w="11000"/>
          </w:cols>
          <w:pgMar w:left="320" w:top="482" w:right="5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center"/>
        <w:ind w:right="-259"/>
        <w:spacing w:after="0"/>
        <w:rPr>
          <w:sz w:val="20"/>
          <w:szCs w:val="20"/>
          <w:color w:val="auto"/>
        </w:rPr>
      </w:pPr>
      <w:r>
        <w:rPr>
          <w:rFonts w:ascii="Arial" w:cs="Arial" w:eastAsia="Arial" w:hAnsi="Arial"/>
          <w:sz w:val="19"/>
          <w:szCs w:val="19"/>
          <w:b w:val="1"/>
          <w:bCs w:val="1"/>
          <w:u w:val="single" w:color="auto"/>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Arial" w:cs="Arial" w:eastAsia="Arial" w:hAnsi="Arial"/>
          <w:sz w:val="19"/>
          <w:szCs w:val="19"/>
          <w:b w:val="1"/>
          <w:bCs w:val="1"/>
          <w:color w:val="auto"/>
        </w:rPr>
        <w:t>INSTALLED BUILDING PRODUCTS, INC.</w:t>
      </w:r>
    </w:p>
    <w:p>
      <w:pPr>
        <w:spacing w:after="0" w:line="214" w:lineRule="exact"/>
        <w:rPr>
          <w:sz w:val="20"/>
          <w:szCs w:val="20"/>
          <w:color w:val="auto"/>
        </w:rPr>
      </w:pPr>
    </w:p>
    <w:p>
      <w:pPr>
        <w:jc w:val="center"/>
        <w:ind w:right="-259"/>
        <w:spacing w:after="0"/>
        <w:rPr>
          <w:sz w:val="20"/>
          <w:szCs w:val="20"/>
          <w:color w:val="auto"/>
        </w:rPr>
      </w:pPr>
      <w:r>
        <w:rPr>
          <w:rFonts w:ascii="Arial" w:cs="Arial" w:eastAsia="Arial" w:hAnsi="Arial"/>
          <w:sz w:val="19"/>
          <w:szCs w:val="19"/>
          <w:b w:val="1"/>
          <w:bCs w:val="1"/>
          <w:color w:val="auto"/>
        </w:rPr>
        <w:t>2023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101600</wp:posOffset>
            </wp:positionV>
            <wp:extent cx="360045" cy="18859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60045" cy="188595"/>
                    </a:xfrm>
                    <a:prstGeom prst="rect">
                      <a:avLst/>
                    </a:prstGeom>
                    <a:noFill/>
                  </pic:spPr>
                </pic:pic>
              </a:graphicData>
            </a:graphic>
          </wp:anchor>
        </w:drawing>
      </w:r>
    </w:p>
    <w:p>
      <w:pPr>
        <w:spacing w:after="0" w:line="193" w:lineRule="exact"/>
        <w:rPr>
          <w:sz w:val="20"/>
          <w:szCs w:val="20"/>
          <w:color w:val="auto"/>
        </w:rPr>
      </w:pPr>
    </w:p>
    <w:p>
      <w:pPr>
        <w:ind w:left="120"/>
        <w:spacing w:after="0"/>
        <w:tabs>
          <w:tab w:leader="none" w:pos="8840" w:val="left"/>
          <w:tab w:leader="none" w:pos="10720" w:val="left"/>
        </w:tabs>
        <w:rPr>
          <w:sz w:val="20"/>
          <w:szCs w:val="20"/>
          <w:color w:val="auto"/>
        </w:rPr>
      </w:pPr>
      <w:r>
        <w:rPr>
          <w:rFonts w:ascii="Arial" w:cs="Arial" w:eastAsia="Arial" w:hAnsi="Arial"/>
          <w:sz w:val="16"/>
          <w:szCs w:val="16"/>
          <w:color w:val="002060"/>
        </w:rPr>
        <w:t>2023 Omnibus Incentive Plan</w:t>
      </w:r>
      <w:r>
        <w:rPr>
          <w:sz w:val="20"/>
          <w:szCs w:val="20"/>
          <w:color w:val="auto"/>
        </w:rPr>
        <w:tab/>
      </w:r>
      <w:r>
        <w:rPr>
          <w:rFonts w:ascii="Arial" w:cs="Arial" w:eastAsia="Arial" w:hAnsi="Arial"/>
          <w:sz w:val="16"/>
          <w:szCs w:val="16"/>
          <w:color w:val="002060"/>
        </w:rPr>
        <w:t>2023 Proxy Statement</w:t>
      </w:r>
      <w:r>
        <w:rPr>
          <w:sz w:val="20"/>
          <w:szCs w:val="20"/>
          <w:color w:val="auto"/>
        </w:rPr>
        <w:tab/>
      </w:r>
      <w:r>
        <w:rPr>
          <w:rFonts w:ascii="Arial" w:cs="Arial" w:eastAsia="Arial" w:hAnsi="Arial"/>
          <w:sz w:val="15"/>
          <w:szCs w:val="15"/>
          <w:color w:val="FFFFFF"/>
        </w:rPr>
        <w:t>A-1</w:t>
      </w:r>
    </w:p>
    <w:p>
      <w:pPr>
        <w:sectPr>
          <w:pgSz w:w="11900" w:h="16838" w:orient="portrait"/>
          <w:cols w:equalWidth="0" w:num="1">
            <w:col w:w="10980"/>
          </w:cols>
          <w:pgMar w:left="320" w:top="482" w:right="59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436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780" w:type="dxa"/>
            <w:vAlign w:val="bottom"/>
          </w:tcPr>
          <w:p>
            <w:pPr>
              <w:spacing w:after="0"/>
              <w:rPr>
                <w:sz w:val="17"/>
                <w:szCs w:val="17"/>
                <w:color w:val="auto"/>
              </w:rPr>
            </w:pPr>
          </w:p>
        </w:tc>
      </w:tr>
      <w:tr>
        <w:trPr>
          <w:trHeight w:val="563"/>
        </w:trPr>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80" w:type="dxa"/>
            <w:vAlign w:val="bottom"/>
          </w:tcPr>
          <w:p>
            <w:pPr>
              <w:jc w:val="right"/>
              <w:ind w:right="4626"/>
              <w:spacing w:after="0"/>
              <w:rPr>
                <w:sz w:val="20"/>
                <w:szCs w:val="20"/>
                <w:color w:val="auto"/>
              </w:rPr>
            </w:pPr>
            <w:r>
              <w:rPr>
                <w:rFonts w:ascii="Arial" w:cs="Arial" w:eastAsia="Arial" w:hAnsi="Arial"/>
                <w:sz w:val="19"/>
                <w:szCs w:val="19"/>
                <w:b w:val="1"/>
                <w:bCs w:val="1"/>
                <w:color w:val="auto"/>
              </w:rPr>
              <w:t>Table of Contents</w:t>
            </w:r>
          </w:p>
        </w:tc>
      </w:tr>
      <w:tr>
        <w:trPr>
          <w:trHeight w:val="459"/>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b w:val="1"/>
                <w:bCs w:val="1"/>
                <w:color w:val="auto"/>
              </w:rPr>
              <w:t>Page</w:t>
            </w:r>
          </w:p>
        </w:tc>
      </w:tr>
      <w:tr>
        <w:trPr>
          <w:trHeight w:val="295"/>
        </w:trPr>
        <w:tc>
          <w:tcPr>
            <w:tcW w:w="120" w:type="dxa"/>
            <w:vAlign w:val="bottom"/>
          </w:tcPr>
          <w:p>
            <w:pPr>
              <w:spacing w:after="0"/>
              <w:rPr>
                <w:sz w:val="24"/>
                <w:szCs w:val="24"/>
                <w:color w:val="auto"/>
              </w:rPr>
            </w:pPr>
          </w:p>
        </w:tc>
        <w:tc>
          <w:tcPr>
            <w:tcW w:w="1900" w:type="dxa"/>
            <w:vAlign w:val="bottom"/>
            <w:tcBorders>
              <w:bottom w:val="single" w:sz="8" w:color="0000EE"/>
            </w:tcBorders>
            <w:gridSpan w:val="8"/>
          </w:tcPr>
          <w:p>
            <w:pPr>
              <w:spacing w:after="0"/>
              <w:rPr>
                <w:sz w:val="20"/>
                <w:szCs w:val="20"/>
                <w:color w:val="auto"/>
              </w:rPr>
            </w:pPr>
            <w:r>
              <w:rPr>
                <w:rFonts w:ascii="Arial" w:cs="Arial" w:eastAsia="Arial" w:hAnsi="Arial"/>
                <w:sz w:val="19"/>
                <w:szCs w:val="19"/>
                <w:b w:val="1"/>
                <w:bCs w:val="1"/>
                <w:color w:val="0000EE"/>
                <w:w w:val="98"/>
              </w:rPr>
              <w:t>ARTICLE I PURPOSE</w:t>
            </w:r>
          </w:p>
        </w:tc>
        <w:tc>
          <w:tcPr>
            <w:tcW w:w="2340" w:type="dxa"/>
            <w:vAlign w:val="bottom"/>
            <w:gridSpan w:val="24"/>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A-6</w:t>
            </w:r>
          </w:p>
        </w:tc>
      </w:tr>
      <w:tr>
        <w:trPr>
          <w:trHeight w:val="331"/>
        </w:trPr>
        <w:tc>
          <w:tcPr>
            <w:tcW w:w="120" w:type="dxa"/>
            <w:vAlign w:val="bottom"/>
          </w:tcPr>
          <w:p>
            <w:pPr>
              <w:spacing w:after="0"/>
              <w:rPr>
                <w:sz w:val="24"/>
                <w:szCs w:val="24"/>
                <w:color w:val="auto"/>
              </w:rPr>
            </w:pPr>
          </w:p>
        </w:tc>
        <w:tc>
          <w:tcPr>
            <w:tcW w:w="4240" w:type="dxa"/>
            <w:vAlign w:val="bottom"/>
            <w:gridSpan w:val="32"/>
          </w:tcPr>
          <w:p>
            <w:pPr>
              <w:spacing w:after="0"/>
              <w:rPr>
                <w:sz w:val="20"/>
                <w:szCs w:val="20"/>
                <w:color w:val="auto"/>
              </w:rPr>
            </w:pPr>
            <w:r>
              <w:rPr>
                <w:rFonts w:ascii="Arial" w:cs="Arial" w:eastAsia="Arial" w:hAnsi="Arial"/>
                <w:sz w:val="19"/>
                <w:szCs w:val="19"/>
                <w:b w:val="1"/>
                <w:bCs w:val="1"/>
                <w:color w:val="0000EE"/>
              </w:rPr>
              <w:t>ARTICLE II DEFINITIONS</w:t>
            </w: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A-6</w:t>
            </w:r>
          </w:p>
        </w:tc>
      </w:tr>
      <w:tr>
        <w:trPr>
          <w:trHeight w:val="331"/>
        </w:trPr>
        <w:tc>
          <w:tcPr>
            <w:tcW w:w="120" w:type="dxa"/>
            <w:vAlign w:val="bottom"/>
          </w:tcPr>
          <w:p>
            <w:pPr>
              <w:spacing w:after="0"/>
              <w:rPr>
                <w:sz w:val="24"/>
                <w:szCs w:val="24"/>
                <w:color w:val="auto"/>
              </w:rPr>
            </w:pPr>
          </w:p>
        </w:tc>
        <w:tc>
          <w:tcPr>
            <w:tcW w:w="980" w:type="dxa"/>
            <w:vAlign w:val="bottom"/>
            <w:tcBorders>
              <w:top w:val="single" w:sz="8" w:color="0000EE"/>
            </w:tcBorders>
            <w:gridSpan w:val="2"/>
          </w:tcPr>
          <w:p>
            <w:pPr>
              <w:ind w:left="280"/>
              <w:spacing w:after="0"/>
              <w:rPr>
                <w:sz w:val="20"/>
                <w:szCs w:val="20"/>
                <w:color w:val="auto"/>
              </w:rPr>
            </w:pPr>
            <w:r>
              <w:rPr>
                <w:rFonts w:ascii="Arial" w:cs="Arial" w:eastAsia="Arial" w:hAnsi="Arial"/>
                <w:sz w:val="19"/>
                <w:szCs w:val="19"/>
                <w:b w:val="1"/>
                <w:bCs w:val="1"/>
                <w:color w:val="auto"/>
              </w:rPr>
              <w:t>2.1</w:t>
            </w:r>
          </w:p>
        </w:tc>
        <w:tc>
          <w:tcPr>
            <w:tcW w:w="11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9"/>
                <w:szCs w:val="19"/>
                <w:b w:val="1"/>
                <w:bCs w:val="1"/>
                <w:color w:val="0000EE"/>
                <w:w w:val="99"/>
              </w:rPr>
              <w:t>“2014 P</w:t>
            </w:r>
            <w:r>
              <w:rPr>
                <w:rFonts w:ascii="Arial" w:cs="Arial" w:eastAsia="Arial" w:hAnsi="Arial"/>
                <w:sz w:val="15"/>
                <w:szCs w:val="15"/>
                <w:b w:val="1"/>
                <w:bCs w:val="1"/>
                <w:color w:val="0000EE"/>
                <w:w w:val="99"/>
              </w:rPr>
              <w:t>LAN</w:t>
            </w:r>
            <w:r>
              <w:rPr>
                <w:rFonts w:ascii="Arial" w:cs="Arial" w:eastAsia="Arial" w:hAnsi="Arial"/>
                <w:sz w:val="19"/>
                <w:szCs w:val="19"/>
                <w:b w:val="1"/>
                <w:bCs w:val="1"/>
                <w:color w:val="0000EE"/>
                <w:w w:val="99"/>
              </w:rPr>
              <w:t>”</w:t>
            </w:r>
          </w:p>
        </w:tc>
        <w:tc>
          <w:tcPr>
            <w:tcW w:w="120" w:type="dxa"/>
            <w:vAlign w:val="bottom"/>
            <w:tcBorders>
              <w:top w:val="single" w:sz="8" w:color="0000EE"/>
            </w:tcBorders>
            <w:gridSpan w:val="2"/>
          </w:tcPr>
          <w:p>
            <w:pPr>
              <w:spacing w:after="0"/>
              <w:rPr>
                <w:sz w:val="24"/>
                <w:szCs w:val="24"/>
                <w:color w:val="auto"/>
              </w:rPr>
            </w:pPr>
          </w:p>
        </w:tc>
        <w:tc>
          <w:tcPr>
            <w:tcW w:w="2020" w:type="dxa"/>
            <w:vAlign w:val="bottom"/>
            <w:gridSpan w:val="19"/>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A-6</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2.2</w:t>
            </w:r>
          </w:p>
        </w:tc>
        <w:tc>
          <w:tcPr>
            <w:tcW w:w="3260" w:type="dxa"/>
            <w:vAlign w:val="bottom"/>
            <w:gridSpan w:val="30"/>
          </w:tcPr>
          <w:p>
            <w:pPr>
              <w:spacing w:after="0"/>
              <w:rPr>
                <w:sz w:val="20"/>
                <w:szCs w:val="20"/>
                <w:color w:val="auto"/>
              </w:rPr>
            </w:pPr>
            <w:r>
              <w:rPr>
                <w:rFonts w:ascii="Arial" w:cs="Arial" w:eastAsia="Arial" w:hAnsi="Arial"/>
                <w:sz w:val="19"/>
                <w:szCs w:val="19"/>
                <w:b w:val="1"/>
                <w:bCs w:val="1"/>
                <w:color w:val="0000EE"/>
              </w:rPr>
              <w:t>“A</w:t>
            </w:r>
            <w:r>
              <w:rPr>
                <w:rFonts w:ascii="Arial" w:cs="Arial" w:eastAsia="Arial" w:hAnsi="Arial"/>
                <w:sz w:val="15"/>
                <w:szCs w:val="15"/>
                <w:b w:val="1"/>
                <w:bCs w:val="1"/>
                <w:color w:val="0000EE"/>
              </w:rPr>
              <w:t>CQUISITION</w:t>
            </w:r>
            <w:r>
              <w:rPr>
                <w:rFonts w:ascii="Arial" w:cs="Arial" w:eastAsia="Arial" w:hAnsi="Arial"/>
                <w:sz w:val="19"/>
                <w:szCs w:val="19"/>
                <w:b w:val="1"/>
                <w:bCs w:val="1"/>
                <w:color w:val="0000EE"/>
              </w:rPr>
              <w:t xml:space="preserve"> E</w:t>
            </w:r>
            <w:r>
              <w:rPr>
                <w:rFonts w:ascii="Arial" w:cs="Arial" w:eastAsia="Arial" w:hAnsi="Arial"/>
                <w:sz w:val="15"/>
                <w:szCs w:val="15"/>
                <w:b w:val="1"/>
                <w:bCs w:val="1"/>
                <w:color w:val="0000EE"/>
              </w:rPr>
              <w:t>VENT</w:t>
            </w:r>
            <w:r>
              <w:rPr>
                <w:rFonts w:ascii="Arial" w:cs="Arial" w:eastAsia="Arial" w:hAnsi="Arial"/>
                <w:sz w:val="19"/>
                <w:szCs w:val="19"/>
                <w:b w:val="1"/>
                <w:bCs w:val="1"/>
                <w:color w:val="0000EE"/>
              </w:rPr>
              <w:t>”</w:t>
            </w: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A-6</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2.3</w:t>
            </w:r>
          </w:p>
        </w:tc>
        <w:tc>
          <w:tcPr>
            <w:tcW w:w="1840" w:type="dxa"/>
            <w:vAlign w:val="bottom"/>
            <w:tcBorders>
              <w:top w:val="single" w:sz="8" w:color="0000EE"/>
            </w:tcBorders>
            <w:gridSpan w:val="17"/>
          </w:tcPr>
          <w:p>
            <w:pPr>
              <w:spacing w:after="0"/>
              <w:rPr>
                <w:sz w:val="20"/>
                <w:szCs w:val="20"/>
                <w:color w:val="auto"/>
              </w:rPr>
            </w:pPr>
            <w:r>
              <w:rPr>
                <w:rFonts w:ascii="Arial" w:cs="Arial" w:eastAsia="Arial" w:hAnsi="Arial"/>
                <w:sz w:val="19"/>
                <w:szCs w:val="19"/>
                <w:b w:val="1"/>
                <w:bCs w:val="1"/>
                <w:color w:val="0000EE"/>
              </w:rPr>
              <w:t>“A</w:t>
            </w:r>
            <w:r>
              <w:rPr>
                <w:rFonts w:ascii="Arial" w:cs="Arial" w:eastAsia="Arial" w:hAnsi="Arial"/>
                <w:sz w:val="15"/>
                <w:szCs w:val="15"/>
                <w:b w:val="1"/>
                <w:bCs w:val="1"/>
                <w:color w:val="0000EE"/>
              </w:rPr>
              <w:t>FFILIATE</w:t>
            </w:r>
            <w:r>
              <w:rPr>
                <w:rFonts w:ascii="Arial" w:cs="Arial" w:eastAsia="Arial" w:hAnsi="Arial"/>
                <w:sz w:val="19"/>
                <w:szCs w:val="19"/>
                <w:b w:val="1"/>
                <w:bCs w:val="1"/>
                <w:color w:val="0000EE"/>
              </w:rPr>
              <w:t>”</w:t>
            </w:r>
          </w:p>
        </w:tc>
        <w:tc>
          <w:tcPr>
            <w:tcW w:w="1420" w:type="dxa"/>
            <w:vAlign w:val="bottom"/>
            <w:gridSpan w:val="13"/>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A-6</w:t>
            </w:r>
          </w:p>
        </w:tc>
      </w:tr>
      <w:tr>
        <w:trPr>
          <w:trHeight w:val="20"/>
        </w:trPr>
        <w:tc>
          <w:tcPr>
            <w:tcW w:w="110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2.4</w:t>
            </w:r>
          </w:p>
        </w:tc>
        <w:tc>
          <w:tcPr>
            <w:tcW w:w="3260" w:type="dxa"/>
            <w:vAlign w:val="bottom"/>
            <w:gridSpan w:val="30"/>
          </w:tcPr>
          <w:p>
            <w:pPr>
              <w:spacing w:after="0"/>
              <w:rPr>
                <w:sz w:val="20"/>
                <w:szCs w:val="20"/>
                <w:color w:val="auto"/>
              </w:rPr>
            </w:pPr>
            <w:r>
              <w:rPr>
                <w:rFonts w:ascii="Arial" w:cs="Arial" w:eastAsia="Arial" w:hAnsi="Arial"/>
                <w:sz w:val="19"/>
                <w:szCs w:val="19"/>
                <w:b w:val="1"/>
                <w:bCs w:val="1"/>
                <w:color w:val="0000EE"/>
              </w:rPr>
              <w:t>“A</w:t>
            </w:r>
            <w:r>
              <w:rPr>
                <w:rFonts w:ascii="Arial" w:cs="Arial" w:eastAsia="Arial" w:hAnsi="Arial"/>
                <w:sz w:val="15"/>
                <w:szCs w:val="15"/>
                <w:b w:val="1"/>
                <w:bCs w:val="1"/>
                <w:color w:val="0000EE"/>
              </w:rPr>
              <w:t>PPRECIATION</w:t>
            </w:r>
            <w:r>
              <w:rPr>
                <w:rFonts w:ascii="Arial" w:cs="Arial" w:eastAsia="Arial" w:hAnsi="Arial"/>
                <w:sz w:val="19"/>
                <w:szCs w:val="19"/>
                <w:b w:val="1"/>
                <w:bCs w:val="1"/>
                <w:color w:val="0000EE"/>
              </w:rPr>
              <w:t xml:space="preserve"> A</w:t>
            </w:r>
            <w:r>
              <w:rPr>
                <w:rFonts w:ascii="Arial" w:cs="Arial" w:eastAsia="Arial" w:hAnsi="Arial"/>
                <w:sz w:val="15"/>
                <w:szCs w:val="15"/>
                <w:b w:val="1"/>
                <w:bCs w:val="1"/>
                <w:color w:val="0000EE"/>
              </w:rPr>
              <w:t>WARD</w:t>
            </w:r>
            <w:r>
              <w:rPr>
                <w:rFonts w:ascii="Arial" w:cs="Arial" w:eastAsia="Arial" w:hAnsi="Arial"/>
                <w:sz w:val="19"/>
                <w:szCs w:val="19"/>
                <w:b w:val="1"/>
                <w:bCs w:val="1"/>
                <w:color w:val="0000EE"/>
              </w:rPr>
              <w:t>”</w:t>
            </w: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A-6</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2.5</w:t>
            </w:r>
          </w:p>
        </w:tc>
        <w:tc>
          <w:tcPr>
            <w:tcW w:w="8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9"/>
                <w:szCs w:val="19"/>
                <w:b w:val="1"/>
                <w:bCs w:val="1"/>
                <w:color w:val="0000EE"/>
              </w:rPr>
              <w:t>“A</w:t>
            </w:r>
            <w:r>
              <w:rPr>
                <w:rFonts w:ascii="Arial" w:cs="Arial" w:eastAsia="Arial" w:hAnsi="Arial"/>
                <w:sz w:val="15"/>
                <w:szCs w:val="15"/>
                <w:b w:val="1"/>
                <w:bCs w:val="1"/>
                <w:color w:val="0000EE"/>
              </w:rPr>
              <w:t>WARD</w:t>
            </w:r>
            <w:r>
              <w:rPr>
                <w:rFonts w:ascii="Arial" w:cs="Arial" w:eastAsia="Arial" w:hAnsi="Arial"/>
                <w:sz w:val="19"/>
                <w:szCs w:val="19"/>
                <w:b w:val="1"/>
                <w:bCs w:val="1"/>
                <w:color w:val="0000EE"/>
              </w:rPr>
              <w:t>”</w:t>
            </w:r>
          </w:p>
        </w:tc>
        <w:tc>
          <w:tcPr>
            <w:tcW w:w="1240" w:type="dxa"/>
            <w:vAlign w:val="bottom"/>
            <w:tcBorders>
              <w:top w:val="single" w:sz="8" w:color="0000EE"/>
            </w:tcBorders>
            <w:gridSpan w:val="17"/>
          </w:tcPr>
          <w:p>
            <w:pPr>
              <w:spacing w:after="0"/>
              <w:rPr>
                <w:sz w:val="24"/>
                <w:szCs w:val="24"/>
                <w:color w:val="auto"/>
              </w:rPr>
            </w:pPr>
          </w:p>
        </w:tc>
        <w:tc>
          <w:tcPr>
            <w:tcW w:w="1200" w:type="dxa"/>
            <w:vAlign w:val="bottom"/>
            <w:gridSpan w:val="8"/>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A-6</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2.6</w:t>
            </w:r>
          </w:p>
        </w:tc>
        <w:tc>
          <w:tcPr>
            <w:tcW w:w="800" w:type="dxa"/>
            <w:vAlign w:val="bottom"/>
            <w:tcBorders>
              <w:bottom w:val="single" w:sz="8" w:color="0000EE"/>
            </w:tcBorders>
            <w:gridSpan w:val="4"/>
          </w:tcPr>
          <w:p>
            <w:pPr>
              <w:spacing w:after="0"/>
              <w:rPr>
                <w:sz w:val="20"/>
                <w:szCs w:val="20"/>
                <w:color w:val="auto"/>
              </w:rPr>
            </w:pPr>
            <w:r>
              <w:rPr>
                <w:rFonts w:ascii="Arial" w:cs="Arial" w:eastAsia="Arial" w:hAnsi="Arial"/>
                <w:sz w:val="19"/>
                <w:szCs w:val="19"/>
                <w:b w:val="1"/>
                <w:bCs w:val="1"/>
                <w:color w:val="0000EE"/>
              </w:rPr>
              <w:t>“B</w:t>
            </w:r>
            <w:r>
              <w:rPr>
                <w:rFonts w:ascii="Arial" w:cs="Arial" w:eastAsia="Arial" w:hAnsi="Arial"/>
                <w:sz w:val="15"/>
                <w:szCs w:val="15"/>
                <w:b w:val="1"/>
                <w:bCs w:val="1"/>
                <w:color w:val="0000EE"/>
              </w:rPr>
              <w:t>OARD</w:t>
            </w:r>
            <w:r>
              <w:rPr>
                <w:rFonts w:ascii="Arial" w:cs="Arial" w:eastAsia="Arial" w:hAnsi="Arial"/>
                <w:sz w:val="19"/>
                <w:szCs w:val="19"/>
                <w:b w:val="1"/>
                <w:bCs w:val="1"/>
                <w:color w:val="0000EE"/>
              </w:rPr>
              <w:t>”</w:t>
            </w:r>
          </w:p>
        </w:tc>
        <w:tc>
          <w:tcPr>
            <w:tcW w:w="2460" w:type="dxa"/>
            <w:vAlign w:val="bottom"/>
            <w:gridSpan w:val="26"/>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A-6</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2.7</w:t>
            </w:r>
          </w:p>
        </w:tc>
        <w:tc>
          <w:tcPr>
            <w:tcW w:w="3260" w:type="dxa"/>
            <w:vAlign w:val="bottom"/>
            <w:gridSpan w:val="30"/>
          </w:tcPr>
          <w:p>
            <w:pPr>
              <w:spacing w:after="0"/>
              <w:rPr>
                <w:sz w:val="20"/>
                <w:szCs w:val="20"/>
                <w:color w:val="auto"/>
              </w:rPr>
            </w:pPr>
            <w:r>
              <w:rPr>
                <w:rFonts w:ascii="Arial" w:cs="Arial" w:eastAsia="Arial" w:hAnsi="Arial"/>
                <w:sz w:val="19"/>
                <w:szCs w:val="19"/>
                <w:b w:val="1"/>
                <w:bCs w:val="1"/>
                <w:color w:val="0000EE"/>
              </w:rPr>
              <w:t>“C</w:t>
            </w:r>
            <w:r>
              <w:rPr>
                <w:rFonts w:ascii="Arial" w:cs="Arial" w:eastAsia="Arial" w:hAnsi="Arial"/>
                <w:sz w:val="15"/>
                <w:szCs w:val="15"/>
                <w:b w:val="1"/>
                <w:bCs w:val="1"/>
                <w:color w:val="0000EE"/>
              </w:rPr>
              <w:t>AUSE</w:t>
            </w:r>
            <w:r>
              <w:rPr>
                <w:rFonts w:ascii="Arial" w:cs="Arial" w:eastAsia="Arial" w:hAnsi="Arial"/>
                <w:sz w:val="19"/>
                <w:szCs w:val="19"/>
                <w:b w:val="1"/>
                <w:bCs w:val="1"/>
                <w:color w:val="0000EE"/>
              </w:rPr>
              <w:t>”</w:t>
            </w: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A-7</w:t>
            </w:r>
          </w:p>
        </w:tc>
      </w:tr>
      <w:tr>
        <w:trPr>
          <w:trHeight w:val="20"/>
        </w:trPr>
        <w:tc>
          <w:tcPr>
            <w:tcW w:w="110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2.8</w:t>
            </w:r>
          </w:p>
        </w:tc>
        <w:tc>
          <w:tcPr>
            <w:tcW w:w="1960" w:type="dxa"/>
            <w:vAlign w:val="bottom"/>
            <w:tcBorders>
              <w:bottom w:val="single" w:sz="8" w:color="0000EE"/>
            </w:tcBorders>
            <w:gridSpan w:val="20"/>
          </w:tcPr>
          <w:p>
            <w:pPr>
              <w:spacing w:after="0"/>
              <w:rPr>
                <w:sz w:val="20"/>
                <w:szCs w:val="20"/>
                <w:color w:val="auto"/>
              </w:rPr>
            </w:pPr>
            <w:r>
              <w:rPr>
                <w:rFonts w:ascii="Arial" w:cs="Arial" w:eastAsia="Arial" w:hAnsi="Arial"/>
                <w:sz w:val="19"/>
                <w:szCs w:val="19"/>
                <w:b w:val="1"/>
                <w:bCs w:val="1"/>
                <w:color w:val="0000EE"/>
              </w:rPr>
              <w:t>“C</w:t>
            </w:r>
            <w:r>
              <w:rPr>
                <w:rFonts w:ascii="Arial" w:cs="Arial" w:eastAsia="Arial" w:hAnsi="Arial"/>
                <w:sz w:val="15"/>
                <w:szCs w:val="15"/>
                <w:b w:val="1"/>
                <w:bCs w:val="1"/>
                <w:color w:val="0000EE"/>
              </w:rPr>
              <w:t>HANGE IN</w:t>
            </w:r>
            <w:r>
              <w:rPr>
                <w:rFonts w:ascii="Arial" w:cs="Arial" w:eastAsia="Arial" w:hAnsi="Arial"/>
                <w:sz w:val="19"/>
                <w:szCs w:val="19"/>
                <w:b w:val="1"/>
                <w:bCs w:val="1"/>
                <w:color w:val="0000EE"/>
              </w:rPr>
              <w:t xml:space="preserve"> C</w:t>
            </w:r>
            <w:r>
              <w:rPr>
                <w:rFonts w:ascii="Arial" w:cs="Arial" w:eastAsia="Arial" w:hAnsi="Arial"/>
                <w:sz w:val="15"/>
                <w:szCs w:val="15"/>
                <w:b w:val="1"/>
                <w:bCs w:val="1"/>
                <w:color w:val="0000EE"/>
              </w:rPr>
              <w:t>ONTROL</w:t>
            </w:r>
            <w:r>
              <w:rPr>
                <w:rFonts w:ascii="Arial" w:cs="Arial" w:eastAsia="Arial" w:hAnsi="Arial"/>
                <w:sz w:val="19"/>
                <w:szCs w:val="19"/>
                <w:b w:val="1"/>
                <w:bCs w:val="1"/>
                <w:color w:val="0000EE"/>
              </w:rPr>
              <w:t>”</w:t>
            </w:r>
          </w:p>
        </w:tc>
        <w:tc>
          <w:tcPr>
            <w:tcW w:w="1300" w:type="dxa"/>
            <w:vAlign w:val="bottom"/>
            <w:gridSpan w:val="10"/>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A-7</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2.9</w:t>
            </w:r>
          </w:p>
        </w:tc>
        <w:tc>
          <w:tcPr>
            <w:tcW w:w="2520" w:type="dxa"/>
            <w:vAlign w:val="bottom"/>
            <w:tcBorders>
              <w:bottom w:val="single" w:sz="8" w:color="0000EE"/>
            </w:tcBorders>
            <w:gridSpan w:val="28"/>
          </w:tcPr>
          <w:p>
            <w:pPr>
              <w:spacing w:after="0"/>
              <w:rPr>
                <w:sz w:val="20"/>
                <w:szCs w:val="20"/>
                <w:color w:val="auto"/>
              </w:rPr>
            </w:pPr>
            <w:r>
              <w:rPr>
                <w:rFonts w:ascii="Arial" w:cs="Arial" w:eastAsia="Arial" w:hAnsi="Arial"/>
                <w:sz w:val="19"/>
                <w:szCs w:val="19"/>
                <w:b w:val="1"/>
                <w:bCs w:val="1"/>
                <w:color w:val="0000EE"/>
              </w:rPr>
              <w:t>“C</w:t>
            </w:r>
            <w:r>
              <w:rPr>
                <w:rFonts w:ascii="Arial" w:cs="Arial" w:eastAsia="Arial" w:hAnsi="Arial"/>
                <w:sz w:val="15"/>
                <w:szCs w:val="15"/>
                <w:b w:val="1"/>
                <w:bCs w:val="1"/>
                <w:color w:val="0000EE"/>
              </w:rPr>
              <w:t>HANGE IN</w:t>
            </w:r>
            <w:r>
              <w:rPr>
                <w:rFonts w:ascii="Arial" w:cs="Arial" w:eastAsia="Arial" w:hAnsi="Arial"/>
                <w:sz w:val="19"/>
                <w:szCs w:val="19"/>
                <w:b w:val="1"/>
                <w:bCs w:val="1"/>
                <w:color w:val="0000EE"/>
              </w:rPr>
              <w:t xml:space="preserve"> C</w:t>
            </w:r>
            <w:r>
              <w:rPr>
                <w:rFonts w:ascii="Arial" w:cs="Arial" w:eastAsia="Arial" w:hAnsi="Arial"/>
                <w:sz w:val="15"/>
                <w:szCs w:val="15"/>
                <w:b w:val="1"/>
                <w:bCs w:val="1"/>
                <w:color w:val="0000EE"/>
              </w:rPr>
              <w:t>ONTROL</w:t>
            </w:r>
            <w:r>
              <w:rPr>
                <w:rFonts w:ascii="Arial" w:cs="Arial" w:eastAsia="Arial" w:hAnsi="Arial"/>
                <w:sz w:val="19"/>
                <w:szCs w:val="19"/>
                <w:b w:val="1"/>
                <w:bCs w:val="1"/>
                <w:color w:val="0000EE"/>
              </w:rPr>
              <w:t xml:space="preserve"> P</w:t>
            </w:r>
            <w:r>
              <w:rPr>
                <w:rFonts w:ascii="Arial" w:cs="Arial" w:eastAsia="Arial" w:hAnsi="Arial"/>
                <w:sz w:val="15"/>
                <w:szCs w:val="15"/>
                <w:b w:val="1"/>
                <w:bCs w:val="1"/>
                <w:color w:val="0000EE"/>
              </w:rPr>
              <w:t>RICE</w:t>
            </w:r>
            <w:r>
              <w:rPr>
                <w:rFonts w:ascii="Arial" w:cs="Arial" w:eastAsia="Arial" w:hAnsi="Arial"/>
                <w:sz w:val="19"/>
                <w:szCs w:val="19"/>
                <w:b w:val="1"/>
                <w:bCs w:val="1"/>
                <w:color w:val="0000EE"/>
              </w:rPr>
              <w:t>”</w:t>
            </w:r>
          </w:p>
        </w:tc>
        <w:tc>
          <w:tcPr>
            <w:tcW w:w="740" w:type="dxa"/>
            <w:vAlign w:val="bottom"/>
            <w:gridSpan w:val="2"/>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A-7</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2.10</w:t>
            </w:r>
          </w:p>
        </w:tc>
        <w:tc>
          <w:tcPr>
            <w:tcW w:w="3260" w:type="dxa"/>
            <w:vAlign w:val="bottom"/>
            <w:gridSpan w:val="30"/>
          </w:tcPr>
          <w:p>
            <w:pPr>
              <w:spacing w:after="0"/>
              <w:rPr>
                <w:sz w:val="20"/>
                <w:szCs w:val="20"/>
                <w:color w:val="auto"/>
              </w:rPr>
            </w:pPr>
            <w:r>
              <w:rPr>
                <w:rFonts w:ascii="Arial" w:cs="Arial" w:eastAsia="Arial" w:hAnsi="Arial"/>
                <w:sz w:val="19"/>
                <w:szCs w:val="19"/>
                <w:b w:val="1"/>
                <w:bCs w:val="1"/>
                <w:color w:val="0000EE"/>
              </w:rPr>
              <w:t>“C</w:t>
            </w:r>
            <w:r>
              <w:rPr>
                <w:rFonts w:ascii="Arial" w:cs="Arial" w:eastAsia="Arial" w:hAnsi="Arial"/>
                <w:sz w:val="15"/>
                <w:szCs w:val="15"/>
                <w:b w:val="1"/>
                <w:bCs w:val="1"/>
                <w:color w:val="0000EE"/>
              </w:rPr>
              <w:t>ODE</w:t>
            </w:r>
            <w:r>
              <w:rPr>
                <w:rFonts w:ascii="Arial" w:cs="Arial" w:eastAsia="Arial" w:hAnsi="Arial"/>
                <w:sz w:val="19"/>
                <w:szCs w:val="19"/>
                <w:b w:val="1"/>
                <w:bCs w:val="1"/>
                <w:color w:val="0000EE"/>
              </w:rPr>
              <w:t>”</w:t>
            </w: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A-7</w:t>
            </w:r>
          </w:p>
        </w:tc>
      </w:tr>
      <w:tr>
        <w:trPr>
          <w:trHeight w:val="20"/>
        </w:trPr>
        <w:tc>
          <w:tcPr>
            <w:tcW w:w="110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2.11</w:t>
            </w:r>
          </w:p>
        </w:tc>
        <w:tc>
          <w:tcPr>
            <w:tcW w:w="1160" w:type="dxa"/>
            <w:vAlign w:val="bottom"/>
            <w:tcBorders>
              <w:bottom w:val="single" w:sz="8" w:color="0000EE"/>
            </w:tcBorders>
            <w:gridSpan w:val="10"/>
          </w:tcPr>
          <w:p>
            <w:pPr>
              <w:spacing w:after="0"/>
              <w:rPr>
                <w:sz w:val="20"/>
                <w:szCs w:val="20"/>
                <w:color w:val="auto"/>
              </w:rPr>
            </w:pPr>
            <w:r>
              <w:rPr>
                <w:rFonts w:ascii="Arial" w:cs="Arial" w:eastAsia="Arial" w:hAnsi="Arial"/>
                <w:sz w:val="19"/>
                <w:szCs w:val="19"/>
                <w:b w:val="1"/>
                <w:bCs w:val="1"/>
                <w:color w:val="0000EE"/>
              </w:rPr>
              <w:t>“C</w:t>
            </w:r>
            <w:r>
              <w:rPr>
                <w:rFonts w:ascii="Arial" w:cs="Arial" w:eastAsia="Arial" w:hAnsi="Arial"/>
                <w:sz w:val="15"/>
                <w:szCs w:val="15"/>
                <w:b w:val="1"/>
                <w:bCs w:val="1"/>
                <w:color w:val="0000EE"/>
              </w:rPr>
              <w:t>OMMITTEE</w:t>
            </w:r>
            <w:r>
              <w:rPr>
                <w:rFonts w:ascii="Arial" w:cs="Arial" w:eastAsia="Arial" w:hAnsi="Arial"/>
                <w:sz w:val="19"/>
                <w:szCs w:val="19"/>
                <w:b w:val="1"/>
                <w:bCs w:val="1"/>
                <w:color w:val="0000EE"/>
              </w:rPr>
              <w:t>”</w:t>
            </w:r>
          </w:p>
        </w:tc>
        <w:tc>
          <w:tcPr>
            <w:tcW w:w="2100" w:type="dxa"/>
            <w:vAlign w:val="bottom"/>
            <w:gridSpan w:val="20"/>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A-7</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2.12</w:t>
            </w:r>
          </w:p>
        </w:tc>
        <w:tc>
          <w:tcPr>
            <w:tcW w:w="1580" w:type="dxa"/>
            <w:vAlign w:val="bottom"/>
            <w:tcBorders>
              <w:bottom w:val="single" w:sz="8" w:color="0000EE"/>
            </w:tcBorders>
            <w:gridSpan w:val="16"/>
          </w:tcPr>
          <w:p>
            <w:pPr>
              <w:spacing w:after="0"/>
              <w:rPr>
                <w:sz w:val="20"/>
                <w:szCs w:val="20"/>
                <w:color w:val="auto"/>
              </w:rPr>
            </w:pPr>
            <w:r>
              <w:rPr>
                <w:rFonts w:ascii="Arial" w:cs="Arial" w:eastAsia="Arial" w:hAnsi="Arial"/>
                <w:sz w:val="19"/>
                <w:szCs w:val="19"/>
                <w:b w:val="1"/>
                <w:bCs w:val="1"/>
                <w:color w:val="0000EE"/>
              </w:rPr>
              <w:t>“C</w:t>
            </w:r>
            <w:r>
              <w:rPr>
                <w:rFonts w:ascii="Arial" w:cs="Arial" w:eastAsia="Arial" w:hAnsi="Arial"/>
                <w:sz w:val="15"/>
                <w:szCs w:val="15"/>
                <w:b w:val="1"/>
                <w:bCs w:val="1"/>
                <w:color w:val="0000EE"/>
              </w:rPr>
              <w:t>OMMON</w:t>
            </w:r>
            <w:r>
              <w:rPr>
                <w:rFonts w:ascii="Arial" w:cs="Arial" w:eastAsia="Arial" w:hAnsi="Arial"/>
                <w:sz w:val="19"/>
                <w:szCs w:val="19"/>
                <w:b w:val="1"/>
                <w:bCs w:val="1"/>
                <w:color w:val="0000EE"/>
              </w:rPr>
              <w:t xml:space="preserve"> S</w:t>
            </w:r>
            <w:r>
              <w:rPr>
                <w:rFonts w:ascii="Arial" w:cs="Arial" w:eastAsia="Arial" w:hAnsi="Arial"/>
                <w:sz w:val="15"/>
                <w:szCs w:val="15"/>
                <w:b w:val="1"/>
                <w:bCs w:val="1"/>
                <w:color w:val="0000EE"/>
              </w:rPr>
              <w:t>TOCK</w:t>
            </w:r>
            <w:r>
              <w:rPr>
                <w:rFonts w:ascii="Arial" w:cs="Arial" w:eastAsia="Arial" w:hAnsi="Arial"/>
                <w:sz w:val="19"/>
                <w:szCs w:val="19"/>
                <w:b w:val="1"/>
                <w:bCs w:val="1"/>
                <w:color w:val="0000EE"/>
              </w:rPr>
              <w:t>”</w:t>
            </w:r>
          </w:p>
        </w:tc>
        <w:tc>
          <w:tcPr>
            <w:tcW w:w="1680" w:type="dxa"/>
            <w:vAlign w:val="bottom"/>
            <w:gridSpan w:val="14"/>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A-7</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2.13</w:t>
            </w:r>
          </w:p>
        </w:tc>
        <w:tc>
          <w:tcPr>
            <w:tcW w:w="3260" w:type="dxa"/>
            <w:vAlign w:val="bottom"/>
            <w:gridSpan w:val="30"/>
          </w:tcPr>
          <w:p>
            <w:pPr>
              <w:spacing w:after="0"/>
              <w:rPr>
                <w:sz w:val="20"/>
                <w:szCs w:val="20"/>
                <w:color w:val="auto"/>
              </w:rPr>
            </w:pPr>
            <w:r>
              <w:rPr>
                <w:rFonts w:ascii="Arial" w:cs="Arial" w:eastAsia="Arial" w:hAnsi="Arial"/>
                <w:sz w:val="19"/>
                <w:szCs w:val="19"/>
                <w:b w:val="1"/>
                <w:bCs w:val="1"/>
                <w:color w:val="0000EE"/>
              </w:rPr>
              <w:t>“C</w:t>
            </w:r>
            <w:r>
              <w:rPr>
                <w:rFonts w:ascii="Arial" w:cs="Arial" w:eastAsia="Arial" w:hAnsi="Arial"/>
                <w:sz w:val="15"/>
                <w:szCs w:val="15"/>
                <w:b w:val="1"/>
                <w:bCs w:val="1"/>
                <w:color w:val="0000EE"/>
              </w:rPr>
              <w:t>OMPANY</w:t>
            </w:r>
            <w:r>
              <w:rPr>
                <w:rFonts w:ascii="Arial" w:cs="Arial" w:eastAsia="Arial" w:hAnsi="Arial"/>
                <w:sz w:val="19"/>
                <w:szCs w:val="19"/>
                <w:b w:val="1"/>
                <w:bCs w:val="1"/>
                <w:color w:val="0000EE"/>
              </w:rPr>
              <w:t>”</w:t>
            </w: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A-8</w:t>
            </w:r>
          </w:p>
        </w:tc>
      </w:tr>
      <w:tr>
        <w:trPr>
          <w:trHeight w:val="20"/>
        </w:trPr>
        <w:tc>
          <w:tcPr>
            <w:tcW w:w="1100" w:type="dxa"/>
            <w:vAlign w:val="bottom"/>
            <w:gridSpan w:val="3"/>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2.14</w:t>
            </w:r>
          </w:p>
        </w:tc>
        <w:tc>
          <w:tcPr>
            <w:tcW w:w="1260" w:type="dxa"/>
            <w:vAlign w:val="bottom"/>
            <w:tcBorders>
              <w:bottom w:val="single" w:sz="8" w:color="0000EE"/>
            </w:tcBorders>
            <w:gridSpan w:val="12"/>
          </w:tcPr>
          <w:p>
            <w:pPr>
              <w:spacing w:after="0"/>
              <w:rPr>
                <w:sz w:val="20"/>
                <w:szCs w:val="20"/>
                <w:color w:val="auto"/>
              </w:rPr>
            </w:pPr>
            <w:r>
              <w:rPr>
                <w:rFonts w:ascii="Arial" w:cs="Arial" w:eastAsia="Arial" w:hAnsi="Arial"/>
                <w:sz w:val="19"/>
                <w:szCs w:val="19"/>
                <w:b w:val="1"/>
                <w:bCs w:val="1"/>
                <w:color w:val="0000EE"/>
              </w:rPr>
              <w:t>“C</w:t>
            </w:r>
            <w:r>
              <w:rPr>
                <w:rFonts w:ascii="Arial" w:cs="Arial" w:eastAsia="Arial" w:hAnsi="Arial"/>
                <w:sz w:val="15"/>
                <w:szCs w:val="15"/>
                <w:b w:val="1"/>
                <w:bCs w:val="1"/>
                <w:color w:val="0000EE"/>
              </w:rPr>
              <w:t>OMPETITOR</w:t>
            </w:r>
            <w:r>
              <w:rPr>
                <w:rFonts w:ascii="Arial" w:cs="Arial" w:eastAsia="Arial" w:hAnsi="Arial"/>
                <w:sz w:val="19"/>
                <w:szCs w:val="19"/>
                <w:b w:val="1"/>
                <w:bCs w:val="1"/>
                <w:color w:val="0000EE"/>
              </w:rPr>
              <w:t>”</w:t>
            </w:r>
          </w:p>
        </w:tc>
        <w:tc>
          <w:tcPr>
            <w:tcW w:w="2000" w:type="dxa"/>
            <w:vAlign w:val="bottom"/>
            <w:gridSpan w:val="18"/>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A-8</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2.15</w:t>
            </w:r>
          </w:p>
        </w:tc>
        <w:tc>
          <w:tcPr>
            <w:tcW w:w="1280" w:type="dxa"/>
            <w:vAlign w:val="bottom"/>
            <w:tcBorders>
              <w:bottom w:val="single" w:sz="8" w:color="0000EE"/>
            </w:tcBorders>
            <w:gridSpan w:val="13"/>
          </w:tcPr>
          <w:p>
            <w:pPr>
              <w:spacing w:after="0"/>
              <w:rPr>
                <w:sz w:val="20"/>
                <w:szCs w:val="20"/>
                <w:color w:val="auto"/>
              </w:rPr>
            </w:pPr>
            <w:r>
              <w:rPr>
                <w:rFonts w:ascii="Arial" w:cs="Arial" w:eastAsia="Arial" w:hAnsi="Arial"/>
                <w:sz w:val="19"/>
                <w:szCs w:val="19"/>
                <w:b w:val="1"/>
                <w:bCs w:val="1"/>
                <w:color w:val="0000EE"/>
              </w:rPr>
              <w:t>“C</w:t>
            </w:r>
            <w:r>
              <w:rPr>
                <w:rFonts w:ascii="Arial" w:cs="Arial" w:eastAsia="Arial" w:hAnsi="Arial"/>
                <w:sz w:val="15"/>
                <w:szCs w:val="15"/>
                <w:b w:val="1"/>
                <w:bCs w:val="1"/>
                <w:color w:val="0000EE"/>
              </w:rPr>
              <w:t>ONSULTANT</w:t>
            </w:r>
            <w:r>
              <w:rPr>
                <w:rFonts w:ascii="Arial" w:cs="Arial" w:eastAsia="Arial" w:hAnsi="Arial"/>
                <w:sz w:val="19"/>
                <w:szCs w:val="19"/>
                <w:b w:val="1"/>
                <w:bCs w:val="1"/>
                <w:color w:val="0000EE"/>
              </w:rPr>
              <w:t>”</w:t>
            </w:r>
          </w:p>
        </w:tc>
        <w:tc>
          <w:tcPr>
            <w:tcW w:w="1980" w:type="dxa"/>
            <w:vAlign w:val="bottom"/>
            <w:gridSpan w:val="17"/>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A-8</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2.16</w:t>
            </w:r>
          </w:p>
        </w:tc>
        <w:tc>
          <w:tcPr>
            <w:tcW w:w="3260" w:type="dxa"/>
            <w:vAlign w:val="bottom"/>
            <w:gridSpan w:val="30"/>
          </w:tcPr>
          <w:p>
            <w:pPr>
              <w:spacing w:after="0"/>
              <w:rPr>
                <w:sz w:val="20"/>
                <w:szCs w:val="20"/>
                <w:color w:val="auto"/>
              </w:rPr>
            </w:pPr>
            <w:r>
              <w:rPr>
                <w:rFonts w:ascii="Arial" w:cs="Arial" w:eastAsia="Arial" w:hAnsi="Arial"/>
                <w:sz w:val="19"/>
                <w:szCs w:val="19"/>
                <w:b w:val="1"/>
                <w:bCs w:val="1"/>
                <w:color w:val="0000EE"/>
              </w:rPr>
              <w:t>“D</w:t>
            </w:r>
            <w:r>
              <w:rPr>
                <w:rFonts w:ascii="Arial" w:cs="Arial" w:eastAsia="Arial" w:hAnsi="Arial"/>
                <w:sz w:val="15"/>
                <w:szCs w:val="15"/>
                <w:b w:val="1"/>
                <w:bCs w:val="1"/>
                <w:color w:val="0000EE"/>
              </w:rPr>
              <w:t>ETRIMENTAL</w:t>
            </w:r>
            <w:r>
              <w:rPr>
                <w:rFonts w:ascii="Arial" w:cs="Arial" w:eastAsia="Arial" w:hAnsi="Arial"/>
                <w:sz w:val="19"/>
                <w:szCs w:val="19"/>
                <w:b w:val="1"/>
                <w:bCs w:val="1"/>
                <w:color w:val="0000EE"/>
              </w:rPr>
              <w:t xml:space="preserve"> A</w:t>
            </w:r>
            <w:r>
              <w:rPr>
                <w:rFonts w:ascii="Arial" w:cs="Arial" w:eastAsia="Arial" w:hAnsi="Arial"/>
                <w:sz w:val="15"/>
                <w:szCs w:val="15"/>
                <w:b w:val="1"/>
                <w:bCs w:val="1"/>
                <w:color w:val="0000EE"/>
              </w:rPr>
              <w:t>CTIVITY</w:t>
            </w:r>
            <w:r>
              <w:rPr>
                <w:rFonts w:ascii="Arial" w:cs="Arial" w:eastAsia="Arial" w:hAnsi="Arial"/>
                <w:sz w:val="19"/>
                <w:szCs w:val="19"/>
                <w:b w:val="1"/>
                <w:bCs w:val="1"/>
                <w:color w:val="0000EE"/>
              </w:rPr>
              <w:t>”</w:t>
            </w: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A-8</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2.17</w:t>
            </w:r>
          </w:p>
        </w:tc>
        <w:tc>
          <w:tcPr>
            <w:tcW w:w="2120" w:type="dxa"/>
            <w:vAlign w:val="bottom"/>
            <w:tcBorders>
              <w:top w:val="single" w:sz="8" w:color="0000EE"/>
            </w:tcBorders>
            <w:gridSpan w:val="24"/>
          </w:tcPr>
          <w:p>
            <w:pPr>
              <w:spacing w:after="0"/>
              <w:rPr>
                <w:sz w:val="20"/>
                <w:szCs w:val="20"/>
                <w:color w:val="auto"/>
              </w:rPr>
            </w:pPr>
            <w:r>
              <w:rPr>
                <w:rFonts w:ascii="Arial" w:cs="Arial" w:eastAsia="Arial" w:hAnsi="Arial"/>
                <w:sz w:val="19"/>
                <w:szCs w:val="19"/>
                <w:b w:val="1"/>
                <w:bCs w:val="1"/>
                <w:color w:val="0000EE"/>
              </w:rPr>
              <w:t>“D</w:t>
            </w:r>
            <w:r>
              <w:rPr>
                <w:rFonts w:ascii="Arial" w:cs="Arial" w:eastAsia="Arial" w:hAnsi="Arial"/>
                <w:sz w:val="15"/>
                <w:szCs w:val="15"/>
                <w:b w:val="1"/>
                <w:bCs w:val="1"/>
                <w:color w:val="0000EE"/>
              </w:rPr>
              <w:t>ISABILITY</w:t>
            </w:r>
            <w:r>
              <w:rPr>
                <w:rFonts w:ascii="Arial" w:cs="Arial" w:eastAsia="Arial" w:hAnsi="Arial"/>
                <w:sz w:val="19"/>
                <w:szCs w:val="19"/>
                <w:b w:val="1"/>
                <w:bCs w:val="1"/>
                <w:color w:val="0000EE"/>
              </w:rPr>
              <w:t>”</w:t>
            </w:r>
          </w:p>
        </w:tc>
        <w:tc>
          <w:tcPr>
            <w:tcW w:w="1140" w:type="dxa"/>
            <w:vAlign w:val="bottom"/>
            <w:gridSpan w:val="6"/>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A-8</w:t>
            </w:r>
          </w:p>
        </w:tc>
      </w:tr>
      <w:tr>
        <w:trPr>
          <w:trHeight w:val="20"/>
        </w:trPr>
        <w:tc>
          <w:tcPr>
            <w:tcW w:w="1100" w:type="dxa"/>
            <w:vAlign w:val="bottom"/>
            <w:gridSpan w:val="3"/>
          </w:tcPr>
          <w:p>
            <w:pPr>
              <w:spacing w:after="0" w:line="20" w:lineRule="exact"/>
              <w:rPr>
                <w:sz w:val="1"/>
                <w:szCs w:val="1"/>
                <w:color w:val="auto"/>
              </w:rPr>
            </w:pPr>
          </w:p>
        </w:tc>
        <w:tc>
          <w:tcPr>
            <w:tcW w:w="1080" w:type="dxa"/>
            <w:vAlign w:val="bottom"/>
            <w:gridSpan w:val="8"/>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2.18</w:t>
            </w:r>
          </w:p>
        </w:tc>
        <w:tc>
          <w:tcPr>
            <w:tcW w:w="3260" w:type="dxa"/>
            <w:vAlign w:val="bottom"/>
            <w:gridSpan w:val="30"/>
          </w:tcPr>
          <w:p>
            <w:pPr>
              <w:spacing w:after="0"/>
              <w:rPr>
                <w:sz w:val="20"/>
                <w:szCs w:val="20"/>
                <w:color w:val="auto"/>
              </w:rPr>
            </w:pPr>
            <w:r>
              <w:rPr>
                <w:rFonts w:ascii="Arial" w:cs="Arial" w:eastAsia="Arial" w:hAnsi="Arial"/>
                <w:sz w:val="19"/>
                <w:szCs w:val="19"/>
                <w:b w:val="1"/>
                <w:bCs w:val="1"/>
                <w:color w:val="0000EE"/>
              </w:rPr>
              <w:t>“E</w:t>
            </w:r>
            <w:r>
              <w:rPr>
                <w:rFonts w:ascii="Arial" w:cs="Arial" w:eastAsia="Arial" w:hAnsi="Arial"/>
                <w:sz w:val="15"/>
                <w:szCs w:val="15"/>
                <w:b w:val="1"/>
                <w:bCs w:val="1"/>
                <w:color w:val="0000EE"/>
              </w:rPr>
              <w:t>DWARDS</w:t>
            </w:r>
            <w:r>
              <w:rPr>
                <w:rFonts w:ascii="Arial" w:cs="Arial" w:eastAsia="Arial" w:hAnsi="Arial"/>
                <w:sz w:val="19"/>
                <w:szCs w:val="19"/>
                <w:b w:val="1"/>
                <w:bCs w:val="1"/>
                <w:color w:val="0000EE"/>
              </w:rPr>
              <w:t xml:space="preserve"> I</w:t>
            </w:r>
            <w:r>
              <w:rPr>
                <w:rFonts w:ascii="Arial" w:cs="Arial" w:eastAsia="Arial" w:hAnsi="Arial"/>
                <w:sz w:val="15"/>
                <w:szCs w:val="15"/>
                <w:b w:val="1"/>
                <w:bCs w:val="1"/>
                <w:color w:val="0000EE"/>
              </w:rPr>
              <w:t>NVESTORS</w:t>
            </w:r>
            <w:r>
              <w:rPr>
                <w:rFonts w:ascii="Arial" w:cs="Arial" w:eastAsia="Arial" w:hAnsi="Arial"/>
                <w:sz w:val="19"/>
                <w:szCs w:val="19"/>
                <w:b w:val="1"/>
                <w:bCs w:val="1"/>
                <w:color w:val="0000EE"/>
              </w:rPr>
              <w:t>”</w:t>
            </w: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A-9</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2.19</w:t>
            </w:r>
          </w:p>
        </w:tc>
        <w:tc>
          <w:tcPr>
            <w:tcW w:w="158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9"/>
                <w:szCs w:val="19"/>
                <w:b w:val="1"/>
                <w:bCs w:val="1"/>
                <w:color w:val="0000EE"/>
              </w:rPr>
              <w:t>“E</w:t>
            </w:r>
            <w:r>
              <w:rPr>
                <w:rFonts w:ascii="Arial" w:cs="Arial" w:eastAsia="Arial" w:hAnsi="Arial"/>
                <w:sz w:val="15"/>
                <w:szCs w:val="15"/>
                <w:b w:val="1"/>
                <w:bCs w:val="1"/>
                <w:color w:val="0000EE"/>
              </w:rPr>
              <w:t>FFECTIVE</w:t>
            </w:r>
            <w:r>
              <w:rPr>
                <w:rFonts w:ascii="Arial" w:cs="Arial" w:eastAsia="Arial" w:hAnsi="Arial"/>
                <w:sz w:val="19"/>
                <w:szCs w:val="19"/>
                <w:b w:val="1"/>
                <w:bCs w:val="1"/>
                <w:color w:val="0000EE"/>
              </w:rPr>
              <w:t xml:space="preserve"> D</w:t>
            </w:r>
            <w:r>
              <w:rPr>
                <w:rFonts w:ascii="Arial" w:cs="Arial" w:eastAsia="Arial" w:hAnsi="Arial"/>
                <w:sz w:val="15"/>
                <w:szCs w:val="15"/>
                <w:b w:val="1"/>
                <w:bCs w:val="1"/>
                <w:color w:val="0000EE"/>
              </w:rPr>
              <w:t>ATE</w:t>
            </w:r>
            <w:r>
              <w:rPr>
                <w:rFonts w:ascii="Arial" w:cs="Arial" w:eastAsia="Arial" w:hAnsi="Arial"/>
                <w:sz w:val="19"/>
                <w:szCs w:val="19"/>
                <w:b w:val="1"/>
                <w:bCs w:val="1"/>
                <w:color w:val="0000EE"/>
              </w:rPr>
              <w:t>”</w:t>
            </w:r>
          </w:p>
        </w:tc>
        <w:tc>
          <w:tcPr>
            <w:tcW w:w="400" w:type="dxa"/>
            <w:vAlign w:val="bottom"/>
            <w:tcBorders>
              <w:top w:val="single" w:sz="8" w:color="0000EE"/>
            </w:tcBorders>
            <w:gridSpan w:val="5"/>
          </w:tcPr>
          <w:p>
            <w:pPr>
              <w:spacing w:after="0"/>
              <w:rPr>
                <w:sz w:val="24"/>
                <w:szCs w:val="24"/>
                <w:color w:val="auto"/>
              </w:rPr>
            </w:pPr>
          </w:p>
        </w:tc>
        <w:tc>
          <w:tcPr>
            <w:tcW w:w="1280" w:type="dxa"/>
            <w:vAlign w:val="bottom"/>
            <w:gridSpan w:val="9"/>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A-9</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2.20</w:t>
            </w:r>
          </w:p>
        </w:tc>
        <w:tc>
          <w:tcPr>
            <w:tcW w:w="3260" w:type="dxa"/>
            <w:vAlign w:val="bottom"/>
            <w:gridSpan w:val="30"/>
          </w:tcPr>
          <w:p>
            <w:pPr>
              <w:spacing w:after="0"/>
              <w:rPr>
                <w:sz w:val="20"/>
                <w:szCs w:val="20"/>
                <w:color w:val="auto"/>
              </w:rPr>
            </w:pPr>
            <w:r>
              <w:rPr>
                <w:rFonts w:ascii="Arial" w:cs="Arial" w:eastAsia="Arial" w:hAnsi="Arial"/>
                <w:sz w:val="19"/>
                <w:szCs w:val="19"/>
                <w:b w:val="1"/>
                <w:bCs w:val="1"/>
                <w:color w:val="0000EE"/>
              </w:rPr>
              <w:t>“E</w:t>
            </w:r>
            <w:r>
              <w:rPr>
                <w:rFonts w:ascii="Arial" w:cs="Arial" w:eastAsia="Arial" w:hAnsi="Arial"/>
                <w:sz w:val="15"/>
                <w:szCs w:val="15"/>
                <w:b w:val="1"/>
                <w:bCs w:val="1"/>
                <w:color w:val="0000EE"/>
              </w:rPr>
              <w:t>LIGIBLE</w:t>
            </w:r>
            <w:r>
              <w:rPr>
                <w:rFonts w:ascii="Arial" w:cs="Arial" w:eastAsia="Arial" w:hAnsi="Arial"/>
                <w:sz w:val="19"/>
                <w:szCs w:val="19"/>
                <w:b w:val="1"/>
                <w:bCs w:val="1"/>
                <w:color w:val="0000EE"/>
              </w:rPr>
              <w:t xml:space="preserve"> E</w:t>
            </w:r>
            <w:r>
              <w:rPr>
                <w:rFonts w:ascii="Arial" w:cs="Arial" w:eastAsia="Arial" w:hAnsi="Arial"/>
                <w:sz w:val="15"/>
                <w:szCs w:val="15"/>
                <w:b w:val="1"/>
                <w:bCs w:val="1"/>
                <w:color w:val="0000EE"/>
              </w:rPr>
              <w:t>MPLOYEE</w:t>
            </w:r>
            <w:r>
              <w:rPr>
                <w:rFonts w:ascii="Arial" w:cs="Arial" w:eastAsia="Arial" w:hAnsi="Arial"/>
                <w:sz w:val="19"/>
                <w:szCs w:val="19"/>
                <w:b w:val="1"/>
                <w:bCs w:val="1"/>
                <w:color w:val="0000EE"/>
              </w:rPr>
              <w:t>”</w:t>
            </w: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A-9</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2.21</w:t>
            </w:r>
          </w:p>
        </w:tc>
        <w:tc>
          <w:tcPr>
            <w:tcW w:w="1880" w:type="dxa"/>
            <w:vAlign w:val="bottom"/>
            <w:tcBorders>
              <w:top w:val="single" w:sz="8" w:color="0000EE"/>
            </w:tcBorders>
            <w:gridSpan w:val="18"/>
          </w:tcPr>
          <w:p>
            <w:pPr>
              <w:spacing w:after="0"/>
              <w:rPr>
                <w:sz w:val="20"/>
                <w:szCs w:val="20"/>
                <w:color w:val="auto"/>
              </w:rPr>
            </w:pPr>
            <w:r>
              <w:rPr>
                <w:rFonts w:ascii="Arial" w:cs="Arial" w:eastAsia="Arial" w:hAnsi="Arial"/>
                <w:sz w:val="19"/>
                <w:szCs w:val="19"/>
                <w:b w:val="1"/>
                <w:bCs w:val="1"/>
                <w:color w:val="0000EE"/>
              </w:rPr>
              <w:t>“E</w:t>
            </w:r>
            <w:r>
              <w:rPr>
                <w:rFonts w:ascii="Arial" w:cs="Arial" w:eastAsia="Arial" w:hAnsi="Arial"/>
                <w:sz w:val="15"/>
                <w:szCs w:val="15"/>
                <w:b w:val="1"/>
                <w:bCs w:val="1"/>
                <w:color w:val="0000EE"/>
              </w:rPr>
              <w:t>XCHANGE</w:t>
            </w:r>
            <w:r>
              <w:rPr>
                <w:rFonts w:ascii="Arial" w:cs="Arial" w:eastAsia="Arial" w:hAnsi="Arial"/>
                <w:sz w:val="19"/>
                <w:szCs w:val="19"/>
                <w:b w:val="1"/>
                <w:bCs w:val="1"/>
                <w:color w:val="0000EE"/>
              </w:rPr>
              <w:t xml:space="preserve"> A</w:t>
            </w:r>
            <w:r>
              <w:rPr>
                <w:rFonts w:ascii="Arial" w:cs="Arial" w:eastAsia="Arial" w:hAnsi="Arial"/>
                <w:sz w:val="15"/>
                <w:szCs w:val="15"/>
                <w:b w:val="1"/>
                <w:bCs w:val="1"/>
                <w:color w:val="0000EE"/>
              </w:rPr>
              <w:t>CT</w:t>
            </w:r>
            <w:r>
              <w:rPr>
                <w:rFonts w:ascii="Arial" w:cs="Arial" w:eastAsia="Arial" w:hAnsi="Arial"/>
                <w:sz w:val="19"/>
                <w:szCs w:val="19"/>
                <w:b w:val="1"/>
                <w:bCs w:val="1"/>
                <w:color w:val="0000EE"/>
              </w:rPr>
              <w:t>”</w:t>
            </w:r>
          </w:p>
        </w:tc>
        <w:tc>
          <w:tcPr>
            <w:tcW w:w="1380" w:type="dxa"/>
            <w:vAlign w:val="bottom"/>
            <w:gridSpan w:val="12"/>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A-9</w:t>
            </w:r>
          </w:p>
        </w:tc>
      </w:tr>
      <w:tr>
        <w:trPr>
          <w:trHeight w:val="20"/>
        </w:trPr>
        <w:tc>
          <w:tcPr>
            <w:tcW w:w="1100" w:type="dxa"/>
            <w:vAlign w:val="bottom"/>
            <w:gridSpan w:val="3"/>
          </w:tcPr>
          <w:p>
            <w:pPr>
              <w:spacing w:after="0" w:line="20" w:lineRule="exact"/>
              <w:rPr>
                <w:sz w:val="1"/>
                <w:szCs w:val="1"/>
                <w:color w:val="auto"/>
              </w:rPr>
            </w:pPr>
          </w:p>
        </w:tc>
        <w:tc>
          <w:tcPr>
            <w:tcW w:w="1500" w:type="dxa"/>
            <w:vAlign w:val="bottom"/>
            <w:gridSpan w:val="1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2.22</w:t>
            </w:r>
          </w:p>
        </w:tc>
        <w:tc>
          <w:tcPr>
            <w:tcW w:w="3260" w:type="dxa"/>
            <w:vAlign w:val="bottom"/>
            <w:gridSpan w:val="30"/>
          </w:tcPr>
          <w:p>
            <w:pPr>
              <w:spacing w:after="0"/>
              <w:rPr>
                <w:sz w:val="20"/>
                <w:szCs w:val="20"/>
                <w:color w:val="auto"/>
              </w:rPr>
            </w:pPr>
            <w:r>
              <w:rPr>
                <w:rFonts w:ascii="Arial" w:cs="Arial" w:eastAsia="Arial" w:hAnsi="Arial"/>
                <w:sz w:val="19"/>
                <w:szCs w:val="19"/>
                <w:b w:val="1"/>
                <w:bCs w:val="1"/>
                <w:color w:val="0000EE"/>
              </w:rPr>
              <w:t>“E</w:t>
            </w:r>
            <w:r>
              <w:rPr>
                <w:rFonts w:ascii="Arial" w:cs="Arial" w:eastAsia="Arial" w:hAnsi="Arial"/>
                <w:sz w:val="15"/>
                <w:szCs w:val="15"/>
                <w:b w:val="1"/>
                <w:bCs w:val="1"/>
                <w:color w:val="0000EE"/>
              </w:rPr>
              <w:t>XERCISABLE</w:t>
            </w:r>
            <w:r>
              <w:rPr>
                <w:rFonts w:ascii="Arial" w:cs="Arial" w:eastAsia="Arial" w:hAnsi="Arial"/>
                <w:sz w:val="19"/>
                <w:szCs w:val="19"/>
                <w:b w:val="1"/>
                <w:bCs w:val="1"/>
                <w:color w:val="0000EE"/>
              </w:rPr>
              <w:t xml:space="preserve"> A</w:t>
            </w:r>
            <w:r>
              <w:rPr>
                <w:rFonts w:ascii="Arial" w:cs="Arial" w:eastAsia="Arial" w:hAnsi="Arial"/>
                <w:sz w:val="15"/>
                <w:szCs w:val="15"/>
                <w:b w:val="1"/>
                <w:bCs w:val="1"/>
                <w:color w:val="0000EE"/>
              </w:rPr>
              <w:t>WARDS</w:t>
            </w:r>
            <w:r>
              <w:rPr>
                <w:rFonts w:ascii="Arial" w:cs="Arial" w:eastAsia="Arial" w:hAnsi="Arial"/>
                <w:sz w:val="19"/>
                <w:szCs w:val="19"/>
                <w:b w:val="1"/>
                <w:bCs w:val="1"/>
                <w:color w:val="0000EE"/>
              </w:rPr>
              <w:t>”</w:t>
            </w: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A-9</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2.23</w:t>
            </w:r>
          </w:p>
        </w:tc>
        <w:tc>
          <w:tcPr>
            <w:tcW w:w="194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9"/>
                <w:szCs w:val="19"/>
                <w:b w:val="1"/>
                <w:bCs w:val="1"/>
                <w:color w:val="0000EE"/>
              </w:rPr>
              <w:t>“F</w:t>
            </w:r>
            <w:r>
              <w:rPr>
                <w:rFonts w:ascii="Arial" w:cs="Arial" w:eastAsia="Arial" w:hAnsi="Arial"/>
                <w:sz w:val="15"/>
                <w:szCs w:val="15"/>
                <w:b w:val="1"/>
                <w:bCs w:val="1"/>
                <w:color w:val="0000EE"/>
              </w:rPr>
              <w:t>AIR</w:t>
            </w:r>
            <w:r>
              <w:rPr>
                <w:rFonts w:ascii="Arial" w:cs="Arial" w:eastAsia="Arial" w:hAnsi="Arial"/>
                <w:sz w:val="19"/>
                <w:szCs w:val="19"/>
                <w:b w:val="1"/>
                <w:bCs w:val="1"/>
                <w:color w:val="0000EE"/>
              </w:rPr>
              <w:t xml:space="preserve"> M</w:t>
            </w:r>
            <w:r>
              <w:rPr>
                <w:rFonts w:ascii="Arial" w:cs="Arial" w:eastAsia="Arial" w:hAnsi="Arial"/>
                <w:sz w:val="15"/>
                <w:szCs w:val="15"/>
                <w:b w:val="1"/>
                <w:bCs w:val="1"/>
                <w:color w:val="0000EE"/>
              </w:rPr>
              <w:t>ARKET</w:t>
            </w:r>
            <w:r>
              <w:rPr>
                <w:rFonts w:ascii="Arial" w:cs="Arial" w:eastAsia="Arial" w:hAnsi="Arial"/>
                <w:sz w:val="19"/>
                <w:szCs w:val="19"/>
                <w:b w:val="1"/>
                <w:bCs w:val="1"/>
                <w:color w:val="0000EE"/>
              </w:rPr>
              <w:t xml:space="preserve"> V</w:t>
            </w:r>
            <w:r>
              <w:rPr>
                <w:rFonts w:ascii="Arial" w:cs="Arial" w:eastAsia="Arial" w:hAnsi="Arial"/>
                <w:sz w:val="15"/>
                <w:szCs w:val="15"/>
                <w:b w:val="1"/>
                <w:bCs w:val="1"/>
                <w:color w:val="0000EE"/>
              </w:rPr>
              <w:t>ALUE</w:t>
            </w:r>
            <w:r>
              <w:rPr>
                <w:rFonts w:ascii="Arial" w:cs="Arial" w:eastAsia="Arial" w:hAnsi="Arial"/>
                <w:sz w:val="19"/>
                <w:szCs w:val="19"/>
                <w:b w:val="1"/>
                <w:bCs w:val="1"/>
                <w:color w:val="0000EE"/>
              </w:rPr>
              <w:t>”</w:t>
            </w:r>
          </w:p>
        </w:tc>
        <w:tc>
          <w:tcPr>
            <w:tcW w:w="160" w:type="dxa"/>
            <w:vAlign w:val="bottom"/>
            <w:tcBorders>
              <w:top w:val="single" w:sz="8" w:color="0000EE"/>
            </w:tcBorders>
            <w:gridSpan w:val="4"/>
          </w:tcPr>
          <w:p>
            <w:pPr>
              <w:spacing w:after="0"/>
              <w:rPr>
                <w:sz w:val="24"/>
                <w:szCs w:val="24"/>
                <w:color w:val="auto"/>
              </w:rPr>
            </w:pPr>
          </w:p>
        </w:tc>
        <w:tc>
          <w:tcPr>
            <w:tcW w:w="1160" w:type="dxa"/>
            <w:vAlign w:val="bottom"/>
            <w:gridSpan w:val="7"/>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A-9</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2.24</w:t>
            </w:r>
          </w:p>
        </w:tc>
        <w:tc>
          <w:tcPr>
            <w:tcW w:w="1560" w:type="dxa"/>
            <w:vAlign w:val="bottom"/>
            <w:tcBorders>
              <w:bottom w:val="single" w:sz="8" w:color="0000EE"/>
            </w:tcBorders>
            <w:gridSpan w:val="15"/>
          </w:tcPr>
          <w:p>
            <w:pPr>
              <w:spacing w:after="0"/>
              <w:rPr>
                <w:sz w:val="20"/>
                <w:szCs w:val="20"/>
                <w:color w:val="auto"/>
              </w:rPr>
            </w:pPr>
            <w:r>
              <w:rPr>
                <w:rFonts w:ascii="Arial" w:cs="Arial" w:eastAsia="Arial" w:hAnsi="Arial"/>
                <w:sz w:val="19"/>
                <w:szCs w:val="19"/>
                <w:b w:val="1"/>
                <w:bCs w:val="1"/>
                <w:color w:val="0000EE"/>
              </w:rPr>
              <w:t>“F</w:t>
            </w:r>
            <w:r>
              <w:rPr>
                <w:rFonts w:ascii="Arial" w:cs="Arial" w:eastAsia="Arial" w:hAnsi="Arial"/>
                <w:sz w:val="15"/>
                <w:szCs w:val="15"/>
                <w:b w:val="1"/>
                <w:bCs w:val="1"/>
                <w:color w:val="0000EE"/>
              </w:rPr>
              <w:t>AMILY</w:t>
            </w:r>
            <w:r>
              <w:rPr>
                <w:rFonts w:ascii="Arial" w:cs="Arial" w:eastAsia="Arial" w:hAnsi="Arial"/>
                <w:sz w:val="19"/>
                <w:szCs w:val="19"/>
                <w:b w:val="1"/>
                <w:bCs w:val="1"/>
                <w:color w:val="0000EE"/>
              </w:rPr>
              <w:t xml:space="preserve"> M</w:t>
            </w:r>
            <w:r>
              <w:rPr>
                <w:rFonts w:ascii="Arial" w:cs="Arial" w:eastAsia="Arial" w:hAnsi="Arial"/>
                <w:sz w:val="15"/>
                <w:szCs w:val="15"/>
                <w:b w:val="1"/>
                <w:bCs w:val="1"/>
                <w:color w:val="0000EE"/>
              </w:rPr>
              <w:t>EMBER</w:t>
            </w:r>
            <w:r>
              <w:rPr>
                <w:rFonts w:ascii="Arial" w:cs="Arial" w:eastAsia="Arial" w:hAnsi="Arial"/>
                <w:sz w:val="19"/>
                <w:szCs w:val="19"/>
                <w:b w:val="1"/>
                <w:bCs w:val="1"/>
                <w:color w:val="0000EE"/>
              </w:rPr>
              <w:t>”</w:t>
            </w:r>
          </w:p>
        </w:tc>
        <w:tc>
          <w:tcPr>
            <w:tcW w:w="1700" w:type="dxa"/>
            <w:vAlign w:val="bottom"/>
            <w:gridSpan w:val="15"/>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A-9</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2.25</w:t>
            </w:r>
          </w:p>
        </w:tc>
        <w:tc>
          <w:tcPr>
            <w:tcW w:w="2340" w:type="dxa"/>
            <w:vAlign w:val="bottom"/>
            <w:tcBorders>
              <w:bottom w:val="single" w:sz="8" w:color="0000EE"/>
            </w:tcBorders>
            <w:gridSpan w:val="25"/>
          </w:tcPr>
          <w:p>
            <w:pPr>
              <w:spacing w:after="0"/>
              <w:rPr>
                <w:sz w:val="20"/>
                <w:szCs w:val="20"/>
                <w:color w:val="auto"/>
              </w:rPr>
            </w:pPr>
            <w:r>
              <w:rPr>
                <w:rFonts w:ascii="Arial" w:cs="Arial" w:eastAsia="Arial" w:hAnsi="Arial"/>
                <w:sz w:val="19"/>
                <w:szCs w:val="19"/>
                <w:b w:val="1"/>
                <w:bCs w:val="1"/>
                <w:color w:val="0000EE"/>
              </w:rPr>
              <w:t>“I</w:t>
            </w:r>
            <w:r>
              <w:rPr>
                <w:rFonts w:ascii="Arial" w:cs="Arial" w:eastAsia="Arial" w:hAnsi="Arial"/>
                <w:sz w:val="15"/>
                <w:szCs w:val="15"/>
                <w:b w:val="1"/>
                <w:bCs w:val="1"/>
                <w:color w:val="0000EE"/>
              </w:rPr>
              <w:t>NCENTIVE</w:t>
            </w:r>
            <w:r>
              <w:rPr>
                <w:rFonts w:ascii="Arial" w:cs="Arial" w:eastAsia="Arial" w:hAnsi="Arial"/>
                <w:sz w:val="19"/>
                <w:szCs w:val="19"/>
                <w:b w:val="1"/>
                <w:bCs w:val="1"/>
                <w:color w:val="0000EE"/>
              </w:rPr>
              <w:t xml:space="preserve"> S</w:t>
            </w:r>
            <w:r>
              <w:rPr>
                <w:rFonts w:ascii="Arial" w:cs="Arial" w:eastAsia="Arial" w:hAnsi="Arial"/>
                <w:sz w:val="15"/>
                <w:szCs w:val="15"/>
                <w:b w:val="1"/>
                <w:bCs w:val="1"/>
                <w:color w:val="0000EE"/>
              </w:rPr>
              <w:t>TOCK</w:t>
            </w:r>
            <w:r>
              <w:rPr>
                <w:rFonts w:ascii="Arial" w:cs="Arial" w:eastAsia="Arial" w:hAnsi="Arial"/>
                <w:sz w:val="19"/>
                <w:szCs w:val="19"/>
                <w:b w:val="1"/>
                <w:bCs w:val="1"/>
                <w:color w:val="0000EE"/>
              </w:rPr>
              <w:t xml:space="preserve"> O</w:t>
            </w:r>
            <w:r>
              <w:rPr>
                <w:rFonts w:ascii="Arial" w:cs="Arial" w:eastAsia="Arial" w:hAnsi="Arial"/>
                <w:sz w:val="15"/>
                <w:szCs w:val="15"/>
                <w:b w:val="1"/>
                <w:bCs w:val="1"/>
                <w:color w:val="0000EE"/>
              </w:rPr>
              <w:t>PTION</w:t>
            </w:r>
            <w:r>
              <w:rPr>
                <w:rFonts w:ascii="Arial" w:cs="Arial" w:eastAsia="Arial" w:hAnsi="Arial"/>
                <w:sz w:val="19"/>
                <w:szCs w:val="19"/>
                <w:b w:val="1"/>
                <w:bCs w:val="1"/>
                <w:color w:val="0000EE"/>
              </w:rPr>
              <w:t>”</w:t>
            </w:r>
          </w:p>
        </w:tc>
        <w:tc>
          <w:tcPr>
            <w:tcW w:w="920" w:type="dxa"/>
            <w:vAlign w:val="bottom"/>
            <w:gridSpan w:val="5"/>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A-9</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2.26</w:t>
            </w:r>
          </w:p>
        </w:tc>
        <w:tc>
          <w:tcPr>
            <w:tcW w:w="3260" w:type="dxa"/>
            <w:vAlign w:val="bottom"/>
            <w:gridSpan w:val="30"/>
          </w:tcPr>
          <w:p>
            <w:pPr>
              <w:spacing w:after="0"/>
              <w:rPr>
                <w:sz w:val="20"/>
                <w:szCs w:val="20"/>
                <w:color w:val="auto"/>
              </w:rPr>
            </w:pPr>
            <w:r>
              <w:rPr>
                <w:rFonts w:ascii="Arial" w:cs="Arial" w:eastAsia="Arial" w:hAnsi="Arial"/>
                <w:sz w:val="19"/>
                <w:szCs w:val="19"/>
                <w:b w:val="1"/>
                <w:bCs w:val="1"/>
                <w:color w:val="0000EE"/>
              </w:rPr>
              <w:t>“I</w:t>
            </w:r>
            <w:r>
              <w:rPr>
                <w:rFonts w:ascii="Arial" w:cs="Arial" w:eastAsia="Arial" w:hAnsi="Arial"/>
                <w:sz w:val="15"/>
                <w:szCs w:val="15"/>
                <w:b w:val="1"/>
                <w:bCs w:val="1"/>
                <w:color w:val="0000EE"/>
              </w:rPr>
              <w:t>NDIVIDUAL</w:t>
            </w:r>
            <w:r>
              <w:rPr>
                <w:rFonts w:ascii="Arial" w:cs="Arial" w:eastAsia="Arial" w:hAnsi="Arial"/>
                <w:sz w:val="19"/>
                <w:szCs w:val="19"/>
                <w:b w:val="1"/>
                <w:bCs w:val="1"/>
                <w:color w:val="0000EE"/>
              </w:rPr>
              <w:t xml:space="preserve"> T</w:t>
            </w:r>
            <w:r>
              <w:rPr>
                <w:rFonts w:ascii="Arial" w:cs="Arial" w:eastAsia="Arial" w:hAnsi="Arial"/>
                <w:sz w:val="15"/>
                <w:szCs w:val="15"/>
                <w:b w:val="1"/>
                <w:bCs w:val="1"/>
                <w:color w:val="0000EE"/>
              </w:rPr>
              <w:t>ARGET</w:t>
            </w:r>
            <w:r>
              <w:rPr>
                <w:rFonts w:ascii="Arial" w:cs="Arial" w:eastAsia="Arial" w:hAnsi="Arial"/>
                <w:sz w:val="19"/>
                <w:szCs w:val="19"/>
                <w:b w:val="1"/>
                <w:bCs w:val="1"/>
                <w:color w:val="0000EE"/>
              </w:rPr>
              <w:t xml:space="preserve"> A</w:t>
            </w:r>
            <w:r>
              <w:rPr>
                <w:rFonts w:ascii="Arial" w:cs="Arial" w:eastAsia="Arial" w:hAnsi="Arial"/>
                <w:sz w:val="15"/>
                <w:szCs w:val="15"/>
                <w:b w:val="1"/>
                <w:bCs w:val="1"/>
                <w:color w:val="0000EE"/>
              </w:rPr>
              <w:t>WARD</w:t>
            </w:r>
            <w:r>
              <w:rPr>
                <w:rFonts w:ascii="Arial" w:cs="Arial" w:eastAsia="Arial" w:hAnsi="Arial"/>
                <w:sz w:val="19"/>
                <w:szCs w:val="19"/>
                <w:b w:val="1"/>
                <w:bCs w:val="1"/>
                <w:color w:val="0000EE"/>
              </w:rPr>
              <w:t>”</w:t>
            </w: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A-9</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2.27</w:t>
            </w:r>
          </w:p>
        </w:tc>
        <w:tc>
          <w:tcPr>
            <w:tcW w:w="2420" w:type="dxa"/>
            <w:vAlign w:val="bottom"/>
            <w:tcBorders>
              <w:top w:val="single" w:sz="8" w:color="0000EE"/>
              <w:bottom w:val="single" w:sz="8" w:color="0000EE"/>
            </w:tcBorders>
            <w:gridSpan w:val="26"/>
          </w:tcPr>
          <w:p>
            <w:pPr>
              <w:spacing w:after="0"/>
              <w:rPr>
                <w:sz w:val="20"/>
                <w:szCs w:val="20"/>
                <w:color w:val="auto"/>
              </w:rPr>
            </w:pPr>
            <w:r>
              <w:rPr>
                <w:rFonts w:ascii="Arial" w:cs="Arial" w:eastAsia="Arial" w:hAnsi="Arial"/>
                <w:sz w:val="19"/>
                <w:szCs w:val="19"/>
                <w:b w:val="1"/>
                <w:bCs w:val="1"/>
                <w:color w:val="0000EE"/>
              </w:rPr>
              <w:t>“N</w:t>
            </w:r>
            <w:r>
              <w:rPr>
                <w:rFonts w:ascii="Arial" w:cs="Arial" w:eastAsia="Arial" w:hAnsi="Arial"/>
                <w:sz w:val="15"/>
                <w:szCs w:val="15"/>
                <w:b w:val="1"/>
                <w:bCs w:val="1"/>
                <w:color w:val="0000EE"/>
              </w:rPr>
              <w:t>ON</w:t>
            </w:r>
            <w:r>
              <w:rPr>
                <w:rFonts w:ascii="Arial" w:cs="Arial" w:eastAsia="Arial" w:hAnsi="Arial"/>
                <w:sz w:val="19"/>
                <w:szCs w:val="19"/>
                <w:b w:val="1"/>
                <w:bCs w:val="1"/>
                <w:color w:val="0000EE"/>
              </w:rPr>
              <w:t>-E</w:t>
            </w:r>
            <w:r>
              <w:rPr>
                <w:rFonts w:ascii="Arial" w:cs="Arial" w:eastAsia="Arial" w:hAnsi="Arial"/>
                <w:sz w:val="15"/>
                <w:szCs w:val="15"/>
                <w:b w:val="1"/>
                <w:bCs w:val="1"/>
                <w:color w:val="0000EE"/>
              </w:rPr>
              <w:t>MPLOYEE</w:t>
            </w:r>
            <w:r>
              <w:rPr>
                <w:rFonts w:ascii="Arial" w:cs="Arial" w:eastAsia="Arial" w:hAnsi="Arial"/>
                <w:sz w:val="19"/>
                <w:szCs w:val="19"/>
                <w:b w:val="1"/>
                <w:bCs w:val="1"/>
                <w:color w:val="0000EE"/>
              </w:rPr>
              <w:t xml:space="preserve"> D</w:t>
            </w:r>
            <w:r>
              <w:rPr>
                <w:rFonts w:ascii="Arial" w:cs="Arial" w:eastAsia="Arial" w:hAnsi="Arial"/>
                <w:sz w:val="15"/>
                <w:szCs w:val="15"/>
                <w:b w:val="1"/>
                <w:bCs w:val="1"/>
                <w:color w:val="0000EE"/>
              </w:rPr>
              <w:t>IRECTOR</w:t>
            </w:r>
            <w:r>
              <w:rPr>
                <w:rFonts w:ascii="Arial" w:cs="Arial" w:eastAsia="Arial" w:hAnsi="Arial"/>
                <w:sz w:val="19"/>
                <w:szCs w:val="19"/>
                <w:b w:val="1"/>
                <w:bCs w:val="1"/>
                <w:color w:val="0000EE"/>
              </w:rPr>
              <w:t>”</w:t>
            </w:r>
          </w:p>
        </w:tc>
        <w:tc>
          <w:tcPr>
            <w:tcW w:w="60" w:type="dxa"/>
            <w:vAlign w:val="bottom"/>
            <w:tcBorders>
              <w:top w:val="single" w:sz="8" w:color="0000EE"/>
            </w:tcBorders>
          </w:tcPr>
          <w:p>
            <w:pPr>
              <w:spacing w:after="0"/>
              <w:rPr>
                <w:sz w:val="24"/>
                <w:szCs w:val="24"/>
                <w:color w:val="auto"/>
              </w:rPr>
            </w:pPr>
          </w:p>
        </w:tc>
        <w:tc>
          <w:tcPr>
            <w:tcW w:w="780" w:type="dxa"/>
            <w:vAlign w:val="bottom"/>
            <w:gridSpan w:val="3"/>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A-9</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2.28</w:t>
            </w:r>
          </w:p>
        </w:tc>
        <w:tc>
          <w:tcPr>
            <w:tcW w:w="2800" w:type="dxa"/>
            <w:vAlign w:val="bottom"/>
            <w:tcBorders>
              <w:bottom w:val="single" w:sz="8" w:color="0000EE"/>
            </w:tcBorders>
            <w:gridSpan w:val="29"/>
          </w:tcPr>
          <w:p>
            <w:pPr>
              <w:spacing w:after="0"/>
              <w:rPr>
                <w:sz w:val="20"/>
                <w:szCs w:val="20"/>
                <w:color w:val="auto"/>
              </w:rPr>
            </w:pPr>
            <w:r>
              <w:rPr>
                <w:rFonts w:ascii="Arial" w:cs="Arial" w:eastAsia="Arial" w:hAnsi="Arial"/>
                <w:sz w:val="19"/>
                <w:szCs w:val="19"/>
                <w:b w:val="1"/>
                <w:bCs w:val="1"/>
                <w:color w:val="0000EE"/>
              </w:rPr>
              <w:t>“N</w:t>
            </w:r>
            <w:r>
              <w:rPr>
                <w:rFonts w:ascii="Arial" w:cs="Arial" w:eastAsia="Arial" w:hAnsi="Arial"/>
                <w:sz w:val="15"/>
                <w:szCs w:val="15"/>
                <w:b w:val="1"/>
                <w:bCs w:val="1"/>
                <w:color w:val="0000EE"/>
              </w:rPr>
              <w:t>ON</w:t>
            </w:r>
            <w:r>
              <w:rPr>
                <w:rFonts w:ascii="Arial" w:cs="Arial" w:eastAsia="Arial" w:hAnsi="Arial"/>
                <w:sz w:val="19"/>
                <w:szCs w:val="19"/>
                <w:b w:val="1"/>
                <w:bCs w:val="1"/>
                <w:color w:val="0000EE"/>
              </w:rPr>
              <w:t>-Q</w:t>
            </w:r>
            <w:r>
              <w:rPr>
                <w:rFonts w:ascii="Arial" w:cs="Arial" w:eastAsia="Arial" w:hAnsi="Arial"/>
                <w:sz w:val="15"/>
                <w:szCs w:val="15"/>
                <w:b w:val="1"/>
                <w:bCs w:val="1"/>
                <w:color w:val="0000EE"/>
              </w:rPr>
              <w:t>UALIFIED</w:t>
            </w:r>
            <w:r>
              <w:rPr>
                <w:rFonts w:ascii="Arial" w:cs="Arial" w:eastAsia="Arial" w:hAnsi="Arial"/>
                <w:sz w:val="19"/>
                <w:szCs w:val="19"/>
                <w:b w:val="1"/>
                <w:bCs w:val="1"/>
                <w:color w:val="0000EE"/>
              </w:rPr>
              <w:t xml:space="preserve"> S</w:t>
            </w:r>
            <w:r>
              <w:rPr>
                <w:rFonts w:ascii="Arial" w:cs="Arial" w:eastAsia="Arial" w:hAnsi="Arial"/>
                <w:sz w:val="15"/>
                <w:szCs w:val="15"/>
                <w:b w:val="1"/>
                <w:bCs w:val="1"/>
                <w:color w:val="0000EE"/>
              </w:rPr>
              <w:t>TOCK</w:t>
            </w:r>
            <w:r>
              <w:rPr>
                <w:rFonts w:ascii="Arial" w:cs="Arial" w:eastAsia="Arial" w:hAnsi="Arial"/>
                <w:sz w:val="19"/>
                <w:szCs w:val="19"/>
                <w:b w:val="1"/>
                <w:bCs w:val="1"/>
                <w:color w:val="0000EE"/>
              </w:rPr>
              <w:t xml:space="preserve"> O</w:t>
            </w:r>
            <w:r>
              <w:rPr>
                <w:rFonts w:ascii="Arial" w:cs="Arial" w:eastAsia="Arial" w:hAnsi="Arial"/>
                <w:sz w:val="15"/>
                <w:szCs w:val="15"/>
                <w:b w:val="1"/>
                <w:bCs w:val="1"/>
                <w:color w:val="0000EE"/>
              </w:rPr>
              <w:t>PTION</w:t>
            </w:r>
            <w:r>
              <w:rPr>
                <w:rFonts w:ascii="Arial" w:cs="Arial" w:eastAsia="Arial" w:hAnsi="Arial"/>
                <w:sz w:val="19"/>
                <w:szCs w:val="19"/>
                <w:b w:val="1"/>
                <w:bCs w:val="1"/>
                <w:color w:val="0000EE"/>
              </w:rPr>
              <w:t>”</w:t>
            </w:r>
          </w:p>
        </w:tc>
        <w:tc>
          <w:tcPr>
            <w:tcW w:w="460" w:type="dxa"/>
            <w:vAlign w:val="bottom"/>
          </w:tcPr>
          <w:p>
            <w:pPr>
              <w:spacing w:after="0"/>
              <w:rPr>
                <w:sz w:val="24"/>
                <w:szCs w:val="24"/>
                <w:color w:val="auto"/>
              </w:rPr>
            </w:pP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A-9</w:t>
            </w:r>
          </w:p>
        </w:tc>
      </w:tr>
      <w:tr>
        <w:trPr>
          <w:trHeight w:val="331"/>
        </w:trPr>
        <w:tc>
          <w:tcPr>
            <w:tcW w:w="1100" w:type="dxa"/>
            <w:vAlign w:val="bottom"/>
            <w:gridSpan w:val="3"/>
          </w:tcPr>
          <w:p>
            <w:pPr>
              <w:ind w:left="400"/>
              <w:spacing w:after="0"/>
              <w:rPr>
                <w:sz w:val="20"/>
                <w:szCs w:val="20"/>
                <w:color w:val="auto"/>
              </w:rPr>
            </w:pPr>
            <w:r>
              <w:rPr>
                <w:rFonts w:ascii="Arial" w:cs="Arial" w:eastAsia="Arial" w:hAnsi="Arial"/>
                <w:sz w:val="19"/>
                <w:szCs w:val="19"/>
                <w:b w:val="1"/>
                <w:bCs w:val="1"/>
                <w:color w:val="auto"/>
              </w:rPr>
              <w:t>2.29</w:t>
            </w:r>
          </w:p>
        </w:tc>
        <w:tc>
          <w:tcPr>
            <w:tcW w:w="3260" w:type="dxa"/>
            <w:vAlign w:val="bottom"/>
            <w:gridSpan w:val="30"/>
          </w:tcPr>
          <w:p>
            <w:pPr>
              <w:spacing w:after="0"/>
              <w:rPr>
                <w:sz w:val="20"/>
                <w:szCs w:val="20"/>
                <w:color w:val="auto"/>
              </w:rPr>
            </w:pPr>
            <w:r>
              <w:rPr>
                <w:rFonts w:ascii="Arial" w:cs="Arial" w:eastAsia="Arial" w:hAnsi="Arial"/>
                <w:sz w:val="19"/>
                <w:szCs w:val="19"/>
                <w:b w:val="1"/>
                <w:bCs w:val="1"/>
                <w:color w:val="0000EE"/>
              </w:rPr>
              <w:t>“O</w:t>
            </w:r>
            <w:r>
              <w:rPr>
                <w:rFonts w:ascii="Arial" w:cs="Arial" w:eastAsia="Arial" w:hAnsi="Arial"/>
                <w:sz w:val="15"/>
                <w:szCs w:val="15"/>
                <w:b w:val="1"/>
                <w:bCs w:val="1"/>
                <w:color w:val="0000EE"/>
              </w:rPr>
              <w:t>THER</w:t>
            </w:r>
            <w:r>
              <w:rPr>
                <w:rFonts w:ascii="Arial" w:cs="Arial" w:eastAsia="Arial" w:hAnsi="Arial"/>
                <w:sz w:val="19"/>
                <w:szCs w:val="19"/>
                <w:b w:val="1"/>
                <w:bCs w:val="1"/>
                <w:color w:val="0000EE"/>
              </w:rPr>
              <w:t xml:space="preserve"> E</w:t>
            </w:r>
            <w:r>
              <w:rPr>
                <w:rFonts w:ascii="Arial" w:cs="Arial" w:eastAsia="Arial" w:hAnsi="Arial"/>
                <w:sz w:val="15"/>
                <w:szCs w:val="15"/>
                <w:b w:val="1"/>
                <w:bCs w:val="1"/>
                <w:color w:val="0000EE"/>
              </w:rPr>
              <w:t>XTRAORDINARY</w:t>
            </w:r>
            <w:r>
              <w:rPr>
                <w:rFonts w:ascii="Arial" w:cs="Arial" w:eastAsia="Arial" w:hAnsi="Arial"/>
                <w:sz w:val="19"/>
                <w:szCs w:val="19"/>
                <w:b w:val="1"/>
                <w:bCs w:val="1"/>
                <w:color w:val="0000EE"/>
              </w:rPr>
              <w:t xml:space="preserve"> E</w:t>
            </w:r>
            <w:r>
              <w:rPr>
                <w:rFonts w:ascii="Arial" w:cs="Arial" w:eastAsia="Arial" w:hAnsi="Arial"/>
                <w:sz w:val="15"/>
                <w:szCs w:val="15"/>
                <w:b w:val="1"/>
                <w:bCs w:val="1"/>
                <w:color w:val="0000EE"/>
              </w:rPr>
              <w:t>VENT</w:t>
            </w:r>
            <w:r>
              <w:rPr>
                <w:rFonts w:ascii="Arial" w:cs="Arial" w:eastAsia="Arial" w:hAnsi="Arial"/>
                <w:sz w:val="19"/>
                <w:szCs w:val="19"/>
                <w:b w:val="1"/>
                <w:bCs w:val="1"/>
                <w:color w:val="0000EE"/>
              </w:rPr>
              <w:t>”</w:t>
            </w:r>
          </w:p>
        </w:tc>
        <w:tc>
          <w:tcPr>
            <w:tcW w:w="6780" w:type="dxa"/>
            <w:vAlign w:val="bottom"/>
          </w:tcPr>
          <w:p>
            <w:pPr>
              <w:jc w:val="right"/>
              <w:ind w:right="126"/>
              <w:spacing w:after="0"/>
              <w:rPr>
                <w:sz w:val="20"/>
                <w:szCs w:val="20"/>
                <w:color w:val="auto"/>
              </w:rPr>
            </w:pPr>
            <w:r>
              <w:rPr>
                <w:rFonts w:ascii="Arial" w:cs="Arial" w:eastAsia="Arial" w:hAnsi="Arial"/>
                <w:sz w:val="19"/>
                <w:szCs w:val="19"/>
                <w:color w:val="auto"/>
              </w:rPr>
              <w:t>A-9</w:t>
            </w:r>
          </w:p>
        </w:tc>
      </w:tr>
      <w:tr>
        <w:trPr>
          <w:trHeight w:val="156"/>
        </w:trPr>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460" w:type="dxa"/>
            <w:vAlign w:val="bottom"/>
          </w:tcPr>
          <w:p>
            <w:pPr>
              <w:spacing w:after="0"/>
              <w:rPr>
                <w:sz w:val="13"/>
                <w:szCs w:val="13"/>
                <w:color w:val="auto"/>
              </w:rPr>
            </w:pPr>
          </w:p>
        </w:tc>
        <w:tc>
          <w:tcPr>
            <w:tcW w:w="6780" w:type="dxa"/>
            <w:vAlign w:val="bottom"/>
          </w:tcPr>
          <w:p>
            <w:pPr>
              <w:spacing w:after="0"/>
              <w:rPr>
                <w:sz w:val="13"/>
                <w:szCs w:val="13"/>
                <w:color w:val="auto"/>
              </w:rPr>
            </w:pPr>
          </w:p>
        </w:tc>
      </w:tr>
      <w:tr>
        <w:trPr>
          <w:trHeight w:val="297"/>
        </w:trPr>
        <w:tc>
          <w:tcPr>
            <w:tcW w:w="120" w:type="dxa"/>
            <w:vAlign w:val="bottom"/>
          </w:tcPr>
          <w:p>
            <w:pPr>
              <w:spacing w:after="0"/>
              <w:rPr>
                <w:sz w:val="24"/>
                <w:szCs w:val="24"/>
                <w:color w:val="auto"/>
              </w:rPr>
            </w:pPr>
          </w:p>
        </w:tc>
        <w:tc>
          <w:tcPr>
            <w:tcW w:w="440" w:type="dxa"/>
            <w:vAlign w:val="bottom"/>
            <w:shd w:val="clear" w:color="auto" w:fill="002060"/>
          </w:tcPr>
          <w:p>
            <w:pPr>
              <w:ind w:left="80"/>
              <w:spacing w:after="0"/>
              <w:rPr>
                <w:sz w:val="20"/>
                <w:szCs w:val="20"/>
                <w:color w:val="auto"/>
              </w:rPr>
            </w:pPr>
            <w:r>
              <w:rPr>
                <w:rFonts w:ascii="Arial" w:cs="Arial" w:eastAsia="Arial" w:hAnsi="Arial"/>
                <w:sz w:val="16"/>
                <w:szCs w:val="16"/>
                <w:color w:val="FFFFFF"/>
                <w:shd w:val="clear" w:color="auto" w:fill="002060"/>
              </w:rPr>
              <w:t>A-2</w:t>
            </w:r>
          </w:p>
        </w:tc>
        <w:tc>
          <w:tcPr>
            <w:tcW w:w="3800" w:type="dxa"/>
            <w:vAlign w:val="bottom"/>
            <w:gridSpan w:val="31"/>
          </w:tcPr>
          <w:p>
            <w:pPr>
              <w:ind w:left="120"/>
              <w:spacing w:after="0"/>
              <w:rPr>
                <w:sz w:val="20"/>
                <w:szCs w:val="20"/>
                <w:color w:val="auto"/>
              </w:rPr>
            </w:pPr>
            <w:r>
              <w:rPr>
                <w:rFonts w:ascii="Arial" w:cs="Arial" w:eastAsia="Arial" w:hAnsi="Arial"/>
                <w:sz w:val="16"/>
                <w:szCs w:val="16"/>
                <w:color w:val="002060"/>
              </w:rPr>
              <w:t>2023 Proxy Statement</w:t>
            </w:r>
          </w:p>
        </w:tc>
        <w:tc>
          <w:tcPr>
            <w:tcW w:w="6780" w:type="dxa"/>
            <w:vAlign w:val="bottom"/>
          </w:tcPr>
          <w:p>
            <w:pPr>
              <w:jc w:val="right"/>
              <w:spacing w:after="0"/>
              <w:rPr>
                <w:sz w:val="20"/>
                <w:szCs w:val="20"/>
                <w:color w:val="auto"/>
              </w:rPr>
            </w:pPr>
            <w:r>
              <w:rPr>
                <w:rFonts w:ascii="Arial" w:cs="Arial" w:eastAsia="Arial" w:hAnsi="Arial"/>
                <w:sz w:val="16"/>
                <w:szCs w:val="16"/>
                <w:color w:val="002060"/>
              </w:rPr>
              <w:t>2023 Omnibus Incentive Plan</w:t>
            </w:r>
          </w:p>
        </w:tc>
      </w:tr>
    </w:tbl>
    <w:p>
      <w:pPr>
        <w:jc w:val="right"/>
        <w:spacing w:after="0"/>
        <w:rPr>
          <w:sz w:val="20"/>
          <w:szCs w:val="20"/>
          <w:color w:val="auto"/>
        </w:rPr>
        <w:sectPr>
          <w:pgSz w:w="11900" w:h="16838" w:orient="portrait"/>
          <w:cols w:equalWidth="0" w:num="1">
            <w:col w:w="11140"/>
          </w:cols>
          <w:pgMar w:left="320" w:top="47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2.30</w:t>
            </w:r>
          </w:p>
        </w:tc>
        <w:tc>
          <w:tcPr>
            <w:tcW w:w="2700" w:type="dxa"/>
            <w:vAlign w:val="bottom"/>
            <w:tcBorders>
              <w:bottom w:val="single" w:sz="8" w:color="0000EE"/>
            </w:tcBorders>
            <w:gridSpan w:val="26"/>
          </w:tcPr>
          <w:p>
            <w:pPr>
              <w:spacing w:after="0"/>
              <w:rPr>
                <w:sz w:val="20"/>
                <w:szCs w:val="20"/>
                <w:color w:val="auto"/>
              </w:rPr>
            </w:pPr>
            <w:r>
              <w:rPr>
                <w:rFonts w:ascii="Arial" w:cs="Arial" w:eastAsia="Arial" w:hAnsi="Arial"/>
                <w:sz w:val="19"/>
                <w:szCs w:val="19"/>
                <w:b w:val="1"/>
                <w:bCs w:val="1"/>
                <w:color w:val="0000EE"/>
              </w:rPr>
              <w:t>“O</w:t>
            </w:r>
            <w:r>
              <w:rPr>
                <w:rFonts w:ascii="Arial" w:cs="Arial" w:eastAsia="Arial" w:hAnsi="Arial"/>
                <w:sz w:val="15"/>
                <w:szCs w:val="15"/>
                <w:b w:val="1"/>
                <w:bCs w:val="1"/>
                <w:color w:val="0000EE"/>
              </w:rPr>
              <w:t>THER</w:t>
            </w:r>
            <w:r>
              <w:rPr>
                <w:rFonts w:ascii="Arial" w:cs="Arial" w:eastAsia="Arial" w:hAnsi="Arial"/>
                <w:sz w:val="19"/>
                <w:szCs w:val="19"/>
                <w:b w:val="1"/>
                <w:bCs w:val="1"/>
                <w:color w:val="0000EE"/>
              </w:rPr>
              <w:t xml:space="preserve"> S</w:t>
            </w:r>
            <w:r>
              <w:rPr>
                <w:rFonts w:ascii="Arial" w:cs="Arial" w:eastAsia="Arial" w:hAnsi="Arial"/>
                <w:sz w:val="15"/>
                <w:szCs w:val="15"/>
                <w:b w:val="1"/>
                <w:bCs w:val="1"/>
                <w:color w:val="0000EE"/>
              </w:rPr>
              <w:t>TOCK</w:t>
            </w:r>
            <w:r>
              <w:rPr>
                <w:rFonts w:ascii="Arial" w:cs="Arial" w:eastAsia="Arial" w:hAnsi="Arial"/>
                <w:sz w:val="19"/>
                <w:szCs w:val="19"/>
                <w:b w:val="1"/>
                <w:bCs w:val="1"/>
                <w:color w:val="0000EE"/>
              </w:rPr>
              <w:t>-B</w:t>
            </w:r>
            <w:r>
              <w:rPr>
                <w:rFonts w:ascii="Arial" w:cs="Arial" w:eastAsia="Arial" w:hAnsi="Arial"/>
                <w:sz w:val="15"/>
                <w:szCs w:val="15"/>
                <w:b w:val="1"/>
                <w:bCs w:val="1"/>
                <w:color w:val="0000EE"/>
              </w:rPr>
              <w:t>ASED</w:t>
            </w:r>
            <w:r>
              <w:rPr>
                <w:rFonts w:ascii="Arial" w:cs="Arial" w:eastAsia="Arial" w:hAnsi="Arial"/>
                <w:sz w:val="19"/>
                <w:szCs w:val="19"/>
                <w:b w:val="1"/>
                <w:bCs w:val="1"/>
                <w:color w:val="0000EE"/>
              </w:rPr>
              <w:t xml:space="preserve"> A</w:t>
            </w:r>
            <w:r>
              <w:rPr>
                <w:rFonts w:ascii="Arial" w:cs="Arial" w:eastAsia="Arial" w:hAnsi="Arial"/>
                <w:sz w:val="15"/>
                <w:szCs w:val="15"/>
                <w:b w:val="1"/>
                <w:bCs w:val="1"/>
                <w:color w:val="0000EE"/>
              </w:rPr>
              <w:t>WARD</w:t>
            </w:r>
            <w:r>
              <w:rPr>
                <w:rFonts w:ascii="Arial" w:cs="Arial" w:eastAsia="Arial" w:hAnsi="Arial"/>
                <w:sz w:val="19"/>
                <w:szCs w:val="19"/>
                <w:b w:val="1"/>
                <w:bCs w:val="1"/>
                <w:color w:val="0000EE"/>
              </w:rPr>
              <w:t>”</w:t>
            </w:r>
          </w:p>
        </w:tc>
        <w:tc>
          <w:tcPr>
            <w:tcW w:w="2920" w:type="dxa"/>
            <w:vAlign w:val="bottom"/>
            <w:gridSpan w:val="6"/>
          </w:tcPr>
          <w:p>
            <w:pPr>
              <w:spacing w:after="0"/>
              <w:rPr>
                <w:sz w:val="18"/>
                <w:szCs w:val="18"/>
                <w:color w:val="auto"/>
              </w:rPr>
            </w:pPr>
          </w:p>
        </w:tc>
        <w:tc>
          <w:tcPr>
            <w:tcW w:w="384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9"/>
                <w:szCs w:val="19"/>
                <w:color w:val="auto"/>
              </w:rPr>
              <w:t>A-9</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2.31</w:t>
            </w:r>
          </w:p>
        </w:tc>
        <w:tc>
          <w:tcPr>
            <w:tcW w:w="860" w:type="dxa"/>
            <w:vAlign w:val="bottom"/>
            <w:tcBorders>
              <w:bottom w:val="single" w:sz="8" w:color="0000EE"/>
            </w:tcBorders>
            <w:gridSpan w:val="2"/>
          </w:tcPr>
          <w:p>
            <w:pPr>
              <w:spacing w:after="0"/>
              <w:rPr>
                <w:sz w:val="20"/>
                <w:szCs w:val="20"/>
                <w:color w:val="auto"/>
              </w:rPr>
            </w:pPr>
            <w:r>
              <w:rPr>
                <w:rFonts w:ascii="Arial" w:cs="Arial" w:eastAsia="Arial" w:hAnsi="Arial"/>
                <w:sz w:val="19"/>
                <w:szCs w:val="19"/>
                <w:b w:val="1"/>
                <w:bCs w:val="1"/>
                <w:color w:val="0000EE"/>
              </w:rPr>
              <w:t>“P</w:t>
            </w:r>
            <w:r>
              <w:rPr>
                <w:rFonts w:ascii="Arial" w:cs="Arial" w:eastAsia="Arial" w:hAnsi="Arial"/>
                <w:sz w:val="15"/>
                <w:szCs w:val="15"/>
                <w:b w:val="1"/>
                <w:bCs w:val="1"/>
                <w:color w:val="0000EE"/>
              </w:rPr>
              <w:t>ARENT</w:t>
            </w:r>
            <w:r>
              <w:rPr>
                <w:rFonts w:ascii="Arial" w:cs="Arial" w:eastAsia="Arial" w:hAnsi="Arial"/>
                <w:sz w:val="19"/>
                <w:szCs w:val="19"/>
                <w:b w:val="1"/>
                <w:bCs w:val="1"/>
                <w:color w:val="0000EE"/>
              </w:rPr>
              <w:t>”</w:t>
            </w:r>
          </w:p>
        </w:tc>
        <w:tc>
          <w:tcPr>
            <w:tcW w:w="4760" w:type="dxa"/>
            <w:vAlign w:val="bottom"/>
            <w:gridSpan w:val="30"/>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A-10</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2.32</w:t>
            </w:r>
          </w:p>
        </w:tc>
        <w:tc>
          <w:tcPr>
            <w:tcW w:w="1260" w:type="dxa"/>
            <w:vAlign w:val="bottom"/>
            <w:tcBorders>
              <w:bottom w:val="single" w:sz="8" w:color="0000EE"/>
            </w:tcBorders>
            <w:gridSpan w:val="9"/>
          </w:tcPr>
          <w:p>
            <w:pPr>
              <w:spacing w:after="0"/>
              <w:rPr>
                <w:sz w:val="20"/>
                <w:szCs w:val="20"/>
                <w:color w:val="auto"/>
              </w:rPr>
            </w:pPr>
            <w:r>
              <w:rPr>
                <w:rFonts w:ascii="Arial" w:cs="Arial" w:eastAsia="Arial" w:hAnsi="Arial"/>
                <w:sz w:val="19"/>
                <w:szCs w:val="19"/>
                <w:b w:val="1"/>
                <w:bCs w:val="1"/>
                <w:color w:val="0000EE"/>
              </w:rPr>
              <w:t>“P</w:t>
            </w:r>
            <w:r>
              <w:rPr>
                <w:rFonts w:ascii="Arial" w:cs="Arial" w:eastAsia="Arial" w:hAnsi="Arial"/>
                <w:sz w:val="15"/>
                <w:szCs w:val="15"/>
                <w:b w:val="1"/>
                <w:bCs w:val="1"/>
                <w:color w:val="0000EE"/>
              </w:rPr>
              <w:t>ARTICIPANT</w:t>
            </w:r>
            <w:r>
              <w:rPr>
                <w:rFonts w:ascii="Arial" w:cs="Arial" w:eastAsia="Arial" w:hAnsi="Arial"/>
                <w:sz w:val="19"/>
                <w:szCs w:val="19"/>
                <w:b w:val="1"/>
                <w:bCs w:val="1"/>
                <w:color w:val="0000EE"/>
              </w:rPr>
              <w:t>”</w:t>
            </w:r>
          </w:p>
        </w:tc>
        <w:tc>
          <w:tcPr>
            <w:tcW w:w="4360" w:type="dxa"/>
            <w:vAlign w:val="bottom"/>
            <w:gridSpan w:val="23"/>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A-10</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2.33</w:t>
            </w:r>
          </w:p>
        </w:tc>
        <w:tc>
          <w:tcPr>
            <w:tcW w:w="3280" w:type="dxa"/>
            <w:vAlign w:val="bottom"/>
            <w:tcBorders>
              <w:bottom w:val="single" w:sz="8" w:color="0000EE"/>
            </w:tcBorders>
            <w:gridSpan w:val="30"/>
          </w:tcPr>
          <w:p>
            <w:pPr>
              <w:spacing w:after="0"/>
              <w:rPr>
                <w:sz w:val="20"/>
                <w:szCs w:val="20"/>
                <w:color w:val="auto"/>
              </w:rPr>
            </w:pPr>
            <w:r>
              <w:rPr>
                <w:rFonts w:ascii="Arial" w:cs="Arial" w:eastAsia="Arial" w:hAnsi="Arial"/>
                <w:sz w:val="19"/>
                <w:szCs w:val="19"/>
                <w:b w:val="1"/>
                <w:bCs w:val="1"/>
                <w:color w:val="0000EE"/>
              </w:rPr>
              <w:t>“P</w:t>
            </w:r>
            <w:r>
              <w:rPr>
                <w:rFonts w:ascii="Arial" w:cs="Arial" w:eastAsia="Arial" w:hAnsi="Arial"/>
                <w:sz w:val="15"/>
                <w:szCs w:val="15"/>
                <w:b w:val="1"/>
                <w:bCs w:val="1"/>
                <w:color w:val="0000EE"/>
              </w:rPr>
              <w:t>ERFORMANCE</w:t>
            </w:r>
            <w:r>
              <w:rPr>
                <w:rFonts w:ascii="Arial" w:cs="Arial" w:eastAsia="Arial" w:hAnsi="Arial"/>
                <w:sz w:val="19"/>
                <w:szCs w:val="19"/>
                <w:b w:val="1"/>
                <w:bCs w:val="1"/>
                <w:color w:val="0000EE"/>
              </w:rPr>
              <w:t>-B</w:t>
            </w:r>
            <w:r>
              <w:rPr>
                <w:rFonts w:ascii="Arial" w:cs="Arial" w:eastAsia="Arial" w:hAnsi="Arial"/>
                <w:sz w:val="15"/>
                <w:szCs w:val="15"/>
                <w:b w:val="1"/>
                <w:bCs w:val="1"/>
                <w:color w:val="0000EE"/>
              </w:rPr>
              <w:t>ASED</w:t>
            </w:r>
            <w:r>
              <w:rPr>
                <w:rFonts w:ascii="Arial" w:cs="Arial" w:eastAsia="Arial" w:hAnsi="Arial"/>
                <w:sz w:val="19"/>
                <w:szCs w:val="19"/>
                <w:b w:val="1"/>
                <w:bCs w:val="1"/>
                <w:color w:val="0000EE"/>
              </w:rPr>
              <w:t xml:space="preserve"> C</w:t>
            </w:r>
            <w:r>
              <w:rPr>
                <w:rFonts w:ascii="Arial" w:cs="Arial" w:eastAsia="Arial" w:hAnsi="Arial"/>
                <w:sz w:val="15"/>
                <w:szCs w:val="15"/>
                <w:b w:val="1"/>
                <w:bCs w:val="1"/>
                <w:color w:val="0000EE"/>
              </w:rPr>
              <w:t>ASH</w:t>
            </w:r>
            <w:r>
              <w:rPr>
                <w:rFonts w:ascii="Arial" w:cs="Arial" w:eastAsia="Arial" w:hAnsi="Arial"/>
                <w:sz w:val="19"/>
                <w:szCs w:val="19"/>
                <w:b w:val="1"/>
                <w:bCs w:val="1"/>
                <w:color w:val="0000EE"/>
              </w:rPr>
              <w:t xml:space="preserve"> A</w:t>
            </w:r>
            <w:r>
              <w:rPr>
                <w:rFonts w:ascii="Arial" w:cs="Arial" w:eastAsia="Arial" w:hAnsi="Arial"/>
                <w:sz w:val="15"/>
                <w:szCs w:val="15"/>
                <w:b w:val="1"/>
                <w:bCs w:val="1"/>
                <w:color w:val="0000EE"/>
              </w:rPr>
              <w:t>WARD</w:t>
            </w:r>
            <w:r>
              <w:rPr>
                <w:rFonts w:ascii="Arial" w:cs="Arial" w:eastAsia="Arial" w:hAnsi="Arial"/>
                <w:sz w:val="19"/>
                <w:szCs w:val="19"/>
                <w:b w:val="1"/>
                <w:bCs w:val="1"/>
                <w:color w:val="0000EE"/>
              </w:rPr>
              <w:t>”</w:t>
            </w:r>
          </w:p>
        </w:tc>
        <w:tc>
          <w:tcPr>
            <w:tcW w:w="2340" w:type="dxa"/>
            <w:vAlign w:val="bottom"/>
            <w:gridSpan w:val="2"/>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A-10</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2.34</w:t>
            </w:r>
          </w:p>
        </w:tc>
        <w:tc>
          <w:tcPr>
            <w:tcW w:w="5620" w:type="dxa"/>
            <w:vAlign w:val="bottom"/>
            <w:gridSpan w:val="32"/>
          </w:tcPr>
          <w:p>
            <w:pPr>
              <w:spacing w:after="0"/>
              <w:rPr>
                <w:sz w:val="20"/>
                <w:szCs w:val="20"/>
                <w:color w:val="auto"/>
              </w:rPr>
            </w:pPr>
            <w:r>
              <w:rPr>
                <w:rFonts w:ascii="Arial" w:cs="Arial" w:eastAsia="Arial" w:hAnsi="Arial"/>
                <w:sz w:val="19"/>
                <w:szCs w:val="19"/>
                <w:b w:val="1"/>
                <w:bCs w:val="1"/>
                <w:color w:val="0000EE"/>
              </w:rPr>
              <w:t>“P</w:t>
            </w:r>
            <w:r>
              <w:rPr>
                <w:rFonts w:ascii="Arial" w:cs="Arial" w:eastAsia="Arial" w:hAnsi="Arial"/>
                <w:sz w:val="15"/>
                <w:szCs w:val="15"/>
                <w:b w:val="1"/>
                <w:bCs w:val="1"/>
                <w:color w:val="0000EE"/>
              </w:rPr>
              <w:t>ERFORMANCE</w:t>
            </w:r>
            <w:r>
              <w:rPr>
                <w:rFonts w:ascii="Arial" w:cs="Arial" w:eastAsia="Arial" w:hAnsi="Arial"/>
                <w:sz w:val="19"/>
                <w:szCs w:val="19"/>
                <w:b w:val="1"/>
                <w:bCs w:val="1"/>
                <w:color w:val="0000EE"/>
              </w:rPr>
              <w:t xml:space="preserve"> P</w:t>
            </w:r>
            <w:r>
              <w:rPr>
                <w:rFonts w:ascii="Arial" w:cs="Arial" w:eastAsia="Arial" w:hAnsi="Arial"/>
                <w:sz w:val="15"/>
                <w:szCs w:val="15"/>
                <w:b w:val="1"/>
                <w:bCs w:val="1"/>
                <w:color w:val="0000EE"/>
              </w:rPr>
              <w:t>ERIOD</w:t>
            </w:r>
            <w:r>
              <w:rPr>
                <w:rFonts w:ascii="Arial" w:cs="Arial" w:eastAsia="Arial" w:hAnsi="Arial"/>
                <w:sz w:val="19"/>
                <w:szCs w:val="19"/>
                <w:b w:val="1"/>
                <w:bCs w:val="1"/>
                <w:color w:val="0000EE"/>
              </w:rPr>
              <w:t>”</w:t>
            </w: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A-10</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2.35</w:t>
            </w:r>
          </w:p>
        </w:tc>
        <w:tc>
          <w:tcPr>
            <w:tcW w:w="2120" w:type="dxa"/>
            <w:vAlign w:val="bottom"/>
            <w:tcBorders>
              <w:top w:val="single" w:sz="8" w:color="0000EE"/>
            </w:tcBorders>
            <w:gridSpan w:val="23"/>
          </w:tcPr>
          <w:p>
            <w:pPr>
              <w:spacing w:after="0"/>
              <w:rPr>
                <w:sz w:val="20"/>
                <w:szCs w:val="20"/>
                <w:color w:val="auto"/>
              </w:rPr>
            </w:pPr>
            <w:r>
              <w:rPr>
                <w:rFonts w:ascii="Arial" w:cs="Arial" w:eastAsia="Arial" w:hAnsi="Arial"/>
                <w:sz w:val="19"/>
                <w:szCs w:val="19"/>
                <w:b w:val="1"/>
                <w:bCs w:val="1"/>
                <w:color w:val="0000EE"/>
              </w:rPr>
              <w:t>“P</w:t>
            </w:r>
            <w:r>
              <w:rPr>
                <w:rFonts w:ascii="Arial" w:cs="Arial" w:eastAsia="Arial" w:hAnsi="Arial"/>
                <w:sz w:val="15"/>
                <w:szCs w:val="15"/>
                <w:b w:val="1"/>
                <w:bCs w:val="1"/>
                <w:color w:val="0000EE"/>
              </w:rPr>
              <w:t>ERFORMANCE</w:t>
            </w:r>
            <w:r>
              <w:rPr>
                <w:rFonts w:ascii="Arial" w:cs="Arial" w:eastAsia="Arial" w:hAnsi="Arial"/>
                <w:sz w:val="19"/>
                <w:szCs w:val="19"/>
                <w:b w:val="1"/>
                <w:bCs w:val="1"/>
                <w:color w:val="0000EE"/>
              </w:rPr>
              <w:t xml:space="preserve"> S</w:t>
            </w:r>
            <w:r>
              <w:rPr>
                <w:rFonts w:ascii="Arial" w:cs="Arial" w:eastAsia="Arial" w:hAnsi="Arial"/>
                <w:sz w:val="15"/>
                <w:szCs w:val="15"/>
                <w:b w:val="1"/>
                <w:bCs w:val="1"/>
                <w:color w:val="0000EE"/>
              </w:rPr>
              <w:t>HARE</w:t>
            </w:r>
            <w:r>
              <w:rPr>
                <w:rFonts w:ascii="Arial" w:cs="Arial" w:eastAsia="Arial" w:hAnsi="Arial"/>
                <w:sz w:val="19"/>
                <w:szCs w:val="19"/>
                <w:b w:val="1"/>
                <w:bCs w:val="1"/>
                <w:color w:val="0000EE"/>
              </w:rPr>
              <w:t>”</w:t>
            </w:r>
          </w:p>
        </w:tc>
        <w:tc>
          <w:tcPr>
            <w:tcW w:w="3500" w:type="dxa"/>
            <w:vAlign w:val="bottom"/>
            <w:gridSpan w:val="9"/>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A-10</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2.36</w:t>
            </w:r>
          </w:p>
        </w:tc>
        <w:tc>
          <w:tcPr>
            <w:tcW w:w="2060" w:type="dxa"/>
            <w:vAlign w:val="bottom"/>
            <w:tcBorders>
              <w:top w:val="single" w:sz="8" w:color="0000EE"/>
            </w:tcBorders>
            <w:gridSpan w:val="22"/>
          </w:tcPr>
          <w:p>
            <w:pPr>
              <w:spacing w:after="0"/>
              <w:rPr>
                <w:sz w:val="20"/>
                <w:szCs w:val="20"/>
                <w:color w:val="auto"/>
              </w:rPr>
            </w:pPr>
            <w:r>
              <w:rPr>
                <w:rFonts w:ascii="Arial" w:cs="Arial" w:eastAsia="Arial" w:hAnsi="Arial"/>
                <w:sz w:val="19"/>
                <w:szCs w:val="19"/>
                <w:b w:val="1"/>
                <w:bCs w:val="1"/>
                <w:color w:val="0000EE"/>
              </w:rPr>
              <w:t>“P</w:t>
            </w:r>
            <w:r>
              <w:rPr>
                <w:rFonts w:ascii="Arial" w:cs="Arial" w:eastAsia="Arial" w:hAnsi="Arial"/>
                <w:sz w:val="15"/>
                <w:szCs w:val="15"/>
                <w:b w:val="1"/>
                <w:bCs w:val="1"/>
                <w:color w:val="0000EE"/>
              </w:rPr>
              <w:t>ERFORMANCE</w:t>
            </w:r>
            <w:r>
              <w:rPr>
                <w:rFonts w:ascii="Arial" w:cs="Arial" w:eastAsia="Arial" w:hAnsi="Arial"/>
                <w:sz w:val="19"/>
                <w:szCs w:val="19"/>
                <w:b w:val="1"/>
                <w:bCs w:val="1"/>
                <w:color w:val="0000EE"/>
              </w:rPr>
              <w:t xml:space="preserve"> U</w:t>
            </w:r>
            <w:r>
              <w:rPr>
                <w:rFonts w:ascii="Arial" w:cs="Arial" w:eastAsia="Arial" w:hAnsi="Arial"/>
                <w:sz w:val="15"/>
                <w:szCs w:val="15"/>
                <w:b w:val="1"/>
                <w:bCs w:val="1"/>
                <w:color w:val="0000EE"/>
              </w:rPr>
              <w:t>NIT</w:t>
            </w:r>
            <w:r>
              <w:rPr>
                <w:rFonts w:ascii="Arial" w:cs="Arial" w:eastAsia="Arial" w:hAnsi="Arial"/>
                <w:sz w:val="19"/>
                <w:szCs w:val="19"/>
                <w:b w:val="1"/>
                <w:bCs w:val="1"/>
                <w:color w:val="0000EE"/>
              </w:rPr>
              <w:t>”</w:t>
            </w:r>
          </w:p>
        </w:tc>
        <w:tc>
          <w:tcPr>
            <w:tcW w:w="3560" w:type="dxa"/>
            <w:vAlign w:val="bottom"/>
            <w:gridSpan w:val="10"/>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A-10</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2.37</w:t>
            </w:r>
          </w:p>
        </w:tc>
        <w:tc>
          <w:tcPr>
            <w:tcW w:w="8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9"/>
                <w:szCs w:val="19"/>
                <w:b w:val="1"/>
                <w:bCs w:val="1"/>
                <w:color w:val="0000EE"/>
              </w:rPr>
              <w:t>“P</w:t>
            </w:r>
            <w:r>
              <w:rPr>
                <w:rFonts w:ascii="Arial" w:cs="Arial" w:eastAsia="Arial" w:hAnsi="Arial"/>
                <w:sz w:val="15"/>
                <w:szCs w:val="15"/>
                <w:b w:val="1"/>
                <w:bCs w:val="1"/>
                <w:color w:val="0000EE"/>
              </w:rPr>
              <w:t>ERSON</w:t>
            </w:r>
            <w:r>
              <w:rPr>
                <w:rFonts w:ascii="Arial" w:cs="Arial" w:eastAsia="Arial" w:hAnsi="Arial"/>
                <w:sz w:val="19"/>
                <w:szCs w:val="19"/>
                <w:b w:val="1"/>
                <w:bCs w:val="1"/>
                <w:color w:val="0000EE"/>
              </w:rPr>
              <w:t>”</w:t>
            </w:r>
          </w:p>
        </w:tc>
        <w:tc>
          <w:tcPr>
            <w:tcW w:w="1000" w:type="dxa"/>
            <w:vAlign w:val="bottom"/>
            <w:tcBorders>
              <w:top w:val="single" w:sz="8" w:color="0000EE"/>
            </w:tcBorders>
            <w:gridSpan w:val="16"/>
          </w:tcPr>
          <w:p>
            <w:pPr>
              <w:spacing w:after="0"/>
              <w:rPr>
                <w:sz w:val="24"/>
                <w:szCs w:val="24"/>
                <w:color w:val="auto"/>
              </w:rPr>
            </w:pPr>
          </w:p>
        </w:tc>
        <w:tc>
          <w:tcPr>
            <w:tcW w:w="3740" w:type="dxa"/>
            <w:vAlign w:val="bottom"/>
            <w:gridSpan w:val="13"/>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A-10</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2.38</w:t>
            </w:r>
          </w:p>
        </w:tc>
        <w:tc>
          <w:tcPr>
            <w:tcW w:w="640" w:type="dxa"/>
            <w:vAlign w:val="bottom"/>
            <w:tcBorders>
              <w:bottom w:val="single" w:sz="8" w:color="0000EE"/>
            </w:tcBorders>
          </w:tcPr>
          <w:p>
            <w:pPr>
              <w:spacing w:after="0"/>
              <w:rPr>
                <w:sz w:val="20"/>
                <w:szCs w:val="20"/>
                <w:color w:val="auto"/>
              </w:rPr>
            </w:pPr>
            <w:r>
              <w:rPr>
                <w:rFonts w:ascii="Arial" w:cs="Arial" w:eastAsia="Arial" w:hAnsi="Arial"/>
                <w:sz w:val="19"/>
                <w:szCs w:val="19"/>
                <w:b w:val="1"/>
                <w:bCs w:val="1"/>
                <w:color w:val="0000EE"/>
                <w:w w:val="99"/>
              </w:rPr>
              <w:t>“P</w:t>
            </w:r>
            <w:r>
              <w:rPr>
                <w:rFonts w:ascii="Arial" w:cs="Arial" w:eastAsia="Arial" w:hAnsi="Arial"/>
                <w:sz w:val="15"/>
                <w:szCs w:val="15"/>
                <w:b w:val="1"/>
                <w:bCs w:val="1"/>
                <w:color w:val="0000EE"/>
                <w:w w:val="99"/>
              </w:rPr>
              <w:t>LAN</w:t>
            </w:r>
            <w:r>
              <w:rPr>
                <w:rFonts w:ascii="Arial" w:cs="Arial" w:eastAsia="Arial" w:hAnsi="Arial"/>
                <w:sz w:val="19"/>
                <w:szCs w:val="19"/>
                <w:b w:val="1"/>
                <w:bCs w:val="1"/>
                <w:color w:val="0000EE"/>
                <w:w w:val="99"/>
              </w:rPr>
              <w:t>”</w:t>
            </w:r>
          </w:p>
        </w:tc>
        <w:tc>
          <w:tcPr>
            <w:tcW w:w="4980" w:type="dxa"/>
            <w:vAlign w:val="bottom"/>
            <w:gridSpan w:val="31"/>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A-10</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2.39</w:t>
            </w:r>
          </w:p>
        </w:tc>
        <w:tc>
          <w:tcPr>
            <w:tcW w:w="1840" w:type="dxa"/>
            <w:vAlign w:val="bottom"/>
            <w:tcBorders>
              <w:bottom w:val="single" w:sz="8" w:color="0000EE"/>
            </w:tcBorders>
            <w:gridSpan w:val="18"/>
          </w:tcPr>
          <w:p>
            <w:pPr>
              <w:spacing w:after="0"/>
              <w:rPr>
                <w:sz w:val="20"/>
                <w:szCs w:val="20"/>
                <w:color w:val="auto"/>
              </w:rPr>
            </w:pPr>
            <w:r>
              <w:rPr>
                <w:rFonts w:ascii="Arial" w:cs="Arial" w:eastAsia="Arial" w:hAnsi="Arial"/>
                <w:sz w:val="19"/>
                <w:szCs w:val="19"/>
                <w:b w:val="1"/>
                <w:bCs w:val="1"/>
                <w:color w:val="0000EE"/>
              </w:rPr>
              <w:t>“R</w:t>
            </w:r>
            <w:r>
              <w:rPr>
                <w:rFonts w:ascii="Arial" w:cs="Arial" w:eastAsia="Arial" w:hAnsi="Arial"/>
                <w:sz w:val="15"/>
                <w:szCs w:val="15"/>
                <w:b w:val="1"/>
                <w:bCs w:val="1"/>
                <w:color w:val="0000EE"/>
              </w:rPr>
              <w:t>ESTRICTED</w:t>
            </w:r>
            <w:r>
              <w:rPr>
                <w:rFonts w:ascii="Arial" w:cs="Arial" w:eastAsia="Arial" w:hAnsi="Arial"/>
                <w:sz w:val="19"/>
                <w:szCs w:val="19"/>
                <w:b w:val="1"/>
                <w:bCs w:val="1"/>
                <w:color w:val="0000EE"/>
              </w:rPr>
              <w:t xml:space="preserve"> S</w:t>
            </w:r>
            <w:r>
              <w:rPr>
                <w:rFonts w:ascii="Arial" w:cs="Arial" w:eastAsia="Arial" w:hAnsi="Arial"/>
                <w:sz w:val="15"/>
                <w:szCs w:val="15"/>
                <w:b w:val="1"/>
                <w:bCs w:val="1"/>
                <w:color w:val="0000EE"/>
              </w:rPr>
              <w:t>TOCK</w:t>
            </w:r>
            <w:r>
              <w:rPr>
                <w:rFonts w:ascii="Arial" w:cs="Arial" w:eastAsia="Arial" w:hAnsi="Arial"/>
                <w:sz w:val="19"/>
                <w:szCs w:val="19"/>
                <w:b w:val="1"/>
                <w:bCs w:val="1"/>
                <w:color w:val="0000EE"/>
              </w:rPr>
              <w:t>”</w:t>
            </w:r>
          </w:p>
        </w:tc>
        <w:tc>
          <w:tcPr>
            <w:tcW w:w="3780" w:type="dxa"/>
            <w:vAlign w:val="bottom"/>
            <w:gridSpan w:val="14"/>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A-10</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2.40</w:t>
            </w:r>
          </w:p>
        </w:tc>
        <w:tc>
          <w:tcPr>
            <w:tcW w:w="1960" w:type="dxa"/>
            <w:vAlign w:val="bottom"/>
            <w:tcBorders>
              <w:bottom w:val="single" w:sz="8" w:color="0000EE"/>
            </w:tcBorders>
            <w:gridSpan w:val="20"/>
          </w:tcPr>
          <w:p>
            <w:pPr>
              <w:spacing w:after="0"/>
              <w:rPr>
                <w:sz w:val="20"/>
                <w:szCs w:val="20"/>
                <w:color w:val="auto"/>
              </w:rPr>
            </w:pPr>
            <w:r>
              <w:rPr>
                <w:rFonts w:ascii="Arial" w:cs="Arial" w:eastAsia="Arial" w:hAnsi="Arial"/>
                <w:sz w:val="19"/>
                <w:szCs w:val="19"/>
                <w:b w:val="1"/>
                <w:bCs w:val="1"/>
                <w:color w:val="0000EE"/>
              </w:rPr>
              <w:t>“R</w:t>
            </w:r>
            <w:r>
              <w:rPr>
                <w:rFonts w:ascii="Arial" w:cs="Arial" w:eastAsia="Arial" w:hAnsi="Arial"/>
                <w:sz w:val="15"/>
                <w:szCs w:val="15"/>
                <w:b w:val="1"/>
                <w:bCs w:val="1"/>
                <w:color w:val="0000EE"/>
              </w:rPr>
              <w:t>ESTRICTION</w:t>
            </w:r>
            <w:r>
              <w:rPr>
                <w:rFonts w:ascii="Arial" w:cs="Arial" w:eastAsia="Arial" w:hAnsi="Arial"/>
                <w:sz w:val="19"/>
                <w:szCs w:val="19"/>
                <w:b w:val="1"/>
                <w:bCs w:val="1"/>
                <w:color w:val="0000EE"/>
              </w:rPr>
              <w:t xml:space="preserve"> P</w:t>
            </w:r>
            <w:r>
              <w:rPr>
                <w:rFonts w:ascii="Arial" w:cs="Arial" w:eastAsia="Arial" w:hAnsi="Arial"/>
                <w:sz w:val="15"/>
                <w:szCs w:val="15"/>
                <w:b w:val="1"/>
                <w:bCs w:val="1"/>
                <w:color w:val="0000EE"/>
              </w:rPr>
              <w:t>ERIOD</w:t>
            </w:r>
            <w:r>
              <w:rPr>
                <w:rFonts w:ascii="Arial" w:cs="Arial" w:eastAsia="Arial" w:hAnsi="Arial"/>
                <w:sz w:val="19"/>
                <w:szCs w:val="19"/>
                <w:b w:val="1"/>
                <w:bCs w:val="1"/>
                <w:color w:val="0000EE"/>
              </w:rPr>
              <w:t>”</w:t>
            </w:r>
          </w:p>
        </w:tc>
        <w:tc>
          <w:tcPr>
            <w:tcW w:w="3660" w:type="dxa"/>
            <w:vAlign w:val="bottom"/>
            <w:gridSpan w:val="12"/>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A-10</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2.41</w:t>
            </w:r>
          </w:p>
        </w:tc>
        <w:tc>
          <w:tcPr>
            <w:tcW w:w="1200" w:type="dxa"/>
            <w:vAlign w:val="bottom"/>
            <w:tcBorders>
              <w:bottom w:val="single" w:sz="8" w:color="0000EE"/>
            </w:tcBorders>
            <w:gridSpan w:val="8"/>
          </w:tcPr>
          <w:p>
            <w:pPr>
              <w:spacing w:after="0"/>
              <w:rPr>
                <w:sz w:val="20"/>
                <w:szCs w:val="20"/>
                <w:color w:val="auto"/>
              </w:rPr>
            </w:pPr>
            <w:r>
              <w:rPr>
                <w:rFonts w:ascii="Arial" w:cs="Arial" w:eastAsia="Arial" w:hAnsi="Arial"/>
                <w:sz w:val="19"/>
                <w:szCs w:val="19"/>
                <w:b w:val="1"/>
                <w:bCs w:val="1"/>
                <w:color w:val="0000EE"/>
              </w:rPr>
              <w:t>“R</w:t>
            </w:r>
            <w:r>
              <w:rPr>
                <w:rFonts w:ascii="Arial" w:cs="Arial" w:eastAsia="Arial" w:hAnsi="Arial"/>
                <w:sz w:val="15"/>
                <w:szCs w:val="15"/>
                <w:b w:val="1"/>
                <w:bCs w:val="1"/>
                <w:color w:val="0000EE"/>
              </w:rPr>
              <w:t>ULE</w:t>
            </w:r>
            <w:r>
              <w:rPr>
                <w:rFonts w:ascii="Arial" w:cs="Arial" w:eastAsia="Arial" w:hAnsi="Arial"/>
                <w:sz w:val="19"/>
                <w:szCs w:val="19"/>
                <w:b w:val="1"/>
                <w:bCs w:val="1"/>
                <w:color w:val="0000EE"/>
              </w:rPr>
              <w:t xml:space="preserve"> 16</w:t>
            </w:r>
            <w:r>
              <w:rPr>
                <w:rFonts w:ascii="Arial" w:cs="Arial" w:eastAsia="Arial" w:hAnsi="Arial"/>
                <w:sz w:val="15"/>
                <w:szCs w:val="15"/>
                <w:b w:val="1"/>
                <w:bCs w:val="1"/>
                <w:color w:val="0000EE"/>
              </w:rPr>
              <w:t>B</w:t>
            </w:r>
            <w:r>
              <w:rPr>
                <w:rFonts w:ascii="Arial" w:cs="Arial" w:eastAsia="Arial" w:hAnsi="Arial"/>
                <w:sz w:val="19"/>
                <w:szCs w:val="19"/>
                <w:b w:val="1"/>
                <w:bCs w:val="1"/>
                <w:color w:val="0000EE"/>
              </w:rPr>
              <w:t>-3”</w:t>
            </w:r>
          </w:p>
        </w:tc>
        <w:tc>
          <w:tcPr>
            <w:tcW w:w="4420" w:type="dxa"/>
            <w:vAlign w:val="bottom"/>
            <w:gridSpan w:val="24"/>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A-10</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2.42</w:t>
            </w:r>
          </w:p>
        </w:tc>
        <w:tc>
          <w:tcPr>
            <w:tcW w:w="5620" w:type="dxa"/>
            <w:vAlign w:val="bottom"/>
            <w:gridSpan w:val="32"/>
          </w:tcPr>
          <w:p>
            <w:pPr>
              <w:spacing w:after="0"/>
              <w:rPr>
                <w:sz w:val="20"/>
                <w:szCs w:val="20"/>
                <w:color w:val="auto"/>
              </w:rPr>
            </w:pPr>
            <w:r>
              <w:rPr>
                <w:rFonts w:ascii="Arial" w:cs="Arial" w:eastAsia="Arial" w:hAnsi="Arial"/>
                <w:sz w:val="19"/>
                <w:szCs w:val="19"/>
                <w:b w:val="1"/>
                <w:bCs w:val="1"/>
                <w:color w:val="0000EE"/>
              </w:rPr>
              <w:t>“S</w:t>
            </w:r>
            <w:r>
              <w:rPr>
                <w:rFonts w:ascii="Arial" w:cs="Arial" w:eastAsia="Arial" w:hAnsi="Arial"/>
                <w:sz w:val="15"/>
                <w:szCs w:val="15"/>
                <w:b w:val="1"/>
                <w:bCs w:val="1"/>
                <w:color w:val="0000EE"/>
              </w:rPr>
              <w:t>ECTION</w:t>
            </w:r>
            <w:r>
              <w:rPr>
                <w:rFonts w:ascii="Arial" w:cs="Arial" w:eastAsia="Arial" w:hAnsi="Arial"/>
                <w:sz w:val="19"/>
                <w:szCs w:val="19"/>
                <w:b w:val="1"/>
                <w:bCs w:val="1"/>
                <w:color w:val="0000EE"/>
              </w:rPr>
              <w:t xml:space="preserve"> 4.2 E</w:t>
            </w:r>
            <w:r>
              <w:rPr>
                <w:rFonts w:ascii="Arial" w:cs="Arial" w:eastAsia="Arial" w:hAnsi="Arial"/>
                <w:sz w:val="15"/>
                <w:szCs w:val="15"/>
                <w:b w:val="1"/>
                <w:bCs w:val="1"/>
                <w:color w:val="0000EE"/>
              </w:rPr>
              <w:t>VENT</w:t>
            </w:r>
            <w:r>
              <w:rPr>
                <w:rFonts w:ascii="Arial" w:cs="Arial" w:eastAsia="Arial" w:hAnsi="Arial"/>
                <w:sz w:val="19"/>
                <w:szCs w:val="19"/>
                <w:b w:val="1"/>
                <w:bCs w:val="1"/>
                <w:color w:val="0000EE"/>
              </w:rPr>
              <w:t>”</w:t>
            </w: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A-10</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2.43</w:t>
            </w:r>
          </w:p>
        </w:tc>
        <w:tc>
          <w:tcPr>
            <w:tcW w:w="142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9"/>
                <w:szCs w:val="19"/>
                <w:b w:val="1"/>
                <w:bCs w:val="1"/>
                <w:color w:val="0000EE"/>
              </w:rPr>
              <w:t>“S</w:t>
            </w:r>
            <w:r>
              <w:rPr>
                <w:rFonts w:ascii="Arial" w:cs="Arial" w:eastAsia="Arial" w:hAnsi="Arial"/>
                <w:sz w:val="15"/>
                <w:szCs w:val="15"/>
                <w:b w:val="1"/>
                <w:bCs w:val="1"/>
                <w:color w:val="0000EE"/>
              </w:rPr>
              <w:t>ECTION</w:t>
            </w:r>
            <w:r>
              <w:rPr>
                <w:rFonts w:ascii="Arial" w:cs="Arial" w:eastAsia="Arial" w:hAnsi="Arial"/>
                <w:sz w:val="19"/>
                <w:szCs w:val="19"/>
                <w:b w:val="1"/>
                <w:bCs w:val="1"/>
                <w:color w:val="0000EE"/>
              </w:rPr>
              <w:t xml:space="preserve"> 409A”</w:t>
            </w:r>
          </w:p>
        </w:tc>
        <w:tc>
          <w:tcPr>
            <w:tcW w:w="400" w:type="dxa"/>
            <w:vAlign w:val="bottom"/>
            <w:tcBorders>
              <w:top w:val="single" w:sz="8" w:color="0000EE"/>
            </w:tcBorders>
            <w:gridSpan w:val="5"/>
          </w:tcPr>
          <w:p>
            <w:pPr>
              <w:spacing w:after="0"/>
              <w:rPr>
                <w:sz w:val="24"/>
                <w:szCs w:val="24"/>
                <w:color w:val="auto"/>
              </w:rPr>
            </w:pPr>
          </w:p>
        </w:tc>
        <w:tc>
          <w:tcPr>
            <w:tcW w:w="3800" w:type="dxa"/>
            <w:vAlign w:val="bottom"/>
            <w:gridSpan w:val="15"/>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A-10</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2.44</w:t>
            </w:r>
          </w:p>
        </w:tc>
        <w:tc>
          <w:tcPr>
            <w:tcW w:w="2940" w:type="dxa"/>
            <w:vAlign w:val="bottom"/>
            <w:tcBorders>
              <w:bottom w:val="single" w:sz="8" w:color="0000EE"/>
            </w:tcBorders>
            <w:gridSpan w:val="29"/>
          </w:tcPr>
          <w:p>
            <w:pPr>
              <w:spacing w:after="0"/>
              <w:rPr>
                <w:sz w:val="20"/>
                <w:szCs w:val="20"/>
                <w:color w:val="auto"/>
              </w:rPr>
            </w:pPr>
            <w:r>
              <w:rPr>
                <w:rFonts w:ascii="Arial" w:cs="Arial" w:eastAsia="Arial" w:hAnsi="Arial"/>
                <w:sz w:val="19"/>
                <w:szCs w:val="19"/>
                <w:b w:val="1"/>
                <w:bCs w:val="1"/>
                <w:color w:val="0000EE"/>
              </w:rPr>
              <w:t>“S</w:t>
            </w:r>
            <w:r>
              <w:rPr>
                <w:rFonts w:ascii="Arial" w:cs="Arial" w:eastAsia="Arial" w:hAnsi="Arial"/>
                <w:sz w:val="15"/>
                <w:szCs w:val="15"/>
                <w:b w:val="1"/>
                <w:bCs w:val="1"/>
                <w:color w:val="0000EE"/>
              </w:rPr>
              <w:t>ECTION</w:t>
            </w:r>
            <w:r>
              <w:rPr>
                <w:rFonts w:ascii="Arial" w:cs="Arial" w:eastAsia="Arial" w:hAnsi="Arial"/>
                <w:sz w:val="19"/>
                <w:szCs w:val="19"/>
                <w:b w:val="1"/>
                <w:bCs w:val="1"/>
                <w:color w:val="0000EE"/>
              </w:rPr>
              <w:t xml:space="preserve"> 409A C</w:t>
            </w:r>
            <w:r>
              <w:rPr>
                <w:rFonts w:ascii="Arial" w:cs="Arial" w:eastAsia="Arial" w:hAnsi="Arial"/>
                <w:sz w:val="15"/>
                <w:szCs w:val="15"/>
                <w:b w:val="1"/>
                <w:bCs w:val="1"/>
                <w:color w:val="0000EE"/>
              </w:rPr>
              <w:t>OVERED</w:t>
            </w:r>
            <w:r>
              <w:rPr>
                <w:rFonts w:ascii="Arial" w:cs="Arial" w:eastAsia="Arial" w:hAnsi="Arial"/>
                <w:sz w:val="19"/>
                <w:szCs w:val="19"/>
                <w:b w:val="1"/>
                <w:bCs w:val="1"/>
                <w:color w:val="0000EE"/>
              </w:rPr>
              <w:t xml:space="preserve"> A</w:t>
            </w:r>
            <w:r>
              <w:rPr>
                <w:rFonts w:ascii="Arial" w:cs="Arial" w:eastAsia="Arial" w:hAnsi="Arial"/>
                <w:sz w:val="15"/>
                <w:szCs w:val="15"/>
                <w:b w:val="1"/>
                <w:bCs w:val="1"/>
                <w:color w:val="0000EE"/>
              </w:rPr>
              <w:t>WARD</w:t>
            </w:r>
            <w:r>
              <w:rPr>
                <w:rFonts w:ascii="Arial" w:cs="Arial" w:eastAsia="Arial" w:hAnsi="Arial"/>
                <w:sz w:val="19"/>
                <w:szCs w:val="19"/>
                <w:b w:val="1"/>
                <w:bCs w:val="1"/>
                <w:color w:val="0000EE"/>
              </w:rPr>
              <w:t>”</w:t>
            </w:r>
          </w:p>
        </w:tc>
        <w:tc>
          <w:tcPr>
            <w:tcW w:w="2680" w:type="dxa"/>
            <w:vAlign w:val="bottom"/>
            <w:gridSpan w:val="3"/>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A-10</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2.45</w:t>
            </w:r>
          </w:p>
        </w:tc>
        <w:tc>
          <w:tcPr>
            <w:tcW w:w="1560" w:type="dxa"/>
            <w:vAlign w:val="bottom"/>
            <w:tcBorders>
              <w:bottom w:val="single" w:sz="8" w:color="0000EE"/>
            </w:tcBorders>
            <w:gridSpan w:val="14"/>
          </w:tcPr>
          <w:p>
            <w:pPr>
              <w:spacing w:after="0"/>
              <w:rPr>
                <w:sz w:val="20"/>
                <w:szCs w:val="20"/>
                <w:color w:val="auto"/>
              </w:rPr>
            </w:pPr>
            <w:r>
              <w:rPr>
                <w:rFonts w:ascii="Arial" w:cs="Arial" w:eastAsia="Arial" w:hAnsi="Arial"/>
                <w:sz w:val="19"/>
                <w:szCs w:val="19"/>
                <w:b w:val="1"/>
                <w:bCs w:val="1"/>
                <w:color w:val="0000EE"/>
              </w:rPr>
              <w:t>“S</w:t>
            </w:r>
            <w:r>
              <w:rPr>
                <w:rFonts w:ascii="Arial" w:cs="Arial" w:eastAsia="Arial" w:hAnsi="Arial"/>
                <w:sz w:val="15"/>
                <w:szCs w:val="15"/>
                <w:b w:val="1"/>
                <w:bCs w:val="1"/>
                <w:color w:val="0000EE"/>
              </w:rPr>
              <w:t>ECURITIES</w:t>
            </w:r>
            <w:r>
              <w:rPr>
                <w:rFonts w:ascii="Arial" w:cs="Arial" w:eastAsia="Arial" w:hAnsi="Arial"/>
                <w:sz w:val="19"/>
                <w:szCs w:val="19"/>
                <w:b w:val="1"/>
                <w:bCs w:val="1"/>
                <w:color w:val="0000EE"/>
              </w:rPr>
              <w:t xml:space="preserve"> A</w:t>
            </w:r>
            <w:r>
              <w:rPr>
                <w:rFonts w:ascii="Arial" w:cs="Arial" w:eastAsia="Arial" w:hAnsi="Arial"/>
                <w:sz w:val="15"/>
                <w:szCs w:val="15"/>
                <w:b w:val="1"/>
                <w:bCs w:val="1"/>
                <w:color w:val="0000EE"/>
              </w:rPr>
              <w:t>CT</w:t>
            </w:r>
            <w:r>
              <w:rPr>
                <w:rFonts w:ascii="Arial" w:cs="Arial" w:eastAsia="Arial" w:hAnsi="Arial"/>
                <w:sz w:val="19"/>
                <w:szCs w:val="19"/>
                <w:b w:val="1"/>
                <w:bCs w:val="1"/>
                <w:color w:val="0000EE"/>
              </w:rPr>
              <w:t>”</w:t>
            </w:r>
          </w:p>
        </w:tc>
        <w:tc>
          <w:tcPr>
            <w:tcW w:w="4060" w:type="dxa"/>
            <w:vAlign w:val="bottom"/>
            <w:gridSpan w:val="18"/>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A-10</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2.46</w:t>
            </w:r>
          </w:p>
        </w:tc>
        <w:tc>
          <w:tcPr>
            <w:tcW w:w="1440" w:type="dxa"/>
            <w:vAlign w:val="bottom"/>
            <w:tcBorders>
              <w:bottom w:val="single" w:sz="8" w:color="0000EE"/>
            </w:tcBorders>
            <w:gridSpan w:val="13"/>
          </w:tcPr>
          <w:p>
            <w:pPr>
              <w:spacing w:after="0"/>
              <w:rPr>
                <w:sz w:val="20"/>
                <w:szCs w:val="20"/>
                <w:color w:val="auto"/>
              </w:rPr>
            </w:pPr>
            <w:r>
              <w:rPr>
                <w:rFonts w:ascii="Arial" w:cs="Arial" w:eastAsia="Arial" w:hAnsi="Arial"/>
                <w:sz w:val="19"/>
                <w:szCs w:val="19"/>
                <w:b w:val="1"/>
                <w:bCs w:val="1"/>
                <w:color w:val="0000EE"/>
              </w:rPr>
              <w:t>“S</w:t>
            </w:r>
            <w:r>
              <w:rPr>
                <w:rFonts w:ascii="Arial" w:cs="Arial" w:eastAsia="Arial" w:hAnsi="Arial"/>
                <w:sz w:val="15"/>
                <w:szCs w:val="15"/>
                <w:b w:val="1"/>
                <w:bCs w:val="1"/>
                <w:color w:val="0000EE"/>
              </w:rPr>
              <w:t>TOCK</w:t>
            </w:r>
            <w:r>
              <w:rPr>
                <w:rFonts w:ascii="Arial" w:cs="Arial" w:eastAsia="Arial" w:hAnsi="Arial"/>
                <w:sz w:val="19"/>
                <w:szCs w:val="19"/>
                <w:b w:val="1"/>
                <w:bCs w:val="1"/>
                <w:color w:val="0000EE"/>
              </w:rPr>
              <w:t xml:space="preserve"> O</w:t>
            </w:r>
            <w:r>
              <w:rPr>
                <w:rFonts w:ascii="Arial" w:cs="Arial" w:eastAsia="Arial" w:hAnsi="Arial"/>
                <w:sz w:val="15"/>
                <w:szCs w:val="15"/>
                <w:b w:val="1"/>
                <w:bCs w:val="1"/>
                <w:color w:val="0000EE"/>
              </w:rPr>
              <w:t>PTION</w:t>
            </w:r>
            <w:r>
              <w:rPr>
                <w:rFonts w:ascii="Arial" w:cs="Arial" w:eastAsia="Arial" w:hAnsi="Arial"/>
                <w:sz w:val="19"/>
                <w:szCs w:val="19"/>
                <w:b w:val="1"/>
                <w:bCs w:val="1"/>
                <w:color w:val="0000EE"/>
              </w:rPr>
              <w:t>”</w:t>
            </w:r>
          </w:p>
        </w:tc>
        <w:tc>
          <w:tcPr>
            <w:tcW w:w="4180" w:type="dxa"/>
            <w:vAlign w:val="bottom"/>
            <w:gridSpan w:val="19"/>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A-10</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2.47</w:t>
            </w:r>
          </w:p>
        </w:tc>
        <w:tc>
          <w:tcPr>
            <w:tcW w:w="1180" w:type="dxa"/>
            <w:vAlign w:val="bottom"/>
            <w:tcBorders>
              <w:bottom w:val="single" w:sz="8" w:color="0000EE"/>
            </w:tcBorders>
            <w:gridSpan w:val="7"/>
          </w:tcPr>
          <w:p>
            <w:pPr>
              <w:spacing w:after="0"/>
              <w:rPr>
                <w:sz w:val="20"/>
                <w:szCs w:val="20"/>
                <w:color w:val="auto"/>
              </w:rPr>
            </w:pPr>
            <w:r>
              <w:rPr>
                <w:rFonts w:ascii="Arial" w:cs="Arial" w:eastAsia="Arial" w:hAnsi="Arial"/>
                <w:sz w:val="19"/>
                <w:szCs w:val="19"/>
                <w:b w:val="1"/>
                <w:bCs w:val="1"/>
                <w:color w:val="0000EE"/>
              </w:rPr>
              <w:t>“S</w:t>
            </w:r>
            <w:r>
              <w:rPr>
                <w:rFonts w:ascii="Arial" w:cs="Arial" w:eastAsia="Arial" w:hAnsi="Arial"/>
                <w:sz w:val="15"/>
                <w:szCs w:val="15"/>
                <w:b w:val="1"/>
                <w:bCs w:val="1"/>
                <w:color w:val="0000EE"/>
              </w:rPr>
              <w:t>UBSIDIARY</w:t>
            </w:r>
            <w:r>
              <w:rPr>
                <w:rFonts w:ascii="Arial" w:cs="Arial" w:eastAsia="Arial" w:hAnsi="Arial"/>
                <w:sz w:val="19"/>
                <w:szCs w:val="19"/>
                <w:b w:val="1"/>
                <w:bCs w:val="1"/>
                <w:color w:val="0000EE"/>
              </w:rPr>
              <w:t>”</w:t>
            </w:r>
          </w:p>
        </w:tc>
        <w:tc>
          <w:tcPr>
            <w:tcW w:w="4440" w:type="dxa"/>
            <w:vAlign w:val="bottom"/>
            <w:gridSpan w:val="25"/>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A-11</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2.48</w:t>
            </w:r>
          </w:p>
        </w:tc>
        <w:tc>
          <w:tcPr>
            <w:tcW w:w="2640" w:type="dxa"/>
            <w:vAlign w:val="bottom"/>
            <w:tcBorders>
              <w:bottom w:val="single" w:sz="8" w:color="0000EE"/>
            </w:tcBorders>
            <w:gridSpan w:val="25"/>
          </w:tcPr>
          <w:p>
            <w:pPr>
              <w:spacing w:after="0"/>
              <w:rPr>
                <w:sz w:val="20"/>
                <w:szCs w:val="20"/>
                <w:color w:val="auto"/>
              </w:rPr>
            </w:pPr>
            <w:r>
              <w:rPr>
                <w:rFonts w:ascii="Arial" w:cs="Arial" w:eastAsia="Arial" w:hAnsi="Arial"/>
                <w:sz w:val="19"/>
                <w:szCs w:val="19"/>
                <w:b w:val="1"/>
                <w:bCs w:val="1"/>
                <w:color w:val="0000EE"/>
              </w:rPr>
              <w:t>“T</w:t>
            </w:r>
            <w:r>
              <w:rPr>
                <w:rFonts w:ascii="Arial" w:cs="Arial" w:eastAsia="Arial" w:hAnsi="Arial"/>
                <w:sz w:val="15"/>
                <w:szCs w:val="15"/>
                <w:b w:val="1"/>
                <w:bCs w:val="1"/>
                <w:color w:val="0000EE"/>
              </w:rPr>
              <w:t>EN</w:t>
            </w:r>
            <w:r>
              <w:rPr>
                <w:rFonts w:ascii="Arial" w:cs="Arial" w:eastAsia="Arial" w:hAnsi="Arial"/>
                <w:sz w:val="19"/>
                <w:szCs w:val="19"/>
                <w:b w:val="1"/>
                <w:bCs w:val="1"/>
                <w:color w:val="0000EE"/>
              </w:rPr>
              <w:t xml:space="preserve"> P</w:t>
            </w:r>
            <w:r>
              <w:rPr>
                <w:rFonts w:ascii="Arial" w:cs="Arial" w:eastAsia="Arial" w:hAnsi="Arial"/>
                <w:sz w:val="15"/>
                <w:szCs w:val="15"/>
                <w:b w:val="1"/>
                <w:bCs w:val="1"/>
                <w:color w:val="0000EE"/>
              </w:rPr>
              <w:t>ERCENT</w:t>
            </w:r>
            <w:r>
              <w:rPr>
                <w:rFonts w:ascii="Arial" w:cs="Arial" w:eastAsia="Arial" w:hAnsi="Arial"/>
                <w:sz w:val="19"/>
                <w:szCs w:val="19"/>
                <w:b w:val="1"/>
                <w:bCs w:val="1"/>
                <w:color w:val="0000EE"/>
              </w:rPr>
              <w:t xml:space="preserve"> S</w:t>
            </w:r>
            <w:r>
              <w:rPr>
                <w:rFonts w:ascii="Arial" w:cs="Arial" w:eastAsia="Arial" w:hAnsi="Arial"/>
                <w:sz w:val="15"/>
                <w:szCs w:val="15"/>
                <w:b w:val="1"/>
                <w:bCs w:val="1"/>
                <w:color w:val="0000EE"/>
              </w:rPr>
              <w:t>TOCKHOLDER</w:t>
            </w:r>
            <w:r>
              <w:rPr>
                <w:rFonts w:ascii="Arial" w:cs="Arial" w:eastAsia="Arial" w:hAnsi="Arial"/>
                <w:sz w:val="19"/>
                <w:szCs w:val="19"/>
                <w:b w:val="1"/>
                <w:bCs w:val="1"/>
                <w:color w:val="0000EE"/>
              </w:rPr>
              <w:t>”</w:t>
            </w:r>
          </w:p>
        </w:tc>
        <w:tc>
          <w:tcPr>
            <w:tcW w:w="2980" w:type="dxa"/>
            <w:vAlign w:val="bottom"/>
            <w:gridSpan w:val="7"/>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A-11</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2.49</w:t>
            </w:r>
          </w:p>
        </w:tc>
        <w:tc>
          <w:tcPr>
            <w:tcW w:w="1300" w:type="dxa"/>
            <w:vAlign w:val="bottom"/>
            <w:tcBorders>
              <w:bottom w:val="single" w:sz="8" w:color="0000EE"/>
            </w:tcBorders>
            <w:gridSpan w:val="10"/>
          </w:tcPr>
          <w:p>
            <w:pPr>
              <w:spacing w:after="0"/>
              <w:rPr>
                <w:sz w:val="20"/>
                <w:szCs w:val="20"/>
                <w:color w:val="auto"/>
              </w:rPr>
            </w:pPr>
            <w:r>
              <w:rPr>
                <w:rFonts w:ascii="Arial" w:cs="Arial" w:eastAsia="Arial" w:hAnsi="Arial"/>
                <w:sz w:val="19"/>
                <w:szCs w:val="19"/>
                <w:b w:val="1"/>
                <w:bCs w:val="1"/>
                <w:color w:val="0000EE"/>
              </w:rPr>
              <w:t>“T</w:t>
            </w:r>
            <w:r>
              <w:rPr>
                <w:rFonts w:ascii="Arial" w:cs="Arial" w:eastAsia="Arial" w:hAnsi="Arial"/>
                <w:sz w:val="15"/>
                <w:szCs w:val="15"/>
                <w:b w:val="1"/>
                <w:bCs w:val="1"/>
                <w:color w:val="0000EE"/>
              </w:rPr>
              <w:t>ERMINATION</w:t>
            </w:r>
            <w:r>
              <w:rPr>
                <w:rFonts w:ascii="Arial" w:cs="Arial" w:eastAsia="Arial" w:hAnsi="Arial"/>
                <w:sz w:val="19"/>
                <w:szCs w:val="19"/>
                <w:b w:val="1"/>
                <w:bCs w:val="1"/>
                <w:color w:val="0000EE"/>
              </w:rPr>
              <w:t>”</w:t>
            </w:r>
          </w:p>
        </w:tc>
        <w:tc>
          <w:tcPr>
            <w:tcW w:w="4320" w:type="dxa"/>
            <w:vAlign w:val="bottom"/>
            <w:gridSpan w:val="22"/>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A-11</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2.50</w:t>
            </w:r>
          </w:p>
        </w:tc>
        <w:tc>
          <w:tcPr>
            <w:tcW w:w="2820" w:type="dxa"/>
            <w:vAlign w:val="bottom"/>
            <w:tcBorders>
              <w:bottom w:val="single" w:sz="8" w:color="0000EE"/>
            </w:tcBorders>
            <w:gridSpan w:val="28"/>
          </w:tcPr>
          <w:p>
            <w:pPr>
              <w:spacing w:after="0"/>
              <w:rPr>
                <w:sz w:val="20"/>
                <w:szCs w:val="20"/>
                <w:color w:val="auto"/>
              </w:rPr>
            </w:pPr>
            <w:r>
              <w:rPr>
                <w:rFonts w:ascii="Arial" w:cs="Arial" w:eastAsia="Arial" w:hAnsi="Arial"/>
                <w:sz w:val="19"/>
                <w:szCs w:val="19"/>
                <w:b w:val="1"/>
                <w:bCs w:val="1"/>
                <w:color w:val="0000EE"/>
              </w:rPr>
              <w:t>“T</w:t>
            </w:r>
            <w:r>
              <w:rPr>
                <w:rFonts w:ascii="Arial" w:cs="Arial" w:eastAsia="Arial" w:hAnsi="Arial"/>
                <w:sz w:val="15"/>
                <w:szCs w:val="15"/>
                <w:b w:val="1"/>
                <w:bCs w:val="1"/>
                <w:color w:val="0000EE"/>
              </w:rPr>
              <w:t>ERMINATION OF</w:t>
            </w:r>
            <w:r>
              <w:rPr>
                <w:rFonts w:ascii="Arial" w:cs="Arial" w:eastAsia="Arial" w:hAnsi="Arial"/>
                <w:sz w:val="19"/>
                <w:szCs w:val="19"/>
                <w:b w:val="1"/>
                <w:bCs w:val="1"/>
                <w:color w:val="0000EE"/>
              </w:rPr>
              <w:t xml:space="preserve"> C</w:t>
            </w:r>
            <w:r>
              <w:rPr>
                <w:rFonts w:ascii="Arial" w:cs="Arial" w:eastAsia="Arial" w:hAnsi="Arial"/>
                <w:sz w:val="15"/>
                <w:szCs w:val="15"/>
                <w:b w:val="1"/>
                <w:bCs w:val="1"/>
                <w:color w:val="0000EE"/>
              </w:rPr>
              <w:t>ONSULTANCY</w:t>
            </w:r>
            <w:r>
              <w:rPr>
                <w:rFonts w:ascii="Arial" w:cs="Arial" w:eastAsia="Arial" w:hAnsi="Arial"/>
                <w:sz w:val="19"/>
                <w:szCs w:val="19"/>
                <w:b w:val="1"/>
                <w:bCs w:val="1"/>
                <w:color w:val="0000EE"/>
              </w:rPr>
              <w:t>”</w:t>
            </w:r>
          </w:p>
        </w:tc>
        <w:tc>
          <w:tcPr>
            <w:tcW w:w="2800" w:type="dxa"/>
            <w:vAlign w:val="bottom"/>
            <w:gridSpan w:val="4"/>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A-11</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2.51</w:t>
            </w:r>
          </w:p>
        </w:tc>
        <w:tc>
          <w:tcPr>
            <w:tcW w:w="5620" w:type="dxa"/>
            <w:vAlign w:val="bottom"/>
            <w:gridSpan w:val="32"/>
          </w:tcPr>
          <w:p>
            <w:pPr>
              <w:spacing w:after="0"/>
              <w:rPr>
                <w:sz w:val="20"/>
                <w:szCs w:val="20"/>
                <w:color w:val="auto"/>
              </w:rPr>
            </w:pPr>
            <w:r>
              <w:rPr>
                <w:rFonts w:ascii="Arial" w:cs="Arial" w:eastAsia="Arial" w:hAnsi="Arial"/>
                <w:sz w:val="19"/>
                <w:szCs w:val="19"/>
                <w:b w:val="1"/>
                <w:bCs w:val="1"/>
                <w:color w:val="0000EE"/>
              </w:rPr>
              <w:t>“T</w:t>
            </w:r>
            <w:r>
              <w:rPr>
                <w:rFonts w:ascii="Arial" w:cs="Arial" w:eastAsia="Arial" w:hAnsi="Arial"/>
                <w:sz w:val="15"/>
                <w:szCs w:val="15"/>
                <w:b w:val="1"/>
                <w:bCs w:val="1"/>
                <w:color w:val="0000EE"/>
              </w:rPr>
              <w:t>ERMINATION OF</w:t>
            </w:r>
            <w:r>
              <w:rPr>
                <w:rFonts w:ascii="Arial" w:cs="Arial" w:eastAsia="Arial" w:hAnsi="Arial"/>
                <w:sz w:val="19"/>
                <w:szCs w:val="19"/>
                <w:b w:val="1"/>
                <w:bCs w:val="1"/>
                <w:color w:val="0000EE"/>
              </w:rPr>
              <w:t xml:space="preserve"> D</w:t>
            </w:r>
            <w:r>
              <w:rPr>
                <w:rFonts w:ascii="Arial" w:cs="Arial" w:eastAsia="Arial" w:hAnsi="Arial"/>
                <w:sz w:val="15"/>
                <w:szCs w:val="15"/>
                <w:b w:val="1"/>
                <w:bCs w:val="1"/>
                <w:color w:val="0000EE"/>
              </w:rPr>
              <w:t>IRECTORSHIP</w:t>
            </w:r>
            <w:r>
              <w:rPr>
                <w:rFonts w:ascii="Arial" w:cs="Arial" w:eastAsia="Arial" w:hAnsi="Arial"/>
                <w:sz w:val="19"/>
                <w:szCs w:val="19"/>
                <w:b w:val="1"/>
                <w:bCs w:val="1"/>
                <w:color w:val="0000EE"/>
              </w:rPr>
              <w:t>”</w:t>
            </w: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A-11</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2.52</w:t>
            </w:r>
          </w:p>
        </w:tc>
        <w:tc>
          <w:tcPr>
            <w:tcW w:w="2820" w:type="dxa"/>
            <w:vAlign w:val="bottom"/>
            <w:tcBorders>
              <w:top w:val="single" w:sz="8" w:color="0000EE"/>
            </w:tcBorders>
            <w:gridSpan w:val="28"/>
          </w:tcPr>
          <w:p>
            <w:pPr>
              <w:spacing w:after="0"/>
              <w:rPr>
                <w:sz w:val="20"/>
                <w:szCs w:val="20"/>
                <w:color w:val="auto"/>
              </w:rPr>
            </w:pPr>
            <w:r>
              <w:rPr>
                <w:rFonts w:ascii="Arial" w:cs="Arial" w:eastAsia="Arial" w:hAnsi="Arial"/>
                <w:sz w:val="19"/>
                <w:szCs w:val="19"/>
                <w:b w:val="1"/>
                <w:bCs w:val="1"/>
                <w:color w:val="0000EE"/>
              </w:rPr>
              <w:t>“T</w:t>
            </w:r>
            <w:r>
              <w:rPr>
                <w:rFonts w:ascii="Arial" w:cs="Arial" w:eastAsia="Arial" w:hAnsi="Arial"/>
                <w:sz w:val="15"/>
                <w:szCs w:val="15"/>
                <w:b w:val="1"/>
                <w:bCs w:val="1"/>
                <w:color w:val="0000EE"/>
              </w:rPr>
              <w:t>ERMINATION OF</w:t>
            </w:r>
            <w:r>
              <w:rPr>
                <w:rFonts w:ascii="Arial" w:cs="Arial" w:eastAsia="Arial" w:hAnsi="Arial"/>
                <w:sz w:val="19"/>
                <w:szCs w:val="19"/>
                <w:b w:val="1"/>
                <w:bCs w:val="1"/>
                <w:color w:val="0000EE"/>
              </w:rPr>
              <w:t xml:space="preserve"> E</w:t>
            </w:r>
            <w:r>
              <w:rPr>
                <w:rFonts w:ascii="Arial" w:cs="Arial" w:eastAsia="Arial" w:hAnsi="Arial"/>
                <w:sz w:val="15"/>
                <w:szCs w:val="15"/>
                <w:b w:val="1"/>
                <w:bCs w:val="1"/>
                <w:color w:val="0000EE"/>
              </w:rPr>
              <w:t>MPLOYMENT</w:t>
            </w:r>
            <w:r>
              <w:rPr>
                <w:rFonts w:ascii="Arial" w:cs="Arial" w:eastAsia="Arial" w:hAnsi="Arial"/>
                <w:sz w:val="19"/>
                <w:szCs w:val="19"/>
                <w:b w:val="1"/>
                <w:bCs w:val="1"/>
                <w:color w:val="0000EE"/>
              </w:rPr>
              <w:t>”</w:t>
            </w:r>
          </w:p>
        </w:tc>
        <w:tc>
          <w:tcPr>
            <w:tcW w:w="2800" w:type="dxa"/>
            <w:vAlign w:val="bottom"/>
            <w:gridSpan w:val="4"/>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A-11</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2.53</w:t>
            </w:r>
          </w:p>
        </w:tc>
        <w:tc>
          <w:tcPr>
            <w:tcW w:w="2740" w:type="dxa"/>
            <w:vAlign w:val="bottom"/>
            <w:tcBorders>
              <w:top w:val="single" w:sz="8" w:color="0000EE"/>
            </w:tcBorders>
            <w:gridSpan w:val="27"/>
          </w:tcPr>
          <w:p>
            <w:pPr>
              <w:spacing w:after="0"/>
              <w:rPr>
                <w:sz w:val="20"/>
                <w:szCs w:val="20"/>
                <w:color w:val="auto"/>
              </w:rPr>
            </w:pPr>
            <w:r>
              <w:rPr>
                <w:rFonts w:ascii="Arial" w:cs="Arial" w:eastAsia="Arial" w:hAnsi="Arial"/>
                <w:sz w:val="19"/>
                <w:szCs w:val="19"/>
                <w:b w:val="1"/>
                <w:bCs w:val="1"/>
                <w:color w:val="0000EE"/>
              </w:rPr>
              <w:t>“T</w:t>
            </w:r>
            <w:r>
              <w:rPr>
                <w:rFonts w:ascii="Arial" w:cs="Arial" w:eastAsia="Arial" w:hAnsi="Arial"/>
                <w:sz w:val="15"/>
                <w:szCs w:val="15"/>
                <w:b w:val="1"/>
                <w:bCs w:val="1"/>
                <w:color w:val="0000EE"/>
              </w:rPr>
              <w:t>RANSFER</w:t>
            </w:r>
            <w:r>
              <w:rPr>
                <w:rFonts w:ascii="Arial" w:cs="Arial" w:eastAsia="Arial" w:hAnsi="Arial"/>
                <w:sz w:val="19"/>
                <w:szCs w:val="19"/>
                <w:b w:val="1"/>
                <w:bCs w:val="1"/>
                <w:color w:val="0000EE"/>
              </w:rPr>
              <w:t>”</w:t>
            </w:r>
          </w:p>
        </w:tc>
        <w:tc>
          <w:tcPr>
            <w:tcW w:w="2880" w:type="dxa"/>
            <w:vAlign w:val="bottom"/>
            <w:gridSpan w:val="5"/>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A-11</w:t>
            </w:r>
          </w:p>
        </w:tc>
      </w:tr>
      <w:tr>
        <w:trPr>
          <w:trHeight w:val="20"/>
        </w:trPr>
        <w:tc>
          <w:tcPr>
            <w:tcW w:w="98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331"/>
        </w:trPr>
        <w:tc>
          <w:tcPr>
            <w:tcW w:w="6600" w:type="dxa"/>
            <w:vAlign w:val="bottom"/>
            <w:gridSpan w:val="33"/>
          </w:tcPr>
          <w:p>
            <w:pPr>
              <w:spacing w:after="0"/>
              <w:rPr>
                <w:sz w:val="20"/>
                <w:szCs w:val="20"/>
                <w:color w:val="auto"/>
              </w:rPr>
            </w:pPr>
            <w:r>
              <w:rPr>
                <w:rFonts w:ascii="Arial" w:cs="Arial" w:eastAsia="Arial" w:hAnsi="Arial"/>
                <w:sz w:val="19"/>
                <w:szCs w:val="19"/>
                <w:b w:val="1"/>
                <w:bCs w:val="1"/>
                <w:color w:val="0000EE"/>
              </w:rPr>
              <w:t>ARTICLE III ADMINISTRATION</w:t>
            </w: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A-12</w:t>
            </w:r>
          </w:p>
        </w:tc>
      </w:tr>
      <w:tr>
        <w:trPr>
          <w:trHeight w:val="331"/>
        </w:trPr>
        <w:tc>
          <w:tcPr>
            <w:tcW w:w="980" w:type="dxa"/>
            <w:vAlign w:val="bottom"/>
            <w:tcBorders>
              <w:top w:val="single" w:sz="8" w:color="0000EE"/>
            </w:tcBorders>
          </w:tcPr>
          <w:p>
            <w:pPr>
              <w:ind w:left="280"/>
              <w:spacing w:after="0"/>
              <w:rPr>
                <w:sz w:val="20"/>
                <w:szCs w:val="20"/>
                <w:color w:val="auto"/>
              </w:rPr>
            </w:pPr>
            <w:r>
              <w:rPr>
                <w:rFonts w:ascii="Arial" w:cs="Arial" w:eastAsia="Arial" w:hAnsi="Arial"/>
                <w:sz w:val="19"/>
                <w:szCs w:val="19"/>
                <w:b w:val="1"/>
                <w:bCs w:val="1"/>
                <w:color w:val="auto"/>
              </w:rPr>
              <w:t>3.1</w:t>
            </w:r>
          </w:p>
        </w:tc>
        <w:tc>
          <w:tcPr>
            <w:tcW w:w="136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9"/>
                <w:szCs w:val="19"/>
                <w:b w:val="1"/>
                <w:bCs w:val="1"/>
                <w:color w:val="0000EE"/>
              </w:rPr>
              <w:t>T</w:t>
            </w:r>
            <w:r>
              <w:rPr>
                <w:rFonts w:ascii="Arial" w:cs="Arial" w:eastAsia="Arial" w:hAnsi="Arial"/>
                <w:sz w:val="15"/>
                <w:szCs w:val="15"/>
                <w:b w:val="1"/>
                <w:bCs w:val="1"/>
                <w:color w:val="0000EE"/>
              </w:rPr>
              <w:t>HE</w:t>
            </w:r>
            <w:r>
              <w:rPr>
                <w:rFonts w:ascii="Arial" w:cs="Arial" w:eastAsia="Arial" w:hAnsi="Arial"/>
                <w:sz w:val="19"/>
                <w:szCs w:val="19"/>
                <w:b w:val="1"/>
                <w:bCs w:val="1"/>
                <w:color w:val="0000EE"/>
              </w:rPr>
              <w:t xml:space="preserve"> C</w:t>
            </w:r>
            <w:r>
              <w:rPr>
                <w:rFonts w:ascii="Arial" w:cs="Arial" w:eastAsia="Arial" w:hAnsi="Arial"/>
                <w:sz w:val="15"/>
                <w:szCs w:val="15"/>
                <w:b w:val="1"/>
                <w:bCs w:val="1"/>
                <w:color w:val="0000EE"/>
              </w:rPr>
              <w:t>OMMITTEE</w:t>
            </w:r>
          </w:p>
        </w:tc>
        <w:tc>
          <w:tcPr>
            <w:tcW w:w="360" w:type="dxa"/>
            <w:vAlign w:val="bottom"/>
            <w:tcBorders>
              <w:top w:val="single" w:sz="8" w:color="0000EE"/>
            </w:tcBorders>
            <w:gridSpan w:val="4"/>
          </w:tcPr>
          <w:p>
            <w:pPr>
              <w:spacing w:after="0"/>
              <w:rPr>
                <w:sz w:val="24"/>
                <w:szCs w:val="24"/>
                <w:color w:val="auto"/>
              </w:rPr>
            </w:pPr>
          </w:p>
        </w:tc>
        <w:tc>
          <w:tcPr>
            <w:tcW w:w="3900" w:type="dxa"/>
            <w:vAlign w:val="bottom"/>
            <w:gridSpan w:val="17"/>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A-12</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3.2</w:t>
            </w:r>
          </w:p>
        </w:tc>
        <w:tc>
          <w:tcPr>
            <w:tcW w:w="3500" w:type="dxa"/>
            <w:vAlign w:val="bottom"/>
            <w:tcBorders>
              <w:bottom w:val="single" w:sz="8" w:color="0000EE"/>
            </w:tcBorders>
            <w:gridSpan w:val="31"/>
          </w:tcPr>
          <w:p>
            <w:pPr>
              <w:spacing w:after="0"/>
              <w:rPr>
                <w:sz w:val="20"/>
                <w:szCs w:val="20"/>
                <w:color w:val="auto"/>
              </w:rPr>
            </w:pPr>
            <w:r>
              <w:rPr>
                <w:rFonts w:ascii="Arial" w:cs="Arial" w:eastAsia="Arial" w:hAnsi="Arial"/>
                <w:sz w:val="19"/>
                <w:szCs w:val="19"/>
                <w:b w:val="1"/>
                <w:bCs w:val="1"/>
                <w:color w:val="0000EE"/>
              </w:rPr>
              <w:t>G</w:t>
            </w:r>
            <w:r>
              <w:rPr>
                <w:rFonts w:ascii="Arial" w:cs="Arial" w:eastAsia="Arial" w:hAnsi="Arial"/>
                <w:sz w:val="15"/>
                <w:szCs w:val="15"/>
                <w:b w:val="1"/>
                <w:bCs w:val="1"/>
                <w:color w:val="0000EE"/>
              </w:rPr>
              <w:t>RANT</w:t>
            </w:r>
            <w:r>
              <w:rPr>
                <w:rFonts w:ascii="Arial" w:cs="Arial" w:eastAsia="Arial" w:hAnsi="Arial"/>
                <w:sz w:val="19"/>
                <w:szCs w:val="19"/>
                <w:b w:val="1"/>
                <w:bCs w:val="1"/>
                <w:color w:val="0000EE"/>
              </w:rPr>
              <w:t xml:space="preserve"> A</w:t>
            </w:r>
            <w:r>
              <w:rPr>
                <w:rFonts w:ascii="Arial" w:cs="Arial" w:eastAsia="Arial" w:hAnsi="Arial"/>
                <w:sz w:val="15"/>
                <w:szCs w:val="15"/>
                <w:b w:val="1"/>
                <w:bCs w:val="1"/>
                <w:color w:val="0000EE"/>
              </w:rPr>
              <w:t>ND</w:t>
            </w:r>
            <w:r>
              <w:rPr>
                <w:rFonts w:ascii="Arial" w:cs="Arial" w:eastAsia="Arial" w:hAnsi="Arial"/>
                <w:sz w:val="19"/>
                <w:szCs w:val="19"/>
                <w:b w:val="1"/>
                <w:bCs w:val="1"/>
                <w:color w:val="0000EE"/>
              </w:rPr>
              <w:t xml:space="preserve"> A</w:t>
            </w:r>
            <w:r>
              <w:rPr>
                <w:rFonts w:ascii="Arial" w:cs="Arial" w:eastAsia="Arial" w:hAnsi="Arial"/>
                <w:sz w:val="15"/>
                <w:szCs w:val="15"/>
                <w:b w:val="1"/>
                <w:bCs w:val="1"/>
                <w:color w:val="0000EE"/>
              </w:rPr>
              <w:t>DMINISTRATION</w:t>
            </w:r>
            <w:r>
              <w:rPr>
                <w:rFonts w:ascii="Arial" w:cs="Arial" w:eastAsia="Arial" w:hAnsi="Arial"/>
                <w:sz w:val="19"/>
                <w:szCs w:val="19"/>
                <w:b w:val="1"/>
                <w:bCs w:val="1"/>
                <w:color w:val="0000EE"/>
              </w:rPr>
              <w:t xml:space="preserve"> O</w:t>
            </w:r>
            <w:r>
              <w:rPr>
                <w:rFonts w:ascii="Arial" w:cs="Arial" w:eastAsia="Arial" w:hAnsi="Arial"/>
                <w:sz w:val="15"/>
                <w:szCs w:val="15"/>
                <w:b w:val="1"/>
                <w:bCs w:val="1"/>
                <w:color w:val="0000EE"/>
              </w:rPr>
              <w:t>F</w:t>
            </w:r>
            <w:r>
              <w:rPr>
                <w:rFonts w:ascii="Arial" w:cs="Arial" w:eastAsia="Arial" w:hAnsi="Arial"/>
                <w:sz w:val="19"/>
                <w:szCs w:val="19"/>
                <w:b w:val="1"/>
                <w:bCs w:val="1"/>
                <w:color w:val="0000EE"/>
              </w:rPr>
              <w:t xml:space="preserve"> A</w:t>
            </w:r>
            <w:r>
              <w:rPr>
                <w:rFonts w:ascii="Arial" w:cs="Arial" w:eastAsia="Arial" w:hAnsi="Arial"/>
                <w:sz w:val="15"/>
                <w:szCs w:val="15"/>
                <w:b w:val="1"/>
                <w:bCs w:val="1"/>
                <w:color w:val="0000EE"/>
              </w:rPr>
              <w:t>WARDS</w:t>
            </w:r>
          </w:p>
        </w:tc>
        <w:tc>
          <w:tcPr>
            <w:tcW w:w="2120" w:type="dxa"/>
            <w:vAlign w:val="bottom"/>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A-12</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3.3</w:t>
            </w:r>
          </w:p>
        </w:tc>
        <w:tc>
          <w:tcPr>
            <w:tcW w:w="5620" w:type="dxa"/>
            <w:vAlign w:val="bottom"/>
            <w:gridSpan w:val="32"/>
          </w:tcPr>
          <w:p>
            <w:pPr>
              <w:spacing w:after="0"/>
              <w:rPr>
                <w:sz w:val="20"/>
                <w:szCs w:val="20"/>
                <w:color w:val="auto"/>
              </w:rPr>
            </w:pPr>
            <w:r>
              <w:rPr>
                <w:rFonts w:ascii="Arial" w:cs="Arial" w:eastAsia="Arial" w:hAnsi="Arial"/>
                <w:sz w:val="19"/>
                <w:szCs w:val="19"/>
                <w:b w:val="1"/>
                <w:bCs w:val="1"/>
                <w:color w:val="0000EE"/>
              </w:rPr>
              <w:t>A</w:t>
            </w:r>
            <w:r>
              <w:rPr>
                <w:rFonts w:ascii="Arial" w:cs="Arial" w:eastAsia="Arial" w:hAnsi="Arial"/>
                <w:sz w:val="15"/>
                <w:szCs w:val="15"/>
                <w:b w:val="1"/>
                <w:bCs w:val="1"/>
                <w:color w:val="0000EE"/>
              </w:rPr>
              <w:t>WARD</w:t>
            </w:r>
            <w:r>
              <w:rPr>
                <w:rFonts w:ascii="Arial" w:cs="Arial" w:eastAsia="Arial" w:hAnsi="Arial"/>
                <w:sz w:val="19"/>
                <w:szCs w:val="19"/>
                <w:b w:val="1"/>
                <w:bCs w:val="1"/>
                <w:color w:val="0000EE"/>
              </w:rPr>
              <w:t xml:space="preserve"> A</w:t>
            </w:r>
            <w:r>
              <w:rPr>
                <w:rFonts w:ascii="Arial" w:cs="Arial" w:eastAsia="Arial" w:hAnsi="Arial"/>
                <w:sz w:val="15"/>
                <w:szCs w:val="15"/>
                <w:b w:val="1"/>
                <w:bCs w:val="1"/>
                <w:color w:val="0000EE"/>
              </w:rPr>
              <w:t>GREEMENTS</w:t>
            </w: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A-12</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3.4</w:t>
            </w:r>
          </w:p>
        </w:tc>
        <w:tc>
          <w:tcPr>
            <w:tcW w:w="1800" w:type="dxa"/>
            <w:vAlign w:val="bottom"/>
            <w:tcBorders>
              <w:top w:val="single" w:sz="8" w:color="0000EE"/>
            </w:tcBorders>
            <w:gridSpan w:val="16"/>
          </w:tcPr>
          <w:p>
            <w:pPr>
              <w:spacing w:after="0"/>
              <w:rPr>
                <w:sz w:val="20"/>
                <w:szCs w:val="20"/>
                <w:color w:val="auto"/>
              </w:rPr>
            </w:pPr>
            <w:r>
              <w:rPr>
                <w:rFonts w:ascii="Arial" w:cs="Arial" w:eastAsia="Arial" w:hAnsi="Arial"/>
                <w:sz w:val="19"/>
                <w:szCs w:val="19"/>
                <w:b w:val="1"/>
                <w:bCs w:val="1"/>
                <w:color w:val="0000EE"/>
              </w:rPr>
              <w:t>G</w:t>
            </w:r>
            <w:r>
              <w:rPr>
                <w:rFonts w:ascii="Arial" w:cs="Arial" w:eastAsia="Arial" w:hAnsi="Arial"/>
                <w:sz w:val="15"/>
                <w:szCs w:val="15"/>
                <w:b w:val="1"/>
                <w:bCs w:val="1"/>
                <w:color w:val="0000EE"/>
              </w:rPr>
              <w:t>UIDELINES</w:t>
            </w:r>
          </w:p>
        </w:tc>
        <w:tc>
          <w:tcPr>
            <w:tcW w:w="3820" w:type="dxa"/>
            <w:vAlign w:val="bottom"/>
            <w:gridSpan w:val="16"/>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A-13</w:t>
            </w:r>
          </w:p>
        </w:tc>
      </w:tr>
      <w:tr>
        <w:trPr>
          <w:trHeight w:val="20"/>
        </w:trPr>
        <w:tc>
          <w:tcPr>
            <w:tcW w:w="98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3.5</w:t>
            </w:r>
          </w:p>
        </w:tc>
        <w:tc>
          <w:tcPr>
            <w:tcW w:w="5620" w:type="dxa"/>
            <w:vAlign w:val="bottom"/>
            <w:gridSpan w:val="32"/>
          </w:tcPr>
          <w:p>
            <w:pPr>
              <w:spacing w:after="0"/>
              <w:rPr>
                <w:sz w:val="20"/>
                <w:szCs w:val="20"/>
                <w:color w:val="auto"/>
              </w:rPr>
            </w:pPr>
            <w:r>
              <w:rPr>
                <w:rFonts w:ascii="Arial" w:cs="Arial" w:eastAsia="Arial" w:hAnsi="Arial"/>
                <w:sz w:val="19"/>
                <w:szCs w:val="19"/>
                <w:b w:val="1"/>
                <w:bCs w:val="1"/>
                <w:color w:val="0000EE"/>
              </w:rPr>
              <w:t>D</w:t>
            </w:r>
            <w:r>
              <w:rPr>
                <w:rFonts w:ascii="Arial" w:cs="Arial" w:eastAsia="Arial" w:hAnsi="Arial"/>
                <w:sz w:val="15"/>
                <w:szCs w:val="15"/>
                <w:b w:val="1"/>
                <w:bCs w:val="1"/>
                <w:color w:val="0000EE"/>
              </w:rPr>
              <w:t>ELEGATION</w:t>
            </w:r>
            <w:r>
              <w:rPr>
                <w:rFonts w:ascii="Arial" w:cs="Arial" w:eastAsia="Arial" w:hAnsi="Arial"/>
                <w:sz w:val="19"/>
                <w:szCs w:val="19"/>
                <w:b w:val="1"/>
                <w:bCs w:val="1"/>
                <w:color w:val="0000EE"/>
              </w:rPr>
              <w:t>; A</w:t>
            </w:r>
            <w:r>
              <w:rPr>
                <w:rFonts w:ascii="Arial" w:cs="Arial" w:eastAsia="Arial" w:hAnsi="Arial"/>
                <w:sz w:val="15"/>
                <w:szCs w:val="15"/>
                <w:b w:val="1"/>
                <w:bCs w:val="1"/>
                <w:color w:val="0000EE"/>
              </w:rPr>
              <w:t>DVISORS</w:t>
            </w: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A-13</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3.6</w:t>
            </w:r>
          </w:p>
        </w:tc>
        <w:tc>
          <w:tcPr>
            <w:tcW w:w="2000" w:type="dxa"/>
            <w:vAlign w:val="bottom"/>
            <w:tcBorders>
              <w:top w:val="single" w:sz="8" w:color="0000EE"/>
            </w:tcBorders>
            <w:gridSpan w:val="21"/>
          </w:tcPr>
          <w:p>
            <w:pPr>
              <w:spacing w:after="0"/>
              <w:rPr>
                <w:sz w:val="20"/>
                <w:szCs w:val="20"/>
                <w:color w:val="auto"/>
              </w:rPr>
            </w:pPr>
            <w:r>
              <w:rPr>
                <w:rFonts w:ascii="Arial" w:cs="Arial" w:eastAsia="Arial" w:hAnsi="Arial"/>
                <w:sz w:val="19"/>
                <w:szCs w:val="19"/>
                <w:b w:val="1"/>
                <w:bCs w:val="1"/>
                <w:color w:val="0000EE"/>
              </w:rPr>
              <w:t>D</w:t>
            </w:r>
            <w:r>
              <w:rPr>
                <w:rFonts w:ascii="Arial" w:cs="Arial" w:eastAsia="Arial" w:hAnsi="Arial"/>
                <w:sz w:val="15"/>
                <w:szCs w:val="15"/>
                <w:b w:val="1"/>
                <w:bCs w:val="1"/>
                <w:color w:val="0000EE"/>
              </w:rPr>
              <w:t>ECISIONS</w:t>
            </w:r>
            <w:r>
              <w:rPr>
                <w:rFonts w:ascii="Arial" w:cs="Arial" w:eastAsia="Arial" w:hAnsi="Arial"/>
                <w:sz w:val="19"/>
                <w:szCs w:val="19"/>
                <w:b w:val="1"/>
                <w:bCs w:val="1"/>
                <w:color w:val="0000EE"/>
              </w:rPr>
              <w:t xml:space="preserve"> F</w:t>
            </w:r>
            <w:r>
              <w:rPr>
                <w:rFonts w:ascii="Arial" w:cs="Arial" w:eastAsia="Arial" w:hAnsi="Arial"/>
                <w:sz w:val="15"/>
                <w:szCs w:val="15"/>
                <w:b w:val="1"/>
                <w:bCs w:val="1"/>
                <w:color w:val="0000EE"/>
              </w:rPr>
              <w:t>INAL</w:t>
            </w:r>
          </w:p>
        </w:tc>
        <w:tc>
          <w:tcPr>
            <w:tcW w:w="3620" w:type="dxa"/>
            <w:vAlign w:val="bottom"/>
            <w:gridSpan w:val="11"/>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A-13</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3.7</w:t>
            </w:r>
          </w:p>
        </w:tc>
        <w:tc>
          <w:tcPr>
            <w:tcW w:w="11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9"/>
                <w:szCs w:val="19"/>
                <w:b w:val="1"/>
                <w:bCs w:val="1"/>
                <w:color w:val="0000EE"/>
              </w:rPr>
              <w:t>P</w:t>
            </w:r>
            <w:r>
              <w:rPr>
                <w:rFonts w:ascii="Arial" w:cs="Arial" w:eastAsia="Arial" w:hAnsi="Arial"/>
                <w:sz w:val="15"/>
                <w:szCs w:val="15"/>
                <w:b w:val="1"/>
                <w:bCs w:val="1"/>
                <w:color w:val="0000EE"/>
              </w:rPr>
              <w:t>ROCEDURES</w:t>
            </w:r>
          </w:p>
        </w:tc>
        <w:tc>
          <w:tcPr>
            <w:tcW w:w="280" w:type="dxa"/>
            <w:vAlign w:val="bottom"/>
            <w:tcBorders>
              <w:top w:val="single" w:sz="8" w:color="0000EE"/>
            </w:tcBorders>
            <w:gridSpan w:val="6"/>
          </w:tcPr>
          <w:p>
            <w:pPr>
              <w:spacing w:after="0"/>
              <w:rPr>
                <w:sz w:val="24"/>
                <w:szCs w:val="24"/>
                <w:color w:val="auto"/>
              </w:rPr>
            </w:pPr>
          </w:p>
        </w:tc>
        <w:tc>
          <w:tcPr>
            <w:tcW w:w="4200" w:type="dxa"/>
            <w:vAlign w:val="bottom"/>
            <w:gridSpan w:val="20"/>
          </w:tcPr>
          <w:p>
            <w:pPr>
              <w:spacing w:after="0"/>
              <w:rPr>
                <w:sz w:val="24"/>
                <w:szCs w:val="24"/>
                <w:color w:val="auto"/>
              </w:rPr>
            </w:pP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A-13</w:t>
            </w:r>
          </w:p>
        </w:tc>
      </w:tr>
      <w:tr>
        <w:trPr>
          <w:trHeight w:val="331"/>
        </w:trPr>
        <w:tc>
          <w:tcPr>
            <w:tcW w:w="980" w:type="dxa"/>
            <w:vAlign w:val="bottom"/>
          </w:tcPr>
          <w:p>
            <w:pPr>
              <w:ind w:left="280"/>
              <w:spacing w:after="0"/>
              <w:rPr>
                <w:sz w:val="20"/>
                <w:szCs w:val="20"/>
                <w:color w:val="auto"/>
              </w:rPr>
            </w:pPr>
            <w:r>
              <w:rPr>
                <w:rFonts w:ascii="Arial" w:cs="Arial" w:eastAsia="Arial" w:hAnsi="Arial"/>
                <w:sz w:val="19"/>
                <w:szCs w:val="19"/>
                <w:b w:val="1"/>
                <w:bCs w:val="1"/>
                <w:color w:val="auto"/>
              </w:rPr>
              <w:t>3.8</w:t>
            </w:r>
          </w:p>
        </w:tc>
        <w:tc>
          <w:tcPr>
            <w:tcW w:w="5620" w:type="dxa"/>
            <w:vAlign w:val="bottom"/>
            <w:gridSpan w:val="32"/>
          </w:tcPr>
          <w:p>
            <w:pPr>
              <w:spacing w:after="0"/>
              <w:rPr>
                <w:sz w:val="20"/>
                <w:szCs w:val="20"/>
                <w:color w:val="auto"/>
              </w:rPr>
            </w:pPr>
            <w:r>
              <w:rPr>
                <w:rFonts w:ascii="Arial" w:cs="Arial" w:eastAsia="Arial" w:hAnsi="Arial"/>
                <w:sz w:val="19"/>
                <w:szCs w:val="19"/>
                <w:b w:val="1"/>
                <w:bCs w:val="1"/>
                <w:color w:val="0000EE"/>
              </w:rPr>
              <w:t>L</w:t>
            </w:r>
            <w:r>
              <w:rPr>
                <w:rFonts w:ascii="Arial" w:cs="Arial" w:eastAsia="Arial" w:hAnsi="Arial"/>
                <w:sz w:val="15"/>
                <w:szCs w:val="15"/>
                <w:b w:val="1"/>
                <w:bCs w:val="1"/>
                <w:color w:val="0000EE"/>
              </w:rPr>
              <w:t>IABILITY</w:t>
            </w:r>
            <w:r>
              <w:rPr>
                <w:rFonts w:ascii="Arial" w:cs="Arial" w:eastAsia="Arial" w:hAnsi="Arial"/>
                <w:sz w:val="19"/>
                <w:szCs w:val="19"/>
                <w:b w:val="1"/>
                <w:bCs w:val="1"/>
                <w:color w:val="0000EE"/>
              </w:rPr>
              <w:t>; I</w:t>
            </w:r>
            <w:r>
              <w:rPr>
                <w:rFonts w:ascii="Arial" w:cs="Arial" w:eastAsia="Arial" w:hAnsi="Arial"/>
                <w:sz w:val="15"/>
                <w:szCs w:val="15"/>
                <w:b w:val="1"/>
                <w:bCs w:val="1"/>
                <w:color w:val="0000EE"/>
              </w:rPr>
              <w:t>NDEMNIFICATION</w:t>
            </w:r>
          </w:p>
        </w:tc>
        <w:tc>
          <w:tcPr>
            <w:tcW w:w="4420" w:type="dxa"/>
            <w:vAlign w:val="bottom"/>
            <w:gridSpan w:val="2"/>
          </w:tcPr>
          <w:p>
            <w:pPr>
              <w:jc w:val="right"/>
              <w:ind w:right="132"/>
              <w:spacing w:after="0"/>
              <w:rPr>
                <w:sz w:val="20"/>
                <w:szCs w:val="20"/>
                <w:color w:val="auto"/>
              </w:rPr>
            </w:pPr>
            <w:r>
              <w:rPr>
                <w:rFonts w:ascii="Arial" w:cs="Arial" w:eastAsia="Arial" w:hAnsi="Arial"/>
                <w:sz w:val="19"/>
                <w:szCs w:val="19"/>
                <w:color w:val="auto"/>
              </w:rPr>
              <w:t>A-13</w:t>
            </w:r>
          </w:p>
        </w:tc>
      </w:tr>
      <w:tr>
        <w:trPr>
          <w:trHeight w:val="155"/>
        </w:trPr>
        <w:tc>
          <w:tcPr>
            <w:tcW w:w="980" w:type="dxa"/>
            <w:vAlign w:val="bottom"/>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97"/>
        </w:trPr>
        <w:tc>
          <w:tcPr>
            <w:tcW w:w="6600" w:type="dxa"/>
            <w:vAlign w:val="bottom"/>
            <w:gridSpan w:val="33"/>
          </w:tcPr>
          <w:p>
            <w:pPr>
              <w:spacing w:after="0"/>
              <w:rPr>
                <w:sz w:val="20"/>
                <w:szCs w:val="20"/>
                <w:color w:val="auto"/>
              </w:rPr>
            </w:pPr>
            <w:r>
              <w:rPr>
                <w:rFonts w:ascii="Arial" w:cs="Arial" w:eastAsia="Arial" w:hAnsi="Arial"/>
                <w:sz w:val="16"/>
                <w:szCs w:val="16"/>
                <w:color w:val="002060"/>
              </w:rPr>
              <w:t>2023 Omnibus Incentive Plan</w:t>
            </w:r>
          </w:p>
        </w:tc>
        <w:tc>
          <w:tcPr>
            <w:tcW w:w="3840" w:type="dxa"/>
            <w:vAlign w:val="bottom"/>
          </w:tcPr>
          <w:p>
            <w:pPr>
              <w:ind w:left="2140"/>
              <w:spacing w:after="0"/>
              <w:rPr>
                <w:sz w:val="20"/>
                <w:szCs w:val="20"/>
                <w:color w:val="auto"/>
              </w:rPr>
            </w:pPr>
            <w:r>
              <w:rPr>
                <w:rFonts w:ascii="Arial" w:cs="Arial" w:eastAsia="Arial" w:hAnsi="Arial"/>
                <w:sz w:val="16"/>
                <w:szCs w:val="16"/>
                <w:color w:val="002060"/>
              </w:rPr>
              <w:t>2023 Proxy Statement</w:t>
            </w:r>
          </w:p>
        </w:tc>
        <w:tc>
          <w:tcPr>
            <w:tcW w:w="580" w:type="dxa"/>
            <w:vAlign w:val="bottom"/>
            <w:shd w:val="clear" w:color="auto" w:fill="002060"/>
          </w:tcPr>
          <w:p>
            <w:pPr>
              <w:jc w:val="right"/>
              <w:ind w:right="72"/>
              <w:spacing w:after="0"/>
              <w:rPr>
                <w:sz w:val="20"/>
                <w:szCs w:val="20"/>
                <w:color w:val="auto"/>
              </w:rPr>
            </w:pPr>
            <w:r>
              <w:rPr>
                <w:rFonts w:ascii="Arial" w:cs="Arial" w:eastAsia="Arial" w:hAnsi="Arial"/>
                <w:sz w:val="16"/>
                <w:szCs w:val="16"/>
                <w:color w:val="FFFFFF"/>
              </w:rPr>
              <w:t>A-3</w:t>
            </w:r>
          </w:p>
        </w:tc>
      </w:tr>
    </w:tbl>
    <w:p>
      <w:pPr>
        <w:sectPr>
          <w:pgSz w:w="11900" w:h="16838" w:orient="portrait"/>
          <w:cols w:equalWidth="0" w:num="1">
            <w:col w:w="11140"/>
          </w:cols>
          <w:pgMar w:left="320" w:top="482"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3000" w:type="dxa"/>
            <w:vAlign w:val="bottom"/>
            <w:tcBorders>
              <w:bottom w:val="single" w:sz="8" w:color="0000EE"/>
            </w:tcBorders>
            <w:gridSpan w:val="13"/>
          </w:tcPr>
          <w:p>
            <w:pPr>
              <w:spacing w:after="0"/>
              <w:rPr>
                <w:sz w:val="20"/>
                <w:szCs w:val="20"/>
                <w:color w:val="auto"/>
              </w:rPr>
            </w:pPr>
            <w:r>
              <w:rPr>
                <w:rFonts w:ascii="Arial" w:cs="Arial" w:eastAsia="Arial" w:hAnsi="Arial"/>
                <w:sz w:val="19"/>
                <w:szCs w:val="19"/>
                <w:b w:val="1"/>
                <w:bCs w:val="1"/>
                <w:color w:val="0000EE"/>
                <w:w w:val="98"/>
              </w:rPr>
              <w:t>ARTICLE IV SHARE LIMITATIONS</w:t>
            </w:r>
          </w:p>
        </w:tc>
        <w:tc>
          <w:tcPr>
            <w:tcW w:w="4440" w:type="dxa"/>
            <w:vAlign w:val="bottom"/>
            <w:gridSpan w:val="20"/>
          </w:tcPr>
          <w:p>
            <w:pPr>
              <w:spacing w:after="0"/>
              <w:rPr>
                <w:sz w:val="18"/>
                <w:szCs w:val="18"/>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A-14</w:t>
            </w: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4.1</w:t>
            </w:r>
          </w:p>
        </w:tc>
        <w:tc>
          <w:tcPr>
            <w:tcW w:w="700" w:type="dxa"/>
            <w:vAlign w:val="bottom"/>
            <w:tcBorders>
              <w:bottom w:val="single" w:sz="8" w:color="0000EE"/>
            </w:tcBorders>
            <w:gridSpan w:val="2"/>
          </w:tcPr>
          <w:p>
            <w:pPr>
              <w:spacing w:after="0"/>
              <w:rPr>
                <w:sz w:val="20"/>
                <w:szCs w:val="20"/>
                <w:color w:val="auto"/>
              </w:rPr>
            </w:pPr>
            <w:r>
              <w:rPr>
                <w:rFonts w:ascii="Arial" w:cs="Arial" w:eastAsia="Arial" w:hAnsi="Arial"/>
                <w:sz w:val="19"/>
                <w:szCs w:val="19"/>
                <w:b w:val="1"/>
                <w:bCs w:val="1"/>
                <w:color w:val="0000EE"/>
              </w:rPr>
              <w:t>S</w:t>
            </w:r>
            <w:r>
              <w:rPr>
                <w:rFonts w:ascii="Arial" w:cs="Arial" w:eastAsia="Arial" w:hAnsi="Arial"/>
                <w:sz w:val="15"/>
                <w:szCs w:val="15"/>
                <w:b w:val="1"/>
                <w:bCs w:val="1"/>
                <w:color w:val="0000EE"/>
              </w:rPr>
              <w:t>HARES</w:t>
            </w:r>
          </w:p>
        </w:tc>
        <w:tc>
          <w:tcPr>
            <w:tcW w:w="5760" w:type="dxa"/>
            <w:vAlign w:val="bottom"/>
            <w:gridSpan w:val="29"/>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A-14</w:t>
            </w: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4.2</w:t>
            </w:r>
          </w:p>
        </w:tc>
        <w:tc>
          <w:tcPr>
            <w:tcW w:w="820" w:type="dxa"/>
            <w:vAlign w:val="bottom"/>
            <w:tcBorders>
              <w:bottom w:val="single" w:sz="8" w:color="0000EE"/>
            </w:tcBorders>
            <w:gridSpan w:val="3"/>
          </w:tcPr>
          <w:p>
            <w:pPr>
              <w:spacing w:after="0"/>
              <w:rPr>
                <w:sz w:val="20"/>
                <w:szCs w:val="20"/>
                <w:color w:val="auto"/>
              </w:rPr>
            </w:pPr>
            <w:r>
              <w:rPr>
                <w:rFonts w:ascii="Arial" w:cs="Arial" w:eastAsia="Arial" w:hAnsi="Arial"/>
                <w:sz w:val="19"/>
                <w:szCs w:val="19"/>
                <w:b w:val="1"/>
                <w:bCs w:val="1"/>
                <w:color w:val="0000EE"/>
              </w:rPr>
              <w:t>C</w:t>
            </w:r>
            <w:r>
              <w:rPr>
                <w:rFonts w:ascii="Arial" w:cs="Arial" w:eastAsia="Arial" w:hAnsi="Arial"/>
                <w:sz w:val="15"/>
                <w:szCs w:val="15"/>
                <w:b w:val="1"/>
                <w:bCs w:val="1"/>
                <w:color w:val="0000EE"/>
              </w:rPr>
              <w:t>HANGES</w:t>
            </w:r>
          </w:p>
        </w:tc>
        <w:tc>
          <w:tcPr>
            <w:tcW w:w="5640" w:type="dxa"/>
            <w:vAlign w:val="bottom"/>
            <w:gridSpan w:val="28"/>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A-15</w:t>
            </w: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4.3</w:t>
            </w:r>
          </w:p>
        </w:tc>
        <w:tc>
          <w:tcPr>
            <w:tcW w:w="6460" w:type="dxa"/>
            <w:vAlign w:val="bottom"/>
            <w:gridSpan w:val="31"/>
          </w:tcPr>
          <w:p>
            <w:pPr>
              <w:spacing w:after="0"/>
              <w:rPr>
                <w:sz w:val="20"/>
                <w:szCs w:val="20"/>
                <w:color w:val="auto"/>
              </w:rPr>
            </w:pPr>
            <w:r>
              <w:rPr>
                <w:rFonts w:ascii="Arial" w:cs="Arial" w:eastAsia="Arial" w:hAnsi="Arial"/>
                <w:sz w:val="19"/>
                <w:szCs w:val="19"/>
                <w:b w:val="1"/>
                <w:bCs w:val="1"/>
                <w:color w:val="0000EE"/>
              </w:rPr>
              <w:t>M</w:t>
            </w:r>
            <w:r>
              <w:rPr>
                <w:rFonts w:ascii="Arial" w:cs="Arial" w:eastAsia="Arial" w:hAnsi="Arial"/>
                <w:sz w:val="15"/>
                <w:szCs w:val="15"/>
                <w:b w:val="1"/>
                <w:bCs w:val="1"/>
                <w:color w:val="0000EE"/>
              </w:rPr>
              <w:t>INIMUM</w:t>
            </w:r>
            <w:r>
              <w:rPr>
                <w:rFonts w:ascii="Arial" w:cs="Arial" w:eastAsia="Arial" w:hAnsi="Arial"/>
                <w:sz w:val="19"/>
                <w:szCs w:val="19"/>
                <w:b w:val="1"/>
                <w:bCs w:val="1"/>
                <w:color w:val="0000EE"/>
              </w:rPr>
              <w:t xml:space="preserve"> P</w:t>
            </w:r>
            <w:r>
              <w:rPr>
                <w:rFonts w:ascii="Arial" w:cs="Arial" w:eastAsia="Arial" w:hAnsi="Arial"/>
                <w:sz w:val="15"/>
                <w:szCs w:val="15"/>
                <w:b w:val="1"/>
                <w:bCs w:val="1"/>
                <w:color w:val="0000EE"/>
              </w:rPr>
              <w:t>URCHASE</w:t>
            </w:r>
            <w:r>
              <w:rPr>
                <w:rFonts w:ascii="Arial" w:cs="Arial" w:eastAsia="Arial" w:hAnsi="Arial"/>
                <w:sz w:val="19"/>
                <w:szCs w:val="19"/>
                <w:b w:val="1"/>
                <w:bCs w:val="1"/>
                <w:color w:val="0000EE"/>
              </w:rPr>
              <w:t xml:space="preserve"> P</w:t>
            </w:r>
            <w:r>
              <w:rPr>
                <w:rFonts w:ascii="Arial" w:cs="Arial" w:eastAsia="Arial" w:hAnsi="Arial"/>
                <w:sz w:val="15"/>
                <w:szCs w:val="15"/>
                <w:b w:val="1"/>
                <w:bCs w:val="1"/>
                <w:color w:val="0000EE"/>
              </w:rPr>
              <w:t>RICE</w:t>
            </w:r>
          </w:p>
        </w:tc>
        <w:tc>
          <w:tcPr>
            <w:tcW w:w="3580" w:type="dxa"/>
            <w:vAlign w:val="bottom"/>
          </w:tcPr>
          <w:p>
            <w:pPr>
              <w:ind w:left="2960"/>
              <w:spacing w:after="0"/>
              <w:rPr>
                <w:sz w:val="20"/>
                <w:szCs w:val="20"/>
                <w:color w:val="auto"/>
              </w:rPr>
            </w:pPr>
            <w:r>
              <w:rPr>
                <w:rFonts w:ascii="Arial" w:cs="Arial" w:eastAsia="Arial" w:hAnsi="Arial"/>
                <w:sz w:val="19"/>
                <w:szCs w:val="19"/>
                <w:color w:val="auto"/>
              </w:rPr>
              <w:t>A-16</w:t>
            </w:r>
          </w:p>
        </w:tc>
      </w:tr>
      <w:tr>
        <w:trPr>
          <w:trHeight w:val="20"/>
        </w:trPr>
        <w:tc>
          <w:tcPr>
            <w:tcW w:w="98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331"/>
        </w:trPr>
        <w:tc>
          <w:tcPr>
            <w:tcW w:w="2140" w:type="dxa"/>
            <w:vAlign w:val="bottom"/>
            <w:tcBorders>
              <w:bottom w:val="single" w:sz="8" w:color="0000EE"/>
            </w:tcBorders>
            <w:gridSpan w:val="6"/>
          </w:tcPr>
          <w:p>
            <w:pPr>
              <w:spacing w:after="0"/>
              <w:rPr>
                <w:sz w:val="20"/>
                <w:szCs w:val="20"/>
                <w:color w:val="auto"/>
              </w:rPr>
            </w:pPr>
            <w:r>
              <w:rPr>
                <w:rFonts w:ascii="Arial" w:cs="Arial" w:eastAsia="Arial" w:hAnsi="Arial"/>
                <w:sz w:val="19"/>
                <w:szCs w:val="19"/>
                <w:b w:val="1"/>
                <w:bCs w:val="1"/>
                <w:color w:val="0000EE"/>
                <w:w w:val="98"/>
              </w:rPr>
              <w:t>ARTICLE V ELIGIBILITY</w:t>
            </w:r>
          </w:p>
        </w:tc>
        <w:tc>
          <w:tcPr>
            <w:tcW w:w="5300" w:type="dxa"/>
            <w:vAlign w:val="bottom"/>
            <w:gridSpan w:val="27"/>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A-16</w:t>
            </w: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5.1</w:t>
            </w:r>
          </w:p>
        </w:tc>
        <w:tc>
          <w:tcPr>
            <w:tcW w:w="1780" w:type="dxa"/>
            <w:vAlign w:val="bottom"/>
            <w:tcBorders>
              <w:bottom w:val="single" w:sz="8" w:color="0000EE"/>
            </w:tcBorders>
            <w:gridSpan w:val="9"/>
          </w:tcPr>
          <w:p>
            <w:pPr>
              <w:spacing w:after="0"/>
              <w:rPr>
                <w:sz w:val="20"/>
                <w:szCs w:val="20"/>
                <w:color w:val="auto"/>
              </w:rPr>
            </w:pPr>
            <w:r>
              <w:rPr>
                <w:rFonts w:ascii="Arial" w:cs="Arial" w:eastAsia="Arial" w:hAnsi="Arial"/>
                <w:sz w:val="19"/>
                <w:szCs w:val="19"/>
                <w:b w:val="1"/>
                <w:bCs w:val="1"/>
                <w:color w:val="0000EE"/>
              </w:rPr>
              <w:t>G</w:t>
            </w:r>
            <w:r>
              <w:rPr>
                <w:rFonts w:ascii="Arial" w:cs="Arial" w:eastAsia="Arial" w:hAnsi="Arial"/>
                <w:sz w:val="15"/>
                <w:szCs w:val="15"/>
                <w:b w:val="1"/>
                <w:bCs w:val="1"/>
                <w:color w:val="0000EE"/>
              </w:rPr>
              <w:t>ENERAL</w:t>
            </w:r>
            <w:r>
              <w:rPr>
                <w:rFonts w:ascii="Arial" w:cs="Arial" w:eastAsia="Arial" w:hAnsi="Arial"/>
                <w:sz w:val="19"/>
                <w:szCs w:val="19"/>
                <w:b w:val="1"/>
                <w:bCs w:val="1"/>
                <w:color w:val="0000EE"/>
              </w:rPr>
              <w:t xml:space="preserve"> E</w:t>
            </w:r>
            <w:r>
              <w:rPr>
                <w:rFonts w:ascii="Arial" w:cs="Arial" w:eastAsia="Arial" w:hAnsi="Arial"/>
                <w:sz w:val="15"/>
                <w:szCs w:val="15"/>
                <w:b w:val="1"/>
                <w:bCs w:val="1"/>
                <w:color w:val="0000EE"/>
              </w:rPr>
              <w:t>LIGIBILITY</w:t>
            </w:r>
          </w:p>
        </w:tc>
        <w:tc>
          <w:tcPr>
            <w:tcW w:w="4680" w:type="dxa"/>
            <w:vAlign w:val="bottom"/>
            <w:gridSpan w:val="22"/>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A-16</w:t>
            </w: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5.2</w:t>
            </w:r>
          </w:p>
        </w:tc>
        <w:tc>
          <w:tcPr>
            <w:tcW w:w="2260" w:type="dxa"/>
            <w:vAlign w:val="bottom"/>
            <w:tcBorders>
              <w:bottom w:val="single" w:sz="8" w:color="0000EE"/>
            </w:tcBorders>
            <w:gridSpan w:val="16"/>
          </w:tcPr>
          <w:p>
            <w:pPr>
              <w:spacing w:after="0"/>
              <w:rPr>
                <w:sz w:val="20"/>
                <w:szCs w:val="20"/>
                <w:color w:val="auto"/>
              </w:rPr>
            </w:pPr>
            <w:r>
              <w:rPr>
                <w:rFonts w:ascii="Arial" w:cs="Arial" w:eastAsia="Arial" w:hAnsi="Arial"/>
                <w:sz w:val="19"/>
                <w:szCs w:val="19"/>
                <w:b w:val="1"/>
                <w:bCs w:val="1"/>
                <w:color w:val="0000EE"/>
              </w:rPr>
              <w:t>I</w:t>
            </w:r>
            <w:r>
              <w:rPr>
                <w:rFonts w:ascii="Arial" w:cs="Arial" w:eastAsia="Arial" w:hAnsi="Arial"/>
                <w:sz w:val="15"/>
                <w:szCs w:val="15"/>
                <w:b w:val="1"/>
                <w:bCs w:val="1"/>
                <w:color w:val="0000EE"/>
              </w:rPr>
              <w:t>NCENTIVE</w:t>
            </w:r>
            <w:r>
              <w:rPr>
                <w:rFonts w:ascii="Arial" w:cs="Arial" w:eastAsia="Arial" w:hAnsi="Arial"/>
                <w:sz w:val="19"/>
                <w:szCs w:val="19"/>
                <w:b w:val="1"/>
                <w:bCs w:val="1"/>
                <w:color w:val="0000EE"/>
              </w:rPr>
              <w:t xml:space="preserve"> S</w:t>
            </w:r>
            <w:r>
              <w:rPr>
                <w:rFonts w:ascii="Arial" w:cs="Arial" w:eastAsia="Arial" w:hAnsi="Arial"/>
                <w:sz w:val="15"/>
                <w:szCs w:val="15"/>
                <w:b w:val="1"/>
                <w:bCs w:val="1"/>
                <w:color w:val="0000EE"/>
              </w:rPr>
              <w:t>TOCK</w:t>
            </w:r>
            <w:r>
              <w:rPr>
                <w:rFonts w:ascii="Arial" w:cs="Arial" w:eastAsia="Arial" w:hAnsi="Arial"/>
                <w:sz w:val="19"/>
                <w:szCs w:val="19"/>
                <w:b w:val="1"/>
                <w:bCs w:val="1"/>
                <w:color w:val="0000EE"/>
              </w:rPr>
              <w:t xml:space="preserve"> O</w:t>
            </w:r>
            <w:r>
              <w:rPr>
                <w:rFonts w:ascii="Arial" w:cs="Arial" w:eastAsia="Arial" w:hAnsi="Arial"/>
                <w:sz w:val="15"/>
                <w:szCs w:val="15"/>
                <w:b w:val="1"/>
                <w:bCs w:val="1"/>
                <w:color w:val="0000EE"/>
              </w:rPr>
              <w:t>PTIONS</w:t>
            </w:r>
          </w:p>
        </w:tc>
        <w:tc>
          <w:tcPr>
            <w:tcW w:w="4200" w:type="dxa"/>
            <w:vAlign w:val="bottom"/>
            <w:gridSpan w:val="15"/>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A-16</w:t>
            </w: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5.3</w:t>
            </w:r>
          </w:p>
        </w:tc>
        <w:tc>
          <w:tcPr>
            <w:tcW w:w="2060" w:type="dxa"/>
            <w:vAlign w:val="bottom"/>
            <w:tcBorders>
              <w:bottom w:val="single" w:sz="8" w:color="0000EE"/>
            </w:tcBorders>
            <w:gridSpan w:val="13"/>
          </w:tcPr>
          <w:p>
            <w:pPr>
              <w:spacing w:after="0"/>
              <w:rPr>
                <w:sz w:val="20"/>
                <w:szCs w:val="20"/>
                <w:color w:val="auto"/>
              </w:rPr>
            </w:pPr>
            <w:r>
              <w:rPr>
                <w:rFonts w:ascii="Arial" w:cs="Arial" w:eastAsia="Arial" w:hAnsi="Arial"/>
                <w:sz w:val="19"/>
                <w:szCs w:val="19"/>
                <w:b w:val="1"/>
                <w:bCs w:val="1"/>
                <w:color w:val="0000EE"/>
              </w:rPr>
              <w:t>G</w:t>
            </w:r>
            <w:r>
              <w:rPr>
                <w:rFonts w:ascii="Arial" w:cs="Arial" w:eastAsia="Arial" w:hAnsi="Arial"/>
                <w:sz w:val="15"/>
                <w:szCs w:val="15"/>
                <w:b w:val="1"/>
                <w:bCs w:val="1"/>
                <w:color w:val="0000EE"/>
              </w:rPr>
              <w:t>ENERAL</w:t>
            </w:r>
            <w:r>
              <w:rPr>
                <w:rFonts w:ascii="Arial" w:cs="Arial" w:eastAsia="Arial" w:hAnsi="Arial"/>
                <w:sz w:val="19"/>
                <w:szCs w:val="19"/>
                <w:b w:val="1"/>
                <w:bCs w:val="1"/>
                <w:color w:val="0000EE"/>
              </w:rPr>
              <w:t xml:space="preserve"> R</w:t>
            </w:r>
            <w:r>
              <w:rPr>
                <w:rFonts w:ascii="Arial" w:cs="Arial" w:eastAsia="Arial" w:hAnsi="Arial"/>
                <w:sz w:val="15"/>
                <w:szCs w:val="15"/>
                <w:b w:val="1"/>
                <w:bCs w:val="1"/>
                <w:color w:val="0000EE"/>
              </w:rPr>
              <w:t>EQUIREMENT</w:t>
            </w:r>
          </w:p>
        </w:tc>
        <w:tc>
          <w:tcPr>
            <w:tcW w:w="4400" w:type="dxa"/>
            <w:vAlign w:val="bottom"/>
            <w:gridSpan w:val="18"/>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A-16</w:t>
            </w:r>
          </w:p>
        </w:tc>
      </w:tr>
      <w:tr>
        <w:trPr>
          <w:trHeight w:val="331"/>
        </w:trPr>
        <w:tc>
          <w:tcPr>
            <w:tcW w:w="2660" w:type="dxa"/>
            <w:vAlign w:val="bottom"/>
            <w:tcBorders>
              <w:bottom w:val="single" w:sz="8" w:color="0000EE"/>
            </w:tcBorders>
            <w:gridSpan w:val="10"/>
          </w:tcPr>
          <w:p>
            <w:pPr>
              <w:spacing w:after="0"/>
              <w:rPr>
                <w:sz w:val="20"/>
                <w:szCs w:val="20"/>
                <w:color w:val="auto"/>
              </w:rPr>
            </w:pPr>
            <w:r>
              <w:rPr>
                <w:rFonts w:ascii="Arial" w:cs="Arial" w:eastAsia="Arial" w:hAnsi="Arial"/>
                <w:sz w:val="19"/>
                <w:szCs w:val="19"/>
                <w:b w:val="1"/>
                <w:bCs w:val="1"/>
                <w:color w:val="0000EE"/>
                <w:w w:val="98"/>
              </w:rPr>
              <w:t>ARTICLE VI STOCK OPTIONS</w:t>
            </w:r>
          </w:p>
        </w:tc>
        <w:tc>
          <w:tcPr>
            <w:tcW w:w="4780" w:type="dxa"/>
            <w:vAlign w:val="bottom"/>
            <w:gridSpan w:val="23"/>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A-17</w:t>
            </w: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6.1</w:t>
            </w:r>
          </w:p>
        </w:tc>
        <w:tc>
          <w:tcPr>
            <w:tcW w:w="1380" w:type="dxa"/>
            <w:vAlign w:val="bottom"/>
            <w:tcBorders>
              <w:bottom w:val="single" w:sz="8" w:color="0000EE"/>
            </w:tcBorders>
            <w:gridSpan w:val="7"/>
          </w:tcPr>
          <w:p>
            <w:pPr>
              <w:spacing w:after="0"/>
              <w:rPr>
                <w:sz w:val="20"/>
                <w:szCs w:val="20"/>
                <w:color w:val="auto"/>
              </w:rPr>
            </w:pPr>
            <w:r>
              <w:rPr>
                <w:rFonts w:ascii="Arial" w:cs="Arial" w:eastAsia="Arial" w:hAnsi="Arial"/>
                <w:sz w:val="19"/>
                <w:szCs w:val="19"/>
                <w:b w:val="1"/>
                <w:bCs w:val="1"/>
                <w:color w:val="0000EE"/>
              </w:rPr>
              <w:t>S</w:t>
            </w:r>
            <w:r>
              <w:rPr>
                <w:rFonts w:ascii="Arial" w:cs="Arial" w:eastAsia="Arial" w:hAnsi="Arial"/>
                <w:sz w:val="15"/>
                <w:szCs w:val="15"/>
                <w:b w:val="1"/>
                <w:bCs w:val="1"/>
                <w:color w:val="0000EE"/>
              </w:rPr>
              <w:t>TOCK</w:t>
            </w:r>
            <w:r>
              <w:rPr>
                <w:rFonts w:ascii="Arial" w:cs="Arial" w:eastAsia="Arial" w:hAnsi="Arial"/>
                <w:sz w:val="19"/>
                <w:szCs w:val="19"/>
                <w:b w:val="1"/>
                <w:bCs w:val="1"/>
                <w:color w:val="0000EE"/>
              </w:rPr>
              <w:t xml:space="preserve"> O</w:t>
            </w:r>
            <w:r>
              <w:rPr>
                <w:rFonts w:ascii="Arial" w:cs="Arial" w:eastAsia="Arial" w:hAnsi="Arial"/>
                <w:sz w:val="15"/>
                <w:szCs w:val="15"/>
                <w:b w:val="1"/>
                <w:bCs w:val="1"/>
                <w:color w:val="0000EE"/>
              </w:rPr>
              <w:t>PTIONS</w:t>
            </w:r>
          </w:p>
        </w:tc>
        <w:tc>
          <w:tcPr>
            <w:tcW w:w="5080" w:type="dxa"/>
            <w:vAlign w:val="bottom"/>
            <w:gridSpan w:val="24"/>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A-17</w:t>
            </w: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6.2</w:t>
            </w:r>
          </w:p>
        </w:tc>
        <w:tc>
          <w:tcPr>
            <w:tcW w:w="2260" w:type="dxa"/>
            <w:vAlign w:val="bottom"/>
            <w:tcBorders>
              <w:bottom w:val="single" w:sz="8" w:color="0000EE"/>
            </w:tcBorders>
            <w:gridSpan w:val="16"/>
          </w:tcPr>
          <w:p>
            <w:pPr>
              <w:spacing w:after="0"/>
              <w:rPr>
                <w:sz w:val="20"/>
                <w:szCs w:val="20"/>
                <w:color w:val="auto"/>
              </w:rPr>
            </w:pPr>
            <w:r>
              <w:rPr>
                <w:rFonts w:ascii="Arial" w:cs="Arial" w:eastAsia="Arial" w:hAnsi="Arial"/>
                <w:sz w:val="19"/>
                <w:szCs w:val="19"/>
                <w:b w:val="1"/>
                <w:bCs w:val="1"/>
                <w:color w:val="0000EE"/>
              </w:rPr>
              <w:t>I</w:t>
            </w:r>
            <w:r>
              <w:rPr>
                <w:rFonts w:ascii="Arial" w:cs="Arial" w:eastAsia="Arial" w:hAnsi="Arial"/>
                <w:sz w:val="15"/>
                <w:szCs w:val="15"/>
                <w:b w:val="1"/>
                <w:bCs w:val="1"/>
                <w:color w:val="0000EE"/>
              </w:rPr>
              <w:t>NCENTIVE</w:t>
            </w:r>
            <w:r>
              <w:rPr>
                <w:rFonts w:ascii="Arial" w:cs="Arial" w:eastAsia="Arial" w:hAnsi="Arial"/>
                <w:sz w:val="19"/>
                <w:szCs w:val="19"/>
                <w:b w:val="1"/>
                <w:bCs w:val="1"/>
                <w:color w:val="0000EE"/>
              </w:rPr>
              <w:t xml:space="preserve"> S</w:t>
            </w:r>
            <w:r>
              <w:rPr>
                <w:rFonts w:ascii="Arial" w:cs="Arial" w:eastAsia="Arial" w:hAnsi="Arial"/>
                <w:sz w:val="15"/>
                <w:szCs w:val="15"/>
                <w:b w:val="1"/>
                <w:bCs w:val="1"/>
                <w:color w:val="0000EE"/>
              </w:rPr>
              <w:t>TOCK</w:t>
            </w:r>
            <w:r>
              <w:rPr>
                <w:rFonts w:ascii="Arial" w:cs="Arial" w:eastAsia="Arial" w:hAnsi="Arial"/>
                <w:sz w:val="19"/>
                <w:szCs w:val="19"/>
                <w:b w:val="1"/>
                <w:bCs w:val="1"/>
                <w:color w:val="0000EE"/>
              </w:rPr>
              <w:t xml:space="preserve"> O</w:t>
            </w:r>
            <w:r>
              <w:rPr>
                <w:rFonts w:ascii="Arial" w:cs="Arial" w:eastAsia="Arial" w:hAnsi="Arial"/>
                <w:sz w:val="15"/>
                <w:szCs w:val="15"/>
                <w:b w:val="1"/>
                <w:bCs w:val="1"/>
                <w:color w:val="0000EE"/>
              </w:rPr>
              <w:t>PTIONS</w:t>
            </w:r>
          </w:p>
        </w:tc>
        <w:tc>
          <w:tcPr>
            <w:tcW w:w="4200" w:type="dxa"/>
            <w:vAlign w:val="bottom"/>
            <w:gridSpan w:val="15"/>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A-17</w:t>
            </w: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6.3</w:t>
            </w:r>
          </w:p>
        </w:tc>
        <w:tc>
          <w:tcPr>
            <w:tcW w:w="6460" w:type="dxa"/>
            <w:vAlign w:val="bottom"/>
            <w:gridSpan w:val="31"/>
          </w:tcPr>
          <w:p>
            <w:pPr>
              <w:spacing w:after="0"/>
              <w:rPr>
                <w:sz w:val="20"/>
                <w:szCs w:val="20"/>
                <w:color w:val="auto"/>
              </w:rPr>
            </w:pPr>
            <w:r>
              <w:rPr>
                <w:rFonts w:ascii="Arial" w:cs="Arial" w:eastAsia="Arial" w:hAnsi="Arial"/>
                <w:sz w:val="19"/>
                <w:szCs w:val="19"/>
                <w:b w:val="1"/>
                <w:bCs w:val="1"/>
                <w:color w:val="0000EE"/>
              </w:rPr>
              <w:t>T</w:t>
            </w:r>
            <w:r>
              <w:rPr>
                <w:rFonts w:ascii="Arial" w:cs="Arial" w:eastAsia="Arial" w:hAnsi="Arial"/>
                <w:sz w:val="15"/>
                <w:szCs w:val="15"/>
                <w:b w:val="1"/>
                <w:bCs w:val="1"/>
                <w:color w:val="0000EE"/>
              </w:rPr>
              <w:t>ERMS OF</w:t>
            </w:r>
            <w:r>
              <w:rPr>
                <w:rFonts w:ascii="Arial" w:cs="Arial" w:eastAsia="Arial" w:hAnsi="Arial"/>
                <w:sz w:val="19"/>
                <w:szCs w:val="19"/>
                <w:b w:val="1"/>
                <w:bCs w:val="1"/>
                <w:color w:val="0000EE"/>
              </w:rPr>
              <w:t xml:space="preserve"> S</w:t>
            </w:r>
            <w:r>
              <w:rPr>
                <w:rFonts w:ascii="Arial" w:cs="Arial" w:eastAsia="Arial" w:hAnsi="Arial"/>
                <w:sz w:val="15"/>
                <w:szCs w:val="15"/>
                <w:b w:val="1"/>
                <w:bCs w:val="1"/>
                <w:color w:val="0000EE"/>
              </w:rPr>
              <w:t>TOCK</w:t>
            </w:r>
            <w:r>
              <w:rPr>
                <w:rFonts w:ascii="Arial" w:cs="Arial" w:eastAsia="Arial" w:hAnsi="Arial"/>
                <w:sz w:val="19"/>
                <w:szCs w:val="19"/>
                <w:b w:val="1"/>
                <w:bCs w:val="1"/>
                <w:color w:val="0000EE"/>
              </w:rPr>
              <w:t xml:space="preserve"> O</w:t>
            </w:r>
            <w:r>
              <w:rPr>
                <w:rFonts w:ascii="Arial" w:cs="Arial" w:eastAsia="Arial" w:hAnsi="Arial"/>
                <w:sz w:val="15"/>
                <w:szCs w:val="15"/>
                <w:b w:val="1"/>
                <w:bCs w:val="1"/>
                <w:color w:val="0000EE"/>
              </w:rPr>
              <w:t>PTIONS</w:t>
            </w:r>
          </w:p>
        </w:tc>
        <w:tc>
          <w:tcPr>
            <w:tcW w:w="3580" w:type="dxa"/>
            <w:vAlign w:val="bottom"/>
          </w:tcPr>
          <w:p>
            <w:pPr>
              <w:ind w:left="2960"/>
              <w:spacing w:after="0"/>
              <w:rPr>
                <w:sz w:val="20"/>
                <w:szCs w:val="20"/>
                <w:color w:val="auto"/>
              </w:rPr>
            </w:pPr>
            <w:r>
              <w:rPr>
                <w:rFonts w:ascii="Arial" w:cs="Arial" w:eastAsia="Arial" w:hAnsi="Arial"/>
                <w:sz w:val="19"/>
                <w:szCs w:val="19"/>
                <w:color w:val="auto"/>
              </w:rPr>
              <w:t>A-17</w:t>
            </w:r>
          </w:p>
        </w:tc>
      </w:tr>
      <w:tr>
        <w:trPr>
          <w:trHeight w:val="20"/>
        </w:trPr>
        <w:tc>
          <w:tcPr>
            <w:tcW w:w="98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331"/>
        </w:trPr>
        <w:tc>
          <w:tcPr>
            <w:tcW w:w="7440" w:type="dxa"/>
            <w:vAlign w:val="bottom"/>
            <w:gridSpan w:val="33"/>
          </w:tcPr>
          <w:p>
            <w:pPr>
              <w:spacing w:after="0"/>
              <w:rPr>
                <w:sz w:val="20"/>
                <w:szCs w:val="20"/>
                <w:color w:val="auto"/>
              </w:rPr>
            </w:pPr>
            <w:r>
              <w:rPr>
                <w:rFonts w:ascii="Arial" w:cs="Arial" w:eastAsia="Arial" w:hAnsi="Arial"/>
                <w:sz w:val="19"/>
                <w:szCs w:val="19"/>
                <w:b w:val="1"/>
                <w:bCs w:val="1"/>
                <w:color w:val="0000EE"/>
              </w:rPr>
              <w:t>ARTICLE VII RESTRICTED STOCK</w:t>
            </w:r>
          </w:p>
        </w:tc>
        <w:tc>
          <w:tcPr>
            <w:tcW w:w="3580" w:type="dxa"/>
            <w:vAlign w:val="bottom"/>
          </w:tcPr>
          <w:p>
            <w:pPr>
              <w:ind w:left="2960"/>
              <w:spacing w:after="0"/>
              <w:rPr>
                <w:sz w:val="20"/>
                <w:szCs w:val="20"/>
                <w:color w:val="auto"/>
              </w:rPr>
            </w:pPr>
            <w:r>
              <w:rPr>
                <w:rFonts w:ascii="Arial" w:cs="Arial" w:eastAsia="Arial" w:hAnsi="Arial"/>
                <w:sz w:val="19"/>
                <w:szCs w:val="19"/>
                <w:color w:val="auto"/>
              </w:rPr>
              <w:t>A-19</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7.1</w:t>
            </w:r>
          </w:p>
        </w:tc>
        <w:tc>
          <w:tcPr>
            <w:tcW w:w="2700" w:type="dxa"/>
            <w:vAlign w:val="bottom"/>
            <w:tcBorders>
              <w:bottom w:val="single" w:sz="8" w:color="0000EE"/>
            </w:tcBorders>
            <w:gridSpan w:val="21"/>
          </w:tcPr>
          <w:p>
            <w:pPr>
              <w:spacing w:after="0"/>
              <w:rPr>
                <w:sz w:val="20"/>
                <w:szCs w:val="20"/>
                <w:color w:val="auto"/>
              </w:rPr>
            </w:pPr>
            <w:r>
              <w:rPr>
                <w:rFonts w:ascii="Arial" w:cs="Arial" w:eastAsia="Arial" w:hAnsi="Arial"/>
                <w:sz w:val="19"/>
                <w:szCs w:val="19"/>
                <w:b w:val="1"/>
                <w:bCs w:val="1"/>
                <w:color w:val="0000EE"/>
              </w:rPr>
              <w:t>A</w:t>
            </w:r>
            <w:r>
              <w:rPr>
                <w:rFonts w:ascii="Arial" w:cs="Arial" w:eastAsia="Arial" w:hAnsi="Arial"/>
                <w:sz w:val="15"/>
                <w:szCs w:val="15"/>
                <w:b w:val="1"/>
                <w:bCs w:val="1"/>
                <w:color w:val="0000EE"/>
              </w:rPr>
              <w:t>WARDS OF</w:t>
            </w:r>
            <w:r>
              <w:rPr>
                <w:rFonts w:ascii="Arial" w:cs="Arial" w:eastAsia="Arial" w:hAnsi="Arial"/>
                <w:sz w:val="19"/>
                <w:szCs w:val="19"/>
                <w:b w:val="1"/>
                <w:bCs w:val="1"/>
                <w:color w:val="0000EE"/>
              </w:rPr>
              <w:t xml:space="preserve"> R</w:t>
            </w:r>
            <w:r>
              <w:rPr>
                <w:rFonts w:ascii="Arial" w:cs="Arial" w:eastAsia="Arial" w:hAnsi="Arial"/>
                <w:sz w:val="15"/>
                <w:szCs w:val="15"/>
                <w:b w:val="1"/>
                <w:bCs w:val="1"/>
                <w:color w:val="0000EE"/>
              </w:rPr>
              <w:t>ESTRICTED</w:t>
            </w:r>
            <w:r>
              <w:rPr>
                <w:rFonts w:ascii="Arial" w:cs="Arial" w:eastAsia="Arial" w:hAnsi="Arial"/>
                <w:sz w:val="19"/>
                <w:szCs w:val="19"/>
                <w:b w:val="1"/>
                <w:bCs w:val="1"/>
                <w:color w:val="0000EE"/>
              </w:rPr>
              <w:t xml:space="preserve"> S</w:t>
            </w:r>
            <w:r>
              <w:rPr>
                <w:rFonts w:ascii="Arial" w:cs="Arial" w:eastAsia="Arial" w:hAnsi="Arial"/>
                <w:sz w:val="15"/>
                <w:szCs w:val="15"/>
                <w:b w:val="1"/>
                <w:bCs w:val="1"/>
                <w:color w:val="0000EE"/>
              </w:rPr>
              <w:t>TOCK</w:t>
            </w:r>
          </w:p>
        </w:tc>
        <w:tc>
          <w:tcPr>
            <w:tcW w:w="3760" w:type="dxa"/>
            <w:vAlign w:val="bottom"/>
            <w:gridSpan w:val="10"/>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A-19</w:t>
            </w: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7.2</w:t>
            </w:r>
          </w:p>
        </w:tc>
        <w:tc>
          <w:tcPr>
            <w:tcW w:w="6460" w:type="dxa"/>
            <w:vAlign w:val="bottom"/>
            <w:gridSpan w:val="31"/>
          </w:tcPr>
          <w:p>
            <w:pPr>
              <w:spacing w:after="0"/>
              <w:rPr>
                <w:sz w:val="20"/>
                <w:szCs w:val="20"/>
                <w:color w:val="auto"/>
              </w:rPr>
            </w:pPr>
            <w:r>
              <w:rPr>
                <w:rFonts w:ascii="Arial" w:cs="Arial" w:eastAsia="Arial" w:hAnsi="Arial"/>
                <w:sz w:val="19"/>
                <w:szCs w:val="19"/>
                <w:b w:val="1"/>
                <w:bCs w:val="1"/>
                <w:color w:val="0000EE"/>
              </w:rPr>
              <w:t>A</w:t>
            </w:r>
            <w:r>
              <w:rPr>
                <w:rFonts w:ascii="Arial" w:cs="Arial" w:eastAsia="Arial" w:hAnsi="Arial"/>
                <w:sz w:val="15"/>
                <w:szCs w:val="15"/>
                <w:b w:val="1"/>
                <w:bCs w:val="1"/>
                <w:color w:val="0000EE"/>
              </w:rPr>
              <w:t>WARDS AND</w:t>
            </w:r>
            <w:r>
              <w:rPr>
                <w:rFonts w:ascii="Arial" w:cs="Arial" w:eastAsia="Arial" w:hAnsi="Arial"/>
                <w:sz w:val="19"/>
                <w:szCs w:val="19"/>
                <w:b w:val="1"/>
                <w:bCs w:val="1"/>
                <w:color w:val="0000EE"/>
              </w:rPr>
              <w:t xml:space="preserve"> C</w:t>
            </w:r>
            <w:r>
              <w:rPr>
                <w:rFonts w:ascii="Arial" w:cs="Arial" w:eastAsia="Arial" w:hAnsi="Arial"/>
                <w:sz w:val="15"/>
                <w:szCs w:val="15"/>
                <w:b w:val="1"/>
                <w:bCs w:val="1"/>
                <w:color w:val="0000EE"/>
              </w:rPr>
              <w:t>ERTIFICATES</w:t>
            </w:r>
          </w:p>
        </w:tc>
        <w:tc>
          <w:tcPr>
            <w:tcW w:w="3580" w:type="dxa"/>
            <w:vAlign w:val="bottom"/>
          </w:tcPr>
          <w:p>
            <w:pPr>
              <w:ind w:left="2960"/>
              <w:spacing w:after="0"/>
              <w:rPr>
                <w:sz w:val="20"/>
                <w:szCs w:val="20"/>
                <w:color w:val="auto"/>
              </w:rPr>
            </w:pPr>
            <w:r>
              <w:rPr>
                <w:rFonts w:ascii="Arial" w:cs="Arial" w:eastAsia="Arial" w:hAnsi="Arial"/>
                <w:sz w:val="19"/>
                <w:szCs w:val="19"/>
                <w:color w:val="auto"/>
              </w:rPr>
              <w:t>A-20</w:t>
            </w:r>
          </w:p>
        </w:tc>
      </w:tr>
      <w:tr>
        <w:trPr>
          <w:trHeight w:val="20"/>
        </w:trPr>
        <w:tc>
          <w:tcPr>
            <w:tcW w:w="98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7.3</w:t>
            </w:r>
          </w:p>
        </w:tc>
        <w:tc>
          <w:tcPr>
            <w:tcW w:w="2660" w:type="dxa"/>
            <w:vAlign w:val="bottom"/>
            <w:tcBorders>
              <w:bottom w:val="single" w:sz="8" w:color="0000EE"/>
            </w:tcBorders>
            <w:gridSpan w:val="20"/>
          </w:tcPr>
          <w:p>
            <w:pPr>
              <w:spacing w:after="0"/>
              <w:rPr>
                <w:sz w:val="20"/>
                <w:szCs w:val="20"/>
                <w:color w:val="auto"/>
              </w:rPr>
            </w:pPr>
            <w:r>
              <w:rPr>
                <w:rFonts w:ascii="Arial" w:cs="Arial" w:eastAsia="Arial" w:hAnsi="Arial"/>
                <w:sz w:val="19"/>
                <w:szCs w:val="19"/>
                <w:b w:val="1"/>
                <w:bCs w:val="1"/>
                <w:color w:val="0000EE"/>
              </w:rPr>
              <w:t>R</w:t>
            </w:r>
            <w:r>
              <w:rPr>
                <w:rFonts w:ascii="Arial" w:cs="Arial" w:eastAsia="Arial" w:hAnsi="Arial"/>
                <w:sz w:val="15"/>
                <w:szCs w:val="15"/>
                <w:b w:val="1"/>
                <w:bCs w:val="1"/>
                <w:color w:val="0000EE"/>
              </w:rPr>
              <w:t>ESTRICTIONS AND</w:t>
            </w:r>
            <w:r>
              <w:rPr>
                <w:rFonts w:ascii="Arial" w:cs="Arial" w:eastAsia="Arial" w:hAnsi="Arial"/>
                <w:sz w:val="19"/>
                <w:szCs w:val="19"/>
                <w:b w:val="1"/>
                <w:bCs w:val="1"/>
                <w:color w:val="0000EE"/>
              </w:rPr>
              <w:t xml:space="preserve"> C</w:t>
            </w:r>
            <w:r>
              <w:rPr>
                <w:rFonts w:ascii="Arial" w:cs="Arial" w:eastAsia="Arial" w:hAnsi="Arial"/>
                <w:sz w:val="15"/>
                <w:szCs w:val="15"/>
                <w:b w:val="1"/>
                <w:bCs w:val="1"/>
                <w:color w:val="0000EE"/>
              </w:rPr>
              <w:t>ONDITIONS</w:t>
            </w:r>
          </w:p>
        </w:tc>
        <w:tc>
          <w:tcPr>
            <w:tcW w:w="3800" w:type="dxa"/>
            <w:vAlign w:val="bottom"/>
            <w:gridSpan w:val="11"/>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A-20</w:t>
            </w:r>
          </w:p>
        </w:tc>
      </w:tr>
      <w:tr>
        <w:trPr>
          <w:trHeight w:val="331"/>
        </w:trPr>
        <w:tc>
          <w:tcPr>
            <w:tcW w:w="7440" w:type="dxa"/>
            <w:vAlign w:val="bottom"/>
            <w:gridSpan w:val="33"/>
          </w:tcPr>
          <w:p>
            <w:pPr>
              <w:spacing w:after="0"/>
              <w:rPr>
                <w:sz w:val="20"/>
                <w:szCs w:val="20"/>
                <w:color w:val="auto"/>
              </w:rPr>
            </w:pPr>
            <w:r>
              <w:rPr>
                <w:rFonts w:ascii="Arial" w:cs="Arial" w:eastAsia="Arial" w:hAnsi="Arial"/>
                <w:sz w:val="19"/>
                <w:szCs w:val="19"/>
                <w:b w:val="1"/>
                <w:bCs w:val="1"/>
                <w:color w:val="0000EE"/>
              </w:rPr>
              <w:t>ARTICLE VIII OTHER STOCK-BASED AWARDS</w:t>
            </w:r>
          </w:p>
        </w:tc>
        <w:tc>
          <w:tcPr>
            <w:tcW w:w="3580" w:type="dxa"/>
            <w:vAlign w:val="bottom"/>
          </w:tcPr>
          <w:p>
            <w:pPr>
              <w:ind w:left="2960"/>
              <w:spacing w:after="0"/>
              <w:rPr>
                <w:sz w:val="20"/>
                <w:szCs w:val="20"/>
                <w:color w:val="auto"/>
              </w:rPr>
            </w:pPr>
            <w:r>
              <w:rPr>
                <w:rFonts w:ascii="Arial" w:cs="Arial" w:eastAsia="Arial" w:hAnsi="Arial"/>
                <w:sz w:val="19"/>
                <w:szCs w:val="19"/>
                <w:color w:val="auto"/>
              </w:rPr>
              <w:t>A-22</w:t>
            </w:r>
          </w:p>
        </w:tc>
      </w:tr>
      <w:tr>
        <w:trPr>
          <w:trHeight w:val="331"/>
        </w:trPr>
        <w:tc>
          <w:tcPr>
            <w:tcW w:w="980" w:type="dxa"/>
            <w:vAlign w:val="bottom"/>
            <w:tcBorders>
              <w:top w:val="single" w:sz="8" w:color="0000EE"/>
            </w:tcBorders>
            <w:gridSpan w:val="2"/>
          </w:tcPr>
          <w:p>
            <w:pPr>
              <w:ind w:left="280"/>
              <w:spacing w:after="0"/>
              <w:rPr>
                <w:sz w:val="20"/>
                <w:szCs w:val="20"/>
                <w:color w:val="auto"/>
              </w:rPr>
            </w:pPr>
            <w:r>
              <w:rPr>
                <w:rFonts w:ascii="Arial" w:cs="Arial" w:eastAsia="Arial" w:hAnsi="Arial"/>
                <w:sz w:val="19"/>
                <w:szCs w:val="19"/>
                <w:b w:val="1"/>
                <w:bCs w:val="1"/>
                <w:color w:val="auto"/>
              </w:rPr>
              <w:t>8.1</w:t>
            </w:r>
          </w:p>
        </w:tc>
        <w:tc>
          <w:tcPr>
            <w:tcW w:w="13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9"/>
                <w:szCs w:val="19"/>
                <w:b w:val="1"/>
                <w:bCs w:val="1"/>
                <w:color w:val="0000EE"/>
              </w:rPr>
              <w:t>O</w:t>
            </w:r>
            <w:r>
              <w:rPr>
                <w:rFonts w:ascii="Arial" w:cs="Arial" w:eastAsia="Arial" w:hAnsi="Arial"/>
                <w:sz w:val="15"/>
                <w:szCs w:val="15"/>
                <w:b w:val="1"/>
                <w:bCs w:val="1"/>
                <w:color w:val="0000EE"/>
              </w:rPr>
              <w:t>THER</w:t>
            </w:r>
            <w:r>
              <w:rPr>
                <w:rFonts w:ascii="Arial" w:cs="Arial" w:eastAsia="Arial" w:hAnsi="Arial"/>
                <w:sz w:val="19"/>
                <w:szCs w:val="19"/>
                <w:b w:val="1"/>
                <w:bCs w:val="1"/>
                <w:color w:val="0000EE"/>
              </w:rPr>
              <w:t xml:space="preserve"> A</w:t>
            </w:r>
            <w:r>
              <w:rPr>
                <w:rFonts w:ascii="Arial" w:cs="Arial" w:eastAsia="Arial" w:hAnsi="Arial"/>
                <w:sz w:val="15"/>
                <w:szCs w:val="15"/>
                <w:b w:val="1"/>
                <w:bCs w:val="1"/>
                <w:color w:val="0000EE"/>
              </w:rPr>
              <w:t>WARDS</w:t>
            </w:r>
          </w:p>
        </w:tc>
        <w:tc>
          <w:tcPr>
            <w:tcW w:w="1840" w:type="dxa"/>
            <w:vAlign w:val="bottom"/>
            <w:tcBorders>
              <w:top w:val="single" w:sz="8" w:color="0000EE"/>
            </w:tcBorders>
            <w:gridSpan w:val="18"/>
          </w:tcPr>
          <w:p>
            <w:pPr>
              <w:spacing w:after="0"/>
              <w:rPr>
                <w:sz w:val="24"/>
                <w:szCs w:val="24"/>
                <w:color w:val="auto"/>
              </w:rPr>
            </w:pPr>
          </w:p>
        </w:tc>
        <w:tc>
          <w:tcPr>
            <w:tcW w:w="3260" w:type="dxa"/>
            <w:vAlign w:val="bottom"/>
            <w:gridSpan w:val="7"/>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A-22</w:t>
            </w: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8.2</w:t>
            </w:r>
          </w:p>
        </w:tc>
        <w:tc>
          <w:tcPr>
            <w:tcW w:w="2040" w:type="dxa"/>
            <w:vAlign w:val="bottom"/>
            <w:tcBorders>
              <w:bottom w:val="single" w:sz="8" w:color="0000EE"/>
            </w:tcBorders>
            <w:gridSpan w:val="12"/>
          </w:tcPr>
          <w:p>
            <w:pPr>
              <w:spacing w:after="0"/>
              <w:rPr>
                <w:sz w:val="20"/>
                <w:szCs w:val="20"/>
                <w:color w:val="auto"/>
              </w:rPr>
            </w:pPr>
            <w:r>
              <w:rPr>
                <w:rFonts w:ascii="Arial" w:cs="Arial" w:eastAsia="Arial" w:hAnsi="Arial"/>
                <w:sz w:val="19"/>
                <w:szCs w:val="19"/>
                <w:b w:val="1"/>
                <w:bCs w:val="1"/>
                <w:color w:val="0000EE"/>
              </w:rPr>
              <w:t>T</w:t>
            </w:r>
            <w:r>
              <w:rPr>
                <w:rFonts w:ascii="Arial" w:cs="Arial" w:eastAsia="Arial" w:hAnsi="Arial"/>
                <w:sz w:val="15"/>
                <w:szCs w:val="15"/>
                <w:b w:val="1"/>
                <w:bCs w:val="1"/>
                <w:color w:val="0000EE"/>
              </w:rPr>
              <w:t>ERMS AND</w:t>
            </w:r>
            <w:r>
              <w:rPr>
                <w:rFonts w:ascii="Arial" w:cs="Arial" w:eastAsia="Arial" w:hAnsi="Arial"/>
                <w:sz w:val="19"/>
                <w:szCs w:val="19"/>
                <w:b w:val="1"/>
                <w:bCs w:val="1"/>
                <w:color w:val="0000EE"/>
              </w:rPr>
              <w:t xml:space="preserve"> C</w:t>
            </w:r>
            <w:r>
              <w:rPr>
                <w:rFonts w:ascii="Arial" w:cs="Arial" w:eastAsia="Arial" w:hAnsi="Arial"/>
                <w:sz w:val="15"/>
                <w:szCs w:val="15"/>
                <w:b w:val="1"/>
                <w:bCs w:val="1"/>
                <w:color w:val="0000EE"/>
              </w:rPr>
              <w:t>ONDITIONS</w:t>
            </w:r>
          </w:p>
        </w:tc>
        <w:tc>
          <w:tcPr>
            <w:tcW w:w="4420" w:type="dxa"/>
            <w:vAlign w:val="bottom"/>
            <w:gridSpan w:val="19"/>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A-22</w:t>
            </w:r>
          </w:p>
        </w:tc>
      </w:tr>
      <w:tr>
        <w:trPr>
          <w:trHeight w:val="331"/>
        </w:trPr>
        <w:tc>
          <w:tcPr>
            <w:tcW w:w="4780" w:type="dxa"/>
            <w:vAlign w:val="bottom"/>
            <w:tcBorders>
              <w:bottom w:val="single" w:sz="8" w:color="0000EE"/>
            </w:tcBorders>
            <w:gridSpan w:val="29"/>
          </w:tcPr>
          <w:p>
            <w:pPr>
              <w:spacing w:after="0"/>
              <w:rPr>
                <w:sz w:val="20"/>
                <w:szCs w:val="20"/>
                <w:color w:val="auto"/>
              </w:rPr>
            </w:pPr>
            <w:r>
              <w:rPr>
                <w:rFonts w:ascii="Arial" w:cs="Arial" w:eastAsia="Arial" w:hAnsi="Arial"/>
                <w:sz w:val="19"/>
                <w:szCs w:val="19"/>
                <w:b w:val="1"/>
                <w:bCs w:val="1"/>
                <w:color w:val="0000EE"/>
                <w:w w:val="98"/>
              </w:rPr>
              <w:t>ARTICLE IX PERFORMANCE-BASED CASH AWARDS</w:t>
            </w:r>
          </w:p>
        </w:tc>
        <w:tc>
          <w:tcPr>
            <w:tcW w:w="2660" w:type="dxa"/>
            <w:vAlign w:val="bottom"/>
            <w:gridSpan w:val="4"/>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A-23</w:t>
            </w: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9.1</w:t>
            </w:r>
          </w:p>
        </w:tc>
        <w:tc>
          <w:tcPr>
            <w:tcW w:w="6460" w:type="dxa"/>
            <w:vAlign w:val="bottom"/>
            <w:gridSpan w:val="31"/>
          </w:tcPr>
          <w:p>
            <w:pPr>
              <w:spacing w:after="0"/>
              <w:rPr>
                <w:sz w:val="20"/>
                <w:szCs w:val="20"/>
                <w:color w:val="auto"/>
              </w:rPr>
            </w:pPr>
            <w:r>
              <w:rPr>
                <w:rFonts w:ascii="Arial" w:cs="Arial" w:eastAsia="Arial" w:hAnsi="Arial"/>
                <w:sz w:val="19"/>
                <w:szCs w:val="19"/>
                <w:b w:val="1"/>
                <w:bCs w:val="1"/>
                <w:color w:val="0000EE"/>
              </w:rPr>
              <w:t>P</w:t>
            </w:r>
            <w:r>
              <w:rPr>
                <w:rFonts w:ascii="Arial" w:cs="Arial" w:eastAsia="Arial" w:hAnsi="Arial"/>
                <w:sz w:val="15"/>
                <w:szCs w:val="15"/>
                <w:b w:val="1"/>
                <w:bCs w:val="1"/>
                <w:color w:val="0000EE"/>
              </w:rPr>
              <w:t>ERFORMANCE</w:t>
            </w:r>
            <w:r>
              <w:rPr>
                <w:rFonts w:ascii="Arial" w:cs="Arial" w:eastAsia="Arial" w:hAnsi="Arial"/>
                <w:sz w:val="19"/>
                <w:szCs w:val="19"/>
                <w:b w:val="1"/>
                <w:bCs w:val="1"/>
                <w:color w:val="0000EE"/>
              </w:rPr>
              <w:t>-B</w:t>
            </w:r>
            <w:r>
              <w:rPr>
                <w:rFonts w:ascii="Arial" w:cs="Arial" w:eastAsia="Arial" w:hAnsi="Arial"/>
                <w:sz w:val="15"/>
                <w:szCs w:val="15"/>
                <w:b w:val="1"/>
                <w:bCs w:val="1"/>
                <w:color w:val="0000EE"/>
              </w:rPr>
              <w:t>ASED</w:t>
            </w:r>
            <w:r>
              <w:rPr>
                <w:rFonts w:ascii="Arial" w:cs="Arial" w:eastAsia="Arial" w:hAnsi="Arial"/>
                <w:sz w:val="19"/>
                <w:szCs w:val="19"/>
                <w:b w:val="1"/>
                <w:bCs w:val="1"/>
                <w:color w:val="0000EE"/>
              </w:rPr>
              <w:t xml:space="preserve"> C</w:t>
            </w:r>
            <w:r>
              <w:rPr>
                <w:rFonts w:ascii="Arial" w:cs="Arial" w:eastAsia="Arial" w:hAnsi="Arial"/>
                <w:sz w:val="15"/>
                <w:szCs w:val="15"/>
                <w:b w:val="1"/>
                <w:bCs w:val="1"/>
                <w:color w:val="0000EE"/>
              </w:rPr>
              <w:t>ASH</w:t>
            </w:r>
            <w:r>
              <w:rPr>
                <w:rFonts w:ascii="Arial" w:cs="Arial" w:eastAsia="Arial" w:hAnsi="Arial"/>
                <w:sz w:val="19"/>
                <w:szCs w:val="19"/>
                <w:b w:val="1"/>
                <w:bCs w:val="1"/>
                <w:color w:val="0000EE"/>
              </w:rPr>
              <w:t xml:space="preserve"> A</w:t>
            </w:r>
            <w:r>
              <w:rPr>
                <w:rFonts w:ascii="Arial" w:cs="Arial" w:eastAsia="Arial" w:hAnsi="Arial"/>
                <w:sz w:val="15"/>
                <w:szCs w:val="15"/>
                <w:b w:val="1"/>
                <w:bCs w:val="1"/>
                <w:color w:val="0000EE"/>
              </w:rPr>
              <w:t>WARDS</w:t>
            </w:r>
          </w:p>
        </w:tc>
        <w:tc>
          <w:tcPr>
            <w:tcW w:w="3580" w:type="dxa"/>
            <w:vAlign w:val="bottom"/>
          </w:tcPr>
          <w:p>
            <w:pPr>
              <w:ind w:left="2960"/>
              <w:spacing w:after="0"/>
              <w:rPr>
                <w:sz w:val="20"/>
                <w:szCs w:val="20"/>
                <w:color w:val="auto"/>
              </w:rPr>
            </w:pPr>
            <w:r>
              <w:rPr>
                <w:rFonts w:ascii="Arial" w:cs="Arial" w:eastAsia="Arial" w:hAnsi="Arial"/>
                <w:sz w:val="19"/>
                <w:szCs w:val="19"/>
                <w:color w:val="auto"/>
              </w:rPr>
              <w:t>A-23</w:t>
            </w: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9.2</w:t>
            </w:r>
          </w:p>
        </w:tc>
        <w:tc>
          <w:tcPr>
            <w:tcW w:w="204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9"/>
                <w:szCs w:val="19"/>
                <w:b w:val="1"/>
                <w:bCs w:val="1"/>
                <w:color w:val="0000EE"/>
              </w:rPr>
              <w:t>T</w:t>
            </w:r>
            <w:r>
              <w:rPr>
                <w:rFonts w:ascii="Arial" w:cs="Arial" w:eastAsia="Arial" w:hAnsi="Arial"/>
                <w:sz w:val="15"/>
                <w:szCs w:val="15"/>
                <w:b w:val="1"/>
                <w:bCs w:val="1"/>
                <w:color w:val="0000EE"/>
              </w:rPr>
              <w:t>ERMS AND</w:t>
            </w:r>
            <w:r>
              <w:rPr>
                <w:rFonts w:ascii="Arial" w:cs="Arial" w:eastAsia="Arial" w:hAnsi="Arial"/>
                <w:sz w:val="19"/>
                <w:szCs w:val="19"/>
                <w:b w:val="1"/>
                <w:bCs w:val="1"/>
                <w:color w:val="0000EE"/>
              </w:rPr>
              <w:t xml:space="preserve"> C</w:t>
            </w:r>
            <w:r>
              <w:rPr>
                <w:rFonts w:ascii="Arial" w:cs="Arial" w:eastAsia="Arial" w:hAnsi="Arial"/>
                <w:sz w:val="15"/>
                <w:szCs w:val="15"/>
                <w:b w:val="1"/>
                <w:bCs w:val="1"/>
                <w:color w:val="0000EE"/>
              </w:rPr>
              <w:t>ONDITIONS</w:t>
            </w:r>
          </w:p>
        </w:tc>
        <w:tc>
          <w:tcPr>
            <w:tcW w:w="1140" w:type="dxa"/>
            <w:vAlign w:val="bottom"/>
            <w:tcBorders>
              <w:top w:val="single" w:sz="8" w:color="0000EE"/>
            </w:tcBorders>
            <w:gridSpan w:val="11"/>
          </w:tcPr>
          <w:p>
            <w:pPr>
              <w:spacing w:after="0"/>
              <w:rPr>
                <w:sz w:val="24"/>
                <w:szCs w:val="24"/>
                <w:color w:val="auto"/>
              </w:rPr>
            </w:pPr>
          </w:p>
        </w:tc>
        <w:tc>
          <w:tcPr>
            <w:tcW w:w="3280" w:type="dxa"/>
            <w:vAlign w:val="bottom"/>
            <w:gridSpan w:val="8"/>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A-24</w:t>
            </w:r>
          </w:p>
        </w:tc>
      </w:tr>
      <w:tr>
        <w:trPr>
          <w:trHeight w:val="331"/>
        </w:trPr>
        <w:tc>
          <w:tcPr>
            <w:tcW w:w="7440" w:type="dxa"/>
            <w:vAlign w:val="bottom"/>
            <w:gridSpan w:val="33"/>
          </w:tcPr>
          <w:p>
            <w:pPr>
              <w:spacing w:after="0"/>
              <w:rPr>
                <w:sz w:val="20"/>
                <w:szCs w:val="20"/>
                <w:color w:val="auto"/>
              </w:rPr>
            </w:pPr>
            <w:r>
              <w:rPr>
                <w:rFonts w:ascii="Arial" w:cs="Arial" w:eastAsia="Arial" w:hAnsi="Arial"/>
                <w:sz w:val="19"/>
                <w:szCs w:val="19"/>
                <w:b w:val="1"/>
                <w:bCs w:val="1"/>
                <w:color w:val="0000EE"/>
              </w:rPr>
              <w:t>ARTICLE X CHANGE IN CONTROL PROVISIONS</w:t>
            </w:r>
          </w:p>
        </w:tc>
        <w:tc>
          <w:tcPr>
            <w:tcW w:w="3580" w:type="dxa"/>
            <w:vAlign w:val="bottom"/>
          </w:tcPr>
          <w:p>
            <w:pPr>
              <w:ind w:left="2960"/>
              <w:spacing w:after="0"/>
              <w:rPr>
                <w:sz w:val="20"/>
                <w:szCs w:val="20"/>
                <w:color w:val="auto"/>
              </w:rPr>
            </w:pPr>
            <w:r>
              <w:rPr>
                <w:rFonts w:ascii="Arial" w:cs="Arial" w:eastAsia="Arial" w:hAnsi="Arial"/>
                <w:sz w:val="19"/>
                <w:szCs w:val="19"/>
                <w:color w:val="auto"/>
              </w:rPr>
              <w:t>A-25</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331"/>
        </w:trPr>
        <w:tc>
          <w:tcPr>
            <w:tcW w:w="7440" w:type="dxa"/>
            <w:vAlign w:val="bottom"/>
            <w:gridSpan w:val="33"/>
          </w:tcPr>
          <w:p>
            <w:pPr>
              <w:ind w:left="280"/>
              <w:spacing w:after="0"/>
              <w:rPr>
                <w:sz w:val="20"/>
                <w:szCs w:val="20"/>
                <w:color w:val="auto"/>
              </w:rPr>
            </w:pPr>
            <w:r>
              <w:rPr>
                <w:rFonts w:ascii="Arial" w:cs="Arial" w:eastAsia="Arial" w:hAnsi="Arial"/>
                <w:sz w:val="19"/>
                <w:szCs w:val="19"/>
                <w:b w:val="1"/>
                <w:bCs w:val="1"/>
                <w:color w:val="auto"/>
              </w:rPr>
              <w:t xml:space="preserve">10.1   </w:t>
            </w:r>
            <w:r>
              <w:rPr>
                <w:rFonts w:ascii="Arial" w:cs="Arial" w:eastAsia="Arial" w:hAnsi="Arial"/>
                <w:sz w:val="19"/>
                <w:szCs w:val="19"/>
                <w:b w:val="1"/>
                <w:bCs w:val="1"/>
                <w:color w:val="0000EE"/>
              </w:rPr>
              <w:t>G</w:t>
            </w:r>
            <w:r>
              <w:rPr>
                <w:rFonts w:ascii="Arial" w:cs="Arial" w:eastAsia="Arial" w:hAnsi="Arial"/>
                <w:sz w:val="15"/>
                <w:szCs w:val="15"/>
                <w:b w:val="1"/>
                <w:bCs w:val="1"/>
                <w:color w:val="0000EE"/>
              </w:rPr>
              <w:t>ENERAL</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0000EE"/>
              </w:rPr>
              <w:t>C</w:t>
            </w:r>
            <w:r>
              <w:rPr>
                <w:rFonts w:ascii="Arial" w:cs="Arial" w:eastAsia="Arial" w:hAnsi="Arial"/>
                <w:sz w:val="15"/>
                <w:szCs w:val="15"/>
                <w:b w:val="1"/>
                <w:bCs w:val="1"/>
                <w:color w:val="0000EE"/>
              </w:rPr>
              <w:t>HANGE IN</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0000EE"/>
              </w:rPr>
              <w:t>C</w:t>
            </w:r>
            <w:r>
              <w:rPr>
                <w:rFonts w:ascii="Arial" w:cs="Arial" w:eastAsia="Arial" w:hAnsi="Arial"/>
                <w:sz w:val="15"/>
                <w:szCs w:val="15"/>
                <w:b w:val="1"/>
                <w:bCs w:val="1"/>
                <w:color w:val="0000EE"/>
              </w:rPr>
              <w:t>ONTROL</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0000EE"/>
              </w:rPr>
              <w:t>T</w:t>
            </w:r>
            <w:r>
              <w:rPr>
                <w:rFonts w:ascii="Arial" w:cs="Arial" w:eastAsia="Arial" w:hAnsi="Arial"/>
                <w:sz w:val="15"/>
                <w:szCs w:val="15"/>
                <w:b w:val="1"/>
                <w:bCs w:val="1"/>
                <w:color w:val="0000EE"/>
              </w:rPr>
              <w:t>REATMENT</w:t>
            </w:r>
          </w:p>
        </w:tc>
        <w:tc>
          <w:tcPr>
            <w:tcW w:w="3580" w:type="dxa"/>
            <w:vAlign w:val="bottom"/>
          </w:tcPr>
          <w:p>
            <w:pPr>
              <w:ind w:left="2960"/>
              <w:spacing w:after="0"/>
              <w:rPr>
                <w:sz w:val="20"/>
                <w:szCs w:val="20"/>
                <w:color w:val="auto"/>
              </w:rPr>
            </w:pPr>
            <w:r>
              <w:rPr>
                <w:rFonts w:ascii="Arial" w:cs="Arial" w:eastAsia="Arial" w:hAnsi="Arial"/>
                <w:sz w:val="19"/>
                <w:szCs w:val="19"/>
                <w:color w:val="auto"/>
              </w:rPr>
              <w:t>A-25</w:t>
            </w:r>
          </w:p>
        </w:tc>
      </w:tr>
      <w:tr>
        <w:trPr>
          <w:trHeight w:val="20"/>
        </w:trPr>
        <w:tc>
          <w:tcPr>
            <w:tcW w:w="98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331"/>
        </w:trPr>
        <w:tc>
          <w:tcPr>
            <w:tcW w:w="7440" w:type="dxa"/>
            <w:vAlign w:val="bottom"/>
            <w:gridSpan w:val="33"/>
          </w:tcPr>
          <w:p>
            <w:pPr>
              <w:ind w:left="280"/>
              <w:spacing w:after="0"/>
              <w:rPr>
                <w:sz w:val="20"/>
                <w:szCs w:val="20"/>
                <w:color w:val="auto"/>
              </w:rPr>
            </w:pPr>
            <w:r>
              <w:rPr>
                <w:rFonts w:ascii="Arial" w:cs="Arial" w:eastAsia="Arial" w:hAnsi="Arial"/>
                <w:sz w:val="19"/>
                <w:szCs w:val="19"/>
                <w:b w:val="1"/>
                <w:bCs w:val="1"/>
                <w:color w:val="auto"/>
              </w:rPr>
              <w:t xml:space="preserve">10.2   </w:t>
            </w:r>
            <w:r>
              <w:rPr>
                <w:rFonts w:ascii="Arial" w:cs="Arial" w:eastAsia="Arial" w:hAnsi="Arial"/>
                <w:sz w:val="19"/>
                <w:szCs w:val="19"/>
                <w:b w:val="1"/>
                <w:bCs w:val="1"/>
                <w:color w:val="0000EE"/>
              </w:rPr>
              <w:t>T</w:t>
            </w:r>
            <w:r>
              <w:rPr>
                <w:rFonts w:ascii="Arial" w:cs="Arial" w:eastAsia="Arial" w:hAnsi="Arial"/>
                <w:sz w:val="15"/>
                <w:szCs w:val="15"/>
                <w:b w:val="1"/>
                <w:bCs w:val="1"/>
                <w:color w:val="0000EE"/>
              </w:rPr>
              <w:t>ERMINATIONS IN</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0000EE"/>
              </w:rPr>
              <w:t>C</w:t>
            </w:r>
            <w:r>
              <w:rPr>
                <w:rFonts w:ascii="Arial" w:cs="Arial" w:eastAsia="Arial" w:hAnsi="Arial"/>
                <w:sz w:val="15"/>
                <w:szCs w:val="15"/>
                <w:b w:val="1"/>
                <w:bCs w:val="1"/>
                <w:color w:val="0000EE"/>
              </w:rPr>
              <w:t>ONNECTION WITH A</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0000EE"/>
              </w:rPr>
              <w:t>C</w:t>
            </w:r>
            <w:r>
              <w:rPr>
                <w:rFonts w:ascii="Arial" w:cs="Arial" w:eastAsia="Arial" w:hAnsi="Arial"/>
                <w:sz w:val="15"/>
                <w:szCs w:val="15"/>
                <w:b w:val="1"/>
                <w:bCs w:val="1"/>
                <w:color w:val="0000EE"/>
              </w:rPr>
              <w:t>HANGE IN</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0000EE"/>
              </w:rPr>
              <w:t>C</w:t>
            </w:r>
            <w:r>
              <w:rPr>
                <w:rFonts w:ascii="Arial" w:cs="Arial" w:eastAsia="Arial" w:hAnsi="Arial"/>
                <w:sz w:val="15"/>
                <w:szCs w:val="15"/>
                <w:b w:val="1"/>
                <w:bCs w:val="1"/>
                <w:color w:val="0000EE"/>
              </w:rPr>
              <w:t>ONTROL</w:t>
            </w:r>
          </w:p>
        </w:tc>
        <w:tc>
          <w:tcPr>
            <w:tcW w:w="3580" w:type="dxa"/>
            <w:vAlign w:val="bottom"/>
          </w:tcPr>
          <w:p>
            <w:pPr>
              <w:ind w:left="2960"/>
              <w:spacing w:after="0"/>
              <w:rPr>
                <w:sz w:val="20"/>
                <w:szCs w:val="20"/>
                <w:color w:val="auto"/>
              </w:rPr>
            </w:pPr>
            <w:r>
              <w:rPr>
                <w:rFonts w:ascii="Arial" w:cs="Arial" w:eastAsia="Arial" w:hAnsi="Arial"/>
                <w:sz w:val="19"/>
                <w:szCs w:val="19"/>
                <w:color w:val="auto"/>
              </w:rPr>
              <w:t>A-25</w:t>
            </w:r>
          </w:p>
        </w:tc>
      </w:tr>
      <w:tr>
        <w:trPr>
          <w:trHeight w:val="20"/>
        </w:trPr>
        <w:tc>
          <w:tcPr>
            <w:tcW w:w="98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331"/>
        </w:trPr>
        <w:tc>
          <w:tcPr>
            <w:tcW w:w="4900" w:type="dxa"/>
            <w:vAlign w:val="bottom"/>
            <w:tcBorders>
              <w:bottom w:val="single" w:sz="8" w:color="0000EE"/>
            </w:tcBorders>
            <w:gridSpan w:val="30"/>
          </w:tcPr>
          <w:p>
            <w:pPr>
              <w:spacing w:after="0"/>
              <w:rPr>
                <w:sz w:val="20"/>
                <w:szCs w:val="20"/>
                <w:color w:val="auto"/>
              </w:rPr>
            </w:pPr>
            <w:r>
              <w:rPr>
                <w:rFonts w:ascii="Arial" w:cs="Arial" w:eastAsia="Arial" w:hAnsi="Arial"/>
                <w:sz w:val="19"/>
                <w:szCs w:val="19"/>
                <w:b w:val="1"/>
                <w:bCs w:val="1"/>
                <w:color w:val="0000EE"/>
                <w:w w:val="98"/>
              </w:rPr>
              <w:t>ARTICLE XI TERMINATION OR AMENDMENT OF PLAN</w:t>
            </w:r>
          </w:p>
        </w:tc>
        <w:tc>
          <w:tcPr>
            <w:tcW w:w="2540" w:type="dxa"/>
            <w:vAlign w:val="bottom"/>
            <w:gridSpan w:val="3"/>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A-25</w:t>
            </w:r>
          </w:p>
        </w:tc>
      </w:tr>
      <w:tr>
        <w:trPr>
          <w:trHeight w:val="331"/>
        </w:trPr>
        <w:tc>
          <w:tcPr>
            <w:tcW w:w="2780" w:type="dxa"/>
            <w:vAlign w:val="bottom"/>
            <w:tcBorders>
              <w:bottom w:val="single" w:sz="8" w:color="0000EE"/>
            </w:tcBorders>
            <w:gridSpan w:val="12"/>
          </w:tcPr>
          <w:p>
            <w:pPr>
              <w:spacing w:after="0"/>
              <w:rPr>
                <w:sz w:val="20"/>
                <w:szCs w:val="20"/>
                <w:color w:val="auto"/>
              </w:rPr>
            </w:pPr>
            <w:r>
              <w:rPr>
                <w:rFonts w:ascii="Arial" w:cs="Arial" w:eastAsia="Arial" w:hAnsi="Arial"/>
                <w:sz w:val="19"/>
                <w:szCs w:val="19"/>
                <w:b w:val="1"/>
                <w:bCs w:val="1"/>
                <w:color w:val="0000EE"/>
                <w:w w:val="98"/>
              </w:rPr>
              <w:t>ARTICLE XII UNFUNDED PLAN</w:t>
            </w:r>
          </w:p>
        </w:tc>
        <w:tc>
          <w:tcPr>
            <w:tcW w:w="4660" w:type="dxa"/>
            <w:vAlign w:val="bottom"/>
            <w:gridSpan w:val="21"/>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A-26</w:t>
            </w:r>
          </w:p>
        </w:tc>
      </w:tr>
      <w:tr>
        <w:trPr>
          <w:trHeight w:val="331"/>
        </w:trPr>
        <w:tc>
          <w:tcPr>
            <w:tcW w:w="3360" w:type="dxa"/>
            <w:vAlign w:val="bottom"/>
            <w:tcBorders>
              <w:bottom w:val="single" w:sz="8" w:color="0000EE"/>
            </w:tcBorders>
            <w:gridSpan w:val="20"/>
          </w:tcPr>
          <w:p>
            <w:pPr>
              <w:spacing w:after="0"/>
              <w:rPr>
                <w:sz w:val="20"/>
                <w:szCs w:val="20"/>
                <w:color w:val="auto"/>
              </w:rPr>
            </w:pPr>
            <w:r>
              <w:rPr>
                <w:rFonts w:ascii="Arial" w:cs="Arial" w:eastAsia="Arial" w:hAnsi="Arial"/>
                <w:sz w:val="19"/>
                <w:szCs w:val="19"/>
                <w:b w:val="1"/>
                <w:bCs w:val="1"/>
                <w:color w:val="0000EE"/>
                <w:w w:val="98"/>
              </w:rPr>
              <w:t>ARTICLE XIII GENERAL PROVISIONS</w:t>
            </w:r>
          </w:p>
        </w:tc>
        <w:tc>
          <w:tcPr>
            <w:tcW w:w="4080" w:type="dxa"/>
            <w:vAlign w:val="bottom"/>
            <w:gridSpan w:val="13"/>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A-26</w:t>
            </w: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13.1</w:t>
            </w:r>
          </w:p>
        </w:tc>
        <w:tc>
          <w:tcPr>
            <w:tcW w:w="680" w:type="dxa"/>
            <w:vAlign w:val="bottom"/>
            <w:tcBorders>
              <w:bottom w:val="single" w:sz="8" w:color="0000EE"/>
            </w:tcBorders>
          </w:tcPr>
          <w:p>
            <w:pPr>
              <w:spacing w:after="0"/>
              <w:rPr>
                <w:sz w:val="20"/>
                <w:szCs w:val="20"/>
                <w:color w:val="auto"/>
              </w:rPr>
            </w:pPr>
            <w:r>
              <w:rPr>
                <w:rFonts w:ascii="Arial" w:cs="Arial" w:eastAsia="Arial" w:hAnsi="Arial"/>
                <w:sz w:val="19"/>
                <w:szCs w:val="19"/>
                <w:b w:val="1"/>
                <w:bCs w:val="1"/>
                <w:color w:val="0000EE"/>
              </w:rPr>
              <w:t>L</w:t>
            </w:r>
            <w:r>
              <w:rPr>
                <w:rFonts w:ascii="Arial" w:cs="Arial" w:eastAsia="Arial" w:hAnsi="Arial"/>
                <w:sz w:val="15"/>
                <w:szCs w:val="15"/>
                <w:b w:val="1"/>
                <w:bCs w:val="1"/>
                <w:color w:val="0000EE"/>
              </w:rPr>
              <w:t>EGEND</w:t>
            </w:r>
          </w:p>
        </w:tc>
        <w:tc>
          <w:tcPr>
            <w:tcW w:w="5780" w:type="dxa"/>
            <w:vAlign w:val="bottom"/>
            <w:gridSpan w:val="30"/>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A-26</w:t>
            </w: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13.2</w:t>
            </w:r>
          </w:p>
        </w:tc>
        <w:tc>
          <w:tcPr>
            <w:tcW w:w="6460" w:type="dxa"/>
            <w:vAlign w:val="bottom"/>
            <w:gridSpan w:val="31"/>
          </w:tcPr>
          <w:p>
            <w:pPr>
              <w:spacing w:after="0"/>
              <w:rPr>
                <w:sz w:val="20"/>
                <w:szCs w:val="20"/>
                <w:color w:val="auto"/>
              </w:rPr>
            </w:pPr>
            <w:r>
              <w:rPr>
                <w:rFonts w:ascii="Arial" w:cs="Arial" w:eastAsia="Arial" w:hAnsi="Arial"/>
                <w:sz w:val="19"/>
                <w:szCs w:val="19"/>
                <w:b w:val="1"/>
                <w:bCs w:val="1"/>
                <w:color w:val="0000EE"/>
              </w:rPr>
              <w:t>O</w:t>
            </w:r>
            <w:r>
              <w:rPr>
                <w:rFonts w:ascii="Arial" w:cs="Arial" w:eastAsia="Arial" w:hAnsi="Arial"/>
                <w:sz w:val="15"/>
                <w:szCs w:val="15"/>
                <w:b w:val="1"/>
                <w:bCs w:val="1"/>
                <w:color w:val="0000EE"/>
              </w:rPr>
              <w:t>THER</w:t>
            </w:r>
            <w:r>
              <w:rPr>
                <w:rFonts w:ascii="Arial" w:cs="Arial" w:eastAsia="Arial" w:hAnsi="Arial"/>
                <w:sz w:val="19"/>
                <w:szCs w:val="19"/>
                <w:b w:val="1"/>
                <w:bCs w:val="1"/>
                <w:color w:val="0000EE"/>
              </w:rPr>
              <w:t xml:space="preserve"> P</w:t>
            </w:r>
            <w:r>
              <w:rPr>
                <w:rFonts w:ascii="Arial" w:cs="Arial" w:eastAsia="Arial" w:hAnsi="Arial"/>
                <w:sz w:val="15"/>
                <w:szCs w:val="15"/>
                <w:b w:val="1"/>
                <w:bCs w:val="1"/>
                <w:color w:val="0000EE"/>
              </w:rPr>
              <w:t>LANS</w:t>
            </w:r>
          </w:p>
        </w:tc>
        <w:tc>
          <w:tcPr>
            <w:tcW w:w="3580" w:type="dxa"/>
            <w:vAlign w:val="bottom"/>
          </w:tcPr>
          <w:p>
            <w:pPr>
              <w:ind w:left="2960"/>
              <w:spacing w:after="0"/>
              <w:rPr>
                <w:sz w:val="20"/>
                <w:szCs w:val="20"/>
                <w:color w:val="auto"/>
              </w:rPr>
            </w:pPr>
            <w:r>
              <w:rPr>
                <w:rFonts w:ascii="Arial" w:cs="Arial" w:eastAsia="Arial" w:hAnsi="Arial"/>
                <w:sz w:val="19"/>
                <w:szCs w:val="19"/>
                <w:color w:val="auto"/>
              </w:rPr>
              <w:t>A-27</w:t>
            </w:r>
          </w:p>
        </w:tc>
      </w:tr>
      <w:tr>
        <w:trPr>
          <w:trHeight w:val="20"/>
        </w:trPr>
        <w:tc>
          <w:tcPr>
            <w:tcW w:w="980" w:type="dxa"/>
            <w:vAlign w:val="bottom"/>
            <w:gridSpan w:val="2"/>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331"/>
        </w:trPr>
        <w:tc>
          <w:tcPr>
            <w:tcW w:w="7440" w:type="dxa"/>
            <w:vAlign w:val="bottom"/>
            <w:gridSpan w:val="33"/>
          </w:tcPr>
          <w:p>
            <w:pPr>
              <w:ind w:left="280"/>
              <w:spacing w:after="0"/>
              <w:rPr>
                <w:sz w:val="20"/>
                <w:szCs w:val="20"/>
                <w:color w:val="auto"/>
              </w:rPr>
            </w:pPr>
            <w:r>
              <w:rPr>
                <w:rFonts w:ascii="Arial" w:cs="Arial" w:eastAsia="Arial" w:hAnsi="Arial"/>
                <w:sz w:val="19"/>
                <w:szCs w:val="19"/>
                <w:b w:val="1"/>
                <w:bCs w:val="1"/>
                <w:color w:val="auto"/>
              </w:rPr>
              <w:t xml:space="preserve">13.3   </w:t>
            </w:r>
            <w:r>
              <w:rPr>
                <w:rFonts w:ascii="Arial" w:cs="Arial" w:eastAsia="Arial" w:hAnsi="Arial"/>
                <w:sz w:val="19"/>
                <w:szCs w:val="19"/>
                <w:b w:val="1"/>
                <w:bCs w:val="1"/>
                <w:color w:val="0000EE"/>
              </w:rPr>
              <w:t>N</w:t>
            </w:r>
            <w:r>
              <w:rPr>
                <w:rFonts w:ascii="Arial" w:cs="Arial" w:eastAsia="Arial" w:hAnsi="Arial"/>
                <w:sz w:val="15"/>
                <w:szCs w:val="15"/>
                <w:b w:val="1"/>
                <w:bCs w:val="1"/>
                <w:color w:val="0000EE"/>
              </w:rPr>
              <w:t>O</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0000EE"/>
              </w:rPr>
              <w:t>R</w:t>
            </w:r>
            <w:r>
              <w:rPr>
                <w:rFonts w:ascii="Arial" w:cs="Arial" w:eastAsia="Arial" w:hAnsi="Arial"/>
                <w:sz w:val="15"/>
                <w:szCs w:val="15"/>
                <w:b w:val="1"/>
                <w:bCs w:val="1"/>
                <w:color w:val="0000EE"/>
              </w:rPr>
              <w:t>IGHT TO</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0000EE"/>
              </w:rPr>
              <w:t>E</w:t>
            </w:r>
            <w:r>
              <w:rPr>
                <w:rFonts w:ascii="Arial" w:cs="Arial" w:eastAsia="Arial" w:hAnsi="Arial"/>
                <w:sz w:val="15"/>
                <w:szCs w:val="15"/>
                <w:b w:val="1"/>
                <w:bCs w:val="1"/>
                <w:color w:val="0000EE"/>
              </w:rPr>
              <w:t>MPLOYMENT</w:t>
            </w:r>
            <w:r>
              <w:rPr>
                <w:rFonts w:ascii="Arial" w:cs="Arial" w:eastAsia="Arial" w:hAnsi="Arial"/>
                <w:sz w:val="19"/>
                <w:szCs w:val="19"/>
                <w:b w:val="1"/>
                <w:bCs w:val="1"/>
                <w:color w:val="0000EE"/>
              </w:rPr>
              <w:t>/C</w:t>
            </w:r>
            <w:r>
              <w:rPr>
                <w:rFonts w:ascii="Arial" w:cs="Arial" w:eastAsia="Arial" w:hAnsi="Arial"/>
                <w:sz w:val="15"/>
                <w:szCs w:val="15"/>
                <w:b w:val="1"/>
                <w:bCs w:val="1"/>
                <w:color w:val="0000EE"/>
              </w:rPr>
              <w:t>ONSULTANCY</w:t>
            </w:r>
            <w:r>
              <w:rPr>
                <w:rFonts w:ascii="Arial" w:cs="Arial" w:eastAsia="Arial" w:hAnsi="Arial"/>
                <w:sz w:val="19"/>
                <w:szCs w:val="19"/>
                <w:b w:val="1"/>
                <w:bCs w:val="1"/>
                <w:color w:val="0000EE"/>
              </w:rPr>
              <w:t>/D</w:t>
            </w:r>
            <w:r>
              <w:rPr>
                <w:rFonts w:ascii="Arial" w:cs="Arial" w:eastAsia="Arial" w:hAnsi="Arial"/>
                <w:sz w:val="15"/>
                <w:szCs w:val="15"/>
                <w:b w:val="1"/>
                <w:bCs w:val="1"/>
                <w:color w:val="0000EE"/>
              </w:rPr>
              <w:t>IRECTORSHIP</w:t>
            </w:r>
          </w:p>
        </w:tc>
        <w:tc>
          <w:tcPr>
            <w:tcW w:w="3580" w:type="dxa"/>
            <w:vAlign w:val="bottom"/>
          </w:tcPr>
          <w:p>
            <w:pPr>
              <w:ind w:left="2960"/>
              <w:spacing w:after="0"/>
              <w:rPr>
                <w:sz w:val="20"/>
                <w:szCs w:val="20"/>
                <w:color w:val="auto"/>
              </w:rPr>
            </w:pPr>
            <w:r>
              <w:rPr>
                <w:rFonts w:ascii="Arial" w:cs="Arial" w:eastAsia="Arial" w:hAnsi="Arial"/>
                <w:sz w:val="19"/>
                <w:szCs w:val="19"/>
                <w:color w:val="auto"/>
              </w:rPr>
              <w:t>A-27</w:t>
            </w:r>
          </w:p>
        </w:tc>
      </w:tr>
      <w:tr>
        <w:trPr>
          <w:trHeight w:val="331"/>
        </w:trPr>
        <w:tc>
          <w:tcPr>
            <w:tcW w:w="980" w:type="dxa"/>
            <w:vAlign w:val="bottom"/>
            <w:gridSpan w:val="2"/>
          </w:tcPr>
          <w:p>
            <w:pPr>
              <w:ind w:left="280"/>
              <w:spacing w:after="0"/>
              <w:rPr>
                <w:sz w:val="20"/>
                <w:szCs w:val="20"/>
                <w:color w:val="auto"/>
              </w:rPr>
            </w:pPr>
            <w:r>
              <w:rPr>
                <w:rFonts w:ascii="Arial" w:cs="Arial" w:eastAsia="Arial" w:hAnsi="Arial"/>
                <w:sz w:val="19"/>
                <w:szCs w:val="19"/>
                <w:b w:val="1"/>
                <w:bCs w:val="1"/>
                <w:color w:val="auto"/>
              </w:rPr>
              <w:t>13.4</w:t>
            </w:r>
          </w:p>
        </w:tc>
        <w:tc>
          <w:tcPr>
            <w:tcW w:w="4800" w:type="dxa"/>
            <w:vAlign w:val="bottom"/>
            <w:tcBorders>
              <w:top w:val="single" w:sz="8" w:color="0000EE"/>
            </w:tcBorders>
            <w:gridSpan w:val="29"/>
          </w:tcPr>
          <w:p>
            <w:pPr>
              <w:spacing w:after="0"/>
              <w:rPr>
                <w:sz w:val="20"/>
                <w:szCs w:val="20"/>
                <w:color w:val="auto"/>
              </w:rPr>
            </w:pPr>
            <w:r>
              <w:rPr>
                <w:rFonts w:ascii="Arial" w:cs="Arial" w:eastAsia="Arial" w:hAnsi="Arial"/>
                <w:sz w:val="19"/>
                <w:szCs w:val="19"/>
                <w:b w:val="1"/>
                <w:bCs w:val="1"/>
                <w:color w:val="0000EE"/>
              </w:rPr>
              <w:t>W</w:t>
            </w:r>
            <w:r>
              <w:rPr>
                <w:rFonts w:ascii="Arial" w:cs="Arial" w:eastAsia="Arial" w:hAnsi="Arial"/>
                <w:sz w:val="15"/>
                <w:szCs w:val="15"/>
                <w:b w:val="1"/>
                <w:bCs w:val="1"/>
                <w:color w:val="0000EE"/>
              </w:rPr>
              <w:t>ITHHOLDING OF</w:t>
            </w:r>
            <w:r>
              <w:rPr>
                <w:rFonts w:ascii="Arial" w:cs="Arial" w:eastAsia="Arial" w:hAnsi="Arial"/>
                <w:sz w:val="19"/>
                <w:szCs w:val="19"/>
                <w:b w:val="1"/>
                <w:bCs w:val="1"/>
                <w:color w:val="0000EE"/>
              </w:rPr>
              <w:t xml:space="preserve"> T</w:t>
            </w:r>
            <w:r>
              <w:rPr>
                <w:rFonts w:ascii="Arial" w:cs="Arial" w:eastAsia="Arial" w:hAnsi="Arial"/>
                <w:sz w:val="15"/>
                <w:szCs w:val="15"/>
                <w:b w:val="1"/>
                <w:bCs w:val="1"/>
                <w:color w:val="0000EE"/>
              </w:rPr>
              <w:t>AXES</w:t>
            </w:r>
          </w:p>
        </w:tc>
        <w:tc>
          <w:tcPr>
            <w:tcW w:w="1660" w:type="dxa"/>
            <w:vAlign w:val="bottom"/>
            <w:gridSpan w:val="2"/>
          </w:tcPr>
          <w:p>
            <w:pPr>
              <w:spacing w:after="0"/>
              <w:rPr>
                <w:sz w:val="24"/>
                <w:szCs w:val="24"/>
                <w:color w:val="auto"/>
              </w:rPr>
            </w:pPr>
          </w:p>
        </w:tc>
        <w:tc>
          <w:tcPr>
            <w:tcW w:w="3580" w:type="dxa"/>
            <w:vAlign w:val="bottom"/>
          </w:tcPr>
          <w:p>
            <w:pPr>
              <w:ind w:left="2960"/>
              <w:spacing w:after="0"/>
              <w:rPr>
                <w:sz w:val="20"/>
                <w:szCs w:val="20"/>
                <w:color w:val="auto"/>
              </w:rPr>
            </w:pPr>
            <w:r>
              <w:rPr>
                <w:rFonts w:ascii="Arial" w:cs="Arial" w:eastAsia="Arial" w:hAnsi="Arial"/>
                <w:sz w:val="19"/>
                <w:szCs w:val="19"/>
                <w:color w:val="auto"/>
              </w:rPr>
              <w:t>A-27</w:t>
            </w:r>
          </w:p>
        </w:tc>
      </w:tr>
      <w:tr>
        <w:trPr>
          <w:trHeight w:val="20"/>
        </w:trPr>
        <w:tc>
          <w:tcPr>
            <w:tcW w:w="980" w:type="dxa"/>
            <w:vAlign w:val="bottom"/>
            <w:gridSpan w:val="2"/>
          </w:tcPr>
          <w:p>
            <w:pPr>
              <w:spacing w:after="0" w:line="20" w:lineRule="exact"/>
              <w:rPr>
                <w:sz w:val="1"/>
                <w:szCs w:val="1"/>
                <w:color w:val="auto"/>
              </w:rPr>
            </w:pPr>
          </w:p>
        </w:tc>
        <w:tc>
          <w:tcPr>
            <w:tcW w:w="2020" w:type="dxa"/>
            <w:vAlign w:val="bottom"/>
            <w:gridSpan w:val="11"/>
            <w:shd w:val="clear" w:color="auto" w:fill="0000EE"/>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331"/>
        </w:trPr>
        <w:tc>
          <w:tcPr>
            <w:tcW w:w="7440" w:type="dxa"/>
            <w:vAlign w:val="bottom"/>
            <w:gridSpan w:val="33"/>
          </w:tcPr>
          <w:p>
            <w:pPr>
              <w:ind w:left="280"/>
              <w:spacing w:after="0"/>
              <w:rPr>
                <w:sz w:val="20"/>
                <w:szCs w:val="20"/>
                <w:color w:val="auto"/>
              </w:rPr>
            </w:pPr>
            <w:r>
              <w:rPr>
                <w:rFonts w:ascii="Arial" w:cs="Arial" w:eastAsia="Arial" w:hAnsi="Arial"/>
                <w:sz w:val="19"/>
                <w:szCs w:val="19"/>
                <w:b w:val="1"/>
                <w:bCs w:val="1"/>
                <w:color w:val="auto"/>
              </w:rPr>
              <w:t xml:space="preserve">13.5   </w:t>
            </w:r>
            <w:r>
              <w:rPr>
                <w:rFonts w:ascii="Arial" w:cs="Arial" w:eastAsia="Arial" w:hAnsi="Arial"/>
                <w:sz w:val="19"/>
                <w:szCs w:val="19"/>
                <w:b w:val="1"/>
                <w:bCs w:val="1"/>
                <w:color w:val="0000EE"/>
              </w:rPr>
              <w:t>N</w:t>
            </w:r>
            <w:r>
              <w:rPr>
                <w:rFonts w:ascii="Arial" w:cs="Arial" w:eastAsia="Arial" w:hAnsi="Arial"/>
                <w:sz w:val="15"/>
                <w:szCs w:val="15"/>
                <w:b w:val="1"/>
                <w:bCs w:val="1"/>
                <w:color w:val="0000EE"/>
              </w:rPr>
              <w:t>O</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0000EE"/>
              </w:rPr>
              <w:t>A</w:t>
            </w:r>
            <w:r>
              <w:rPr>
                <w:rFonts w:ascii="Arial" w:cs="Arial" w:eastAsia="Arial" w:hAnsi="Arial"/>
                <w:sz w:val="15"/>
                <w:szCs w:val="15"/>
                <w:b w:val="1"/>
                <w:bCs w:val="1"/>
                <w:color w:val="0000EE"/>
              </w:rPr>
              <w:t>SSIGNMENT OF</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0000EE"/>
              </w:rPr>
              <w:t>B</w:t>
            </w:r>
            <w:r>
              <w:rPr>
                <w:rFonts w:ascii="Arial" w:cs="Arial" w:eastAsia="Arial" w:hAnsi="Arial"/>
                <w:sz w:val="15"/>
                <w:szCs w:val="15"/>
                <w:b w:val="1"/>
                <w:bCs w:val="1"/>
                <w:color w:val="0000EE"/>
              </w:rPr>
              <w:t>ENEFIT</w:t>
            </w:r>
            <w:r>
              <w:rPr>
                <w:rFonts w:ascii="Arial" w:cs="Arial" w:eastAsia="Arial" w:hAnsi="Arial"/>
                <w:sz w:val="19"/>
                <w:szCs w:val="19"/>
                <w:b w:val="1"/>
                <w:bCs w:val="1"/>
                <w:color w:val="0000EE"/>
              </w:rPr>
              <w:t>S</w:t>
            </w:r>
          </w:p>
        </w:tc>
        <w:tc>
          <w:tcPr>
            <w:tcW w:w="3580" w:type="dxa"/>
            <w:vAlign w:val="bottom"/>
          </w:tcPr>
          <w:p>
            <w:pPr>
              <w:ind w:left="2960"/>
              <w:spacing w:after="0"/>
              <w:rPr>
                <w:sz w:val="20"/>
                <w:szCs w:val="20"/>
                <w:color w:val="auto"/>
              </w:rPr>
            </w:pPr>
            <w:r>
              <w:rPr>
                <w:rFonts w:ascii="Arial" w:cs="Arial" w:eastAsia="Arial" w:hAnsi="Arial"/>
                <w:sz w:val="19"/>
                <w:szCs w:val="19"/>
                <w:color w:val="auto"/>
              </w:rPr>
              <w:t>A-27</w:t>
            </w:r>
          </w:p>
        </w:tc>
      </w:tr>
      <w:tr>
        <w:trPr>
          <w:trHeight w:val="20"/>
        </w:trPr>
        <w:tc>
          <w:tcPr>
            <w:tcW w:w="980" w:type="dxa"/>
            <w:vAlign w:val="bottom"/>
            <w:gridSpan w:val="2"/>
          </w:tcPr>
          <w:p>
            <w:pPr>
              <w:spacing w:after="0" w:line="20" w:lineRule="exact"/>
              <w:rPr>
                <w:sz w:val="1"/>
                <w:szCs w:val="1"/>
                <w:color w:val="auto"/>
              </w:rPr>
            </w:pPr>
          </w:p>
        </w:tc>
        <w:tc>
          <w:tcPr>
            <w:tcW w:w="2520" w:type="dxa"/>
            <w:vAlign w:val="bottom"/>
            <w:gridSpan w:val="19"/>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331"/>
        </w:trPr>
        <w:tc>
          <w:tcPr>
            <w:tcW w:w="7440" w:type="dxa"/>
            <w:vAlign w:val="bottom"/>
            <w:gridSpan w:val="33"/>
          </w:tcPr>
          <w:p>
            <w:pPr>
              <w:ind w:left="280"/>
              <w:spacing w:after="0"/>
              <w:rPr>
                <w:sz w:val="20"/>
                <w:szCs w:val="20"/>
                <w:color w:val="auto"/>
              </w:rPr>
            </w:pPr>
            <w:r>
              <w:rPr>
                <w:rFonts w:ascii="Arial" w:cs="Arial" w:eastAsia="Arial" w:hAnsi="Arial"/>
                <w:sz w:val="19"/>
                <w:szCs w:val="19"/>
                <w:b w:val="1"/>
                <w:bCs w:val="1"/>
                <w:color w:val="auto"/>
              </w:rPr>
              <w:t xml:space="preserve">13.6   </w:t>
            </w:r>
            <w:r>
              <w:rPr>
                <w:rFonts w:ascii="Arial" w:cs="Arial" w:eastAsia="Arial" w:hAnsi="Arial"/>
                <w:sz w:val="19"/>
                <w:szCs w:val="19"/>
                <w:b w:val="1"/>
                <w:bCs w:val="1"/>
                <w:color w:val="0000EE"/>
              </w:rPr>
              <w:t>L</w:t>
            </w:r>
            <w:r>
              <w:rPr>
                <w:rFonts w:ascii="Arial" w:cs="Arial" w:eastAsia="Arial" w:hAnsi="Arial"/>
                <w:sz w:val="15"/>
                <w:szCs w:val="15"/>
                <w:b w:val="1"/>
                <w:bCs w:val="1"/>
                <w:color w:val="0000EE"/>
              </w:rPr>
              <w:t>ISTING AND</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0000EE"/>
              </w:rPr>
              <w:t>O</w:t>
            </w:r>
            <w:r>
              <w:rPr>
                <w:rFonts w:ascii="Arial" w:cs="Arial" w:eastAsia="Arial" w:hAnsi="Arial"/>
                <w:sz w:val="15"/>
                <w:szCs w:val="15"/>
                <w:b w:val="1"/>
                <w:bCs w:val="1"/>
                <w:color w:val="0000EE"/>
              </w:rPr>
              <w:t>THER</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0000EE"/>
              </w:rPr>
              <w:t>C</w:t>
            </w:r>
            <w:r>
              <w:rPr>
                <w:rFonts w:ascii="Arial" w:cs="Arial" w:eastAsia="Arial" w:hAnsi="Arial"/>
                <w:sz w:val="15"/>
                <w:szCs w:val="15"/>
                <w:b w:val="1"/>
                <w:bCs w:val="1"/>
                <w:color w:val="0000EE"/>
              </w:rPr>
              <w:t>ONDITIONS</w:t>
            </w:r>
          </w:p>
        </w:tc>
        <w:tc>
          <w:tcPr>
            <w:tcW w:w="3580" w:type="dxa"/>
            <w:vAlign w:val="bottom"/>
          </w:tcPr>
          <w:p>
            <w:pPr>
              <w:ind w:left="2960"/>
              <w:spacing w:after="0"/>
              <w:rPr>
                <w:sz w:val="20"/>
                <w:szCs w:val="20"/>
                <w:color w:val="auto"/>
              </w:rPr>
            </w:pPr>
            <w:r>
              <w:rPr>
                <w:rFonts w:ascii="Arial" w:cs="Arial" w:eastAsia="Arial" w:hAnsi="Arial"/>
                <w:sz w:val="19"/>
                <w:szCs w:val="19"/>
                <w:color w:val="auto"/>
              </w:rPr>
              <w:t>A-27</w:t>
            </w:r>
          </w:p>
        </w:tc>
      </w:tr>
      <w:tr>
        <w:trPr>
          <w:trHeight w:val="155"/>
        </w:trPr>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580" w:type="dxa"/>
            <w:vAlign w:val="bottom"/>
          </w:tcPr>
          <w:p>
            <w:pPr>
              <w:spacing w:after="0"/>
              <w:rPr>
                <w:sz w:val="13"/>
                <w:szCs w:val="13"/>
                <w:color w:val="auto"/>
              </w:rPr>
            </w:pPr>
          </w:p>
        </w:tc>
      </w:tr>
      <w:tr>
        <w:trPr>
          <w:trHeight w:val="297"/>
        </w:trPr>
        <w:tc>
          <w:tcPr>
            <w:tcW w:w="440" w:type="dxa"/>
            <w:vAlign w:val="bottom"/>
            <w:shd w:val="clear" w:color="auto" w:fill="002060"/>
          </w:tcPr>
          <w:p>
            <w:pPr>
              <w:ind w:left="80"/>
              <w:spacing w:after="0"/>
              <w:rPr>
                <w:sz w:val="20"/>
                <w:szCs w:val="20"/>
                <w:color w:val="auto"/>
              </w:rPr>
            </w:pPr>
            <w:r>
              <w:rPr>
                <w:rFonts w:ascii="Arial" w:cs="Arial" w:eastAsia="Arial" w:hAnsi="Arial"/>
                <w:sz w:val="16"/>
                <w:szCs w:val="16"/>
                <w:color w:val="FFFFFF"/>
                <w:shd w:val="clear" w:color="auto" w:fill="002060"/>
              </w:rPr>
              <w:t>A-4</w:t>
            </w:r>
          </w:p>
        </w:tc>
        <w:tc>
          <w:tcPr>
            <w:tcW w:w="7000" w:type="dxa"/>
            <w:vAlign w:val="bottom"/>
            <w:gridSpan w:val="32"/>
          </w:tcPr>
          <w:p>
            <w:pPr>
              <w:ind w:left="120"/>
              <w:spacing w:after="0"/>
              <w:rPr>
                <w:sz w:val="20"/>
                <w:szCs w:val="20"/>
                <w:color w:val="auto"/>
              </w:rPr>
            </w:pPr>
            <w:r>
              <w:rPr>
                <w:rFonts w:ascii="Arial" w:cs="Arial" w:eastAsia="Arial" w:hAnsi="Arial"/>
                <w:sz w:val="16"/>
                <w:szCs w:val="16"/>
                <w:color w:val="002060"/>
              </w:rPr>
              <w:t>2023 Proxy Statement</w:t>
            </w:r>
          </w:p>
        </w:tc>
        <w:tc>
          <w:tcPr>
            <w:tcW w:w="3580" w:type="dxa"/>
            <w:vAlign w:val="bottom"/>
          </w:tcPr>
          <w:p>
            <w:pPr>
              <w:ind w:left="1460"/>
              <w:spacing w:after="0"/>
              <w:rPr>
                <w:sz w:val="20"/>
                <w:szCs w:val="20"/>
                <w:color w:val="auto"/>
              </w:rPr>
            </w:pPr>
            <w:r>
              <w:rPr>
                <w:rFonts w:ascii="Arial" w:cs="Arial" w:eastAsia="Arial" w:hAnsi="Arial"/>
                <w:sz w:val="16"/>
                <w:szCs w:val="16"/>
                <w:color w:val="002060"/>
              </w:rPr>
              <w:t>2023 Omnibus Incentive Plan</w:t>
            </w:r>
          </w:p>
        </w:tc>
      </w:tr>
    </w:tbl>
    <w:p>
      <w:pPr>
        <w:sectPr>
          <w:pgSz w:w="11900" w:h="16838" w:orient="portrait"/>
          <w:cols w:equalWidth="0" w:num="1">
            <w:col w:w="11140"/>
          </w:cols>
          <w:pgMar w:left="320" w:top="482"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tbl>
      <w:tblPr>
        <w:tblLayout w:type="fixed"/>
        <w:tblInd w:w="400" w:type="dxa"/>
        <w:tblCellMar>
          <w:top w:w="0" w:type="dxa"/>
          <w:left w:w="0" w:type="dxa"/>
          <w:bottom w:w="0" w:type="dxa"/>
          <w:right w:w="0" w:type="dxa"/>
        </w:tblCellMar>
      </w:tblPr>
      <w:tr>
        <w:trPr>
          <w:trHeight w:val="218"/>
        </w:trPr>
        <w:tc>
          <w:tcPr>
            <w:tcW w:w="700" w:type="dxa"/>
            <w:vAlign w:val="bottom"/>
          </w:tcPr>
          <w:p>
            <w:pPr>
              <w:spacing w:after="0"/>
              <w:rPr>
                <w:sz w:val="20"/>
                <w:szCs w:val="20"/>
                <w:color w:val="auto"/>
              </w:rPr>
            </w:pPr>
            <w:r>
              <w:rPr>
                <w:rFonts w:ascii="Arial" w:cs="Arial" w:eastAsia="Arial" w:hAnsi="Arial"/>
                <w:sz w:val="19"/>
                <w:szCs w:val="19"/>
                <w:b w:val="1"/>
                <w:bCs w:val="1"/>
                <w:color w:val="auto"/>
              </w:rPr>
              <w:t>13.7</w:t>
            </w:r>
          </w:p>
        </w:tc>
        <w:tc>
          <w:tcPr>
            <w:tcW w:w="6340" w:type="dxa"/>
            <w:vAlign w:val="bottom"/>
            <w:gridSpan w:val="16"/>
          </w:tcPr>
          <w:p>
            <w:pPr>
              <w:spacing w:after="0"/>
              <w:rPr>
                <w:sz w:val="20"/>
                <w:szCs w:val="20"/>
                <w:color w:val="auto"/>
              </w:rPr>
            </w:pPr>
            <w:r>
              <w:rPr>
                <w:rFonts w:ascii="Arial" w:cs="Arial" w:eastAsia="Arial" w:hAnsi="Arial"/>
                <w:sz w:val="19"/>
                <w:szCs w:val="19"/>
                <w:b w:val="1"/>
                <w:bCs w:val="1"/>
                <w:color w:val="0000EE"/>
              </w:rPr>
              <w:t>G</w:t>
            </w:r>
            <w:r>
              <w:rPr>
                <w:rFonts w:ascii="Arial" w:cs="Arial" w:eastAsia="Arial" w:hAnsi="Arial"/>
                <w:sz w:val="15"/>
                <w:szCs w:val="15"/>
                <w:b w:val="1"/>
                <w:bCs w:val="1"/>
                <w:color w:val="0000EE"/>
              </w:rPr>
              <w:t>OVERNING</w:t>
            </w:r>
            <w:r>
              <w:rPr>
                <w:rFonts w:ascii="Arial" w:cs="Arial" w:eastAsia="Arial" w:hAnsi="Arial"/>
                <w:sz w:val="19"/>
                <w:szCs w:val="19"/>
                <w:b w:val="1"/>
                <w:bCs w:val="1"/>
                <w:color w:val="0000EE"/>
              </w:rPr>
              <w:t xml:space="preserve"> L</w:t>
            </w:r>
            <w:r>
              <w:rPr>
                <w:rFonts w:ascii="Arial" w:cs="Arial" w:eastAsia="Arial" w:hAnsi="Arial"/>
                <w:sz w:val="15"/>
                <w:szCs w:val="15"/>
                <w:b w:val="1"/>
                <w:bCs w:val="1"/>
                <w:color w:val="0000EE"/>
              </w:rPr>
              <w:t>AW</w:t>
            </w:r>
          </w:p>
        </w:tc>
        <w:tc>
          <w:tcPr>
            <w:tcW w:w="3480" w:type="dxa"/>
            <w:vAlign w:val="bottom"/>
          </w:tcPr>
          <w:p>
            <w:pPr>
              <w:ind w:left="3080"/>
              <w:spacing w:after="0"/>
              <w:rPr>
                <w:sz w:val="20"/>
                <w:szCs w:val="20"/>
                <w:color w:val="auto"/>
              </w:rPr>
            </w:pPr>
            <w:r>
              <w:rPr>
                <w:rFonts w:ascii="Arial" w:cs="Arial" w:eastAsia="Arial" w:hAnsi="Arial"/>
                <w:sz w:val="19"/>
                <w:szCs w:val="19"/>
                <w:color w:val="auto"/>
                <w:w w:val="94"/>
              </w:rPr>
              <w:t>A-27</w:t>
            </w:r>
          </w:p>
        </w:tc>
      </w:tr>
      <w:tr>
        <w:trPr>
          <w:trHeight w:val="331"/>
        </w:trPr>
        <w:tc>
          <w:tcPr>
            <w:tcW w:w="700" w:type="dxa"/>
            <w:vAlign w:val="bottom"/>
          </w:tcPr>
          <w:p>
            <w:pPr>
              <w:spacing w:after="0"/>
              <w:rPr>
                <w:sz w:val="20"/>
                <w:szCs w:val="20"/>
                <w:color w:val="auto"/>
              </w:rPr>
            </w:pPr>
            <w:r>
              <w:rPr>
                <w:rFonts w:ascii="Arial" w:cs="Arial" w:eastAsia="Arial" w:hAnsi="Arial"/>
                <w:sz w:val="19"/>
                <w:szCs w:val="19"/>
                <w:b w:val="1"/>
                <w:bCs w:val="1"/>
                <w:color w:val="auto"/>
              </w:rPr>
              <w:t>13.8</w:t>
            </w:r>
          </w:p>
        </w:tc>
        <w:tc>
          <w:tcPr>
            <w:tcW w:w="13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9"/>
                <w:szCs w:val="19"/>
                <w:b w:val="1"/>
                <w:bCs w:val="1"/>
                <w:color w:val="0000EE"/>
              </w:rPr>
              <w:t>C</w:t>
            </w:r>
            <w:r>
              <w:rPr>
                <w:rFonts w:ascii="Arial" w:cs="Arial" w:eastAsia="Arial" w:hAnsi="Arial"/>
                <w:sz w:val="15"/>
                <w:szCs w:val="15"/>
                <w:b w:val="1"/>
                <w:bCs w:val="1"/>
                <w:color w:val="0000EE"/>
              </w:rPr>
              <w:t>ONSTRUCTION</w:t>
            </w:r>
          </w:p>
        </w:tc>
        <w:tc>
          <w:tcPr>
            <w:tcW w:w="100" w:type="dxa"/>
            <w:vAlign w:val="bottom"/>
            <w:tcBorders>
              <w:top w:val="single" w:sz="8" w:color="0000EE"/>
            </w:tcBorders>
          </w:tcPr>
          <w:p>
            <w:pPr>
              <w:spacing w:after="0"/>
              <w:rPr>
                <w:sz w:val="24"/>
                <w:szCs w:val="24"/>
                <w:color w:val="auto"/>
              </w:rPr>
            </w:pPr>
          </w:p>
        </w:tc>
        <w:tc>
          <w:tcPr>
            <w:tcW w:w="4940" w:type="dxa"/>
            <w:vAlign w:val="bottom"/>
            <w:gridSpan w:val="10"/>
          </w:tcPr>
          <w:p>
            <w:pPr>
              <w:spacing w:after="0"/>
              <w:rPr>
                <w:sz w:val="24"/>
                <w:szCs w:val="24"/>
                <w:color w:val="auto"/>
              </w:rPr>
            </w:pPr>
          </w:p>
        </w:tc>
        <w:tc>
          <w:tcPr>
            <w:tcW w:w="3480" w:type="dxa"/>
            <w:vAlign w:val="bottom"/>
          </w:tcPr>
          <w:p>
            <w:pPr>
              <w:ind w:left="3080"/>
              <w:spacing w:after="0"/>
              <w:rPr>
                <w:sz w:val="20"/>
                <w:szCs w:val="20"/>
                <w:color w:val="auto"/>
              </w:rPr>
            </w:pPr>
            <w:r>
              <w:rPr>
                <w:rFonts w:ascii="Arial" w:cs="Arial" w:eastAsia="Arial" w:hAnsi="Arial"/>
                <w:sz w:val="19"/>
                <w:szCs w:val="19"/>
                <w:color w:val="auto"/>
                <w:w w:val="94"/>
              </w:rPr>
              <w:t>A-28</w:t>
            </w:r>
          </w:p>
        </w:tc>
      </w:tr>
      <w:tr>
        <w:trPr>
          <w:trHeight w:val="331"/>
        </w:trPr>
        <w:tc>
          <w:tcPr>
            <w:tcW w:w="700" w:type="dxa"/>
            <w:vAlign w:val="bottom"/>
          </w:tcPr>
          <w:p>
            <w:pPr>
              <w:spacing w:after="0"/>
              <w:rPr>
                <w:sz w:val="20"/>
                <w:szCs w:val="20"/>
                <w:color w:val="auto"/>
              </w:rPr>
            </w:pPr>
            <w:r>
              <w:rPr>
                <w:rFonts w:ascii="Arial" w:cs="Arial" w:eastAsia="Arial" w:hAnsi="Arial"/>
                <w:sz w:val="19"/>
                <w:szCs w:val="19"/>
                <w:b w:val="1"/>
                <w:bCs w:val="1"/>
                <w:color w:val="auto"/>
              </w:rPr>
              <w:t>13.9</w:t>
            </w:r>
          </w:p>
        </w:tc>
        <w:tc>
          <w:tcPr>
            <w:tcW w:w="6340" w:type="dxa"/>
            <w:vAlign w:val="bottom"/>
            <w:gridSpan w:val="16"/>
          </w:tcPr>
          <w:p>
            <w:pPr>
              <w:spacing w:after="0"/>
              <w:rPr>
                <w:sz w:val="20"/>
                <w:szCs w:val="20"/>
                <w:color w:val="auto"/>
              </w:rPr>
            </w:pPr>
            <w:r>
              <w:rPr>
                <w:rFonts w:ascii="Arial" w:cs="Arial" w:eastAsia="Arial" w:hAnsi="Arial"/>
                <w:sz w:val="19"/>
                <w:szCs w:val="19"/>
                <w:b w:val="1"/>
                <w:bCs w:val="1"/>
                <w:color w:val="0000EE"/>
              </w:rPr>
              <w:t>O</w:t>
            </w:r>
            <w:r>
              <w:rPr>
                <w:rFonts w:ascii="Arial" w:cs="Arial" w:eastAsia="Arial" w:hAnsi="Arial"/>
                <w:sz w:val="15"/>
                <w:szCs w:val="15"/>
                <w:b w:val="1"/>
                <w:bCs w:val="1"/>
                <w:color w:val="0000EE"/>
              </w:rPr>
              <w:t>THER</w:t>
            </w:r>
            <w:r>
              <w:rPr>
                <w:rFonts w:ascii="Arial" w:cs="Arial" w:eastAsia="Arial" w:hAnsi="Arial"/>
                <w:sz w:val="19"/>
                <w:szCs w:val="19"/>
                <w:b w:val="1"/>
                <w:bCs w:val="1"/>
                <w:color w:val="0000EE"/>
              </w:rPr>
              <w:t xml:space="preserve"> B</w:t>
            </w:r>
            <w:r>
              <w:rPr>
                <w:rFonts w:ascii="Arial" w:cs="Arial" w:eastAsia="Arial" w:hAnsi="Arial"/>
                <w:sz w:val="15"/>
                <w:szCs w:val="15"/>
                <w:b w:val="1"/>
                <w:bCs w:val="1"/>
                <w:color w:val="0000EE"/>
              </w:rPr>
              <w:t>ENEFITS</w:t>
            </w:r>
          </w:p>
        </w:tc>
        <w:tc>
          <w:tcPr>
            <w:tcW w:w="3480" w:type="dxa"/>
            <w:vAlign w:val="bottom"/>
          </w:tcPr>
          <w:p>
            <w:pPr>
              <w:ind w:left="3080"/>
              <w:spacing w:after="0"/>
              <w:rPr>
                <w:sz w:val="20"/>
                <w:szCs w:val="20"/>
                <w:color w:val="auto"/>
              </w:rPr>
            </w:pPr>
            <w:r>
              <w:rPr>
                <w:rFonts w:ascii="Arial" w:cs="Arial" w:eastAsia="Arial" w:hAnsi="Arial"/>
                <w:sz w:val="19"/>
                <w:szCs w:val="19"/>
                <w:color w:val="auto"/>
                <w:w w:val="94"/>
              </w:rPr>
              <w:t>A-28</w:t>
            </w:r>
          </w:p>
        </w:tc>
      </w:tr>
      <w:tr>
        <w:trPr>
          <w:trHeight w:val="331"/>
        </w:trPr>
        <w:tc>
          <w:tcPr>
            <w:tcW w:w="700" w:type="dxa"/>
            <w:vAlign w:val="bottom"/>
          </w:tcPr>
          <w:p>
            <w:pPr>
              <w:spacing w:after="0"/>
              <w:rPr>
                <w:sz w:val="20"/>
                <w:szCs w:val="20"/>
                <w:color w:val="auto"/>
              </w:rPr>
            </w:pPr>
            <w:r>
              <w:rPr>
                <w:rFonts w:ascii="Arial" w:cs="Arial" w:eastAsia="Arial" w:hAnsi="Arial"/>
                <w:sz w:val="19"/>
                <w:szCs w:val="19"/>
                <w:b w:val="1"/>
                <w:bCs w:val="1"/>
                <w:color w:val="auto"/>
              </w:rPr>
              <w:t>13.10</w:t>
            </w:r>
          </w:p>
        </w:tc>
        <w:tc>
          <w:tcPr>
            <w:tcW w:w="1420" w:type="dxa"/>
            <w:vAlign w:val="bottom"/>
            <w:tcBorders>
              <w:top w:val="single" w:sz="8" w:color="0000EE"/>
            </w:tcBorders>
            <w:gridSpan w:val="7"/>
          </w:tcPr>
          <w:p>
            <w:pPr>
              <w:spacing w:after="0"/>
              <w:rPr>
                <w:sz w:val="20"/>
                <w:szCs w:val="20"/>
                <w:color w:val="auto"/>
              </w:rPr>
            </w:pPr>
            <w:r>
              <w:rPr>
                <w:rFonts w:ascii="Arial" w:cs="Arial" w:eastAsia="Arial" w:hAnsi="Arial"/>
                <w:sz w:val="19"/>
                <w:szCs w:val="19"/>
                <w:b w:val="1"/>
                <w:bCs w:val="1"/>
                <w:color w:val="0000EE"/>
              </w:rPr>
              <w:t>C</w:t>
            </w:r>
            <w:r>
              <w:rPr>
                <w:rFonts w:ascii="Arial" w:cs="Arial" w:eastAsia="Arial" w:hAnsi="Arial"/>
                <w:sz w:val="15"/>
                <w:szCs w:val="15"/>
                <w:b w:val="1"/>
                <w:bCs w:val="1"/>
                <w:color w:val="0000EE"/>
              </w:rPr>
              <w:t>OSTS</w:t>
            </w:r>
          </w:p>
        </w:tc>
        <w:tc>
          <w:tcPr>
            <w:tcW w:w="4920" w:type="dxa"/>
            <w:vAlign w:val="bottom"/>
            <w:gridSpan w:val="9"/>
          </w:tcPr>
          <w:p>
            <w:pPr>
              <w:spacing w:after="0"/>
              <w:rPr>
                <w:sz w:val="24"/>
                <w:szCs w:val="24"/>
                <w:color w:val="auto"/>
              </w:rPr>
            </w:pPr>
          </w:p>
        </w:tc>
        <w:tc>
          <w:tcPr>
            <w:tcW w:w="3480" w:type="dxa"/>
            <w:vAlign w:val="bottom"/>
          </w:tcPr>
          <w:p>
            <w:pPr>
              <w:ind w:left="3080"/>
              <w:spacing w:after="0"/>
              <w:rPr>
                <w:sz w:val="20"/>
                <w:szCs w:val="20"/>
                <w:color w:val="auto"/>
              </w:rPr>
            </w:pPr>
            <w:r>
              <w:rPr>
                <w:rFonts w:ascii="Arial" w:cs="Arial" w:eastAsia="Arial" w:hAnsi="Arial"/>
                <w:sz w:val="19"/>
                <w:szCs w:val="19"/>
                <w:color w:val="auto"/>
                <w:w w:val="94"/>
              </w:rPr>
              <w:t>A-28</w:t>
            </w:r>
          </w:p>
        </w:tc>
      </w:tr>
      <w:tr>
        <w:trPr>
          <w:trHeight w:val="20"/>
        </w:trPr>
        <w:tc>
          <w:tcPr>
            <w:tcW w:w="7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9"/>
                <w:szCs w:val="19"/>
                <w:b w:val="1"/>
                <w:bCs w:val="1"/>
                <w:color w:val="auto"/>
              </w:rPr>
              <w:t>13.11</w:t>
            </w:r>
          </w:p>
        </w:tc>
        <w:tc>
          <w:tcPr>
            <w:tcW w:w="2480" w:type="dxa"/>
            <w:vAlign w:val="bottom"/>
            <w:tcBorders>
              <w:bottom w:val="single" w:sz="8" w:color="0000EE"/>
            </w:tcBorders>
            <w:gridSpan w:val="12"/>
          </w:tcPr>
          <w:p>
            <w:pPr>
              <w:spacing w:after="0"/>
              <w:rPr>
                <w:sz w:val="20"/>
                <w:szCs w:val="20"/>
                <w:color w:val="auto"/>
              </w:rPr>
            </w:pPr>
            <w:r>
              <w:rPr>
                <w:rFonts w:ascii="Arial" w:cs="Arial" w:eastAsia="Arial" w:hAnsi="Arial"/>
                <w:sz w:val="19"/>
                <w:szCs w:val="19"/>
                <w:b w:val="1"/>
                <w:bCs w:val="1"/>
                <w:color w:val="0000EE"/>
              </w:rPr>
              <w:t>N</w:t>
            </w:r>
            <w:r>
              <w:rPr>
                <w:rFonts w:ascii="Arial" w:cs="Arial" w:eastAsia="Arial" w:hAnsi="Arial"/>
                <w:sz w:val="15"/>
                <w:szCs w:val="15"/>
                <w:b w:val="1"/>
                <w:bCs w:val="1"/>
                <w:color w:val="0000EE"/>
              </w:rPr>
              <w:t>O</w:t>
            </w:r>
            <w:r>
              <w:rPr>
                <w:rFonts w:ascii="Arial" w:cs="Arial" w:eastAsia="Arial" w:hAnsi="Arial"/>
                <w:sz w:val="19"/>
                <w:szCs w:val="19"/>
                <w:b w:val="1"/>
                <w:bCs w:val="1"/>
                <w:color w:val="0000EE"/>
              </w:rPr>
              <w:t xml:space="preserve"> R</w:t>
            </w:r>
            <w:r>
              <w:rPr>
                <w:rFonts w:ascii="Arial" w:cs="Arial" w:eastAsia="Arial" w:hAnsi="Arial"/>
                <w:sz w:val="15"/>
                <w:szCs w:val="15"/>
                <w:b w:val="1"/>
                <w:bCs w:val="1"/>
                <w:color w:val="0000EE"/>
              </w:rPr>
              <w:t>IGHT TO</w:t>
            </w:r>
            <w:r>
              <w:rPr>
                <w:rFonts w:ascii="Arial" w:cs="Arial" w:eastAsia="Arial" w:hAnsi="Arial"/>
                <w:sz w:val="19"/>
                <w:szCs w:val="19"/>
                <w:b w:val="1"/>
                <w:bCs w:val="1"/>
                <w:color w:val="0000EE"/>
              </w:rPr>
              <w:t xml:space="preserve"> S</w:t>
            </w:r>
            <w:r>
              <w:rPr>
                <w:rFonts w:ascii="Arial" w:cs="Arial" w:eastAsia="Arial" w:hAnsi="Arial"/>
                <w:sz w:val="15"/>
                <w:szCs w:val="15"/>
                <w:b w:val="1"/>
                <w:bCs w:val="1"/>
                <w:color w:val="0000EE"/>
              </w:rPr>
              <w:t>AME</w:t>
            </w:r>
            <w:r>
              <w:rPr>
                <w:rFonts w:ascii="Arial" w:cs="Arial" w:eastAsia="Arial" w:hAnsi="Arial"/>
                <w:sz w:val="19"/>
                <w:szCs w:val="19"/>
                <w:b w:val="1"/>
                <w:bCs w:val="1"/>
                <w:color w:val="0000EE"/>
              </w:rPr>
              <w:t xml:space="preserve"> B</w:t>
            </w:r>
            <w:r>
              <w:rPr>
                <w:rFonts w:ascii="Arial" w:cs="Arial" w:eastAsia="Arial" w:hAnsi="Arial"/>
                <w:sz w:val="15"/>
                <w:szCs w:val="15"/>
                <w:b w:val="1"/>
                <w:bCs w:val="1"/>
                <w:color w:val="0000EE"/>
              </w:rPr>
              <w:t>ENEFITS</w:t>
            </w:r>
          </w:p>
        </w:tc>
        <w:tc>
          <w:tcPr>
            <w:tcW w:w="3860" w:type="dxa"/>
            <w:vAlign w:val="bottom"/>
            <w:gridSpan w:val="4"/>
          </w:tcPr>
          <w:p>
            <w:pPr>
              <w:spacing w:after="0"/>
              <w:rPr>
                <w:sz w:val="24"/>
                <w:szCs w:val="24"/>
                <w:color w:val="auto"/>
              </w:rPr>
            </w:pPr>
          </w:p>
        </w:tc>
        <w:tc>
          <w:tcPr>
            <w:tcW w:w="3480" w:type="dxa"/>
            <w:vAlign w:val="bottom"/>
          </w:tcPr>
          <w:p>
            <w:pPr>
              <w:ind w:left="3080"/>
              <w:spacing w:after="0"/>
              <w:rPr>
                <w:sz w:val="20"/>
                <w:szCs w:val="20"/>
                <w:color w:val="auto"/>
              </w:rPr>
            </w:pPr>
            <w:r>
              <w:rPr>
                <w:rFonts w:ascii="Arial" w:cs="Arial" w:eastAsia="Arial" w:hAnsi="Arial"/>
                <w:sz w:val="19"/>
                <w:szCs w:val="19"/>
                <w:color w:val="auto"/>
                <w:w w:val="94"/>
              </w:rPr>
              <w:t>A-28</w:t>
            </w:r>
          </w:p>
        </w:tc>
      </w:tr>
      <w:tr>
        <w:trPr>
          <w:trHeight w:val="331"/>
        </w:trPr>
        <w:tc>
          <w:tcPr>
            <w:tcW w:w="700" w:type="dxa"/>
            <w:vAlign w:val="bottom"/>
          </w:tcPr>
          <w:p>
            <w:pPr>
              <w:spacing w:after="0"/>
              <w:rPr>
                <w:sz w:val="20"/>
                <w:szCs w:val="20"/>
                <w:color w:val="auto"/>
              </w:rPr>
            </w:pPr>
            <w:r>
              <w:rPr>
                <w:rFonts w:ascii="Arial" w:cs="Arial" w:eastAsia="Arial" w:hAnsi="Arial"/>
                <w:sz w:val="19"/>
                <w:szCs w:val="19"/>
                <w:b w:val="1"/>
                <w:bCs w:val="1"/>
                <w:color w:val="auto"/>
              </w:rPr>
              <w:t>13.12</w:t>
            </w:r>
          </w:p>
        </w:tc>
        <w:tc>
          <w:tcPr>
            <w:tcW w:w="6340" w:type="dxa"/>
            <w:vAlign w:val="bottom"/>
            <w:gridSpan w:val="16"/>
          </w:tcPr>
          <w:p>
            <w:pPr>
              <w:spacing w:after="0"/>
              <w:rPr>
                <w:sz w:val="20"/>
                <w:szCs w:val="20"/>
                <w:color w:val="auto"/>
              </w:rPr>
            </w:pPr>
            <w:r>
              <w:rPr>
                <w:rFonts w:ascii="Arial" w:cs="Arial" w:eastAsia="Arial" w:hAnsi="Arial"/>
                <w:sz w:val="19"/>
                <w:szCs w:val="19"/>
                <w:b w:val="1"/>
                <w:bCs w:val="1"/>
                <w:color w:val="0000EE"/>
              </w:rPr>
              <w:t>D</w:t>
            </w:r>
            <w:r>
              <w:rPr>
                <w:rFonts w:ascii="Arial" w:cs="Arial" w:eastAsia="Arial" w:hAnsi="Arial"/>
                <w:sz w:val="15"/>
                <w:szCs w:val="15"/>
                <w:b w:val="1"/>
                <w:bCs w:val="1"/>
                <w:color w:val="0000EE"/>
              </w:rPr>
              <w:t>EATH</w:t>
            </w:r>
            <w:r>
              <w:rPr>
                <w:rFonts w:ascii="Arial" w:cs="Arial" w:eastAsia="Arial" w:hAnsi="Arial"/>
                <w:sz w:val="19"/>
                <w:szCs w:val="19"/>
                <w:b w:val="1"/>
                <w:bCs w:val="1"/>
                <w:color w:val="0000EE"/>
              </w:rPr>
              <w:t>/D</w:t>
            </w:r>
            <w:r>
              <w:rPr>
                <w:rFonts w:ascii="Arial" w:cs="Arial" w:eastAsia="Arial" w:hAnsi="Arial"/>
                <w:sz w:val="15"/>
                <w:szCs w:val="15"/>
                <w:b w:val="1"/>
                <w:bCs w:val="1"/>
                <w:color w:val="0000EE"/>
              </w:rPr>
              <w:t>ISABILITY</w:t>
            </w:r>
          </w:p>
        </w:tc>
        <w:tc>
          <w:tcPr>
            <w:tcW w:w="3480" w:type="dxa"/>
            <w:vAlign w:val="bottom"/>
          </w:tcPr>
          <w:p>
            <w:pPr>
              <w:ind w:left="3080"/>
              <w:spacing w:after="0"/>
              <w:rPr>
                <w:sz w:val="20"/>
                <w:szCs w:val="20"/>
                <w:color w:val="auto"/>
              </w:rPr>
            </w:pPr>
            <w:r>
              <w:rPr>
                <w:rFonts w:ascii="Arial" w:cs="Arial" w:eastAsia="Arial" w:hAnsi="Arial"/>
                <w:sz w:val="19"/>
                <w:szCs w:val="19"/>
                <w:color w:val="auto"/>
                <w:w w:val="94"/>
              </w:rPr>
              <w:t>A-28</w:t>
            </w:r>
          </w:p>
        </w:tc>
      </w:tr>
      <w:tr>
        <w:trPr>
          <w:trHeight w:val="20"/>
        </w:trPr>
        <w:tc>
          <w:tcPr>
            <w:tcW w:w="7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9"/>
                <w:szCs w:val="19"/>
                <w:b w:val="1"/>
                <w:bCs w:val="1"/>
                <w:color w:val="auto"/>
              </w:rPr>
              <w:t>13.13</w:t>
            </w:r>
          </w:p>
        </w:tc>
        <w:tc>
          <w:tcPr>
            <w:tcW w:w="6340" w:type="dxa"/>
            <w:vAlign w:val="bottom"/>
            <w:gridSpan w:val="16"/>
          </w:tcPr>
          <w:p>
            <w:pPr>
              <w:spacing w:after="0"/>
              <w:rPr>
                <w:sz w:val="20"/>
                <w:szCs w:val="20"/>
                <w:color w:val="auto"/>
              </w:rPr>
            </w:pPr>
            <w:r>
              <w:rPr>
                <w:rFonts w:ascii="Arial" w:cs="Arial" w:eastAsia="Arial" w:hAnsi="Arial"/>
                <w:sz w:val="19"/>
                <w:szCs w:val="19"/>
                <w:b w:val="1"/>
                <w:bCs w:val="1"/>
                <w:color w:val="0000EE"/>
              </w:rPr>
              <w:t>S</w:t>
            </w:r>
            <w:r>
              <w:rPr>
                <w:rFonts w:ascii="Arial" w:cs="Arial" w:eastAsia="Arial" w:hAnsi="Arial"/>
                <w:sz w:val="15"/>
                <w:szCs w:val="15"/>
                <w:b w:val="1"/>
                <w:bCs w:val="1"/>
                <w:color w:val="0000EE"/>
              </w:rPr>
              <w:t>ECTION</w:t>
            </w:r>
            <w:r>
              <w:rPr>
                <w:rFonts w:ascii="Arial" w:cs="Arial" w:eastAsia="Arial" w:hAnsi="Arial"/>
                <w:sz w:val="19"/>
                <w:szCs w:val="19"/>
                <w:b w:val="1"/>
                <w:bCs w:val="1"/>
                <w:color w:val="0000EE"/>
              </w:rPr>
              <w:t xml:space="preserve"> 16(</w:t>
            </w:r>
            <w:r>
              <w:rPr>
                <w:rFonts w:ascii="Arial" w:cs="Arial" w:eastAsia="Arial" w:hAnsi="Arial"/>
                <w:sz w:val="15"/>
                <w:szCs w:val="15"/>
                <w:b w:val="1"/>
                <w:bCs w:val="1"/>
                <w:color w:val="0000EE"/>
              </w:rPr>
              <w:t>B</w:t>
            </w:r>
            <w:r>
              <w:rPr>
                <w:rFonts w:ascii="Arial" w:cs="Arial" w:eastAsia="Arial" w:hAnsi="Arial"/>
                <w:sz w:val="19"/>
                <w:szCs w:val="19"/>
                <w:b w:val="1"/>
                <w:bCs w:val="1"/>
                <w:color w:val="0000EE"/>
              </w:rPr>
              <w:t xml:space="preserve">) </w:t>
            </w:r>
            <w:r>
              <w:rPr>
                <w:rFonts w:ascii="Arial" w:cs="Arial" w:eastAsia="Arial" w:hAnsi="Arial"/>
                <w:sz w:val="15"/>
                <w:szCs w:val="15"/>
                <w:b w:val="1"/>
                <w:bCs w:val="1"/>
                <w:color w:val="0000EE"/>
              </w:rPr>
              <w:t>OF</w:t>
            </w:r>
            <w:r>
              <w:rPr>
                <w:rFonts w:ascii="Arial" w:cs="Arial" w:eastAsia="Arial" w:hAnsi="Arial"/>
                <w:sz w:val="19"/>
                <w:szCs w:val="19"/>
                <w:b w:val="1"/>
                <w:bCs w:val="1"/>
                <w:color w:val="0000EE"/>
              </w:rPr>
              <w:t xml:space="preserve"> T</w:t>
            </w:r>
            <w:r>
              <w:rPr>
                <w:rFonts w:ascii="Arial" w:cs="Arial" w:eastAsia="Arial" w:hAnsi="Arial"/>
                <w:sz w:val="15"/>
                <w:szCs w:val="15"/>
                <w:b w:val="1"/>
                <w:bCs w:val="1"/>
                <w:color w:val="0000EE"/>
              </w:rPr>
              <w:t>HE</w:t>
            </w:r>
            <w:r>
              <w:rPr>
                <w:rFonts w:ascii="Arial" w:cs="Arial" w:eastAsia="Arial" w:hAnsi="Arial"/>
                <w:sz w:val="19"/>
                <w:szCs w:val="19"/>
                <w:b w:val="1"/>
                <w:bCs w:val="1"/>
                <w:color w:val="0000EE"/>
              </w:rPr>
              <w:t xml:space="preserve"> E</w:t>
            </w:r>
            <w:r>
              <w:rPr>
                <w:rFonts w:ascii="Arial" w:cs="Arial" w:eastAsia="Arial" w:hAnsi="Arial"/>
                <w:sz w:val="15"/>
                <w:szCs w:val="15"/>
                <w:b w:val="1"/>
                <w:bCs w:val="1"/>
                <w:color w:val="0000EE"/>
              </w:rPr>
              <w:t>XCHANGE</w:t>
            </w:r>
            <w:r>
              <w:rPr>
                <w:rFonts w:ascii="Arial" w:cs="Arial" w:eastAsia="Arial" w:hAnsi="Arial"/>
                <w:sz w:val="19"/>
                <w:szCs w:val="19"/>
                <w:b w:val="1"/>
                <w:bCs w:val="1"/>
                <w:color w:val="0000EE"/>
              </w:rPr>
              <w:t xml:space="preserve"> A</w:t>
            </w:r>
            <w:r>
              <w:rPr>
                <w:rFonts w:ascii="Arial" w:cs="Arial" w:eastAsia="Arial" w:hAnsi="Arial"/>
                <w:sz w:val="15"/>
                <w:szCs w:val="15"/>
                <w:b w:val="1"/>
                <w:bCs w:val="1"/>
                <w:color w:val="0000EE"/>
              </w:rPr>
              <w:t>CT</w:t>
            </w:r>
          </w:p>
        </w:tc>
        <w:tc>
          <w:tcPr>
            <w:tcW w:w="3480" w:type="dxa"/>
            <w:vAlign w:val="bottom"/>
          </w:tcPr>
          <w:p>
            <w:pPr>
              <w:ind w:left="3080"/>
              <w:spacing w:after="0"/>
              <w:rPr>
                <w:sz w:val="20"/>
                <w:szCs w:val="20"/>
                <w:color w:val="auto"/>
              </w:rPr>
            </w:pPr>
            <w:r>
              <w:rPr>
                <w:rFonts w:ascii="Arial" w:cs="Arial" w:eastAsia="Arial" w:hAnsi="Arial"/>
                <w:sz w:val="19"/>
                <w:szCs w:val="19"/>
                <w:color w:val="auto"/>
                <w:w w:val="94"/>
              </w:rPr>
              <w:t>A-28</w:t>
            </w:r>
          </w:p>
        </w:tc>
      </w:tr>
      <w:tr>
        <w:trPr>
          <w:trHeight w:val="331"/>
        </w:trPr>
        <w:tc>
          <w:tcPr>
            <w:tcW w:w="700" w:type="dxa"/>
            <w:vAlign w:val="bottom"/>
          </w:tcPr>
          <w:p>
            <w:pPr>
              <w:spacing w:after="0"/>
              <w:rPr>
                <w:sz w:val="20"/>
                <w:szCs w:val="20"/>
                <w:color w:val="auto"/>
              </w:rPr>
            </w:pPr>
            <w:r>
              <w:rPr>
                <w:rFonts w:ascii="Arial" w:cs="Arial" w:eastAsia="Arial" w:hAnsi="Arial"/>
                <w:sz w:val="19"/>
                <w:szCs w:val="19"/>
                <w:b w:val="1"/>
                <w:bCs w:val="1"/>
                <w:color w:val="auto"/>
              </w:rPr>
              <w:t>13.14</w:t>
            </w:r>
          </w:p>
        </w:tc>
        <w:tc>
          <w:tcPr>
            <w:tcW w:w="3240" w:type="dxa"/>
            <w:vAlign w:val="bottom"/>
            <w:tcBorders>
              <w:top w:val="single" w:sz="8" w:color="0000EE"/>
            </w:tcBorders>
            <w:gridSpan w:val="15"/>
          </w:tcPr>
          <w:p>
            <w:pPr>
              <w:spacing w:after="0"/>
              <w:rPr>
                <w:sz w:val="20"/>
                <w:szCs w:val="20"/>
                <w:color w:val="auto"/>
              </w:rPr>
            </w:pPr>
            <w:r>
              <w:rPr>
                <w:rFonts w:ascii="Arial" w:cs="Arial" w:eastAsia="Arial" w:hAnsi="Arial"/>
                <w:sz w:val="19"/>
                <w:szCs w:val="19"/>
                <w:b w:val="1"/>
                <w:bCs w:val="1"/>
                <w:color w:val="0000EE"/>
              </w:rPr>
              <w:t>S</w:t>
            </w:r>
            <w:r>
              <w:rPr>
                <w:rFonts w:ascii="Arial" w:cs="Arial" w:eastAsia="Arial" w:hAnsi="Arial"/>
                <w:sz w:val="15"/>
                <w:szCs w:val="15"/>
                <w:b w:val="1"/>
                <w:bCs w:val="1"/>
                <w:color w:val="0000EE"/>
              </w:rPr>
              <w:t>ECTION</w:t>
            </w:r>
            <w:r>
              <w:rPr>
                <w:rFonts w:ascii="Arial" w:cs="Arial" w:eastAsia="Arial" w:hAnsi="Arial"/>
                <w:sz w:val="19"/>
                <w:szCs w:val="19"/>
                <w:b w:val="1"/>
                <w:bCs w:val="1"/>
                <w:color w:val="0000EE"/>
              </w:rPr>
              <w:t xml:space="preserve"> 409A</w:t>
            </w:r>
          </w:p>
        </w:tc>
        <w:tc>
          <w:tcPr>
            <w:tcW w:w="3100" w:type="dxa"/>
            <w:vAlign w:val="bottom"/>
          </w:tcPr>
          <w:p>
            <w:pPr>
              <w:spacing w:after="0"/>
              <w:rPr>
                <w:sz w:val="24"/>
                <w:szCs w:val="24"/>
                <w:color w:val="auto"/>
              </w:rPr>
            </w:pPr>
          </w:p>
        </w:tc>
        <w:tc>
          <w:tcPr>
            <w:tcW w:w="3480" w:type="dxa"/>
            <w:vAlign w:val="bottom"/>
          </w:tcPr>
          <w:p>
            <w:pPr>
              <w:ind w:left="3080"/>
              <w:spacing w:after="0"/>
              <w:rPr>
                <w:sz w:val="20"/>
                <w:szCs w:val="20"/>
                <w:color w:val="auto"/>
              </w:rPr>
            </w:pPr>
            <w:r>
              <w:rPr>
                <w:rFonts w:ascii="Arial" w:cs="Arial" w:eastAsia="Arial" w:hAnsi="Arial"/>
                <w:sz w:val="19"/>
                <w:szCs w:val="19"/>
                <w:color w:val="auto"/>
                <w:w w:val="94"/>
              </w:rPr>
              <w:t>A-28</w:t>
            </w:r>
          </w:p>
        </w:tc>
      </w:tr>
      <w:tr>
        <w:trPr>
          <w:trHeight w:val="20"/>
        </w:trPr>
        <w:tc>
          <w:tcPr>
            <w:tcW w:w="7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9"/>
                <w:szCs w:val="19"/>
                <w:b w:val="1"/>
                <w:bCs w:val="1"/>
                <w:color w:val="auto"/>
              </w:rPr>
              <w:t>13.15</w:t>
            </w:r>
          </w:p>
        </w:tc>
        <w:tc>
          <w:tcPr>
            <w:tcW w:w="2200" w:type="dxa"/>
            <w:vAlign w:val="bottom"/>
            <w:tcBorders>
              <w:bottom w:val="single" w:sz="8" w:color="0000EE"/>
            </w:tcBorders>
            <w:gridSpan w:val="10"/>
          </w:tcPr>
          <w:p>
            <w:pPr>
              <w:spacing w:after="0"/>
              <w:rPr>
                <w:sz w:val="20"/>
                <w:szCs w:val="20"/>
                <w:color w:val="auto"/>
              </w:rPr>
            </w:pPr>
            <w:r>
              <w:rPr>
                <w:rFonts w:ascii="Arial" w:cs="Arial" w:eastAsia="Arial" w:hAnsi="Arial"/>
                <w:sz w:val="19"/>
                <w:szCs w:val="19"/>
                <w:b w:val="1"/>
                <w:bCs w:val="1"/>
                <w:color w:val="0000EE"/>
              </w:rPr>
              <w:t>S</w:t>
            </w:r>
            <w:r>
              <w:rPr>
                <w:rFonts w:ascii="Arial" w:cs="Arial" w:eastAsia="Arial" w:hAnsi="Arial"/>
                <w:sz w:val="15"/>
                <w:szCs w:val="15"/>
                <w:b w:val="1"/>
                <w:bCs w:val="1"/>
                <w:color w:val="0000EE"/>
              </w:rPr>
              <w:t>UCCESSOR AND</w:t>
            </w:r>
            <w:r>
              <w:rPr>
                <w:rFonts w:ascii="Arial" w:cs="Arial" w:eastAsia="Arial" w:hAnsi="Arial"/>
                <w:sz w:val="19"/>
                <w:szCs w:val="19"/>
                <w:b w:val="1"/>
                <w:bCs w:val="1"/>
                <w:color w:val="0000EE"/>
              </w:rPr>
              <w:t xml:space="preserve"> A</w:t>
            </w:r>
            <w:r>
              <w:rPr>
                <w:rFonts w:ascii="Arial" w:cs="Arial" w:eastAsia="Arial" w:hAnsi="Arial"/>
                <w:sz w:val="15"/>
                <w:szCs w:val="15"/>
                <w:b w:val="1"/>
                <w:bCs w:val="1"/>
                <w:color w:val="0000EE"/>
              </w:rPr>
              <w:t>SSIGNS</w:t>
            </w:r>
          </w:p>
        </w:tc>
        <w:tc>
          <w:tcPr>
            <w:tcW w:w="4140" w:type="dxa"/>
            <w:vAlign w:val="bottom"/>
            <w:gridSpan w:val="6"/>
          </w:tcPr>
          <w:p>
            <w:pPr>
              <w:spacing w:after="0"/>
              <w:rPr>
                <w:sz w:val="24"/>
                <w:szCs w:val="24"/>
                <w:color w:val="auto"/>
              </w:rPr>
            </w:pPr>
          </w:p>
        </w:tc>
        <w:tc>
          <w:tcPr>
            <w:tcW w:w="3480" w:type="dxa"/>
            <w:vAlign w:val="bottom"/>
          </w:tcPr>
          <w:p>
            <w:pPr>
              <w:ind w:left="3080"/>
              <w:spacing w:after="0"/>
              <w:rPr>
                <w:sz w:val="20"/>
                <w:szCs w:val="20"/>
                <w:color w:val="auto"/>
              </w:rPr>
            </w:pPr>
            <w:r>
              <w:rPr>
                <w:rFonts w:ascii="Arial" w:cs="Arial" w:eastAsia="Arial" w:hAnsi="Arial"/>
                <w:sz w:val="19"/>
                <w:szCs w:val="19"/>
                <w:color w:val="auto"/>
                <w:w w:val="94"/>
              </w:rPr>
              <w:t>A-29</w:t>
            </w:r>
          </w:p>
        </w:tc>
      </w:tr>
      <w:tr>
        <w:trPr>
          <w:trHeight w:val="331"/>
        </w:trPr>
        <w:tc>
          <w:tcPr>
            <w:tcW w:w="700" w:type="dxa"/>
            <w:vAlign w:val="bottom"/>
          </w:tcPr>
          <w:p>
            <w:pPr>
              <w:spacing w:after="0"/>
              <w:rPr>
                <w:sz w:val="20"/>
                <w:szCs w:val="20"/>
                <w:color w:val="auto"/>
              </w:rPr>
            </w:pPr>
            <w:r>
              <w:rPr>
                <w:rFonts w:ascii="Arial" w:cs="Arial" w:eastAsia="Arial" w:hAnsi="Arial"/>
                <w:sz w:val="19"/>
                <w:szCs w:val="19"/>
                <w:b w:val="1"/>
                <w:bCs w:val="1"/>
                <w:color w:val="auto"/>
              </w:rPr>
              <w:t>13.16</w:t>
            </w:r>
          </w:p>
        </w:tc>
        <w:tc>
          <w:tcPr>
            <w:tcW w:w="2500" w:type="dxa"/>
            <w:vAlign w:val="bottom"/>
            <w:tcBorders>
              <w:bottom w:val="single" w:sz="8" w:color="0000EE"/>
            </w:tcBorders>
            <w:gridSpan w:val="13"/>
          </w:tcPr>
          <w:p>
            <w:pPr>
              <w:spacing w:after="0"/>
              <w:rPr>
                <w:sz w:val="20"/>
                <w:szCs w:val="20"/>
                <w:color w:val="auto"/>
              </w:rPr>
            </w:pPr>
            <w:r>
              <w:rPr>
                <w:rFonts w:ascii="Arial" w:cs="Arial" w:eastAsia="Arial" w:hAnsi="Arial"/>
                <w:sz w:val="19"/>
                <w:szCs w:val="19"/>
                <w:b w:val="1"/>
                <w:bCs w:val="1"/>
                <w:color w:val="0000EE"/>
              </w:rPr>
              <w:t>S</w:t>
            </w:r>
            <w:r>
              <w:rPr>
                <w:rFonts w:ascii="Arial" w:cs="Arial" w:eastAsia="Arial" w:hAnsi="Arial"/>
                <w:sz w:val="15"/>
                <w:szCs w:val="15"/>
                <w:b w:val="1"/>
                <w:bCs w:val="1"/>
                <w:color w:val="0000EE"/>
              </w:rPr>
              <w:t>EVERABILITY OF</w:t>
            </w:r>
            <w:r>
              <w:rPr>
                <w:rFonts w:ascii="Arial" w:cs="Arial" w:eastAsia="Arial" w:hAnsi="Arial"/>
                <w:sz w:val="19"/>
                <w:szCs w:val="19"/>
                <w:b w:val="1"/>
                <w:bCs w:val="1"/>
                <w:color w:val="0000EE"/>
              </w:rPr>
              <w:t xml:space="preserve"> P</w:t>
            </w:r>
            <w:r>
              <w:rPr>
                <w:rFonts w:ascii="Arial" w:cs="Arial" w:eastAsia="Arial" w:hAnsi="Arial"/>
                <w:sz w:val="15"/>
                <w:szCs w:val="15"/>
                <w:b w:val="1"/>
                <w:bCs w:val="1"/>
                <w:color w:val="0000EE"/>
              </w:rPr>
              <w:t>ROVISIONS</w:t>
            </w:r>
          </w:p>
        </w:tc>
        <w:tc>
          <w:tcPr>
            <w:tcW w:w="3840" w:type="dxa"/>
            <w:vAlign w:val="bottom"/>
            <w:gridSpan w:val="3"/>
          </w:tcPr>
          <w:p>
            <w:pPr>
              <w:spacing w:after="0"/>
              <w:rPr>
                <w:sz w:val="24"/>
                <w:szCs w:val="24"/>
                <w:color w:val="auto"/>
              </w:rPr>
            </w:pPr>
          </w:p>
        </w:tc>
        <w:tc>
          <w:tcPr>
            <w:tcW w:w="3480" w:type="dxa"/>
            <w:vAlign w:val="bottom"/>
          </w:tcPr>
          <w:p>
            <w:pPr>
              <w:ind w:left="3080"/>
              <w:spacing w:after="0"/>
              <w:rPr>
                <w:sz w:val="20"/>
                <w:szCs w:val="20"/>
                <w:color w:val="auto"/>
              </w:rPr>
            </w:pPr>
            <w:r>
              <w:rPr>
                <w:rFonts w:ascii="Arial" w:cs="Arial" w:eastAsia="Arial" w:hAnsi="Arial"/>
                <w:sz w:val="19"/>
                <w:szCs w:val="19"/>
                <w:color w:val="auto"/>
                <w:w w:val="94"/>
              </w:rPr>
              <w:t>A-29</w:t>
            </w:r>
          </w:p>
        </w:tc>
      </w:tr>
      <w:tr>
        <w:trPr>
          <w:trHeight w:val="331"/>
        </w:trPr>
        <w:tc>
          <w:tcPr>
            <w:tcW w:w="700" w:type="dxa"/>
            <w:vAlign w:val="bottom"/>
          </w:tcPr>
          <w:p>
            <w:pPr>
              <w:spacing w:after="0"/>
              <w:rPr>
                <w:sz w:val="20"/>
                <w:szCs w:val="20"/>
                <w:color w:val="auto"/>
              </w:rPr>
            </w:pPr>
            <w:r>
              <w:rPr>
                <w:rFonts w:ascii="Arial" w:cs="Arial" w:eastAsia="Arial" w:hAnsi="Arial"/>
                <w:sz w:val="19"/>
                <w:szCs w:val="19"/>
                <w:b w:val="1"/>
                <w:bCs w:val="1"/>
                <w:color w:val="auto"/>
              </w:rPr>
              <w:t>13.17</w:t>
            </w:r>
          </w:p>
        </w:tc>
        <w:tc>
          <w:tcPr>
            <w:tcW w:w="2360" w:type="dxa"/>
            <w:vAlign w:val="bottom"/>
            <w:tcBorders>
              <w:bottom w:val="single" w:sz="8" w:color="0000EE"/>
            </w:tcBorders>
            <w:gridSpan w:val="11"/>
          </w:tcPr>
          <w:p>
            <w:pPr>
              <w:spacing w:after="0"/>
              <w:rPr>
                <w:sz w:val="20"/>
                <w:szCs w:val="20"/>
                <w:color w:val="auto"/>
              </w:rPr>
            </w:pPr>
            <w:r>
              <w:rPr>
                <w:rFonts w:ascii="Arial" w:cs="Arial" w:eastAsia="Arial" w:hAnsi="Arial"/>
                <w:sz w:val="19"/>
                <w:szCs w:val="19"/>
                <w:b w:val="1"/>
                <w:bCs w:val="1"/>
                <w:color w:val="0000EE"/>
              </w:rPr>
              <w:t>P</w:t>
            </w:r>
            <w:r>
              <w:rPr>
                <w:rFonts w:ascii="Arial" w:cs="Arial" w:eastAsia="Arial" w:hAnsi="Arial"/>
                <w:sz w:val="15"/>
                <w:szCs w:val="15"/>
                <w:b w:val="1"/>
                <w:bCs w:val="1"/>
                <w:color w:val="0000EE"/>
              </w:rPr>
              <w:t>AYMENTS TO</w:t>
            </w:r>
            <w:r>
              <w:rPr>
                <w:rFonts w:ascii="Arial" w:cs="Arial" w:eastAsia="Arial" w:hAnsi="Arial"/>
                <w:sz w:val="19"/>
                <w:szCs w:val="19"/>
                <w:b w:val="1"/>
                <w:bCs w:val="1"/>
                <w:color w:val="0000EE"/>
              </w:rPr>
              <w:t xml:space="preserve"> M</w:t>
            </w:r>
            <w:r>
              <w:rPr>
                <w:rFonts w:ascii="Arial" w:cs="Arial" w:eastAsia="Arial" w:hAnsi="Arial"/>
                <w:sz w:val="15"/>
                <w:szCs w:val="15"/>
                <w:b w:val="1"/>
                <w:bCs w:val="1"/>
                <w:color w:val="0000EE"/>
              </w:rPr>
              <w:t>INORS</w:t>
            </w:r>
            <w:r>
              <w:rPr>
                <w:rFonts w:ascii="Arial" w:cs="Arial" w:eastAsia="Arial" w:hAnsi="Arial"/>
                <w:sz w:val="19"/>
                <w:szCs w:val="19"/>
                <w:b w:val="1"/>
                <w:bCs w:val="1"/>
                <w:color w:val="0000EE"/>
              </w:rPr>
              <w:t>, E</w:t>
            </w:r>
            <w:r>
              <w:rPr>
                <w:rFonts w:ascii="Arial" w:cs="Arial" w:eastAsia="Arial" w:hAnsi="Arial"/>
                <w:sz w:val="15"/>
                <w:szCs w:val="15"/>
                <w:b w:val="1"/>
                <w:bCs w:val="1"/>
                <w:color w:val="0000EE"/>
              </w:rPr>
              <w:t>TC</w:t>
            </w:r>
            <w:r>
              <w:rPr>
                <w:rFonts w:ascii="Arial" w:cs="Arial" w:eastAsia="Arial" w:hAnsi="Arial"/>
                <w:sz w:val="19"/>
                <w:szCs w:val="19"/>
                <w:b w:val="1"/>
                <w:bCs w:val="1"/>
                <w:color w:val="0000EE"/>
              </w:rPr>
              <w:t>.</w:t>
            </w:r>
          </w:p>
        </w:tc>
        <w:tc>
          <w:tcPr>
            <w:tcW w:w="3980" w:type="dxa"/>
            <w:vAlign w:val="bottom"/>
            <w:gridSpan w:val="5"/>
          </w:tcPr>
          <w:p>
            <w:pPr>
              <w:spacing w:after="0"/>
              <w:rPr>
                <w:sz w:val="24"/>
                <w:szCs w:val="24"/>
                <w:color w:val="auto"/>
              </w:rPr>
            </w:pPr>
          </w:p>
        </w:tc>
        <w:tc>
          <w:tcPr>
            <w:tcW w:w="3480" w:type="dxa"/>
            <w:vAlign w:val="bottom"/>
          </w:tcPr>
          <w:p>
            <w:pPr>
              <w:ind w:left="3080"/>
              <w:spacing w:after="0"/>
              <w:rPr>
                <w:sz w:val="20"/>
                <w:szCs w:val="20"/>
                <w:color w:val="auto"/>
              </w:rPr>
            </w:pPr>
            <w:r>
              <w:rPr>
                <w:rFonts w:ascii="Arial" w:cs="Arial" w:eastAsia="Arial" w:hAnsi="Arial"/>
                <w:sz w:val="19"/>
                <w:szCs w:val="19"/>
                <w:color w:val="auto"/>
                <w:w w:val="94"/>
              </w:rPr>
              <w:t>A-29</w:t>
            </w:r>
          </w:p>
        </w:tc>
      </w:tr>
      <w:tr>
        <w:trPr>
          <w:trHeight w:val="331"/>
        </w:trPr>
        <w:tc>
          <w:tcPr>
            <w:tcW w:w="700" w:type="dxa"/>
            <w:vAlign w:val="bottom"/>
          </w:tcPr>
          <w:p>
            <w:pPr>
              <w:spacing w:after="0"/>
              <w:rPr>
                <w:sz w:val="20"/>
                <w:szCs w:val="20"/>
                <w:color w:val="auto"/>
              </w:rPr>
            </w:pPr>
            <w:r>
              <w:rPr>
                <w:rFonts w:ascii="Arial" w:cs="Arial" w:eastAsia="Arial" w:hAnsi="Arial"/>
                <w:sz w:val="19"/>
                <w:szCs w:val="19"/>
                <w:b w:val="1"/>
                <w:bCs w:val="1"/>
                <w:color w:val="auto"/>
              </w:rPr>
              <w:t>13.18</w:t>
            </w:r>
          </w:p>
        </w:tc>
        <w:tc>
          <w:tcPr>
            <w:tcW w:w="2140" w:type="dxa"/>
            <w:vAlign w:val="bottom"/>
            <w:tcBorders>
              <w:bottom w:val="single" w:sz="8" w:color="0000EE"/>
            </w:tcBorders>
            <w:gridSpan w:val="9"/>
          </w:tcPr>
          <w:p>
            <w:pPr>
              <w:spacing w:after="0"/>
              <w:rPr>
                <w:sz w:val="20"/>
                <w:szCs w:val="20"/>
                <w:color w:val="auto"/>
              </w:rPr>
            </w:pPr>
            <w:r>
              <w:rPr>
                <w:rFonts w:ascii="Arial" w:cs="Arial" w:eastAsia="Arial" w:hAnsi="Arial"/>
                <w:sz w:val="19"/>
                <w:szCs w:val="19"/>
                <w:b w:val="1"/>
                <w:bCs w:val="1"/>
                <w:color w:val="0000EE"/>
              </w:rPr>
              <w:t>H</w:t>
            </w:r>
            <w:r>
              <w:rPr>
                <w:rFonts w:ascii="Arial" w:cs="Arial" w:eastAsia="Arial" w:hAnsi="Arial"/>
                <w:sz w:val="15"/>
                <w:szCs w:val="15"/>
                <w:b w:val="1"/>
                <w:bCs w:val="1"/>
                <w:color w:val="0000EE"/>
              </w:rPr>
              <w:t>EADINGS AND</w:t>
            </w:r>
            <w:r>
              <w:rPr>
                <w:rFonts w:ascii="Arial" w:cs="Arial" w:eastAsia="Arial" w:hAnsi="Arial"/>
                <w:sz w:val="19"/>
                <w:szCs w:val="19"/>
                <w:b w:val="1"/>
                <w:bCs w:val="1"/>
                <w:color w:val="0000EE"/>
              </w:rPr>
              <w:t xml:space="preserve"> C</w:t>
            </w:r>
            <w:r>
              <w:rPr>
                <w:rFonts w:ascii="Arial" w:cs="Arial" w:eastAsia="Arial" w:hAnsi="Arial"/>
                <w:sz w:val="15"/>
                <w:szCs w:val="15"/>
                <w:b w:val="1"/>
                <w:bCs w:val="1"/>
                <w:color w:val="0000EE"/>
              </w:rPr>
              <w:t>APTIONS</w:t>
            </w:r>
          </w:p>
        </w:tc>
        <w:tc>
          <w:tcPr>
            <w:tcW w:w="4200" w:type="dxa"/>
            <w:vAlign w:val="bottom"/>
            <w:gridSpan w:val="7"/>
          </w:tcPr>
          <w:p>
            <w:pPr>
              <w:spacing w:after="0"/>
              <w:rPr>
                <w:sz w:val="24"/>
                <w:szCs w:val="24"/>
                <w:color w:val="auto"/>
              </w:rPr>
            </w:pPr>
          </w:p>
        </w:tc>
        <w:tc>
          <w:tcPr>
            <w:tcW w:w="3480" w:type="dxa"/>
            <w:vAlign w:val="bottom"/>
          </w:tcPr>
          <w:p>
            <w:pPr>
              <w:ind w:left="3080"/>
              <w:spacing w:after="0"/>
              <w:rPr>
                <w:sz w:val="20"/>
                <w:szCs w:val="20"/>
                <w:color w:val="auto"/>
              </w:rPr>
            </w:pPr>
            <w:r>
              <w:rPr>
                <w:rFonts w:ascii="Arial" w:cs="Arial" w:eastAsia="Arial" w:hAnsi="Arial"/>
                <w:sz w:val="19"/>
                <w:szCs w:val="19"/>
                <w:color w:val="auto"/>
                <w:w w:val="94"/>
              </w:rPr>
              <w:t>A-29</w:t>
            </w:r>
          </w:p>
        </w:tc>
      </w:tr>
      <w:tr>
        <w:trPr>
          <w:trHeight w:val="331"/>
        </w:trPr>
        <w:tc>
          <w:tcPr>
            <w:tcW w:w="700" w:type="dxa"/>
            <w:vAlign w:val="bottom"/>
          </w:tcPr>
          <w:p>
            <w:pPr>
              <w:spacing w:after="0"/>
              <w:rPr>
                <w:sz w:val="20"/>
                <w:szCs w:val="20"/>
                <w:color w:val="auto"/>
              </w:rPr>
            </w:pPr>
            <w:r>
              <w:rPr>
                <w:rFonts w:ascii="Arial" w:cs="Arial" w:eastAsia="Arial" w:hAnsi="Arial"/>
                <w:sz w:val="19"/>
                <w:szCs w:val="19"/>
                <w:b w:val="1"/>
                <w:bCs w:val="1"/>
                <w:color w:val="auto"/>
              </w:rPr>
              <w:t>13.19</w:t>
            </w:r>
          </w:p>
        </w:tc>
        <w:tc>
          <w:tcPr>
            <w:tcW w:w="6340" w:type="dxa"/>
            <w:vAlign w:val="bottom"/>
            <w:gridSpan w:val="16"/>
          </w:tcPr>
          <w:p>
            <w:pPr>
              <w:spacing w:after="0"/>
              <w:rPr>
                <w:sz w:val="20"/>
                <w:szCs w:val="20"/>
                <w:color w:val="auto"/>
              </w:rPr>
            </w:pPr>
            <w:r>
              <w:rPr>
                <w:rFonts w:ascii="Arial" w:cs="Arial" w:eastAsia="Arial" w:hAnsi="Arial"/>
                <w:sz w:val="19"/>
                <w:szCs w:val="19"/>
                <w:b w:val="1"/>
                <w:bCs w:val="1"/>
                <w:color w:val="0000EE"/>
              </w:rPr>
              <w:t>R</w:t>
            </w:r>
            <w:r>
              <w:rPr>
                <w:rFonts w:ascii="Arial" w:cs="Arial" w:eastAsia="Arial" w:hAnsi="Arial"/>
                <w:sz w:val="15"/>
                <w:szCs w:val="15"/>
                <w:b w:val="1"/>
                <w:bCs w:val="1"/>
                <w:color w:val="0000EE"/>
              </w:rPr>
              <w:t>ECOUPMENT</w:t>
            </w:r>
          </w:p>
        </w:tc>
        <w:tc>
          <w:tcPr>
            <w:tcW w:w="3480" w:type="dxa"/>
            <w:vAlign w:val="bottom"/>
          </w:tcPr>
          <w:p>
            <w:pPr>
              <w:ind w:left="3080"/>
              <w:spacing w:after="0"/>
              <w:rPr>
                <w:sz w:val="20"/>
                <w:szCs w:val="20"/>
                <w:color w:val="auto"/>
              </w:rPr>
            </w:pPr>
            <w:r>
              <w:rPr>
                <w:rFonts w:ascii="Arial" w:cs="Arial" w:eastAsia="Arial" w:hAnsi="Arial"/>
                <w:sz w:val="19"/>
                <w:szCs w:val="19"/>
                <w:color w:val="auto"/>
                <w:w w:val="94"/>
              </w:rPr>
              <w:t>A-29</w:t>
            </w:r>
          </w:p>
        </w:tc>
      </w:tr>
      <w:tr>
        <w:trPr>
          <w:trHeight w:val="20"/>
        </w:trPr>
        <w:tc>
          <w:tcPr>
            <w:tcW w:w="7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9"/>
                <w:szCs w:val="19"/>
                <w:b w:val="1"/>
                <w:bCs w:val="1"/>
                <w:color w:val="auto"/>
              </w:rPr>
              <w:t>13.20</w:t>
            </w:r>
          </w:p>
        </w:tc>
        <w:tc>
          <w:tcPr>
            <w:tcW w:w="6340" w:type="dxa"/>
            <w:vAlign w:val="bottom"/>
            <w:gridSpan w:val="16"/>
          </w:tcPr>
          <w:p>
            <w:pPr>
              <w:spacing w:after="0"/>
              <w:rPr>
                <w:sz w:val="20"/>
                <w:szCs w:val="20"/>
                <w:color w:val="auto"/>
              </w:rPr>
            </w:pPr>
            <w:r>
              <w:rPr>
                <w:rFonts w:ascii="Arial" w:cs="Arial" w:eastAsia="Arial" w:hAnsi="Arial"/>
                <w:sz w:val="19"/>
                <w:szCs w:val="19"/>
                <w:b w:val="1"/>
                <w:bCs w:val="1"/>
                <w:color w:val="0000EE"/>
              </w:rPr>
              <w:t>R</w:t>
            </w:r>
            <w:r>
              <w:rPr>
                <w:rFonts w:ascii="Arial" w:cs="Arial" w:eastAsia="Arial" w:hAnsi="Arial"/>
                <w:sz w:val="15"/>
                <w:szCs w:val="15"/>
                <w:b w:val="1"/>
                <w:bCs w:val="1"/>
                <w:color w:val="0000EE"/>
              </w:rPr>
              <w:t>EFORMATION</w:t>
            </w:r>
          </w:p>
        </w:tc>
        <w:tc>
          <w:tcPr>
            <w:tcW w:w="3480" w:type="dxa"/>
            <w:vAlign w:val="bottom"/>
          </w:tcPr>
          <w:p>
            <w:pPr>
              <w:ind w:left="3080"/>
              <w:spacing w:after="0"/>
              <w:rPr>
                <w:sz w:val="20"/>
                <w:szCs w:val="20"/>
                <w:color w:val="auto"/>
              </w:rPr>
            </w:pPr>
            <w:r>
              <w:rPr>
                <w:rFonts w:ascii="Arial" w:cs="Arial" w:eastAsia="Arial" w:hAnsi="Arial"/>
                <w:sz w:val="19"/>
                <w:szCs w:val="19"/>
                <w:color w:val="auto"/>
                <w:w w:val="94"/>
              </w:rPr>
              <w:t>A-30</w:t>
            </w:r>
          </w:p>
        </w:tc>
      </w:tr>
      <w:tr>
        <w:trPr>
          <w:trHeight w:val="20"/>
        </w:trPr>
        <w:tc>
          <w:tcPr>
            <w:tcW w:w="70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0" w:type="dxa"/>
            <w:vAlign w:val="bottom"/>
            <w:gridSpan w:val="10"/>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9"/>
                <w:szCs w:val="19"/>
                <w:b w:val="1"/>
                <w:bCs w:val="1"/>
                <w:color w:val="auto"/>
              </w:rPr>
              <w:t>13.21</w:t>
            </w:r>
          </w:p>
        </w:tc>
        <w:tc>
          <w:tcPr>
            <w:tcW w:w="6340" w:type="dxa"/>
            <w:vAlign w:val="bottom"/>
            <w:gridSpan w:val="16"/>
          </w:tcPr>
          <w:p>
            <w:pPr>
              <w:spacing w:after="0"/>
              <w:rPr>
                <w:sz w:val="20"/>
                <w:szCs w:val="20"/>
                <w:color w:val="auto"/>
              </w:rPr>
            </w:pPr>
            <w:r>
              <w:rPr>
                <w:rFonts w:ascii="Arial" w:cs="Arial" w:eastAsia="Arial" w:hAnsi="Arial"/>
                <w:sz w:val="19"/>
                <w:szCs w:val="19"/>
                <w:b w:val="1"/>
                <w:bCs w:val="1"/>
                <w:color w:val="0000EE"/>
              </w:rPr>
              <w:t>E</w:t>
            </w:r>
            <w:r>
              <w:rPr>
                <w:rFonts w:ascii="Arial" w:cs="Arial" w:eastAsia="Arial" w:hAnsi="Arial"/>
                <w:sz w:val="15"/>
                <w:szCs w:val="15"/>
                <w:b w:val="1"/>
                <w:bCs w:val="1"/>
                <w:color w:val="0000EE"/>
              </w:rPr>
              <w:t>LECTRONIC</w:t>
            </w:r>
            <w:r>
              <w:rPr>
                <w:rFonts w:ascii="Arial" w:cs="Arial" w:eastAsia="Arial" w:hAnsi="Arial"/>
                <w:sz w:val="19"/>
                <w:szCs w:val="19"/>
                <w:b w:val="1"/>
                <w:bCs w:val="1"/>
                <w:color w:val="0000EE"/>
              </w:rPr>
              <w:t xml:space="preserve"> C</w:t>
            </w:r>
            <w:r>
              <w:rPr>
                <w:rFonts w:ascii="Arial" w:cs="Arial" w:eastAsia="Arial" w:hAnsi="Arial"/>
                <w:sz w:val="15"/>
                <w:szCs w:val="15"/>
                <w:b w:val="1"/>
                <w:bCs w:val="1"/>
                <w:color w:val="0000EE"/>
              </w:rPr>
              <w:t>OMMUNICATIONS</w:t>
            </w:r>
          </w:p>
        </w:tc>
        <w:tc>
          <w:tcPr>
            <w:tcW w:w="3480" w:type="dxa"/>
            <w:vAlign w:val="bottom"/>
          </w:tcPr>
          <w:p>
            <w:pPr>
              <w:ind w:left="3080"/>
              <w:spacing w:after="0"/>
              <w:rPr>
                <w:sz w:val="20"/>
                <w:szCs w:val="20"/>
                <w:color w:val="auto"/>
              </w:rPr>
            </w:pPr>
            <w:r>
              <w:rPr>
                <w:rFonts w:ascii="Arial" w:cs="Arial" w:eastAsia="Arial" w:hAnsi="Arial"/>
                <w:sz w:val="19"/>
                <w:szCs w:val="19"/>
                <w:color w:val="auto"/>
                <w:w w:val="94"/>
              </w:rPr>
              <w:t>A-30</w:t>
            </w:r>
          </w:p>
        </w:tc>
      </w:tr>
      <w:tr>
        <w:trPr>
          <w:trHeight w:val="331"/>
        </w:trPr>
        <w:tc>
          <w:tcPr>
            <w:tcW w:w="700" w:type="dxa"/>
            <w:vAlign w:val="bottom"/>
          </w:tcPr>
          <w:p>
            <w:pPr>
              <w:spacing w:after="0"/>
              <w:rPr>
                <w:sz w:val="20"/>
                <w:szCs w:val="20"/>
                <w:color w:val="auto"/>
              </w:rPr>
            </w:pPr>
            <w:r>
              <w:rPr>
                <w:rFonts w:ascii="Arial" w:cs="Arial" w:eastAsia="Arial" w:hAnsi="Arial"/>
                <w:sz w:val="19"/>
                <w:szCs w:val="19"/>
                <w:b w:val="1"/>
                <w:bCs w:val="1"/>
                <w:color w:val="auto"/>
              </w:rPr>
              <w:t>13.22</w:t>
            </w:r>
          </w:p>
        </w:tc>
        <w:tc>
          <w:tcPr>
            <w:tcW w:w="2580" w:type="dxa"/>
            <w:vAlign w:val="bottom"/>
            <w:tcBorders>
              <w:top w:val="single" w:sz="8" w:color="0000EE"/>
            </w:tcBorders>
            <w:gridSpan w:val="14"/>
          </w:tcPr>
          <w:p>
            <w:pPr>
              <w:spacing w:after="0"/>
              <w:rPr>
                <w:sz w:val="20"/>
                <w:szCs w:val="20"/>
                <w:color w:val="auto"/>
              </w:rPr>
            </w:pPr>
            <w:r>
              <w:rPr>
                <w:rFonts w:ascii="Arial" w:cs="Arial" w:eastAsia="Arial" w:hAnsi="Arial"/>
                <w:sz w:val="19"/>
                <w:szCs w:val="19"/>
                <w:b w:val="1"/>
                <w:bCs w:val="1"/>
                <w:color w:val="0000EE"/>
              </w:rPr>
              <w:t>A</w:t>
            </w:r>
            <w:r>
              <w:rPr>
                <w:rFonts w:ascii="Arial" w:cs="Arial" w:eastAsia="Arial" w:hAnsi="Arial"/>
                <w:sz w:val="15"/>
                <w:szCs w:val="15"/>
                <w:b w:val="1"/>
                <w:bCs w:val="1"/>
                <w:color w:val="0000EE"/>
              </w:rPr>
              <w:t>GREEMENT</w:t>
            </w:r>
          </w:p>
        </w:tc>
        <w:tc>
          <w:tcPr>
            <w:tcW w:w="3760" w:type="dxa"/>
            <w:vAlign w:val="bottom"/>
            <w:gridSpan w:val="2"/>
          </w:tcPr>
          <w:p>
            <w:pPr>
              <w:spacing w:after="0"/>
              <w:rPr>
                <w:sz w:val="24"/>
                <w:szCs w:val="24"/>
                <w:color w:val="auto"/>
              </w:rPr>
            </w:pPr>
          </w:p>
        </w:tc>
        <w:tc>
          <w:tcPr>
            <w:tcW w:w="3480" w:type="dxa"/>
            <w:vAlign w:val="bottom"/>
          </w:tcPr>
          <w:p>
            <w:pPr>
              <w:ind w:left="3080"/>
              <w:spacing w:after="0"/>
              <w:rPr>
                <w:sz w:val="20"/>
                <w:szCs w:val="20"/>
                <w:color w:val="auto"/>
              </w:rPr>
            </w:pPr>
            <w:r>
              <w:rPr>
                <w:rFonts w:ascii="Arial" w:cs="Arial" w:eastAsia="Arial" w:hAnsi="Arial"/>
                <w:sz w:val="19"/>
                <w:szCs w:val="19"/>
                <w:color w:val="auto"/>
                <w:w w:val="94"/>
              </w:rPr>
              <w:t>A-30</w:t>
            </w:r>
          </w:p>
        </w:tc>
      </w:tr>
      <w:tr>
        <w:trPr>
          <w:trHeight w:val="20"/>
        </w:trPr>
        <w:tc>
          <w:tcPr>
            <w:tcW w:w="7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bl>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3700" w:type="dxa"/>
            <w:vAlign w:val="bottom"/>
            <w:tcBorders>
              <w:bottom w:val="single" w:sz="8" w:color="0000EE"/>
            </w:tcBorders>
            <w:gridSpan w:val="2"/>
          </w:tcPr>
          <w:p>
            <w:pPr>
              <w:spacing w:after="0"/>
              <w:rPr>
                <w:sz w:val="20"/>
                <w:szCs w:val="20"/>
                <w:color w:val="auto"/>
              </w:rPr>
            </w:pPr>
            <w:r>
              <w:rPr>
                <w:rFonts w:ascii="Arial" w:cs="Arial" w:eastAsia="Arial" w:hAnsi="Arial"/>
                <w:sz w:val="19"/>
                <w:szCs w:val="19"/>
                <w:b w:val="1"/>
                <w:bCs w:val="1"/>
                <w:color w:val="0000EE"/>
                <w:w w:val="98"/>
              </w:rPr>
              <w:t>ARTICLE XIV EFFECTIVE DATE OF PLAN</w:t>
            </w:r>
          </w:p>
        </w:tc>
        <w:tc>
          <w:tcPr>
            <w:tcW w:w="2520" w:type="dxa"/>
            <w:vAlign w:val="bottom"/>
          </w:tcPr>
          <w:p>
            <w:pPr>
              <w:spacing w:after="0"/>
              <w:rPr>
                <w:sz w:val="19"/>
                <w:szCs w:val="19"/>
                <w:color w:val="auto"/>
              </w:rPr>
            </w:pPr>
          </w:p>
        </w:tc>
        <w:tc>
          <w:tcPr>
            <w:tcW w:w="4800" w:type="dxa"/>
            <w:vAlign w:val="bottom"/>
            <w:gridSpan w:val="2"/>
          </w:tcPr>
          <w:p>
            <w:pPr>
              <w:ind w:left="4180"/>
              <w:spacing w:after="0"/>
              <w:rPr>
                <w:sz w:val="20"/>
                <w:szCs w:val="20"/>
                <w:color w:val="auto"/>
              </w:rPr>
            </w:pPr>
            <w:r>
              <w:rPr>
                <w:rFonts w:ascii="Arial" w:cs="Arial" w:eastAsia="Arial" w:hAnsi="Arial"/>
                <w:sz w:val="19"/>
                <w:szCs w:val="19"/>
                <w:color w:val="auto"/>
              </w:rPr>
              <w:t>A-30</w:t>
            </w:r>
          </w:p>
        </w:tc>
      </w:tr>
      <w:tr>
        <w:trPr>
          <w:trHeight w:val="331"/>
        </w:trPr>
        <w:tc>
          <w:tcPr>
            <w:tcW w:w="6220" w:type="dxa"/>
            <w:vAlign w:val="bottom"/>
            <w:gridSpan w:val="3"/>
          </w:tcPr>
          <w:p>
            <w:pPr>
              <w:spacing w:after="0"/>
              <w:rPr>
                <w:sz w:val="20"/>
                <w:szCs w:val="20"/>
                <w:color w:val="auto"/>
              </w:rPr>
            </w:pPr>
            <w:r>
              <w:rPr>
                <w:rFonts w:ascii="Arial" w:cs="Arial" w:eastAsia="Arial" w:hAnsi="Arial"/>
                <w:sz w:val="19"/>
                <w:szCs w:val="19"/>
                <w:b w:val="1"/>
                <w:bCs w:val="1"/>
                <w:color w:val="0000EE"/>
              </w:rPr>
              <w:t>ARTICLE XV TERM OF PLAN</w:t>
            </w:r>
          </w:p>
        </w:tc>
        <w:tc>
          <w:tcPr>
            <w:tcW w:w="4800" w:type="dxa"/>
            <w:vAlign w:val="bottom"/>
            <w:gridSpan w:val="2"/>
          </w:tcPr>
          <w:p>
            <w:pPr>
              <w:ind w:left="4180"/>
              <w:spacing w:after="0"/>
              <w:rPr>
                <w:sz w:val="20"/>
                <w:szCs w:val="20"/>
                <w:color w:val="auto"/>
              </w:rPr>
            </w:pPr>
            <w:r>
              <w:rPr>
                <w:rFonts w:ascii="Arial" w:cs="Arial" w:eastAsia="Arial" w:hAnsi="Arial"/>
                <w:sz w:val="19"/>
                <w:szCs w:val="19"/>
                <w:color w:val="auto"/>
              </w:rPr>
              <w:t>A-30</w:t>
            </w:r>
          </w:p>
        </w:tc>
      </w:tr>
      <w:tr>
        <w:trPr>
          <w:trHeight w:val="155"/>
        </w:trPr>
        <w:tc>
          <w:tcPr>
            <w:tcW w:w="2580" w:type="dxa"/>
            <w:vAlign w:val="bottom"/>
            <w:tcBorders>
              <w:top w:val="single" w:sz="8" w:color="0000EE"/>
            </w:tcBorders>
          </w:tcPr>
          <w:p>
            <w:pPr>
              <w:spacing w:after="0"/>
              <w:rPr>
                <w:sz w:val="13"/>
                <w:szCs w:val="13"/>
                <w:color w:val="auto"/>
              </w:rPr>
            </w:pPr>
          </w:p>
        </w:tc>
        <w:tc>
          <w:tcPr>
            <w:tcW w:w="1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97"/>
        </w:trPr>
        <w:tc>
          <w:tcPr>
            <w:tcW w:w="6220" w:type="dxa"/>
            <w:vAlign w:val="bottom"/>
            <w:gridSpan w:val="3"/>
          </w:tcPr>
          <w:p>
            <w:pPr>
              <w:spacing w:after="0"/>
              <w:rPr>
                <w:sz w:val="20"/>
                <w:szCs w:val="20"/>
                <w:color w:val="auto"/>
              </w:rPr>
            </w:pPr>
            <w:r>
              <w:rPr>
                <w:rFonts w:ascii="Arial" w:cs="Arial" w:eastAsia="Arial" w:hAnsi="Arial"/>
                <w:sz w:val="16"/>
                <w:szCs w:val="16"/>
                <w:color w:val="002060"/>
              </w:rPr>
              <w:t>2023 Omnibus Incentive Plan</w:t>
            </w:r>
          </w:p>
        </w:tc>
        <w:tc>
          <w:tcPr>
            <w:tcW w:w="4220" w:type="dxa"/>
            <w:vAlign w:val="bottom"/>
          </w:tcPr>
          <w:p>
            <w:pPr>
              <w:ind w:left="2520"/>
              <w:spacing w:after="0"/>
              <w:rPr>
                <w:sz w:val="20"/>
                <w:szCs w:val="20"/>
                <w:color w:val="auto"/>
              </w:rPr>
            </w:pPr>
            <w:r>
              <w:rPr>
                <w:rFonts w:ascii="Arial" w:cs="Arial" w:eastAsia="Arial" w:hAnsi="Arial"/>
                <w:sz w:val="16"/>
                <w:szCs w:val="16"/>
                <w:color w:val="002060"/>
              </w:rPr>
              <w:t>2023 Proxy Statement</w:t>
            </w:r>
          </w:p>
        </w:tc>
        <w:tc>
          <w:tcPr>
            <w:tcW w:w="580" w:type="dxa"/>
            <w:vAlign w:val="bottom"/>
            <w:shd w:val="clear" w:color="auto" w:fill="002060"/>
          </w:tcPr>
          <w:p>
            <w:pPr>
              <w:ind w:left="180"/>
              <w:spacing w:after="0"/>
              <w:rPr>
                <w:sz w:val="20"/>
                <w:szCs w:val="20"/>
                <w:color w:val="auto"/>
              </w:rPr>
            </w:pPr>
            <w:r>
              <w:rPr>
                <w:rFonts w:ascii="Arial" w:cs="Arial" w:eastAsia="Arial" w:hAnsi="Arial"/>
                <w:sz w:val="16"/>
                <w:szCs w:val="16"/>
                <w:color w:val="FFFFFF"/>
              </w:rPr>
              <w:t>A-5</w:t>
            </w:r>
          </w:p>
        </w:tc>
      </w:tr>
    </w:tbl>
    <w:p>
      <w:pPr>
        <w:sectPr>
          <w:pgSz w:w="11900" w:h="16838" w:orient="portrait"/>
          <w:cols w:equalWidth="0" w:num="1">
            <w:col w:w="11140"/>
          </w:cols>
          <w:pgMar w:left="320" w:top="482"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INSTALLED BUILDING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238760</wp:posOffset>
            </wp:positionV>
            <wp:extent cx="181737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2023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229870</wp:posOffset>
            </wp:positionV>
            <wp:extent cx="181737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ARTICLE I</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PURPOSE</w:t>
      </w:r>
    </w:p>
    <w:p>
      <w:pPr>
        <w:spacing w:after="0" w:line="214" w:lineRule="exact"/>
        <w:rPr>
          <w:sz w:val="20"/>
          <w:szCs w:val="20"/>
          <w:color w:val="auto"/>
        </w:rPr>
      </w:pPr>
    </w:p>
    <w:p>
      <w:pPr>
        <w:jc w:val="both"/>
        <w:ind w:left="120" w:firstLine="991"/>
        <w:spacing w:after="0" w:line="245" w:lineRule="auto"/>
        <w:rPr>
          <w:sz w:val="20"/>
          <w:szCs w:val="20"/>
          <w:color w:val="auto"/>
        </w:rPr>
      </w:pPr>
      <w:r>
        <w:rPr>
          <w:rFonts w:ascii="Arial" w:cs="Arial" w:eastAsia="Arial" w:hAnsi="Arial"/>
          <w:sz w:val="19"/>
          <w:szCs w:val="19"/>
          <w:color w:val="auto"/>
        </w:rPr>
        <w:t>The purpose of this Installed Building Products, Inc. 2023 Omnibus Incentive Plan is to enhance the profitability and value of the Company for the benefit of its stockholders by enabling the Company to offer Eligible Employees, Consultants and Non-Employee Directors incentive awards to attract, retain and reward such individuals and strengthen the mutuality of interests between such individuals and the Company’s stockholders. The Plan, as set forth herein, is effective as of the Effective Date (as defined in Article XIV).</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ARTICLE II</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DEFINITIONS</w:t>
      </w:r>
    </w:p>
    <w:p>
      <w:pPr>
        <w:spacing w:after="0" w:line="214"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For purposes of the Plan, the following terms shall have the following meanings:</w:t>
      </w:r>
    </w:p>
    <w:p>
      <w:pPr>
        <w:spacing w:after="0" w:line="214" w:lineRule="exact"/>
        <w:rPr>
          <w:sz w:val="20"/>
          <w:szCs w:val="20"/>
          <w:color w:val="auto"/>
        </w:rPr>
      </w:pPr>
    </w:p>
    <w:p>
      <w:pPr>
        <w:ind w:left="1100"/>
        <w:spacing w:after="0"/>
        <w:tabs>
          <w:tab w:leader="none" w:pos="156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2014 Plan</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Installed Building Products, Inc. 2014 Omnibus Incentive Plan.</w:t>
      </w:r>
    </w:p>
    <w:p>
      <w:pPr>
        <w:spacing w:after="0" w:line="214" w:lineRule="exact"/>
        <w:rPr>
          <w:sz w:val="20"/>
          <w:szCs w:val="20"/>
          <w:color w:val="auto"/>
        </w:rPr>
      </w:pPr>
    </w:p>
    <w:p>
      <w:pPr>
        <w:jc w:val="both"/>
        <w:ind w:left="120" w:firstLine="991"/>
        <w:spacing w:after="0" w:line="248" w:lineRule="auto"/>
        <w:rPr>
          <w:sz w:val="20"/>
          <w:szCs w:val="20"/>
          <w:color w:val="auto"/>
        </w:rPr>
      </w:pPr>
      <w:r>
        <w:rPr>
          <w:rFonts w:ascii="Arial" w:cs="Arial" w:eastAsia="Arial" w:hAnsi="Arial"/>
          <w:sz w:val="19"/>
          <w:szCs w:val="19"/>
          <w:b w:val="1"/>
          <w:bCs w:val="1"/>
          <w:color w:val="auto"/>
        </w:rPr>
        <w:t>2.2 “</w:t>
      </w:r>
      <w:r>
        <w:rPr>
          <w:rFonts w:ascii="Arial" w:cs="Arial" w:eastAsia="Arial" w:hAnsi="Arial"/>
          <w:sz w:val="19"/>
          <w:szCs w:val="19"/>
          <w:b w:val="1"/>
          <w:bCs w:val="1"/>
          <w:u w:val="single" w:color="auto"/>
          <w:color w:val="auto"/>
        </w:rPr>
        <w:t>Acquisition Event</w:t>
      </w:r>
      <w:r>
        <w:rPr>
          <w:rFonts w:ascii="Arial" w:cs="Arial" w:eastAsia="Arial" w:hAnsi="Arial"/>
          <w:sz w:val="19"/>
          <w:szCs w:val="19"/>
          <w:b w:val="1"/>
          <w:bCs w:val="1"/>
          <w:color w:val="auto"/>
        </w:rPr>
        <w:t xml:space="preserve">” </w:t>
      </w:r>
      <w:r>
        <w:rPr>
          <w:rFonts w:ascii="Arial" w:cs="Arial" w:eastAsia="Arial" w:hAnsi="Arial"/>
          <w:sz w:val="19"/>
          <w:szCs w:val="19"/>
          <w:color w:val="auto"/>
        </w:rPr>
        <w:t>means a merger or consolidation in which the Company is not the surviving entity, any</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that results in the acquisition of all or substantially all of the Company’s outstanding Common Stock by a single person or entity or by a group of persons or entities acting in concert, or the sale or transfer of all or substantially all of the Company’s assets.</w:t>
      </w:r>
    </w:p>
    <w:p>
      <w:pPr>
        <w:spacing w:after="0" w:line="177" w:lineRule="exact"/>
        <w:rPr>
          <w:sz w:val="20"/>
          <w:szCs w:val="20"/>
          <w:color w:val="auto"/>
        </w:rPr>
      </w:pPr>
    </w:p>
    <w:p>
      <w:pPr>
        <w:jc w:val="both"/>
        <w:ind w:left="120" w:firstLine="991"/>
        <w:spacing w:after="0" w:line="243" w:lineRule="auto"/>
        <w:rPr>
          <w:sz w:val="20"/>
          <w:szCs w:val="20"/>
          <w:color w:val="auto"/>
        </w:rPr>
      </w:pPr>
      <w:r>
        <w:rPr>
          <w:rFonts w:ascii="Arial" w:cs="Arial" w:eastAsia="Arial" w:hAnsi="Arial"/>
          <w:sz w:val="19"/>
          <w:szCs w:val="19"/>
          <w:b w:val="1"/>
          <w:bCs w:val="1"/>
          <w:color w:val="auto"/>
        </w:rPr>
        <w:t>2.3 “</w:t>
      </w:r>
      <w:r>
        <w:rPr>
          <w:rFonts w:ascii="Arial" w:cs="Arial" w:eastAsia="Arial" w:hAnsi="Arial"/>
          <w:sz w:val="19"/>
          <w:szCs w:val="19"/>
          <w:b w:val="1"/>
          <w:bCs w:val="1"/>
          <w:u w:val="single" w:color="auto"/>
          <w:color w:val="auto"/>
        </w:rPr>
        <w:t>Affiliate</w:t>
      </w:r>
      <w:r>
        <w:rPr>
          <w:rFonts w:ascii="Arial" w:cs="Arial" w:eastAsia="Arial" w:hAnsi="Arial"/>
          <w:sz w:val="19"/>
          <w:szCs w:val="19"/>
          <w:b w:val="1"/>
          <w:bCs w:val="1"/>
          <w:color w:val="auto"/>
        </w:rPr>
        <w:t xml:space="preserve">” </w:t>
      </w:r>
      <w:r>
        <w:rPr>
          <w:rFonts w:ascii="Arial" w:cs="Arial" w:eastAsia="Arial" w:hAnsi="Arial"/>
          <w:sz w:val="19"/>
          <w:szCs w:val="19"/>
          <w:color w:val="auto"/>
        </w:rPr>
        <w:t>means each of the following: (a) any Subsidiary; (b) any Parent; (c) any corporation, trade or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 partnership or limited liability company) that is directly or indirectly controlled 50% or more (whether by ownership of stock, assets or an equivalent ownership interest or voting interest) by the Company or any Affiliate; (d) any corporation, trade or business (including a partnership or limited liability company) that directly or indirectly controls 50% or more (whether by ownership of stock, assets or an equivalent ownership interest or voting interest) of the Company; and (e) any other entity in which the Company or any Affiliate has a material equity interest and that is designated as an “Affiliate” by resolution of the Committee.</w:t>
      </w:r>
    </w:p>
    <w:p>
      <w:pPr>
        <w:spacing w:after="0" w:line="185" w:lineRule="exact"/>
        <w:rPr>
          <w:sz w:val="20"/>
          <w:szCs w:val="20"/>
          <w:color w:val="auto"/>
        </w:rPr>
      </w:pPr>
    </w:p>
    <w:p>
      <w:pPr>
        <w:jc w:val="both"/>
        <w:ind w:left="120" w:right="20" w:firstLine="991"/>
        <w:spacing w:after="0" w:line="254" w:lineRule="auto"/>
        <w:rPr>
          <w:sz w:val="20"/>
          <w:szCs w:val="20"/>
          <w:color w:val="auto"/>
        </w:rPr>
      </w:pPr>
      <w:r>
        <w:rPr>
          <w:rFonts w:ascii="Arial" w:cs="Arial" w:eastAsia="Arial" w:hAnsi="Arial"/>
          <w:sz w:val="19"/>
          <w:szCs w:val="19"/>
          <w:b w:val="1"/>
          <w:bCs w:val="1"/>
          <w:color w:val="auto"/>
        </w:rPr>
        <w:t xml:space="preserve">2.4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Appreciation Award</w:t>
      </w:r>
      <w:r>
        <w:rPr>
          <w:rFonts w:ascii="Arial" w:cs="Arial" w:eastAsia="Arial" w:hAnsi="Arial"/>
          <w:sz w:val="19"/>
          <w:szCs w:val="19"/>
          <w:color w:val="auto"/>
        </w:rPr>
        <w:t>” means any Stock Option or any Other Stock-Based Award that is based on the</w:t>
      </w:r>
      <w:r>
        <w:rPr>
          <w:rFonts w:ascii="Arial" w:cs="Arial" w:eastAsia="Arial" w:hAnsi="Arial"/>
          <w:sz w:val="19"/>
          <w:szCs w:val="19"/>
          <w:b w:val="1"/>
          <w:bCs w:val="1"/>
          <w:color w:val="auto"/>
        </w:rPr>
        <w:t xml:space="preserve"> </w:t>
      </w:r>
      <w:r>
        <w:rPr>
          <w:rFonts w:ascii="Arial" w:cs="Arial" w:eastAsia="Arial" w:hAnsi="Arial"/>
          <w:sz w:val="19"/>
          <w:szCs w:val="19"/>
          <w:color w:val="auto"/>
        </w:rPr>
        <w:t>appreciation in value of a share of Common Stock in excess of an amount at least equal to the Fair Market Value on the date such Other Stock-Based Award is granted.</w:t>
      </w:r>
    </w:p>
    <w:p>
      <w:pPr>
        <w:spacing w:after="0" w:line="170" w:lineRule="exact"/>
        <w:rPr>
          <w:sz w:val="20"/>
          <w:szCs w:val="20"/>
          <w:color w:val="auto"/>
        </w:rPr>
      </w:pPr>
    </w:p>
    <w:p>
      <w:pPr>
        <w:jc w:val="both"/>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2.5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Award</w:t>
      </w:r>
      <w:r>
        <w:rPr>
          <w:rFonts w:ascii="Arial" w:cs="Arial" w:eastAsia="Arial" w:hAnsi="Arial"/>
          <w:sz w:val="19"/>
          <w:szCs w:val="19"/>
          <w:color w:val="auto"/>
        </w:rPr>
        <w:t>” means any award granted or made under the Plan of any Stock Option, Restricted Stock, Other Stock-Based Award or Performance Based Cash Award.</w:t>
      </w:r>
    </w:p>
    <w:p>
      <w:pPr>
        <w:spacing w:after="0" w:line="156" w:lineRule="exact"/>
        <w:rPr>
          <w:sz w:val="20"/>
          <w:szCs w:val="20"/>
          <w:color w:val="auto"/>
        </w:rPr>
      </w:pPr>
    </w:p>
    <w:p>
      <w:pPr>
        <w:ind w:left="1100"/>
        <w:spacing w:after="0"/>
        <w:tabs>
          <w:tab w:leader="none" w:pos="1560" w:val="left"/>
        </w:tabs>
        <w:rPr>
          <w:sz w:val="20"/>
          <w:szCs w:val="20"/>
          <w:color w:val="auto"/>
        </w:rPr>
      </w:pPr>
      <w:r>
        <w:rPr>
          <w:rFonts w:ascii="Arial" w:cs="Arial" w:eastAsia="Arial" w:hAnsi="Arial"/>
          <w:sz w:val="19"/>
          <w:szCs w:val="19"/>
          <w:b w:val="1"/>
          <w:bCs w:val="1"/>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213" w:lineRule="exact"/>
        <w:rPr>
          <w:sz w:val="20"/>
          <w:szCs w:val="20"/>
          <w:color w:val="auto"/>
        </w:rPr>
      </w:pPr>
    </w:p>
    <w:p>
      <w:pPr>
        <w:ind w:left="200"/>
        <w:spacing w:after="0"/>
        <w:tabs>
          <w:tab w:leader="none" w:pos="660" w:val="left"/>
          <w:tab w:leader="none" w:pos="9000" w:val="left"/>
        </w:tabs>
        <w:rPr>
          <w:sz w:val="20"/>
          <w:szCs w:val="20"/>
          <w:color w:val="auto"/>
        </w:rPr>
      </w:pPr>
      <w:r>
        <w:rPr>
          <w:rFonts w:ascii="Arial" w:cs="Arial" w:eastAsia="Arial" w:hAnsi="Arial"/>
          <w:sz w:val="16"/>
          <w:szCs w:val="16"/>
          <w:color w:val="FFFFFF"/>
          <w:shd w:val="clear" w:color="auto" w:fill="002060"/>
        </w:rPr>
        <w:t>A-6</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2023 Omnibus Incentive Plan</w:t>
      </w:r>
    </w:p>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firstLine="991"/>
        <w:spacing w:after="0" w:line="243" w:lineRule="auto"/>
        <w:rPr>
          <w:sz w:val="20"/>
          <w:szCs w:val="20"/>
          <w:color w:val="auto"/>
        </w:rPr>
      </w:pPr>
      <w:r>
        <w:rPr>
          <w:rFonts w:ascii="Arial" w:cs="Arial" w:eastAsia="Arial" w:hAnsi="Arial"/>
          <w:sz w:val="19"/>
          <w:szCs w:val="19"/>
          <w:b w:val="1"/>
          <w:bCs w:val="1"/>
          <w:color w:val="auto"/>
        </w:rPr>
        <w:t xml:space="preserve">2.7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Cause</w:t>
      </w:r>
      <w:r>
        <w:rPr>
          <w:rFonts w:ascii="Arial" w:cs="Arial" w:eastAsia="Arial" w:hAnsi="Arial"/>
          <w:sz w:val="19"/>
          <w:szCs w:val="19"/>
          <w:color w:val="auto"/>
        </w:rPr>
        <w:t>” means, with respect to a Participant’s Termination of Employment or Termination of Consultancy: unless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otherwise determined by the Committee at the time of the grant of the Award, termination due to (a) the Participant’s conviction of, or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felony; (b) perpetration by the Participant of an illegal act, dishonesty or fraud that could have a significant adverse effect on the Company or its assets or reputation; or (c) the Participant’s willful misconduct with regard to the Company, as determined by the Committee. With respect to a Participant’s Termination of Directorship, “cause” means an act or failure to act that constitutes cause for removal of a director under Delaware law.</w:t>
      </w:r>
    </w:p>
    <w:p>
      <w:pPr>
        <w:spacing w:after="0" w:line="185" w:lineRule="exact"/>
        <w:rPr>
          <w:sz w:val="20"/>
          <w:szCs w:val="20"/>
          <w:color w:val="auto"/>
        </w:rPr>
      </w:pPr>
    </w:p>
    <w:p>
      <w:pPr>
        <w:ind w:left="1100"/>
        <w:spacing w:after="0"/>
        <w:tabs>
          <w:tab w:leader="none" w:pos="1560" w:val="left"/>
        </w:tabs>
        <w:rPr>
          <w:sz w:val="20"/>
          <w:szCs w:val="20"/>
          <w:color w:val="auto"/>
        </w:rPr>
      </w:pPr>
      <w:r>
        <w:rPr>
          <w:rFonts w:ascii="Arial" w:cs="Arial" w:eastAsia="Arial" w:hAnsi="Arial"/>
          <w:sz w:val="19"/>
          <w:szCs w:val="19"/>
          <w:b w:val="1"/>
          <w:bCs w:val="1"/>
          <w:color w:val="auto"/>
        </w:rPr>
        <w:t>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means the occurrence of any of the following:</w:t>
      </w:r>
    </w:p>
    <w:p>
      <w:pPr>
        <w:spacing w:after="0" w:line="214" w:lineRule="exact"/>
        <w:rPr>
          <w:sz w:val="20"/>
          <w:szCs w:val="20"/>
          <w:color w:val="auto"/>
        </w:rPr>
      </w:pPr>
    </w:p>
    <w:p>
      <w:pPr>
        <w:jc w:val="both"/>
        <w:ind w:left="120" w:firstLine="1538"/>
        <w:spacing w:after="0" w:line="245" w:lineRule="auto"/>
        <w:tabs>
          <w:tab w:leader="none" w:pos="2192"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acquisition (including through purchase, reorganization, merger, consolidation or similar transaction), directly or indirectly, in one or more transactions by a Person (other than any Edwards Investors) of beneficial ownership (within the meaning of Rule 13d-3 under the Exchange Act) of securities representing 45% or more of the combined voting power of the securities of the Company entitled to vote generally in the election of directors of the Board (the “</w:t>
      </w:r>
      <w:r>
        <w:rPr>
          <w:rFonts w:ascii="Arial" w:cs="Arial" w:eastAsia="Arial" w:hAnsi="Arial"/>
          <w:sz w:val="19"/>
          <w:szCs w:val="19"/>
          <w:b w:val="1"/>
          <w:bCs w:val="1"/>
          <w:u w:val="single" w:color="auto"/>
          <w:color w:val="auto"/>
        </w:rPr>
        <w:t>Company Voting Securities</w:t>
      </w:r>
      <w:r>
        <w:rPr>
          <w:rFonts w:ascii="Arial" w:cs="Arial" w:eastAsia="Arial" w:hAnsi="Arial"/>
          <w:sz w:val="19"/>
          <w:szCs w:val="19"/>
          <w:color w:val="auto"/>
        </w:rPr>
        <w:t>”), calculated on a fully diluted basis after giving effect to such acquisition;</w:t>
      </w:r>
    </w:p>
    <w:p>
      <w:pPr>
        <w:spacing w:after="0" w:line="180" w:lineRule="exact"/>
        <w:rPr>
          <w:rFonts w:ascii="Arial" w:cs="Arial" w:eastAsia="Arial" w:hAnsi="Arial"/>
          <w:sz w:val="19"/>
          <w:szCs w:val="19"/>
          <w:color w:val="auto"/>
        </w:rPr>
      </w:pPr>
    </w:p>
    <w:p>
      <w:pPr>
        <w:ind w:left="2160" w:hanging="502"/>
        <w:spacing w:after="0"/>
        <w:tabs>
          <w:tab w:leader="none" w:pos="2160" w:val="left"/>
        </w:tabs>
        <w:numPr>
          <w:ilvl w:val="1"/>
          <w:numId w:val="83"/>
        </w:numPr>
        <w:rPr>
          <w:rFonts w:ascii="Arial" w:cs="Arial" w:eastAsia="Arial" w:hAnsi="Arial"/>
          <w:sz w:val="19"/>
          <w:szCs w:val="19"/>
          <w:color w:val="auto"/>
        </w:rPr>
      </w:pPr>
      <w:r>
        <w:rPr>
          <w:rFonts w:ascii="Arial" w:cs="Arial" w:eastAsia="Arial" w:hAnsi="Arial"/>
          <w:sz w:val="19"/>
          <w:szCs w:val="19"/>
          <w:color w:val="auto"/>
        </w:rPr>
        <w:t>an election of Persons to the Board that causes two-thirds of the Board to consist of Persons other than</w:t>
      </w:r>
    </w:p>
    <w:p>
      <w:pPr>
        <w:spacing w:after="0" w:line="15" w:lineRule="exact"/>
        <w:rPr>
          <w:rFonts w:ascii="Arial" w:cs="Arial" w:eastAsia="Arial" w:hAnsi="Arial"/>
          <w:sz w:val="19"/>
          <w:szCs w:val="19"/>
          <w:color w:val="auto"/>
        </w:rPr>
      </w:pPr>
    </w:p>
    <w:p>
      <w:pPr>
        <w:jc w:val="both"/>
        <w:ind w:left="120" w:right="20" w:hanging="4"/>
        <w:spacing w:after="0"/>
        <w:tabs>
          <w:tab w:leader="none" w:pos="341"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members of the Board on the Effective Date and (ii) Persons who were nominated for election as members of the Board at a time when two-thirds of the Board consisted of Persons who were members of the Board on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Person nominated for election by a Board at least two-thirds of which consisted of Persons described in clauses (i) or (ii) or by Persons who were themselves nominated by such Board shall be deemed to have been nominated by a Board consisting of Persons described in clause (i);</w:t>
      </w:r>
    </w:p>
    <w:p>
      <w:pPr>
        <w:spacing w:after="0" w:line="185" w:lineRule="exact"/>
        <w:rPr>
          <w:rFonts w:ascii="Arial" w:cs="Arial" w:eastAsia="Arial" w:hAnsi="Arial"/>
          <w:sz w:val="19"/>
          <w:szCs w:val="19"/>
          <w:color w:val="auto"/>
        </w:rPr>
      </w:pPr>
    </w:p>
    <w:p>
      <w:pPr>
        <w:ind w:left="120" w:right="20" w:firstLine="1538"/>
        <w:spacing w:after="0" w:line="270" w:lineRule="auto"/>
        <w:tabs>
          <w:tab w:leader="none" w:pos="2107"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sale or other disposition, directly or indirectly, of all or substantially all of the assets of the Company and its subsidiaries, taken as a whole, to any Person (other than any Edwards Investors).</w:t>
      </w:r>
    </w:p>
    <w:p>
      <w:pPr>
        <w:spacing w:after="0" w:line="156" w:lineRule="exact"/>
        <w:rPr>
          <w:sz w:val="20"/>
          <w:szCs w:val="20"/>
          <w:color w:val="auto"/>
        </w:rPr>
      </w:pPr>
    </w:p>
    <w:p>
      <w:pPr>
        <w:ind w:left="1100"/>
        <w:spacing w:after="0"/>
        <w:tabs>
          <w:tab w:leader="none" w:pos="1560" w:val="left"/>
        </w:tabs>
        <w:rPr>
          <w:sz w:val="20"/>
          <w:szCs w:val="20"/>
          <w:color w:val="auto"/>
        </w:rPr>
      </w:pPr>
      <w:r>
        <w:rPr>
          <w:rFonts w:ascii="Arial" w:cs="Arial" w:eastAsia="Arial" w:hAnsi="Arial"/>
          <w:sz w:val="19"/>
          <w:szCs w:val="19"/>
          <w:b w:val="1"/>
          <w:bCs w:val="1"/>
          <w:color w:val="auto"/>
        </w:rPr>
        <w:t>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in Control Price</w:t>
      </w:r>
      <w:r>
        <w:rPr>
          <w:rFonts w:ascii="Arial" w:cs="Arial" w:eastAsia="Arial" w:hAnsi="Arial"/>
          <w:sz w:val="18"/>
          <w:szCs w:val="18"/>
          <w:color w:val="auto"/>
        </w:rPr>
        <w:t>” has the meaning set forth in Section 10.1.</w:t>
      </w:r>
    </w:p>
    <w:p>
      <w:pPr>
        <w:spacing w:after="0" w:line="214" w:lineRule="exact"/>
        <w:rPr>
          <w:sz w:val="20"/>
          <w:szCs w:val="20"/>
          <w:color w:val="auto"/>
        </w:rPr>
      </w:pPr>
    </w:p>
    <w:p>
      <w:pPr>
        <w:jc w:val="both"/>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2.10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Code</w:t>
      </w:r>
      <w:r>
        <w:rPr>
          <w:rFonts w:ascii="Arial" w:cs="Arial" w:eastAsia="Arial" w:hAnsi="Arial"/>
          <w:sz w:val="19"/>
          <w:szCs w:val="19"/>
          <w:color w:val="auto"/>
        </w:rPr>
        <w:t>” means the Internal Revenue Code of 1986, as amended. Any reference to a section of the Code shall</w:t>
      </w:r>
      <w:r>
        <w:rPr>
          <w:rFonts w:ascii="Arial" w:cs="Arial" w:eastAsia="Arial" w:hAnsi="Arial"/>
          <w:sz w:val="19"/>
          <w:szCs w:val="19"/>
          <w:b w:val="1"/>
          <w:bCs w:val="1"/>
          <w:color w:val="auto"/>
        </w:rPr>
        <w:t xml:space="preserve"> </w:t>
      </w:r>
      <w:r>
        <w:rPr>
          <w:rFonts w:ascii="Arial" w:cs="Arial" w:eastAsia="Arial" w:hAnsi="Arial"/>
          <w:sz w:val="19"/>
          <w:szCs w:val="19"/>
          <w:color w:val="auto"/>
        </w:rPr>
        <w:t>also be a reference to any successor provision and any Treasury Regulation promulgated thereunder.</w:t>
      </w:r>
    </w:p>
    <w:p>
      <w:pPr>
        <w:spacing w:after="0" w:line="156" w:lineRule="exact"/>
        <w:rPr>
          <w:sz w:val="20"/>
          <w:szCs w:val="20"/>
          <w:color w:val="auto"/>
        </w:rPr>
      </w:pPr>
    </w:p>
    <w:p>
      <w:pPr>
        <w:jc w:val="both"/>
        <w:ind w:left="120" w:firstLine="991"/>
        <w:spacing w:after="0" w:line="241" w:lineRule="auto"/>
        <w:rPr>
          <w:sz w:val="20"/>
          <w:szCs w:val="20"/>
          <w:color w:val="auto"/>
        </w:rPr>
      </w:pPr>
      <w:r>
        <w:rPr>
          <w:rFonts w:ascii="Arial" w:cs="Arial" w:eastAsia="Arial" w:hAnsi="Arial"/>
          <w:sz w:val="19"/>
          <w:szCs w:val="19"/>
          <w:b w:val="1"/>
          <w:bCs w:val="1"/>
          <w:color w:val="auto"/>
        </w:rPr>
        <w:t xml:space="preserve">2.11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Committee</w:t>
      </w:r>
      <w:r>
        <w:rPr>
          <w:rFonts w:ascii="Arial" w:cs="Arial" w:eastAsia="Arial" w:hAnsi="Arial"/>
          <w:sz w:val="19"/>
          <w:szCs w:val="19"/>
          <w:color w:val="auto"/>
        </w:rPr>
        <w:t>” means: (a) with respect to the application of the Plan to Eligible Employees and Consultants, a</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or subcommittee of the Board consisting of two or more non-employee directors, each of whom is intended to be (i) to the extent required by Rule 16b-3, a “nonemployee director” as defined in Rule 16b-3; and (ii) as applicable, an “independent director” as defined under the Nasdaq Listing Rules, the NYSE Listed Company Manual or other applicable stock exchange rules; and (b) with respect to the application of the Plan to Non-Employee Directors, the Board. To the extent that no Committee exists that has the authority to administer the Plan, the functions of the Committee shall be exercised by the Board and all references herein to the Committee shall be deemed references to the Board. If for any reason the appointed Committee does not meet the requirements of Rule 16b-3, such noncompliance shall not affect the validity of Awards, grants, interpretations or other actions of the Committee.</w:t>
      </w:r>
    </w:p>
    <w:p>
      <w:pPr>
        <w:spacing w:after="0" w:line="185"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9"/>
          <w:szCs w:val="19"/>
          <w:b w:val="1"/>
          <w:bCs w:val="1"/>
          <w:color w:val="auto"/>
        </w:rPr>
        <w:t>2.12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of the Company,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101600</wp:posOffset>
            </wp:positionV>
            <wp:extent cx="360045" cy="1885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60045" cy="188595"/>
                    </a:xfrm>
                    <a:prstGeom prst="rect">
                      <a:avLst/>
                    </a:prstGeom>
                    <a:noFill/>
                  </pic:spPr>
                </pic:pic>
              </a:graphicData>
            </a:graphic>
          </wp:anchor>
        </w:drawing>
      </w:r>
    </w:p>
    <w:p>
      <w:pPr>
        <w:spacing w:after="0" w:line="193" w:lineRule="exact"/>
        <w:rPr>
          <w:sz w:val="20"/>
          <w:szCs w:val="20"/>
          <w:color w:val="auto"/>
        </w:rPr>
      </w:pPr>
    </w:p>
    <w:p>
      <w:pPr>
        <w:ind w:left="120"/>
        <w:spacing w:after="0"/>
        <w:tabs>
          <w:tab w:leader="none" w:pos="8840" w:val="left"/>
          <w:tab w:leader="none" w:pos="10720" w:val="left"/>
        </w:tabs>
        <w:rPr>
          <w:sz w:val="20"/>
          <w:szCs w:val="20"/>
          <w:color w:val="auto"/>
        </w:rPr>
      </w:pPr>
      <w:r>
        <w:rPr>
          <w:rFonts w:ascii="Arial" w:cs="Arial" w:eastAsia="Arial" w:hAnsi="Arial"/>
          <w:sz w:val="16"/>
          <w:szCs w:val="16"/>
          <w:color w:val="002060"/>
        </w:rPr>
        <w:t>2023 Omnibus Incentive Plan</w:t>
      </w:r>
      <w:r>
        <w:rPr>
          <w:sz w:val="20"/>
          <w:szCs w:val="20"/>
          <w:color w:val="auto"/>
        </w:rPr>
        <w:tab/>
      </w:r>
      <w:r>
        <w:rPr>
          <w:rFonts w:ascii="Arial" w:cs="Arial" w:eastAsia="Arial" w:hAnsi="Arial"/>
          <w:sz w:val="16"/>
          <w:szCs w:val="16"/>
          <w:color w:val="002060"/>
        </w:rPr>
        <w:t>2023 Proxy Statement</w:t>
      </w:r>
      <w:r>
        <w:rPr>
          <w:sz w:val="20"/>
          <w:szCs w:val="20"/>
          <w:color w:val="auto"/>
        </w:rPr>
        <w:tab/>
      </w:r>
      <w:r>
        <w:rPr>
          <w:rFonts w:ascii="Arial" w:cs="Arial" w:eastAsia="Arial" w:hAnsi="Arial"/>
          <w:sz w:val="15"/>
          <w:szCs w:val="15"/>
          <w:color w:val="FFFFFF"/>
        </w:rPr>
        <w:t>A-7</w:t>
      </w:r>
    </w:p>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100"/>
        <w:spacing w:after="0"/>
        <w:tabs>
          <w:tab w:leader="none" w:pos="1700" w:val="left"/>
        </w:tabs>
        <w:rPr>
          <w:sz w:val="20"/>
          <w:szCs w:val="20"/>
          <w:color w:val="auto"/>
        </w:rPr>
      </w:pPr>
      <w:r>
        <w:rPr>
          <w:rFonts w:ascii="Arial" w:cs="Arial" w:eastAsia="Arial" w:hAnsi="Arial"/>
          <w:sz w:val="19"/>
          <w:szCs w:val="19"/>
          <w:b w:val="1"/>
          <w:bCs w:val="1"/>
          <w:color w:val="auto"/>
        </w:rPr>
        <w:t>2.13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means Installed Building Products, Inc., a Delaware corporation, and its successors by operation of</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law.</w:t>
      </w:r>
    </w:p>
    <w:p>
      <w:pPr>
        <w:spacing w:after="0" w:line="196" w:lineRule="exact"/>
        <w:rPr>
          <w:sz w:val="20"/>
          <w:szCs w:val="20"/>
          <w:color w:val="auto"/>
        </w:rPr>
      </w:pPr>
    </w:p>
    <w:p>
      <w:pPr>
        <w:jc w:val="both"/>
        <w:ind w:left="120" w:firstLine="991"/>
        <w:spacing w:after="0" w:line="270" w:lineRule="auto"/>
        <w:rPr>
          <w:sz w:val="20"/>
          <w:szCs w:val="20"/>
          <w:color w:val="auto"/>
        </w:rPr>
      </w:pPr>
      <w:r>
        <w:rPr>
          <w:rFonts w:ascii="Arial" w:cs="Arial" w:eastAsia="Arial" w:hAnsi="Arial"/>
          <w:sz w:val="19"/>
          <w:szCs w:val="19"/>
          <w:b w:val="1"/>
          <w:bCs w:val="1"/>
          <w:color w:val="auto"/>
        </w:rPr>
        <w:t xml:space="preserve">2.14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Competitor</w:t>
      </w:r>
      <w:r>
        <w:rPr>
          <w:rFonts w:ascii="Arial" w:cs="Arial" w:eastAsia="Arial" w:hAnsi="Arial"/>
          <w:sz w:val="19"/>
          <w:szCs w:val="19"/>
          <w:color w:val="auto"/>
        </w:rPr>
        <w:t>” unless otherwise defined in an agreement with a Participant containing restrictive covenants,</w:t>
      </w:r>
      <w:r>
        <w:rPr>
          <w:rFonts w:ascii="Arial" w:cs="Arial" w:eastAsia="Arial" w:hAnsi="Arial"/>
          <w:sz w:val="19"/>
          <w:szCs w:val="19"/>
          <w:b w:val="1"/>
          <w:bCs w:val="1"/>
          <w:color w:val="auto"/>
        </w:rPr>
        <w:t xml:space="preserve"> </w:t>
      </w:r>
      <w:r>
        <w:rPr>
          <w:rFonts w:ascii="Arial" w:cs="Arial" w:eastAsia="Arial" w:hAnsi="Arial"/>
          <w:sz w:val="19"/>
          <w:szCs w:val="19"/>
          <w:color w:val="auto"/>
        </w:rPr>
        <w:t>means any Person that is, directly or indirectly, in competition with the business or activities of the Company and its Affiliates.</w:t>
      </w:r>
    </w:p>
    <w:p>
      <w:pPr>
        <w:spacing w:after="0" w:line="156" w:lineRule="exact"/>
        <w:rPr>
          <w:sz w:val="20"/>
          <w:szCs w:val="20"/>
          <w:color w:val="auto"/>
        </w:rPr>
      </w:pPr>
    </w:p>
    <w:p>
      <w:pPr>
        <w:jc w:val="both"/>
        <w:ind w:left="120" w:right="20" w:firstLine="991"/>
        <w:spacing w:after="0" w:line="254" w:lineRule="auto"/>
        <w:rPr>
          <w:sz w:val="20"/>
          <w:szCs w:val="20"/>
          <w:color w:val="auto"/>
        </w:rPr>
      </w:pPr>
      <w:r>
        <w:rPr>
          <w:rFonts w:ascii="Arial" w:cs="Arial" w:eastAsia="Arial" w:hAnsi="Arial"/>
          <w:sz w:val="19"/>
          <w:szCs w:val="19"/>
          <w:b w:val="1"/>
          <w:bCs w:val="1"/>
          <w:color w:val="auto"/>
        </w:rPr>
        <w:t xml:space="preserve">2.15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Consultant</w:t>
      </w:r>
      <w:r>
        <w:rPr>
          <w:rFonts w:ascii="Arial" w:cs="Arial" w:eastAsia="Arial" w:hAnsi="Arial"/>
          <w:sz w:val="19"/>
          <w:szCs w:val="19"/>
          <w:color w:val="auto"/>
        </w:rPr>
        <w:t>” means any natural person who provides bona fide consulting or advisory services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or its Affiliates, provided that such services are not in connection with the offer or sale of securities in a capital-raising transaction, and do not, directly or indirectly, promote or maintain a market for the Company’s or its Affiliates’ securities.</w:t>
      </w:r>
    </w:p>
    <w:p>
      <w:pPr>
        <w:spacing w:after="0" w:line="170"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9"/>
          <w:szCs w:val="19"/>
          <w:b w:val="1"/>
          <w:bCs w:val="1"/>
          <w:color w:val="auto"/>
        </w:rPr>
        <w:t>2.16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Detrimental Activity</w:t>
      </w:r>
      <w:r>
        <w:rPr>
          <w:rFonts w:ascii="Arial" w:cs="Arial" w:eastAsia="Arial" w:hAnsi="Arial"/>
          <w:sz w:val="18"/>
          <w:szCs w:val="18"/>
          <w:color w:val="auto"/>
        </w:rPr>
        <w:t>” means:</w:t>
      </w:r>
    </w:p>
    <w:p>
      <w:pPr>
        <w:spacing w:after="0" w:line="214" w:lineRule="exact"/>
        <w:rPr>
          <w:sz w:val="20"/>
          <w:szCs w:val="20"/>
          <w:color w:val="auto"/>
        </w:rPr>
      </w:pPr>
    </w:p>
    <w:p>
      <w:pPr>
        <w:jc w:val="both"/>
        <w:ind w:left="120" w:firstLine="1538"/>
        <w:spacing w:after="0" w:line="248" w:lineRule="auto"/>
        <w:tabs>
          <w:tab w:leader="none" w:pos="2208" w:val="left"/>
        </w:tabs>
        <w:numPr>
          <w:ilvl w:val="0"/>
          <w:numId w:val="85"/>
        </w:numPr>
        <w:rPr>
          <w:rFonts w:ascii="Arial" w:cs="Arial" w:eastAsia="Arial" w:hAnsi="Arial"/>
          <w:sz w:val="19"/>
          <w:szCs w:val="19"/>
          <w:color w:val="auto"/>
        </w:rPr>
      </w:pPr>
      <w:r>
        <w:rPr>
          <w:rFonts w:ascii="Arial" w:cs="Arial" w:eastAsia="Arial" w:hAnsi="Arial"/>
          <w:sz w:val="19"/>
          <w:szCs w:val="19"/>
          <w:color w:val="auto"/>
        </w:rPr>
        <w:t>without written authorization from the Company, disclosure to any Person outside the Company and its Affiliates, except as necessary in the furtherance of the Participant’s responsibilities to the Company or any of its Affiliates, at any time, of any confidential or proprietary information of the Company or any of its Affiliates acquired by the Participant at any time prior to the Participant’s Termination;</w:t>
      </w:r>
    </w:p>
    <w:p>
      <w:pPr>
        <w:spacing w:after="0" w:line="176" w:lineRule="exact"/>
        <w:rPr>
          <w:rFonts w:ascii="Arial" w:cs="Arial" w:eastAsia="Arial" w:hAnsi="Arial"/>
          <w:sz w:val="19"/>
          <w:szCs w:val="19"/>
          <w:color w:val="auto"/>
        </w:rPr>
      </w:pPr>
    </w:p>
    <w:p>
      <w:pPr>
        <w:ind w:left="120" w:right="20" w:firstLine="1538"/>
        <w:spacing w:after="0" w:line="270" w:lineRule="auto"/>
        <w:tabs>
          <w:tab w:leader="none" w:pos="2188" w:val="left"/>
        </w:tabs>
        <w:numPr>
          <w:ilvl w:val="0"/>
          <w:numId w:val="85"/>
        </w:numPr>
        <w:rPr>
          <w:rFonts w:ascii="Arial" w:cs="Arial" w:eastAsia="Arial" w:hAnsi="Arial"/>
          <w:sz w:val="19"/>
          <w:szCs w:val="19"/>
          <w:color w:val="auto"/>
        </w:rPr>
      </w:pPr>
      <w:r>
        <w:rPr>
          <w:rFonts w:ascii="Arial" w:cs="Arial" w:eastAsia="Arial" w:hAnsi="Arial"/>
          <w:sz w:val="19"/>
          <w:szCs w:val="19"/>
          <w:color w:val="auto"/>
        </w:rPr>
        <w:t>any activity while employed or performing services that results, or if known could have reasonably been expected to result, in the Participant’s Termination for Cause;</w:t>
      </w:r>
    </w:p>
    <w:p>
      <w:pPr>
        <w:spacing w:after="0" w:line="156" w:lineRule="exact"/>
        <w:rPr>
          <w:rFonts w:ascii="Arial" w:cs="Arial" w:eastAsia="Arial" w:hAnsi="Arial"/>
          <w:sz w:val="19"/>
          <w:szCs w:val="19"/>
          <w:color w:val="auto"/>
        </w:rPr>
      </w:pPr>
    </w:p>
    <w:p>
      <w:pPr>
        <w:jc w:val="both"/>
        <w:ind w:left="120" w:firstLine="1538"/>
        <w:spacing w:after="0"/>
        <w:tabs>
          <w:tab w:leader="none" w:pos="2162" w:val="left"/>
        </w:tabs>
        <w:numPr>
          <w:ilvl w:val="0"/>
          <w:numId w:val="85"/>
        </w:numPr>
        <w:rPr>
          <w:rFonts w:ascii="Arial" w:cs="Arial" w:eastAsia="Arial" w:hAnsi="Arial"/>
          <w:sz w:val="19"/>
          <w:szCs w:val="19"/>
          <w:color w:val="auto"/>
        </w:rPr>
      </w:pPr>
      <w:r>
        <w:rPr>
          <w:rFonts w:ascii="Arial" w:cs="Arial" w:eastAsia="Arial" w:hAnsi="Arial"/>
          <w:sz w:val="19"/>
          <w:szCs w:val="19"/>
          <w:color w:val="auto"/>
        </w:rPr>
        <w:t>without written authorization from the Company, directly or indirectly, in any capacity whatsoever, (i) own, manage, operate, control, be employed by (whether as an employee, consultant, independent contractor or otherwise, and whether or not for compensation) or render services to any Competitor; (ii) solicit, aid or induce any customer of the Company or any Subsidiary to curtail, reduce or terminate its business relationship with the Company or any Subsidiary, or in any other way interfere with any such business relationships with the Company or any Subsidiary; (iii) solicit, aid or induce any employee, representative or agent of the Company or any Subsidiary to leave such employment or retention or to accept employment with or render services to or with any other person, firm, corporation or other entity unaffiliated with the Company or hire or retain any such employee, representative or agent or take any action to materially assist or aid any other person, firm, corporation or other entity in identifying, hiring or soliciting any such employee, representative or agent; or (iv) interfere, or aid or induce any other person or entity in interfering, with the relationship between the Company, its Subsidiaries and any of their respective vendors, joint venturers or licensors;</w:t>
      </w:r>
    </w:p>
    <w:p>
      <w:pPr>
        <w:spacing w:after="0" w:line="188" w:lineRule="exact"/>
        <w:rPr>
          <w:rFonts w:ascii="Arial" w:cs="Arial" w:eastAsia="Arial" w:hAnsi="Arial"/>
          <w:sz w:val="19"/>
          <w:szCs w:val="19"/>
          <w:color w:val="auto"/>
        </w:rPr>
      </w:pPr>
    </w:p>
    <w:p>
      <w:pPr>
        <w:ind w:left="2140" w:hanging="482"/>
        <w:spacing w:after="0"/>
        <w:tabs>
          <w:tab w:leader="none" w:pos="21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a material breach of any restrictive covenant contained in any agreement between the Participant and the</w:t>
      </w:r>
    </w:p>
    <w:p>
      <w:pPr>
        <w:spacing w:after="0" w:line="15"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19"/>
          <w:szCs w:val="19"/>
          <w:color w:val="auto"/>
        </w:rPr>
        <w:t>Company or an Affiliate.</w:t>
      </w:r>
    </w:p>
    <w:p>
      <w:pPr>
        <w:spacing w:after="0" w:line="196"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9"/>
          <w:szCs w:val="19"/>
          <w:color w:val="auto"/>
        </w:rPr>
        <w:t>Only the Chief Executive Officer or the Chief Financial Officer of the Company (or his or her designee, as evidenced in writing) shall have the authority to provide the Participant with written authorization to engage in the activities contemplated in subsections (a) and (c).</w:t>
      </w:r>
    </w:p>
    <w:p>
      <w:pPr>
        <w:spacing w:after="0" w:line="170" w:lineRule="exact"/>
        <w:rPr>
          <w:sz w:val="20"/>
          <w:szCs w:val="20"/>
          <w:color w:val="auto"/>
        </w:rPr>
      </w:pPr>
    </w:p>
    <w:p>
      <w:pPr>
        <w:jc w:val="both"/>
        <w:ind w:left="120" w:firstLine="991"/>
        <w:spacing w:after="0" w:line="245" w:lineRule="auto"/>
        <w:rPr>
          <w:sz w:val="20"/>
          <w:szCs w:val="20"/>
          <w:color w:val="auto"/>
        </w:rPr>
      </w:pPr>
      <w:r>
        <w:rPr>
          <w:rFonts w:ascii="Arial" w:cs="Arial" w:eastAsia="Arial" w:hAnsi="Arial"/>
          <w:sz w:val="19"/>
          <w:szCs w:val="19"/>
          <w:b w:val="1"/>
          <w:bCs w:val="1"/>
          <w:color w:val="auto"/>
        </w:rPr>
        <w:t xml:space="preserve">2.17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Disability</w:t>
      </w:r>
      <w:r>
        <w:rPr>
          <w:rFonts w:ascii="Arial" w:cs="Arial" w:eastAsia="Arial" w:hAnsi="Arial"/>
          <w:sz w:val="19"/>
          <w:szCs w:val="19"/>
          <w:color w:val="auto"/>
        </w:rPr>
        <w:t>” means with respect to a Participant’s Termination, a permanent and total disability as defined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Section 22(e)(3) of the Code. A Disability shall only be deemed to occur at the time of the determination by the Committee of the Disability. Notwithstanding the foregoing, for an Award that provides for payment or settlement triggered upon a Disability and that constitutes a Section 409A Covered Award, the foregoing definition shall apply for purposes of vesting of such Award,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payment or settlement of such Award, such Award shall not be paid (or otherwise settled) until the earliest</w:t>
      </w:r>
    </w:p>
    <w:p>
      <w:pPr>
        <w:spacing w:after="0" w:line="180" w:lineRule="exact"/>
        <w:rPr>
          <w:sz w:val="20"/>
          <w:szCs w:val="20"/>
          <w:color w:val="auto"/>
        </w:rPr>
      </w:pPr>
    </w:p>
    <w:p>
      <w:pPr>
        <w:ind w:left="200"/>
        <w:spacing w:after="0"/>
        <w:tabs>
          <w:tab w:leader="none" w:pos="660" w:val="left"/>
          <w:tab w:leader="none" w:pos="9000" w:val="left"/>
        </w:tabs>
        <w:rPr>
          <w:sz w:val="20"/>
          <w:szCs w:val="20"/>
          <w:color w:val="auto"/>
        </w:rPr>
      </w:pPr>
      <w:r>
        <w:rPr>
          <w:rFonts w:ascii="Arial" w:cs="Arial" w:eastAsia="Arial" w:hAnsi="Arial"/>
          <w:sz w:val="16"/>
          <w:szCs w:val="16"/>
          <w:color w:val="FFFFFF"/>
          <w:shd w:val="clear" w:color="auto" w:fill="002060"/>
        </w:rPr>
        <w:t>A-8</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2023 Omnibus Incentive Plan</w:t>
      </w:r>
    </w:p>
    <w:p>
      <w:pPr>
        <w:sectPr>
          <w:pgSz w:w="11900" w:h="16838" w:orient="portrait"/>
          <w:cols w:equalWidth="0" w:num="1">
            <w:col w:w="11140"/>
          </w:cols>
          <w:pgMar w:left="320" w:top="482"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9"/>
          <w:szCs w:val="19"/>
          <w:color w:val="auto"/>
        </w:rPr>
        <w:t>of: (A) the Participant’s “disability” within the meaning of Section 409A(a)(2)(C)(i) or (ii) of the Code, (B) the Participant’s “separation from service” within the meaning of Section 409A of the Code and (C) the date such Award would otherwise be settled pursuant to the terms of the Award agreement.</w:t>
      </w:r>
    </w:p>
    <w:p>
      <w:pPr>
        <w:spacing w:after="0" w:line="170" w:lineRule="exact"/>
        <w:rPr>
          <w:sz w:val="20"/>
          <w:szCs w:val="20"/>
          <w:color w:val="auto"/>
        </w:rPr>
      </w:pPr>
    </w:p>
    <w:p>
      <w:pPr>
        <w:jc w:val="both"/>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2.18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Edwards Investors</w:t>
      </w:r>
      <w:r>
        <w:rPr>
          <w:rFonts w:ascii="Arial" w:cs="Arial" w:eastAsia="Arial" w:hAnsi="Arial"/>
          <w:sz w:val="19"/>
          <w:szCs w:val="19"/>
          <w:color w:val="auto"/>
        </w:rPr>
        <w:t>” means Jeffrey Edwards, Peter Edwards, Anne Edwards and Michael Edwards,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investment entities through which any of them directly and indirectly beneficially owns or acquires shares of the Common Stock.</w:t>
      </w:r>
    </w:p>
    <w:p>
      <w:pPr>
        <w:spacing w:after="0" w:line="156"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9"/>
          <w:szCs w:val="19"/>
          <w:b w:val="1"/>
          <w:bCs w:val="1"/>
          <w:color w:val="auto"/>
        </w:rPr>
        <w:t>2.19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means the effective date of the Plan as defined in Article XIV.</w:t>
      </w:r>
    </w:p>
    <w:p>
      <w:pPr>
        <w:spacing w:after="0" w:line="214"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9"/>
          <w:szCs w:val="19"/>
          <w:b w:val="1"/>
          <w:bCs w:val="1"/>
          <w:color w:val="auto"/>
        </w:rPr>
        <w:t>2.20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Eligible Employee</w:t>
      </w:r>
      <w:r>
        <w:rPr>
          <w:rFonts w:ascii="Arial" w:cs="Arial" w:eastAsia="Arial" w:hAnsi="Arial"/>
          <w:sz w:val="18"/>
          <w:szCs w:val="18"/>
          <w:color w:val="auto"/>
        </w:rPr>
        <w:t>” means an employee of the Company or an Affiliate.</w:t>
      </w:r>
    </w:p>
    <w:p>
      <w:pPr>
        <w:spacing w:after="0" w:line="214" w:lineRule="exact"/>
        <w:rPr>
          <w:sz w:val="20"/>
          <w:szCs w:val="20"/>
          <w:color w:val="auto"/>
        </w:rPr>
      </w:pPr>
    </w:p>
    <w:p>
      <w:pPr>
        <w:jc w:val="both"/>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2.21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means the Securities Exchange Act of 1934, as amended, and all rules and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promulgated thereunder. Any references to any section of the Exchange Act shall also be a reference to any successor provision.</w:t>
      </w:r>
    </w:p>
    <w:p>
      <w:pPr>
        <w:spacing w:after="0" w:line="156"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9"/>
          <w:szCs w:val="19"/>
          <w:b w:val="1"/>
          <w:bCs w:val="1"/>
          <w:color w:val="auto"/>
        </w:rPr>
        <w:t>2.22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Exercisable Awards</w:t>
      </w:r>
      <w:r>
        <w:rPr>
          <w:rFonts w:ascii="Arial" w:cs="Arial" w:eastAsia="Arial" w:hAnsi="Arial"/>
          <w:sz w:val="18"/>
          <w:szCs w:val="18"/>
          <w:color w:val="auto"/>
        </w:rPr>
        <w:t>” has the meaning set forth in Section 4.2(d).</w:t>
      </w:r>
    </w:p>
    <w:p>
      <w:pPr>
        <w:spacing w:after="0" w:line="214" w:lineRule="exact"/>
        <w:rPr>
          <w:sz w:val="20"/>
          <w:szCs w:val="20"/>
          <w:color w:val="auto"/>
        </w:rPr>
      </w:pPr>
    </w:p>
    <w:p>
      <w:pPr>
        <w:jc w:val="both"/>
        <w:ind w:left="120" w:firstLine="991"/>
        <w:spacing w:after="0" w:line="242" w:lineRule="auto"/>
        <w:rPr>
          <w:sz w:val="20"/>
          <w:szCs w:val="20"/>
          <w:color w:val="auto"/>
        </w:rPr>
      </w:pPr>
      <w:r>
        <w:rPr>
          <w:rFonts w:ascii="Arial" w:cs="Arial" w:eastAsia="Arial" w:hAnsi="Arial"/>
          <w:sz w:val="19"/>
          <w:szCs w:val="19"/>
          <w:b w:val="1"/>
          <w:bCs w:val="1"/>
          <w:color w:val="auto"/>
        </w:rPr>
        <w:t xml:space="preserve">2.23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Fair Market Value</w:t>
      </w:r>
      <w:r>
        <w:rPr>
          <w:rFonts w:ascii="Arial" w:cs="Arial" w:eastAsia="Arial" w:hAnsi="Arial"/>
          <w:sz w:val="19"/>
          <w:szCs w:val="19"/>
          <w:color w:val="auto"/>
        </w:rPr>
        <w:t>” unless otherwise required by any applicable provision of the Code, means as of any date</w:t>
      </w:r>
      <w:r>
        <w:rPr>
          <w:rFonts w:ascii="Arial" w:cs="Arial" w:eastAsia="Arial" w:hAnsi="Arial"/>
          <w:sz w:val="19"/>
          <w:szCs w:val="19"/>
          <w:b w:val="1"/>
          <w:bCs w:val="1"/>
          <w:color w:val="auto"/>
        </w:rPr>
        <w:t xml:space="preserve"> </w:t>
      </w:r>
      <w:r>
        <w:rPr>
          <w:rFonts w:ascii="Arial" w:cs="Arial" w:eastAsia="Arial" w:hAnsi="Arial"/>
          <w:sz w:val="19"/>
          <w:szCs w:val="19"/>
          <w:color w:val="auto"/>
        </w:rPr>
        <w:t>and except as provided below, (a) the closing price reported for the Common Stock on such date: (i) as reported on the principal national securities exchange in the United States on which it is then traded; or (ii) if not traded on any such national securities exchange, as quoted on an automated quotation system sponsored by the Financial Industry Regulatory Authority or (b) if the Common Stock shall not have been reported or quoted on such date, on the first day prior thereto on which the Common Stock was reported or quoted. If the Common Stock is not traded, listed or otherwise reported or quoted, then Fair Market Value means the fair market value of the Common Stock as determined by the Committee in good faith in whatever manner it considers appropriate taking into account the requirements of Section 409A or Section 422 of the Code, as applicable.</w:t>
      </w:r>
    </w:p>
    <w:p>
      <w:pPr>
        <w:spacing w:after="0" w:line="182" w:lineRule="exact"/>
        <w:rPr>
          <w:sz w:val="20"/>
          <w:szCs w:val="20"/>
          <w:color w:val="auto"/>
        </w:rPr>
      </w:pPr>
    </w:p>
    <w:p>
      <w:pPr>
        <w:jc w:val="both"/>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2.24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Family Member</w:t>
      </w:r>
      <w:r>
        <w:rPr>
          <w:rFonts w:ascii="Arial" w:cs="Arial" w:eastAsia="Arial" w:hAnsi="Arial"/>
          <w:sz w:val="19"/>
          <w:szCs w:val="19"/>
          <w:color w:val="auto"/>
        </w:rPr>
        <w:t>” means “family member” as defined in Section A.1.(a)(5) of the general instructions of</w:t>
      </w:r>
      <w:r>
        <w:rPr>
          <w:rFonts w:ascii="Arial" w:cs="Arial" w:eastAsia="Arial" w:hAnsi="Arial"/>
          <w:sz w:val="19"/>
          <w:szCs w:val="19"/>
          <w:b w:val="1"/>
          <w:bCs w:val="1"/>
          <w:color w:val="auto"/>
        </w:rPr>
        <w:t xml:space="preserve"> </w:t>
      </w:r>
      <w:r>
        <w:rPr>
          <w:rFonts w:ascii="Arial" w:cs="Arial" w:eastAsia="Arial" w:hAnsi="Arial"/>
          <w:sz w:val="19"/>
          <w:szCs w:val="19"/>
          <w:color w:val="auto"/>
        </w:rPr>
        <w:t>Form S-8, as may be amended from time to time.</w:t>
      </w:r>
    </w:p>
    <w:p>
      <w:pPr>
        <w:spacing w:after="0" w:line="156" w:lineRule="exact"/>
        <w:rPr>
          <w:sz w:val="20"/>
          <w:szCs w:val="20"/>
          <w:color w:val="auto"/>
        </w:rPr>
      </w:pPr>
    </w:p>
    <w:p>
      <w:pPr>
        <w:jc w:val="both"/>
        <w:ind w:left="120" w:firstLine="991"/>
        <w:spacing w:after="0" w:line="254" w:lineRule="auto"/>
        <w:rPr>
          <w:sz w:val="20"/>
          <w:szCs w:val="20"/>
          <w:color w:val="auto"/>
        </w:rPr>
      </w:pPr>
      <w:r>
        <w:rPr>
          <w:rFonts w:ascii="Arial" w:cs="Arial" w:eastAsia="Arial" w:hAnsi="Arial"/>
          <w:sz w:val="19"/>
          <w:szCs w:val="19"/>
          <w:b w:val="1"/>
          <w:bCs w:val="1"/>
          <w:color w:val="auto"/>
        </w:rPr>
        <w:t xml:space="preserve">2.25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Incentive Stock Option</w:t>
      </w:r>
      <w:r>
        <w:rPr>
          <w:rFonts w:ascii="Arial" w:cs="Arial" w:eastAsia="Arial" w:hAnsi="Arial"/>
          <w:sz w:val="19"/>
          <w:szCs w:val="19"/>
          <w:color w:val="auto"/>
        </w:rPr>
        <w:t>” means any Stock Option awarded to an Eligible Employee of the Company, its</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or its Parent intended to be and designated as an “Incentive Stock Option” within the meaning of Section 422 of the Code.</w:t>
      </w:r>
    </w:p>
    <w:p>
      <w:pPr>
        <w:spacing w:after="0" w:line="170"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9"/>
          <w:szCs w:val="19"/>
          <w:b w:val="1"/>
          <w:bCs w:val="1"/>
          <w:color w:val="auto"/>
        </w:rPr>
        <w:t>2.26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Individual Target Award</w:t>
      </w:r>
      <w:r>
        <w:rPr>
          <w:rFonts w:ascii="Arial" w:cs="Arial" w:eastAsia="Arial" w:hAnsi="Arial"/>
          <w:sz w:val="18"/>
          <w:szCs w:val="18"/>
          <w:color w:val="auto"/>
        </w:rPr>
        <w:t>” has the meaning in Section 9.1</w:t>
      </w:r>
    </w:p>
    <w:p>
      <w:pPr>
        <w:spacing w:after="0" w:line="214" w:lineRule="exact"/>
        <w:rPr>
          <w:sz w:val="20"/>
          <w:szCs w:val="20"/>
          <w:color w:val="auto"/>
        </w:rPr>
      </w:pPr>
    </w:p>
    <w:p>
      <w:pPr>
        <w:ind w:left="1100"/>
        <w:spacing w:after="0"/>
        <w:tabs>
          <w:tab w:leader="none" w:pos="1700" w:val="left"/>
        </w:tabs>
        <w:rPr>
          <w:sz w:val="20"/>
          <w:szCs w:val="20"/>
          <w:color w:val="auto"/>
        </w:rPr>
      </w:pPr>
      <w:r>
        <w:rPr>
          <w:rFonts w:ascii="Arial" w:cs="Arial" w:eastAsia="Arial" w:hAnsi="Arial"/>
          <w:sz w:val="19"/>
          <w:szCs w:val="19"/>
          <w:b w:val="1"/>
          <w:bCs w:val="1"/>
          <w:color w:val="auto"/>
        </w:rPr>
        <w:t>2.27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Non-Employee Director</w:t>
      </w:r>
      <w:r>
        <w:rPr>
          <w:rFonts w:ascii="Arial" w:cs="Arial" w:eastAsia="Arial" w:hAnsi="Arial"/>
          <w:sz w:val="19"/>
          <w:szCs w:val="19"/>
          <w:color w:val="auto"/>
        </w:rPr>
        <w:t>” means a director of the Company who is not an active employee of the Company or</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an Affiliate.</w:t>
      </w:r>
    </w:p>
    <w:p>
      <w:pPr>
        <w:spacing w:after="0" w:line="196"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9"/>
          <w:szCs w:val="19"/>
          <w:b w:val="1"/>
          <w:bCs w:val="1"/>
          <w:color w:val="auto"/>
        </w:rPr>
        <w:t>2.28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Non-Qualified Stock Option</w:t>
      </w:r>
      <w:r>
        <w:rPr>
          <w:rFonts w:ascii="Arial" w:cs="Arial" w:eastAsia="Arial" w:hAnsi="Arial"/>
          <w:sz w:val="18"/>
          <w:szCs w:val="18"/>
          <w:color w:val="auto"/>
        </w:rPr>
        <w:t>” means any Stock Option that is not an Incentive Stock Option.</w:t>
      </w:r>
    </w:p>
    <w:p>
      <w:pPr>
        <w:spacing w:after="0" w:line="214"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9"/>
          <w:szCs w:val="19"/>
          <w:b w:val="1"/>
          <w:bCs w:val="1"/>
          <w:color w:val="auto"/>
        </w:rPr>
        <w:t>2.29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Extraordinary Event</w:t>
      </w:r>
      <w:r>
        <w:rPr>
          <w:rFonts w:ascii="Arial" w:cs="Arial" w:eastAsia="Arial" w:hAnsi="Arial"/>
          <w:sz w:val="18"/>
          <w:szCs w:val="18"/>
          <w:color w:val="auto"/>
        </w:rPr>
        <w:t>” has the meaning in Section 4.2(b).</w:t>
      </w:r>
    </w:p>
    <w:p>
      <w:pPr>
        <w:spacing w:after="0" w:line="214" w:lineRule="exact"/>
        <w:rPr>
          <w:sz w:val="20"/>
          <w:szCs w:val="20"/>
          <w:color w:val="auto"/>
        </w:rPr>
      </w:pPr>
    </w:p>
    <w:p>
      <w:pPr>
        <w:jc w:val="both"/>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2.30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Other Stock-Based Award</w:t>
      </w:r>
      <w:r>
        <w:rPr>
          <w:rFonts w:ascii="Arial" w:cs="Arial" w:eastAsia="Arial" w:hAnsi="Arial"/>
          <w:sz w:val="19"/>
          <w:szCs w:val="19"/>
          <w:color w:val="auto"/>
        </w:rPr>
        <w:t>” means an Award under Article VIII that is valued in whole or in part by reference</w:t>
      </w:r>
      <w:r>
        <w:rPr>
          <w:rFonts w:ascii="Arial" w:cs="Arial" w:eastAsia="Arial" w:hAnsi="Arial"/>
          <w:sz w:val="19"/>
          <w:szCs w:val="19"/>
          <w:b w:val="1"/>
          <w:bCs w:val="1"/>
          <w:color w:val="auto"/>
        </w:rPr>
        <w:t xml:space="preserve"> </w:t>
      </w:r>
      <w:r>
        <w:rPr>
          <w:rFonts w:ascii="Arial" w:cs="Arial" w:eastAsia="Arial" w:hAnsi="Arial"/>
          <w:sz w:val="19"/>
          <w:szCs w:val="19"/>
          <w:color w:val="auto"/>
        </w:rPr>
        <w:t>to, or is payable in or otherwise based 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64770</wp:posOffset>
            </wp:positionV>
            <wp:extent cx="360045" cy="18859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60045" cy="188595"/>
                    </a:xfrm>
                    <a:prstGeom prst="rect">
                      <a:avLst/>
                    </a:prstGeom>
                    <a:noFill/>
                  </pic:spPr>
                </pic:pic>
              </a:graphicData>
            </a:graphic>
          </wp:anchor>
        </w:drawing>
      </w:r>
    </w:p>
    <w:p>
      <w:pPr>
        <w:spacing w:after="0" w:line="136" w:lineRule="exact"/>
        <w:rPr>
          <w:sz w:val="20"/>
          <w:szCs w:val="20"/>
          <w:color w:val="auto"/>
        </w:rPr>
      </w:pPr>
    </w:p>
    <w:p>
      <w:pPr>
        <w:ind w:left="120"/>
        <w:spacing w:after="0"/>
        <w:tabs>
          <w:tab w:leader="none" w:pos="8840" w:val="left"/>
          <w:tab w:leader="none" w:pos="10720" w:val="left"/>
        </w:tabs>
        <w:rPr>
          <w:sz w:val="20"/>
          <w:szCs w:val="20"/>
          <w:color w:val="auto"/>
        </w:rPr>
      </w:pPr>
      <w:r>
        <w:rPr>
          <w:rFonts w:ascii="Arial" w:cs="Arial" w:eastAsia="Arial" w:hAnsi="Arial"/>
          <w:sz w:val="16"/>
          <w:szCs w:val="16"/>
          <w:color w:val="002060"/>
        </w:rPr>
        <w:t>2023 Omnibus Incentive Plan</w:t>
      </w:r>
      <w:r>
        <w:rPr>
          <w:sz w:val="20"/>
          <w:szCs w:val="20"/>
          <w:color w:val="auto"/>
        </w:rPr>
        <w:tab/>
      </w:r>
      <w:r>
        <w:rPr>
          <w:rFonts w:ascii="Arial" w:cs="Arial" w:eastAsia="Arial" w:hAnsi="Arial"/>
          <w:sz w:val="16"/>
          <w:szCs w:val="16"/>
          <w:color w:val="002060"/>
        </w:rPr>
        <w:t>2023 Proxy Statement</w:t>
      </w:r>
      <w:r>
        <w:rPr>
          <w:sz w:val="20"/>
          <w:szCs w:val="20"/>
          <w:color w:val="auto"/>
        </w:rPr>
        <w:tab/>
      </w:r>
      <w:r>
        <w:rPr>
          <w:rFonts w:ascii="Arial" w:cs="Arial" w:eastAsia="Arial" w:hAnsi="Arial"/>
          <w:sz w:val="15"/>
          <w:szCs w:val="15"/>
          <w:color w:val="FFFFFF"/>
        </w:rPr>
        <w:t>A-9</w:t>
      </w:r>
    </w:p>
    <w:p>
      <w:pPr>
        <w:sectPr>
          <w:pgSz w:w="11900" w:h="16838" w:orient="portrait"/>
          <w:cols w:equalWidth="0" w:num="1">
            <w:col w:w="11140"/>
          </w:cols>
          <w:pgMar w:left="320" w:top="482"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9"/>
          <w:szCs w:val="19"/>
          <w:b w:val="1"/>
          <w:bCs w:val="1"/>
          <w:color w:val="auto"/>
        </w:rPr>
        <w:t>2.31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means any parent corporation of the Company within the meaning of Section 424(e) of the Code.</w:t>
      </w:r>
    </w:p>
    <w:p>
      <w:pPr>
        <w:spacing w:after="0" w:line="214" w:lineRule="exact"/>
        <w:rPr>
          <w:sz w:val="20"/>
          <w:szCs w:val="20"/>
          <w:color w:val="auto"/>
        </w:rPr>
      </w:pPr>
    </w:p>
    <w:p>
      <w:pPr>
        <w:ind w:left="120" w:firstLine="991"/>
        <w:spacing w:after="0" w:line="270" w:lineRule="auto"/>
        <w:rPr>
          <w:sz w:val="20"/>
          <w:szCs w:val="20"/>
          <w:color w:val="auto"/>
        </w:rPr>
      </w:pPr>
      <w:r>
        <w:rPr>
          <w:rFonts w:ascii="Arial" w:cs="Arial" w:eastAsia="Arial" w:hAnsi="Arial"/>
          <w:sz w:val="19"/>
          <w:szCs w:val="19"/>
          <w:b w:val="1"/>
          <w:bCs w:val="1"/>
          <w:color w:val="auto"/>
        </w:rPr>
        <w:t xml:space="preserve">2.32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Participant</w:t>
      </w:r>
      <w:r>
        <w:rPr>
          <w:rFonts w:ascii="Arial" w:cs="Arial" w:eastAsia="Arial" w:hAnsi="Arial"/>
          <w:sz w:val="19"/>
          <w:szCs w:val="19"/>
          <w:color w:val="auto"/>
        </w:rPr>
        <w:t>” means an Eligible Employee, Non-Employee Director or Consultant to whom an Award has been</w:t>
      </w:r>
      <w:r>
        <w:rPr>
          <w:rFonts w:ascii="Arial" w:cs="Arial" w:eastAsia="Arial" w:hAnsi="Arial"/>
          <w:sz w:val="19"/>
          <w:szCs w:val="19"/>
          <w:b w:val="1"/>
          <w:bCs w:val="1"/>
          <w:color w:val="auto"/>
        </w:rPr>
        <w:t xml:space="preserve"> </w:t>
      </w:r>
      <w:r>
        <w:rPr>
          <w:rFonts w:ascii="Arial" w:cs="Arial" w:eastAsia="Arial" w:hAnsi="Arial"/>
          <w:sz w:val="19"/>
          <w:szCs w:val="19"/>
          <w:color w:val="auto"/>
        </w:rPr>
        <w:t>granted pursuant to the Plan.</w:t>
      </w:r>
    </w:p>
    <w:p>
      <w:pPr>
        <w:spacing w:after="0" w:line="156" w:lineRule="exact"/>
        <w:rPr>
          <w:sz w:val="20"/>
          <w:szCs w:val="20"/>
          <w:color w:val="auto"/>
        </w:rPr>
      </w:pPr>
    </w:p>
    <w:p>
      <w:pPr>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2.33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Performance-Based Cash Award</w:t>
      </w:r>
      <w:r>
        <w:rPr>
          <w:rFonts w:ascii="Arial" w:cs="Arial" w:eastAsia="Arial" w:hAnsi="Arial"/>
          <w:sz w:val="19"/>
          <w:szCs w:val="19"/>
          <w:color w:val="auto"/>
        </w:rPr>
        <w:t>” means a cash Award under Article IX that is payable or otherwise based on</w:t>
      </w:r>
      <w:r>
        <w:rPr>
          <w:rFonts w:ascii="Arial" w:cs="Arial" w:eastAsia="Arial" w:hAnsi="Arial"/>
          <w:sz w:val="19"/>
          <w:szCs w:val="19"/>
          <w:b w:val="1"/>
          <w:bCs w:val="1"/>
          <w:color w:val="auto"/>
        </w:rPr>
        <w:t xml:space="preserve"> </w:t>
      </w:r>
      <w:r>
        <w:rPr>
          <w:rFonts w:ascii="Arial" w:cs="Arial" w:eastAsia="Arial" w:hAnsi="Arial"/>
          <w:sz w:val="19"/>
          <w:szCs w:val="19"/>
          <w:color w:val="auto"/>
        </w:rPr>
        <w:t>the attainment of certain pre-established performance goals during a Performance Period.</w:t>
      </w:r>
    </w:p>
    <w:p>
      <w:pPr>
        <w:spacing w:after="0" w:line="156" w:lineRule="exact"/>
        <w:rPr>
          <w:sz w:val="20"/>
          <w:szCs w:val="20"/>
          <w:color w:val="auto"/>
        </w:rPr>
      </w:pPr>
    </w:p>
    <w:p>
      <w:pPr>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2.34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Performance Period</w:t>
      </w:r>
      <w:r>
        <w:rPr>
          <w:rFonts w:ascii="Arial" w:cs="Arial" w:eastAsia="Arial" w:hAnsi="Arial"/>
          <w:sz w:val="19"/>
          <w:szCs w:val="19"/>
          <w:color w:val="auto"/>
        </w:rPr>
        <w:t>” means each fiscal year of the Company or such other period (as specified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over which the attainment of performance goals is measured.</w:t>
      </w:r>
    </w:p>
    <w:p>
      <w:pPr>
        <w:spacing w:after="0" w:line="156" w:lineRule="exact"/>
        <w:rPr>
          <w:sz w:val="20"/>
          <w:szCs w:val="20"/>
          <w:color w:val="auto"/>
        </w:rPr>
      </w:pPr>
    </w:p>
    <w:p>
      <w:pPr>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2.35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Performance Share</w:t>
      </w:r>
      <w:r>
        <w:rPr>
          <w:rFonts w:ascii="Arial" w:cs="Arial" w:eastAsia="Arial" w:hAnsi="Arial"/>
          <w:sz w:val="19"/>
          <w:szCs w:val="19"/>
          <w:color w:val="auto"/>
        </w:rPr>
        <w:t>” means a Restricted Stock Award of the right to receive a number of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or cash of an equivalent value at the end of a specified Performance Period.</w:t>
      </w:r>
    </w:p>
    <w:p>
      <w:pPr>
        <w:spacing w:after="0" w:line="156" w:lineRule="exact"/>
        <w:rPr>
          <w:sz w:val="20"/>
          <w:szCs w:val="20"/>
          <w:color w:val="auto"/>
        </w:rPr>
      </w:pPr>
    </w:p>
    <w:p>
      <w:pPr>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2.36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Performance Unit</w:t>
      </w:r>
      <w:r>
        <w:rPr>
          <w:rFonts w:ascii="Arial" w:cs="Arial" w:eastAsia="Arial" w:hAnsi="Arial"/>
          <w:sz w:val="19"/>
          <w:szCs w:val="19"/>
          <w:color w:val="auto"/>
        </w:rPr>
        <w:t>” means an Other Stock-Based Award of the right to receive a fixed dollar amount, payable in</w:t>
      </w:r>
      <w:r>
        <w:rPr>
          <w:rFonts w:ascii="Arial" w:cs="Arial" w:eastAsia="Arial" w:hAnsi="Arial"/>
          <w:sz w:val="19"/>
          <w:szCs w:val="19"/>
          <w:b w:val="1"/>
          <w:bCs w:val="1"/>
          <w:color w:val="auto"/>
        </w:rPr>
        <w:t xml:space="preserve"> </w:t>
      </w:r>
      <w:r>
        <w:rPr>
          <w:rFonts w:ascii="Arial" w:cs="Arial" w:eastAsia="Arial" w:hAnsi="Arial"/>
          <w:sz w:val="19"/>
          <w:szCs w:val="19"/>
          <w:color w:val="auto"/>
        </w:rPr>
        <w:t>cash or Common Stock or a combination of both, at the end of a specified Performance Period.</w:t>
      </w:r>
    </w:p>
    <w:p>
      <w:pPr>
        <w:spacing w:after="0" w:line="156" w:lineRule="exact"/>
        <w:rPr>
          <w:sz w:val="20"/>
          <w:szCs w:val="20"/>
          <w:color w:val="auto"/>
        </w:rPr>
      </w:pPr>
    </w:p>
    <w:p>
      <w:pPr>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2.37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Person</w:t>
      </w:r>
      <w:r>
        <w:rPr>
          <w:rFonts w:ascii="Arial" w:cs="Arial" w:eastAsia="Arial" w:hAnsi="Arial"/>
          <w:sz w:val="19"/>
          <w:szCs w:val="19"/>
          <w:color w:val="auto"/>
        </w:rPr>
        <w:t>” means any individual, entity (including any employee benefit plan or any trust for an employee benefit</w:t>
      </w:r>
      <w:r>
        <w:rPr>
          <w:rFonts w:ascii="Arial" w:cs="Arial" w:eastAsia="Arial" w:hAnsi="Arial"/>
          <w:sz w:val="19"/>
          <w:szCs w:val="19"/>
          <w:b w:val="1"/>
          <w:bCs w:val="1"/>
          <w:color w:val="auto"/>
        </w:rPr>
        <w:t xml:space="preserve"> </w:t>
      </w:r>
      <w:r>
        <w:rPr>
          <w:rFonts w:ascii="Arial" w:cs="Arial" w:eastAsia="Arial" w:hAnsi="Arial"/>
          <w:sz w:val="19"/>
          <w:szCs w:val="19"/>
          <w:color w:val="auto"/>
        </w:rPr>
        <w:t>plan) or group (within the meaning of Section 13(d)(3) or Section 14(d)(2) of the Exchange Act, or any successor provision).</w:t>
      </w:r>
    </w:p>
    <w:p>
      <w:pPr>
        <w:spacing w:after="0" w:line="156"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9"/>
          <w:szCs w:val="19"/>
          <w:b w:val="1"/>
          <w:bCs w:val="1"/>
          <w:color w:val="auto"/>
        </w:rPr>
        <w:t>2.38</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this Installed Building Products, Inc. 2023 Omnibus Incentive Plan, as amended from time to time.</w:t>
      </w:r>
    </w:p>
    <w:p>
      <w:pPr>
        <w:spacing w:after="0" w:line="214" w:lineRule="exact"/>
        <w:rPr>
          <w:sz w:val="20"/>
          <w:szCs w:val="20"/>
          <w:color w:val="auto"/>
        </w:rPr>
      </w:pPr>
    </w:p>
    <w:p>
      <w:pPr>
        <w:ind w:left="1100"/>
        <w:spacing w:after="0"/>
        <w:tabs>
          <w:tab w:leader="none" w:pos="1840" w:val="left"/>
        </w:tabs>
        <w:rPr>
          <w:sz w:val="20"/>
          <w:szCs w:val="20"/>
          <w:color w:val="auto"/>
        </w:rPr>
      </w:pPr>
      <w:r>
        <w:rPr>
          <w:rFonts w:ascii="Arial" w:cs="Arial" w:eastAsia="Arial" w:hAnsi="Arial"/>
          <w:sz w:val="19"/>
          <w:szCs w:val="19"/>
          <w:b w:val="1"/>
          <w:bCs w:val="1"/>
          <w:color w:val="auto"/>
        </w:rPr>
        <w:t>2.39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Restricted Stock</w:t>
      </w:r>
      <w:r>
        <w:rPr>
          <w:rFonts w:ascii="Arial" w:cs="Arial" w:eastAsia="Arial" w:hAnsi="Arial"/>
          <w:sz w:val="19"/>
          <w:szCs w:val="19"/>
          <w:color w:val="auto"/>
        </w:rPr>
        <w:t>” means an Award of shares of Common Stock that is subject to restrictions pursuant to</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Article VII.</w:t>
      </w:r>
    </w:p>
    <w:p>
      <w:pPr>
        <w:spacing w:after="0" w:line="196"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9"/>
          <w:szCs w:val="19"/>
          <w:b w:val="1"/>
          <w:bCs w:val="1"/>
          <w:color w:val="auto"/>
        </w:rPr>
        <w:t>2.40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Restriction Period</w:t>
      </w:r>
      <w:r>
        <w:rPr>
          <w:rFonts w:ascii="Arial" w:cs="Arial" w:eastAsia="Arial" w:hAnsi="Arial"/>
          <w:sz w:val="18"/>
          <w:szCs w:val="18"/>
          <w:color w:val="auto"/>
        </w:rPr>
        <w:t>” has the meaning set forth in Section 7.3(a).</w:t>
      </w:r>
    </w:p>
    <w:p>
      <w:pPr>
        <w:spacing w:after="0" w:line="214" w:lineRule="exact"/>
        <w:rPr>
          <w:sz w:val="20"/>
          <w:szCs w:val="20"/>
          <w:color w:val="auto"/>
        </w:rPr>
      </w:pPr>
    </w:p>
    <w:p>
      <w:pPr>
        <w:ind w:left="1100"/>
        <w:spacing w:after="0"/>
        <w:tabs>
          <w:tab w:leader="none" w:pos="1740" w:val="left"/>
        </w:tabs>
        <w:rPr>
          <w:sz w:val="20"/>
          <w:szCs w:val="20"/>
          <w:color w:val="auto"/>
        </w:rPr>
      </w:pPr>
      <w:r>
        <w:rPr>
          <w:rFonts w:ascii="Arial" w:cs="Arial" w:eastAsia="Arial" w:hAnsi="Arial"/>
          <w:sz w:val="19"/>
          <w:szCs w:val="19"/>
          <w:b w:val="1"/>
          <w:bCs w:val="1"/>
          <w:color w:val="auto"/>
        </w:rPr>
        <w:t>2.41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Rule 16b-3</w:t>
      </w:r>
      <w:r>
        <w:rPr>
          <w:rFonts w:ascii="Arial" w:cs="Arial" w:eastAsia="Arial" w:hAnsi="Arial"/>
          <w:sz w:val="19"/>
          <w:szCs w:val="19"/>
          <w:color w:val="auto"/>
        </w:rPr>
        <w:t>” means Rule 16b-3 under Section 16(b) of the Exchange Act as then in effect or any successor</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provision.</w:t>
      </w:r>
    </w:p>
    <w:p>
      <w:pPr>
        <w:spacing w:after="0" w:line="196"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9"/>
          <w:szCs w:val="19"/>
          <w:b w:val="1"/>
          <w:bCs w:val="1"/>
          <w:color w:val="auto"/>
        </w:rPr>
        <w:t>2.42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Section 4.2 Event</w:t>
      </w:r>
      <w:r>
        <w:rPr>
          <w:rFonts w:ascii="Arial" w:cs="Arial" w:eastAsia="Arial" w:hAnsi="Arial"/>
          <w:sz w:val="18"/>
          <w:szCs w:val="18"/>
          <w:color w:val="auto"/>
        </w:rPr>
        <w:t>” has the meaning set forth in Section 4.2(b).</w:t>
      </w:r>
    </w:p>
    <w:p>
      <w:pPr>
        <w:spacing w:after="0" w:line="214"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9"/>
          <w:szCs w:val="19"/>
          <w:b w:val="1"/>
          <w:bCs w:val="1"/>
          <w:color w:val="auto"/>
        </w:rPr>
        <w:t>2.43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means the nonqualified deferred compensation rules under Section 409A of the Code.</w:t>
      </w:r>
    </w:p>
    <w:p>
      <w:pPr>
        <w:spacing w:after="0" w:line="214" w:lineRule="exact"/>
        <w:rPr>
          <w:sz w:val="20"/>
          <w:szCs w:val="20"/>
          <w:color w:val="auto"/>
        </w:rPr>
      </w:pPr>
    </w:p>
    <w:p>
      <w:pPr>
        <w:ind w:left="1100"/>
        <w:spacing w:after="0"/>
        <w:tabs>
          <w:tab w:leader="none" w:pos="1660" w:val="left"/>
        </w:tabs>
        <w:rPr>
          <w:sz w:val="20"/>
          <w:szCs w:val="20"/>
          <w:color w:val="auto"/>
        </w:rPr>
      </w:pPr>
      <w:r>
        <w:rPr>
          <w:rFonts w:ascii="Arial" w:cs="Arial" w:eastAsia="Arial" w:hAnsi="Arial"/>
          <w:sz w:val="19"/>
          <w:szCs w:val="19"/>
          <w:b w:val="1"/>
          <w:bCs w:val="1"/>
          <w:color w:val="auto"/>
        </w:rPr>
        <w:t>2.44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u w:val="single" w:color="auto"/>
          <w:color w:val="auto"/>
        </w:rPr>
        <w:t>Section 409A Covered Award”</w:t>
      </w:r>
      <w:r>
        <w:rPr>
          <w:rFonts w:ascii="Arial" w:cs="Arial" w:eastAsia="Arial" w:hAnsi="Arial"/>
          <w:sz w:val="18"/>
          <w:szCs w:val="18"/>
          <w:color w:val="auto"/>
        </w:rPr>
        <w:t xml:space="preserve"> has the meaning set forth in Section 13.14.</w:t>
      </w:r>
    </w:p>
    <w:p>
      <w:pPr>
        <w:spacing w:after="0" w:line="214" w:lineRule="exact"/>
        <w:rPr>
          <w:sz w:val="20"/>
          <w:szCs w:val="20"/>
          <w:color w:val="auto"/>
        </w:rPr>
      </w:pPr>
    </w:p>
    <w:p>
      <w:pPr>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2.45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Securities Act</w:t>
      </w:r>
      <w:r>
        <w:rPr>
          <w:rFonts w:ascii="Arial" w:cs="Arial" w:eastAsia="Arial" w:hAnsi="Arial"/>
          <w:sz w:val="19"/>
          <w:szCs w:val="19"/>
          <w:color w:val="auto"/>
        </w:rPr>
        <w:t>” means the Securities Act of 1933, as amended and all rules and regulations promulgated</w:t>
      </w:r>
      <w:r>
        <w:rPr>
          <w:rFonts w:ascii="Arial" w:cs="Arial" w:eastAsia="Arial" w:hAnsi="Arial"/>
          <w:sz w:val="19"/>
          <w:szCs w:val="19"/>
          <w:b w:val="1"/>
          <w:bCs w:val="1"/>
          <w:color w:val="auto"/>
        </w:rPr>
        <w:t xml:space="preserve"> </w:t>
      </w:r>
      <w:r>
        <w:rPr>
          <w:rFonts w:ascii="Arial" w:cs="Arial" w:eastAsia="Arial" w:hAnsi="Arial"/>
          <w:sz w:val="19"/>
          <w:szCs w:val="19"/>
          <w:color w:val="auto"/>
        </w:rPr>
        <w:t>thereunder. Any reference to any section of the Securities Act shall also be a reference to any successor provision.</w:t>
      </w:r>
    </w:p>
    <w:p>
      <w:pPr>
        <w:spacing w:after="0" w:line="156" w:lineRule="exact"/>
        <w:rPr>
          <w:sz w:val="20"/>
          <w:szCs w:val="20"/>
          <w:color w:val="auto"/>
        </w:rPr>
      </w:pPr>
    </w:p>
    <w:p>
      <w:pPr>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2.46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Stock Option</w:t>
      </w:r>
      <w:r>
        <w:rPr>
          <w:rFonts w:ascii="Arial" w:cs="Arial" w:eastAsia="Arial" w:hAnsi="Arial"/>
          <w:sz w:val="19"/>
          <w:szCs w:val="19"/>
          <w:color w:val="auto"/>
        </w:rPr>
        <w:t>” or “</w:t>
      </w:r>
      <w:r>
        <w:rPr>
          <w:rFonts w:ascii="Arial" w:cs="Arial" w:eastAsia="Arial" w:hAnsi="Arial"/>
          <w:sz w:val="19"/>
          <w:szCs w:val="19"/>
          <w:b w:val="1"/>
          <w:bCs w:val="1"/>
          <w:u w:val="single" w:color="auto"/>
          <w:color w:val="auto"/>
        </w:rPr>
        <w:t>Option</w:t>
      </w:r>
      <w:r>
        <w:rPr>
          <w:rFonts w:ascii="Arial" w:cs="Arial" w:eastAsia="Arial" w:hAnsi="Arial"/>
          <w:sz w:val="19"/>
          <w:szCs w:val="19"/>
          <w:color w:val="auto"/>
        </w:rPr>
        <w:t>” means any option to purchase shares of Common Stock granted to Eligible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Non-Employee Directors or Consultants pursuant to 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351155" cy="1885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51155" cy="188595"/>
                    </a:xfrm>
                    <a:prstGeom prst="rect">
                      <a:avLst/>
                    </a:prstGeom>
                    <a:noFill/>
                  </pic:spPr>
                </pic:pic>
              </a:graphicData>
            </a:graphic>
          </wp:anchor>
        </w:drawing>
      </w:r>
    </w:p>
    <w:p>
      <w:pPr>
        <w:spacing w:after="0" w:line="136" w:lineRule="exact"/>
        <w:rPr>
          <w:sz w:val="20"/>
          <w:szCs w:val="20"/>
          <w:color w:val="auto"/>
        </w:rPr>
      </w:pPr>
    </w:p>
    <w:p>
      <w:pPr>
        <w:ind w:left="220"/>
        <w:spacing w:after="0"/>
        <w:tabs>
          <w:tab w:leader="none" w:pos="780" w:val="left"/>
          <w:tab w:leader="none" w:pos="9000" w:val="left"/>
        </w:tabs>
        <w:rPr>
          <w:sz w:val="20"/>
          <w:szCs w:val="20"/>
          <w:color w:val="auto"/>
        </w:rPr>
      </w:pPr>
      <w:r>
        <w:rPr>
          <w:rFonts w:ascii="Arial" w:cs="Arial" w:eastAsia="Arial" w:hAnsi="Arial"/>
          <w:sz w:val="16"/>
          <w:szCs w:val="16"/>
          <w:color w:val="FFFFFF"/>
        </w:rPr>
        <w:t>A-10</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2023 Omnibus Incentive Plan</w:t>
      </w:r>
    </w:p>
    <w:p>
      <w:pPr>
        <w:sectPr>
          <w:pgSz w:w="11900" w:h="16838" w:orient="portrait"/>
          <w:cols w:equalWidth="0" w:num="1">
            <w:col w:w="11140"/>
          </w:cols>
          <w:pgMar w:left="320" w:top="482"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100"/>
        <w:spacing w:after="0"/>
        <w:tabs>
          <w:tab w:leader="none" w:pos="1760" w:val="left"/>
        </w:tabs>
        <w:rPr>
          <w:sz w:val="20"/>
          <w:szCs w:val="20"/>
          <w:color w:val="auto"/>
        </w:rPr>
      </w:pPr>
      <w:r>
        <w:rPr>
          <w:rFonts w:ascii="Arial" w:cs="Arial" w:eastAsia="Arial" w:hAnsi="Arial"/>
          <w:sz w:val="19"/>
          <w:szCs w:val="19"/>
          <w:b w:val="1"/>
          <w:bCs w:val="1"/>
          <w:color w:val="auto"/>
        </w:rPr>
        <w:t>2.47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Subsidiary</w:t>
      </w:r>
      <w:r>
        <w:rPr>
          <w:rFonts w:ascii="Arial" w:cs="Arial" w:eastAsia="Arial" w:hAnsi="Arial"/>
          <w:sz w:val="19"/>
          <w:szCs w:val="19"/>
          <w:color w:val="auto"/>
        </w:rPr>
        <w:t>” means any subsidiary corporation of the Company within the meaning of Section 424(f) of the</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Code.</w:t>
      </w:r>
    </w:p>
    <w:p>
      <w:pPr>
        <w:spacing w:after="0" w:line="196" w:lineRule="exact"/>
        <w:rPr>
          <w:sz w:val="20"/>
          <w:szCs w:val="20"/>
          <w:color w:val="auto"/>
        </w:rPr>
      </w:pPr>
    </w:p>
    <w:p>
      <w:pPr>
        <w:jc w:val="both"/>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2.48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Ten Percent Stockholder</w:t>
      </w:r>
      <w:r>
        <w:rPr>
          <w:rFonts w:ascii="Arial" w:cs="Arial" w:eastAsia="Arial" w:hAnsi="Arial"/>
          <w:sz w:val="19"/>
          <w:szCs w:val="19"/>
          <w:color w:val="auto"/>
        </w:rPr>
        <w:t>” means a person owning stock possessing more than 10% of the total combined</w:t>
      </w:r>
      <w:r>
        <w:rPr>
          <w:rFonts w:ascii="Arial" w:cs="Arial" w:eastAsia="Arial" w:hAnsi="Arial"/>
          <w:sz w:val="19"/>
          <w:szCs w:val="19"/>
          <w:b w:val="1"/>
          <w:bCs w:val="1"/>
          <w:color w:val="auto"/>
        </w:rPr>
        <w:t xml:space="preserve"> </w:t>
      </w:r>
      <w:r>
        <w:rPr>
          <w:rFonts w:ascii="Arial" w:cs="Arial" w:eastAsia="Arial" w:hAnsi="Arial"/>
          <w:sz w:val="19"/>
          <w:szCs w:val="19"/>
          <w:color w:val="auto"/>
        </w:rPr>
        <w:t>voting power of all classes of stock of the Company, its Subsidiaries or its Parent.</w:t>
      </w:r>
    </w:p>
    <w:p>
      <w:pPr>
        <w:spacing w:after="0" w:line="156" w:lineRule="exact"/>
        <w:rPr>
          <w:sz w:val="20"/>
          <w:szCs w:val="20"/>
          <w:color w:val="auto"/>
        </w:rPr>
      </w:pPr>
    </w:p>
    <w:p>
      <w:pPr>
        <w:jc w:val="both"/>
        <w:ind w:left="120" w:firstLine="991"/>
        <w:spacing w:after="0" w:line="270" w:lineRule="auto"/>
        <w:rPr>
          <w:sz w:val="20"/>
          <w:szCs w:val="20"/>
          <w:color w:val="auto"/>
        </w:rPr>
      </w:pPr>
      <w:r>
        <w:rPr>
          <w:rFonts w:ascii="Arial" w:cs="Arial" w:eastAsia="Arial" w:hAnsi="Arial"/>
          <w:sz w:val="19"/>
          <w:szCs w:val="19"/>
          <w:b w:val="1"/>
          <w:bCs w:val="1"/>
          <w:color w:val="auto"/>
        </w:rPr>
        <w:t xml:space="preserve">2.49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Termination</w:t>
      </w:r>
      <w:r>
        <w:rPr>
          <w:rFonts w:ascii="Arial" w:cs="Arial" w:eastAsia="Arial" w:hAnsi="Arial"/>
          <w:sz w:val="19"/>
          <w:szCs w:val="19"/>
          <w:color w:val="auto"/>
        </w:rPr>
        <w:t>” means a Termination of Consultancy, Termination of Directorship or Termination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as applicable.</w:t>
      </w:r>
    </w:p>
    <w:p>
      <w:pPr>
        <w:spacing w:after="0" w:line="156" w:lineRule="exact"/>
        <w:rPr>
          <w:sz w:val="20"/>
          <w:szCs w:val="20"/>
          <w:color w:val="auto"/>
        </w:rPr>
      </w:pPr>
    </w:p>
    <w:p>
      <w:pPr>
        <w:jc w:val="both"/>
        <w:ind w:left="120" w:right="20" w:firstLine="991"/>
        <w:spacing w:after="0" w:line="242" w:lineRule="auto"/>
        <w:rPr>
          <w:sz w:val="20"/>
          <w:szCs w:val="20"/>
          <w:color w:val="auto"/>
        </w:rPr>
      </w:pPr>
      <w:r>
        <w:rPr>
          <w:rFonts w:ascii="Arial" w:cs="Arial" w:eastAsia="Arial" w:hAnsi="Arial"/>
          <w:sz w:val="19"/>
          <w:szCs w:val="19"/>
          <w:b w:val="1"/>
          <w:bCs w:val="1"/>
          <w:color w:val="auto"/>
        </w:rPr>
        <w:t xml:space="preserve">2.50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Termination of Consultancy</w:t>
      </w:r>
      <w:r>
        <w:rPr>
          <w:rFonts w:ascii="Arial" w:cs="Arial" w:eastAsia="Arial" w:hAnsi="Arial"/>
          <w:sz w:val="19"/>
          <w:szCs w:val="19"/>
          <w:color w:val="auto"/>
        </w:rPr>
        <w:t>” means: (a) that the Consultant is no longer acting as a consultant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an Affiliate; or (b) when an entity that is retaining a Participant as a Consultant ceases to be an Affiliate unless the Participant otherwise is, or thereupon becomes, a Consultant to the Company or another Affiliate at the time the entity ceases to be an Affiliate. In the event that a Consultant becomes an Eligible Employee or a Non-Employee Director upon the termination of his or her consultancy, unless otherwise determined by the Committee no Termination of Consultancy shall be deemed to occur until such time as such Consultant is no longer a Consultant, an Eligible Employee or a Non-Employee Director. Notwithstanding the foregoing, the Committee may otherwise define Termination of Consultancy in the Award agreement or, if no rights of a Participant are reduced, may otherwise define Termination of Consultancy thereafter.</w:t>
      </w:r>
    </w:p>
    <w:p>
      <w:pPr>
        <w:spacing w:after="0" w:line="182" w:lineRule="exact"/>
        <w:rPr>
          <w:sz w:val="20"/>
          <w:szCs w:val="20"/>
          <w:color w:val="auto"/>
        </w:rPr>
      </w:pPr>
    </w:p>
    <w:p>
      <w:pPr>
        <w:jc w:val="both"/>
        <w:ind w:left="120" w:right="20" w:firstLine="991"/>
        <w:spacing w:after="0" w:line="248" w:lineRule="auto"/>
        <w:rPr>
          <w:sz w:val="20"/>
          <w:szCs w:val="20"/>
          <w:color w:val="auto"/>
        </w:rPr>
      </w:pPr>
      <w:r>
        <w:rPr>
          <w:rFonts w:ascii="Arial" w:cs="Arial" w:eastAsia="Arial" w:hAnsi="Arial"/>
          <w:sz w:val="19"/>
          <w:szCs w:val="19"/>
          <w:b w:val="1"/>
          <w:bCs w:val="1"/>
          <w:color w:val="auto"/>
        </w:rPr>
        <w:t xml:space="preserve">2.51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Termination of Directorship</w:t>
      </w:r>
      <w:r>
        <w:rPr>
          <w:rFonts w:ascii="Arial" w:cs="Arial" w:eastAsia="Arial" w:hAnsi="Arial"/>
          <w:sz w:val="19"/>
          <w:szCs w:val="19"/>
          <w:color w:val="auto"/>
        </w:rPr>
        <w:t>” means that the Non-Employee Director has ceased to be a director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except that if a Non-Employee Director becomes an Eligible Employee or a Consultant upon the termination of his or her directorship, his or her ceasing to be a director of the Company shall not be treated as a Termination of Directorship unless and until the Participant has a Termination of Employment or Termination of Consultancy, as the case may be.</w:t>
      </w:r>
    </w:p>
    <w:p>
      <w:pPr>
        <w:spacing w:after="0" w:line="177" w:lineRule="exact"/>
        <w:rPr>
          <w:sz w:val="20"/>
          <w:szCs w:val="20"/>
          <w:color w:val="auto"/>
        </w:rPr>
      </w:pPr>
    </w:p>
    <w:p>
      <w:pPr>
        <w:jc w:val="both"/>
        <w:ind w:left="120" w:right="20" w:firstLine="991"/>
        <w:spacing w:after="0" w:line="241" w:lineRule="auto"/>
        <w:rPr>
          <w:sz w:val="20"/>
          <w:szCs w:val="20"/>
          <w:color w:val="auto"/>
        </w:rPr>
      </w:pPr>
      <w:r>
        <w:rPr>
          <w:rFonts w:ascii="Arial" w:cs="Arial" w:eastAsia="Arial" w:hAnsi="Arial"/>
          <w:sz w:val="19"/>
          <w:szCs w:val="19"/>
          <w:b w:val="1"/>
          <w:bCs w:val="1"/>
          <w:color w:val="auto"/>
        </w:rPr>
        <w:t xml:space="preserve">2.52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Termination of Employment</w:t>
      </w:r>
      <w:r>
        <w:rPr>
          <w:rFonts w:ascii="Arial" w:cs="Arial" w:eastAsia="Arial" w:hAnsi="Arial"/>
          <w:sz w:val="19"/>
          <w:szCs w:val="19"/>
          <w:color w:val="auto"/>
        </w:rPr>
        <w:t>” means: (a) a termination of employment (for reasons other than a military or</w:t>
      </w:r>
      <w:r>
        <w:rPr>
          <w:rFonts w:ascii="Arial" w:cs="Arial" w:eastAsia="Arial" w:hAnsi="Arial"/>
          <w:sz w:val="19"/>
          <w:szCs w:val="19"/>
          <w:b w:val="1"/>
          <w:bCs w:val="1"/>
          <w:color w:val="auto"/>
        </w:rPr>
        <w:t xml:space="preserve"> </w:t>
      </w:r>
      <w:r>
        <w:rPr>
          <w:rFonts w:ascii="Arial" w:cs="Arial" w:eastAsia="Arial" w:hAnsi="Arial"/>
          <w:sz w:val="19"/>
          <w:szCs w:val="19"/>
          <w:color w:val="auto"/>
        </w:rPr>
        <w:t>approved personal leave of absence) of a Participant from the Company and its Affiliates; or (b) when an entity that is employing a Participant ceases to be an Affiliate, unless the Participant otherwise is, or thereupon becomes, employed by the Company or another Affiliate at the time the entity ceases to be an Affiliate. In the event that an Eligible Employee becomes a Consultant or a Non-Employee Director upon the termination of his or her employment, unless otherwise determined by the Committee no Termination of Employment shall be deemed to occur until such time as such Eligible Employee is no longer an Eligible Employee, a Consultant or a Non-Employee Director. Notwithstanding the foregoing, the Committee may otherwise define Termination of Employment in the Award agreement or, if no rights of a Participant are reduced, may otherwise define Termination of Employment thereafter.</w:t>
      </w:r>
    </w:p>
    <w:p>
      <w:pPr>
        <w:spacing w:after="0" w:line="185" w:lineRule="exact"/>
        <w:rPr>
          <w:sz w:val="20"/>
          <w:szCs w:val="20"/>
          <w:color w:val="auto"/>
        </w:rPr>
      </w:pPr>
    </w:p>
    <w:p>
      <w:pPr>
        <w:jc w:val="both"/>
        <w:ind w:left="120" w:firstLine="991"/>
        <w:spacing w:after="0" w:line="243" w:lineRule="auto"/>
        <w:rPr>
          <w:sz w:val="20"/>
          <w:szCs w:val="20"/>
          <w:color w:val="auto"/>
        </w:rPr>
      </w:pPr>
      <w:r>
        <w:rPr>
          <w:rFonts w:ascii="Arial" w:cs="Arial" w:eastAsia="Arial" w:hAnsi="Arial"/>
          <w:sz w:val="19"/>
          <w:szCs w:val="19"/>
          <w:b w:val="1"/>
          <w:bCs w:val="1"/>
          <w:color w:val="auto"/>
        </w:rPr>
        <w:t xml:space="preserve">2.53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Transfer</w:t>
      </w:r>
      <w:r>
        <w:rPr>
          <w:rFonts w:ascii="Arial" w:cs="Arial" w:eastAsia="Arial" w:hAnsi="Arial"/>
          <w:sz w:val="19"/>
          <w:szCs w:val="19"/>
          <w:color w:val="auto"/>
        </w:rPr>
        <w:t>” means: (a) when used as a noun, any direct or indirect transfer, sale, assignment, pledge,</w:t>
      </w:r>
      <w:r>
        <w:rPr>
          <w:rFonts w:ascii="Arial" w:cs="Arial" w:eastAsia="Arial" w:hAnsi="Arial"/>
          <w:sz w:val="19"/>
          <w:szCs w:val="19"/>
          <w:b w:val="1"/>
          <w:bCs w:val="1"/>
          <w:color w:val="auto"/>
        </w:rPr>
        <w:t xml:space="preserve"> </w:t>
      </w:r>
      <w:r>
        <w:rPr>
          <w:rFonts w:ascii="Arial" w:cs="Arial" w:eastAsia="Arial" w:hAnsi="Arial"/>
          <w:sz w:val="19"/>
          <w:szCs w:val="19"/>
          <w:color w:val="auto"/>
        </w:rPr>
        <w:t>hypothecation, encumbrance or other disposition (including the issuance of equity in a Person), whether for value or no value and whether voluntary or involuntary (including by operation of law), and (b) when used as a verb, to directly or indirectly transfer, sell, assign, pledge, encumber, charge, hypothecate or otherwise dispose of (including the issuance of equity in a Person) whether for value or for no value and whether voluntarily or involuntarily (including by operation of law). “Transferred” and “Transferable” shall have a correlative meaning.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83185</wp:posOffset>
            </wp:positionV>
            <wp:extent cx="360045" cy="18859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60045" cy="188595"/>
                    </a:xfrm>
                    <a:prstGeom prst="rect">
                      <a:avLst/>
                    </a:prstGeom>
                    <a:noFill/>
                  </pic:spPr>
                </pic:pic>
              </a:graphicData>
            </a:graphic>
          </wp:anchor>
        </w:drawing>
      </w:r>
    </w:p>
    <w:p>
      <w:pPr>
        <w:spacing w:after="0" w:line="164" w:lineRule="exact"/>
        <w:rPr>
          <w:sz w:val="20"/>
          <w:szCs w:val="20"/>
          <w:color w:val="auto"/>
        </w:rPr>
      </w:pPr>
    </w:p>
    <w:p>
      <w:pPr>
        <w:ind w:left="120"/>
        <w:spacing w:after="0"/>
        <w:tabs>
          <w:tab w:leader="none" w:pos="8840" w:val="left"/>
          <w:tab w:leader="none" w:pos="10680" w:val="left"/>
        </w:tabs>
        <w:rPr>
          <w:sz w:val="20"/>
          <w:szCs w:val="20"/>
          <w:color w:val="auto"/>
        </w:rPr>
      </w:pPr>
      <w:r>
        <w:rPr>
          <w:rFonts w:ascii="Arial" w:cs="Arial" w:eastAsia="Arial" w:hAnsi="Arial"/>
          <w:sz w:val="16"/>
          <w:szCs w:val="16"/>
          <w:color w:val="002060"/>
        </w:rPr>
        <w:t>2023 Omnibus Incentive Plan</w:t>
      </w:r>
      <w:r>
        <w:rPr>
          <w:sz w:val="20"/>
          <w:szCs w:val="20"/>
          <w:color w:val="auto"/>
        </w:rPr>
        <w:tab/>
      </w:r>
      <w:r>
        <w:rPr>
          <w:rFonts w:ascii="Arial" w:cs="Arial" w:eastAsia="Arial" w:hAnsi="Arial"/>
          <w:sz w:val="16"/>
          <w:szCs w:val="16"/>
          <w:color w:val="002060"/>
        </w:rPr>
        <w:t>2023 Proxy Statement</w:t>
      </w:r>
      <w:r>
        <w:rPr>
          <w:sz w:val="20"/>
          <w:szCs w:val="20"/>
          <w:color w:val="auto"/>
        </w:rPr>
        <w:tab/>
      </w:r>
      <w:r>
        <w:rPr>
          <w:rFonts w:ascii="Arial" w:cs="Arial" w:eastAsia="Arial" w:hAnsi="Arial"/>
          <w:sz w:val="15"/>
          <w:szCs w:val="15"/>
          <w:color w:val="FFFFFF"/>
        </w:rPr>
        <w:t>A-11</w:t>
      </w:r>
    </w:p>
    <w:p>
      <w:pPr>
        <w:sectPr>
          <w:pgSz w:w="11900" w:h="16838" w:orient="portrait"/>
          <w:cols w:equalWidth="0" w:num="1">
            <w:col w:w="11140"/>
          </w:cols>
          <w:pgMar w:left="320" w:top="482"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ARTICLE III</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ADMINISTRATION</w:t>
      </w:r>
    </w:p>
    <w:p>
      <w:pPr>
        <w:spacing w:after="0" w:line="214" w:lineRule="exact"/>
        <w:rPr>
          <w:sz w:val="20"/>
          <w:szCs w:val="20"/>
          <w:color w:val="auto"/>
        </w:rPr>
      </w:pPr>
    </w:p>
    <w:p>
      <w:pPr>
        <w:ind w:left="1100"/>
        <w:spacing w:after="0"/>
        <w:tabs>
          <w:tab w:leader="none" w:pos="1560" w:val="left"/>
        </w:tabs>
        <w:rPr>
          <w:sz w:val="20"/>
          <w:szCs w:val="20"/>
          <w:color w:val="auto"/>
        </w:rPr>
      </w:pPr>
      <w:r>
        <w:rPr>
          <w:rFonts w:ascii="Arial" w:cs="Arial" w:eastAsia="Arial" w:hAnsi="Arial"/>
          <w:sz w:val="19"/>
          <w:szCs w:val="19"/>
          <w:b w:val="1"/>
          <w:bCs w:val="1"/>
          <w:color w:val="auto"/>
        </w:rPr>
        <w:t>3.1</w:t>
      </w:r>
      <w:r>
        <w:rPr>
          <w:sz w:val="20"/>
          <w:szCs w:val="20"/>
          <w:color w:val="auto"/>
        </w:rPr>
        <w:tab/>
      </w:r>
      <w:r>
        <w:rPr>
          <w:rFonts w:ascii="Arial" w:cs="Arial" w:eastAsia="Arial" w:hAnsi="Arial"/>
          <w:sz w:val="18"/>
          <w:szCs w:val="18"/>
          <w:b w:val="1"/>
          <w:bCs w:val="1"/>
          <w:u w:val="single" w:color="auto"/>
          <w:color w:val="auto"/>
        </w:rPr>
        <w:t>The Committee</w:t>
      </w:r>
      <w:r>
        <w:rPr>
          <w:rFonts w:ascii="Arial" w:cs="Arial" w:eastAsia="Arial" w:hAnsi="Arial"/>
          <w:sz w:val="18"/>
          <w:szCs w:val="18"/>
          <w:color w:val="auto"/>
        </w:rPr>
        <w:t>. The Plan shall be administered and interpreted by the Committee.</w:t>
      </w:r>
    </w:p>
    <w:p>
      <w:pPr>
        <w:spacing w:after="0" w:line="214"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9"/>
          <w:szCs w:val="19"/>
          <w:b w:val="1"/>
          <w:bCs w:val="1"/>
          <w:color w:val="auto"/>
        </w:rPr>
        <w:t>3.2</w:t>
      </w:r>
      <w:r>
        <w:rPr>
          <w:sz w:val="20"/>
          <w:szCs w:val="20"/>
          <w:color w:val="auto"/>
        </w:rPr>
        <w:tab/>
      </w:r>
      <w:r>
        <w:rPr>
          <w:rFonts w:ascii="Arial" w:cs="Arial" w:eastAsia="Arial" w:hAnsi="Arial"/>
          <w:sz w:val="19"/>
          <w:szCs w:val="19"/>
          <w:b w:val="1"/>
          <w:bCs w:val="1"/>
          <w:u w:val="single" w:color="auto"/>
          <w:color w:val="auto"/>
        </w:rPr>
        <w:t>Grant and Administration of Awards</w:t>
      </w:r>
      <w:r>
        <w:rPr>
          <w:rFonts w:ascii="Arial" w:cs="Arial" w:eastAsia="Arial" w:hAnsi="Arial"/>
          <w:sz w:val="19"/>
          <w:szCs w:val="19"/>
          <w:color w:val="auto"/>
        </w:rPr>
        <w:t>. The Committee shall have full authority and discretion, as provided in</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Section 3.6, to grant and administer Awards including the authority to:</w:t>
      </w:r>
    </w:p>
    <w:p>
      <w:pPr>
        <w:spacing w:after="0" w:line="196" w:lineRule="exact"/>
        <w:rPr>
          <w:sz w:val="20"/>
          <w:szCs w:val="20"/>
          <w:color w:val="auto"/>
        </w:rPr>
      </w:pPr>
    </w:p>
    <w:p>
      <w:pPr>
        <w:ind w:left="2120" w:hanging="462"/>
        <w:spacing w:after="0"/>
        <w:tabs>
          <w:tab w:leader="none" w:pos="21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select the Eligible Employees, Consultants and Non-Employee Directors to whom Awards may from time to</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time be granted;</w:t>
      </w:r>
    </w:p>
    <w:p>
      <w:pPr>
        <w:spacing w:after="0" w:line="196" w:lineRule="exact"/>
        <w:rPr>
          <w:sz w:val="20"/>
          <w:szCs w:val="20"/>
          <w:color w:val="auto"/>
        </w:rPr>
      </w:pPr>
    </w:p>
    <w:p>
      <w:pPr>
        <w:ind w:left="2100" w:hanging="442"/>
        <w:spacing w:after="0"/>
        <w:tabs>
          <w:tab w:leader="none" w:pos="21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determine the number of shares of Common Stock to be covered by each Award;</w:t>
      </w:r>
    </w:p>
    <w:p>
      <w:pPr>
        <w:spacing w:after="0" w:line="213" w:lineRule="exact"/>
        <w:rPr>
          <w:rFonts w:ascii="Arial" w:cs="Arial" w:eastAsia="Arial" w:hAnsi="Arial"/>
          <w:sz w:val="19"/>
          <w:szCs w:val="19"/>
          <w:color w:val="auto"/>
        </w:rPr>
      </w:pPr>
    </w:p>
    <w:p>
      <w:pPr>
        <w:jc w:val="both"/>
        <w:ind w:left="120" w:right="20" w:firstLine="1538"/>
        <w:spacing w:after="0" w:line="254" w:lineRule="auto"/>
        <w:tabs>
          <w:tab w:leader="none" w:pos="2107" w:val="left"/>
        </w:tabs>
        <w:numPr>
          <w:ilvl w:val="0"/>
          <w:numId w:val="87"/>
        </w:numPr>
        <w:rPr>
          <w:rFonts w:ascii="Arial" w:cs="Arial" w:eastAsia="Arial" w:hAnsi="Arial"/>
          <w:sz w:val="19"/>
          <w:szCs w:val="19"/>
          <w:color w:val="auto"/>
        </w:rPr>
      </w:pPr>
      <w:r>
        <w:rPr>
          <w:rFonts w:ascii="Arial" w:cs="Arial" w:eastAsia="Arial" w:hAnsi="Arial"/>
          <w:sz w:val="19"/>
          <w:szCs w:val="19"/>
          <w:color w:val="auto"/>
        </w:rPr>
        <w:t>determine the type and the terms and conditions, not inconsistent with the terms of the Plan, of each Award (including, but not limited to, the exercise or purchase price (if any), any restriction or limitation or any vesting schedule or acceleration thereof);</w:t>
      </w:r>
    </w:p>
    <w:p>
      <w:pPr>
        <w:spacing w:after="0" w:line="170" w:lineRule="exact"/>
        <w:rPr>
          <w:rFonts w:ascii="Arial" w:cs="Arial" w:eastAsia="Arial" w:hAnsi="Arial"/>
          <w:sz w:val="19"/>
          <w:szCs w:val="19"/>
          <w:color w:val="auto"/>
        </w:rPr>
      </w:pPr>
    </w:p>
    <w:p>
      <w:pPr>
        <w:ind w:left="2100" w:hanging="442"/>
        <w:spacing w:after="0"/>
        <w:tabs>
          <w:tab w:leader="none" w:pos="21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determine whether a Stock Option is an Incentive Stock Option or Non-Qualified Stock Option;</w:t>
      </w:r>
    </w:p>
    <w:p>
      <w:pPr>
        <w:spacing w:after="0" w:line="213" w:lineRule="exact"/>
        <w:rPr>
          <w:rFonts w:ascii="Arial" w:cs="Arial" w:eastAsia="Arial" w:hAnsi="Arial"/>
          <w:sz w:val="19"/>
          <w:szCs w:val="19"/>
          <w:color w:val="auto"/>
        </w:rPr>
      </w:pPr>
    </w:p>
    <w:p>
      <w:pPr>
        <w:jc w:val="both"/>
        <w:ind w:left="120" w:right="20" w:firstLine="1538"/>
        <w:spacing w:after="0" w:line="254" w:lineRule="auto"/>
        <w:tabs>
          <w:tab w:leader="none" w:pos="2206" w:val="left"/>
        </w:tabs>
        <w:numPr>
          <w:ilvl w:val="0"/>
          <w:numId w:val="87"/>
        </w:numPr>
        <w:rPr>
          <w:rFonts w:ascii="Arial" w:cs="Arial" w:eastAsia="Arial" w:hAnsi="Arial"/>
          <w:sz w:val="19"/>
          <w:szCs w:val="19"/>
          <w:color w:val="auto"/>
        </w:rPr>
      </w:pPr>
      <w:r>
        <w:rPr>
          <w:rFonts w:ascii="Arial" w:cs="Arial" w:eastAsia="Arial" w:hAnsi="Arial"/>
          <w:sz w:val="19"/>
          <w:szCs w:val="19"/>
          <w:color w:val="auto"/>
        </w:rPr>
        <w:t>determine whether to require a Participant, as a condition of the granting of any Award, to refrain from selling or otherwise disposing of Common Stock acquired pursuant to such Award for a period of time as determined by the Committee;</w:t>
      </w:r>
    </w:p>
    <w:p>
      <w:pPr>
        <w:spacing w:after="0" w:line="170" w:lineRule="exact"/>
        <w:rPr>
          <w:rFonts w:ascii="Arial" w:cs="Arial" w:eastAsia="Arial" w:hAnsi="Arial"/>
          <w:sz w:val="19"/>
          <w:szCs w:val="19"/>
          <w:color w:val="auto"/>
        </w:rPr>
      </w:pPr>
    </w:p>
    <w:p>
      <w:pPr>
        <w:ind w:left="120" w:firstLine="1538"/>
        <w:spacing w:after="0" w:line="270" w:lineRule="auto"/>
        <w:tabs>
          <w:tab w:leader="none" w:pos="2202" w:val="left"/>
        </w:tabs>
        <w:numPr>
          <w:ilvl w:val="0"/>
          <w:numId w:val="87"/>
        </w:numPr>
        <w:rPr>
          <w:rFonts w:ascii="Arial" w:cs="Arial" w:eastAsia="Arial" w:hAnsi="Arial"/>
          <w:sz w:val="19"/>
          <w:szCs w:val="19"/>
          <w:color w:val="auto"/>
        </w:rPr>
      </w:pPr>
      <w:r>
        <w:rPr>
          <w:rFonts w:ascii="Arial" w:cs="Arial" w:eastAsia="Arial" w:hAnsi="Arial"/>
          <w:sz w:val="19"/>
          <w:szCs w:val="19"/>
          <w:color w:val="auto"/>
        </w:rPr>
        <w:t>condition the grant, vesting or payment of any Award on the attainment of performance goals over a Performance Period, set such goals and such period, and certify the attainment of such goals;</w:t>
      </w:r>
    </w:p>
    <w:p>
      <w:pPr>
        <w:spacing w:after="0" w:line="156" w:lineRule="exact"/>
        <w:rPr>
          <w:rFonts w:ascii="Arial" w:cs="Arial" w:eastAsia="Arial" w:hAnsi="Arial"/>
          <w:sz w:val="19"/>
          <w:szCs w:val="19"/>
          <w:color w:val="auto"/>
        </w:rPr>
      </w:pPr>
    </w:p>
    <w:p>
      <w:pPr>
        <w:ind w:left="120" w:right="20" w:firstLine="1538"/>
        <w:spacing w:after="0" w:line="270" w:lineRule="auto"/>
        <w:tabs>
          <w:tab w:leader="none" w:pos="2131" w:val="left"/>
        </w:tabs>
        <w:numPr>
          <w:ilvl w:val="0"/>
          <w:numId w:val="87"/>
        </w:numPr>
        <w:rPr>
          <w:rFonts w:ascii="Arial" w:cs="Arial" w:eastAsia="Arial" w:hAnsi="Arial"/>
          <w:sz w:val="19"/>
          <w:szCs w:val="19"/>
          <w:color w:val="auto"/>
        </w:rPr>
      </w:pPr>
      <w:r>
        <w:rPr>
          <w:rFonts w:ascii="Arial" w:cs="Arial" w:eastAsia="Arial" w:hAnsi="Arial"/>
          <w:sz w:val="19"/>
          <w:szCs w:val="19"/>
          <w:color w:val="auto"/>
        </w:rPr>
        <w:t>amend, after the date of grant, the terms that apply to an Award upon a Participant’s Termination, provided that such amendment does not reduce the Participant’s rights under the Award;</w:t>
      </w:r>
    </w:p>
    <w:p>
      <w:pPr>
        <w:spacing w:after="0" w:line="156" w:lineRule="exact"/>
        <w:rPr>
          <w:rFonts w:ascii="Arial" w:cs="Arial" w:eastAsia="Arial" w:hAnsi="Arial"/>
          <w:sz w:val="19"/>
          <w:szCs w:val="19"/>
          <w:color w:val="auto"/>
        </w:rPr>
      </w:pPr>
    </w:p>
    <w:p>
      <w:pPr>
        <w:jc w:val="both"/>
        <w:ind w:left="120" w:firstLine="1538"/>
        <w:spacing w:after="0" w:line="254" w:lineRule="auto"/>
        <w:tabs>
          <w:tab w:leader="none" w:pos="2175" w:val="left"/>
        </w:tabs>
        <w:numPr>
          <w:ilvl w:val="0"/>
          <w:numId w:val="87"/>
        </w:numPr>
        <w:rPr>
          <w:rFonts w:ascii="Arial" w:cs="Arial" w:eastAsia="Arial" w:hAnsi="Arial"/>
          <w:sz w:val="19"/>
          <w:szCs w:val="19"/>
          <w:color w:val="auto"/>
        </w:rPr>
      </w:pPr>
      <w:r>
        <w:rPr>
          <w:rFonts w:ascii="Arial" w:cs="Arial" w:eastAsia="Arial" w:hAnsi="Arial"/>
          <w:sz w:val="19"/>
          <w:szCs w:val="19"/>
          <w:color w:val="auto"/>
        </w:rPr>
        <w:t>determine the circumstances under which Common Stock and other amounts payable with respect to an Award may be deferred automatically or at the election of the Participant, in each case in a manner intended to comply with or be exempt from Section 409A;</w:t>
      </w:r>
    </w:p>
    <w:p>
      <w:pPr>
        <w:spacing w:after="0" w:line="170" w:lineRule="exact"/>
        <w:rPr>
          <w:rFonts w:ascii="Arial" w:cs="Arial" w:eastAsia="Arial" w:hAnsi="Arial"/>
          <w:sz w:val="19"/>
          <w:szCs w:val="19"/>
          <w:color w:val="auto"/>
        </w:rPr>
      </w:pPr>
    </w:p>
    <w:p>
      <w:pPr>
        <w:ind w:left="120" w:firstLine="1538"/>
        <w:spacing w:after="0" w:line="270" w:lineRule="auto"/>
        <w:tabs>
          <w:tab w:leader="none" w:pos="2071" w:val="left"/>
        </w:tabs>
        <w:numPr>
          <w:ilvl w:val="0"/>
          <w:numId w:val="87"/>
        </w:numPr>
        <w:rPr>
          <w:rFonts w:ascii="Arial" w:cs="Arial" w:eastAsia="Arial" w:hAnsi="Arial"/>
          <w:sz w:val="19"/>
          <w:szCs w:val="19"/>
          <w:color w:val="auto"/>
        </w:rPr>
      </w:pPr>
      <w:r>
        <w:rPr>
          <w:rFonts w:ascii="Arial" w:cs="Arial" w:eastAsia="Arial" w:hAnsi="Arial"/>
          <w:sz w:val="19"/>
          <w:szCs w:val="19"/>
          <w:color w:val="auto"/>
        </w:rPr>
        <w:t>generally, exercise such powers and perform such acts as the Committee deems necessary or advisable to promote the best interests of the Company in connection with the Plan that are not inconsistent with the provisions of the Plan;</w:t>
      </w:r>
    </w:p>
    <w:p>
      <w:pPr>
        <w:spacing w:after="0" w:line="156" w:lineRule="exact"/>
        <w:rPr>
          <w:rFonts w:ascii="Arial" w:cs="Arial" w:eastAsia="Arial" w:hAnsi="Arial"/>
          <w:sz w:val="19"/>
          <w:szCs w:val="19"/>
          <w:color w:val="auto"/>
        </w:rPr>
      </w:pPr>
    </w:p>
    <w:p>
      <w:pPr>
        <w:ind w:left="2100" w:hanging="442"/>
        <w:spacing w:after="0"/>
        <w:tabs>
          <w:tab w:leader="none" w:pos="21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construe and interpret the terms and provisions of the Plan and any Award (and any agreements relating</w:t>
      </w:r>
    </w:p>
    <w:p>
      <w:pPr>
        <w:spacing w:after="0" w:line="15"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19"/>
          <w:szCs w:val="19"/>
          <w:color w:val="auto"/>
        </w:rPr>
        <w:t>thereto); and</w:t>
      </w:r>
    </w:p>
    <w:p>
      <w:pPr>
        <w:spacing w:after="0" w:line="195" w:lineRule="exact"/>
        <w:rPr>
          <w:rFonts w:ascii="Arial" w:cs="Arial" w:eastAsia="Arial" w:hAnsi="Arial"/>
          <w:sz w:val="19"/>
          <w:szCs w:val="19"/>
          <w:color w:val="auto"/>
        </w:rPr>
      </w:pPr>
    </w:p>
    <w:p>
      <w:pPr>
        <w:ind w:left="2180" w:hanging="522"/>
        <w:spacing w:after="0"/>
        <w:tabs>
          <w:tab w:leader="none" w:pos="2180" w:val="left"/>
        </w:tabs>
        <w:numPr>
          <w:ilvl w:val="0"/>
          <w:numId w:val="87"/>
        </w:numPr>
        <w:rPr>
          <w:rFonts w:ascii="Arial" w:cs="Arial" w:eastAsia="Arial" w:hAnsi="Arial"/>
          <w:sz w:val="19"/>
          <w:szCs w:val="19"/>
          <w:color w:val="auto"/>
        </w:rPr>
      </w:pPr>
      <w:r>
        <w:rPr>
          <w:rFonts w:ascii="Arial" w:cs="Arial" w:eastAsia="Arial" w:hAnsi="Arial"/>
          <w:sz w:val="19"/>
          <w:szCs w:val="19"/>
          <w:color w:val="auto"/>
        </w:rPr>
        <w:t>correct any defect, supply any omission or reconcile any inconsistency in the Plan or in any agreement</w:t>
      </w:r>
    </w:p>
    <w:p>
      <w:pPr>
        <w:spacing w:after="0" w:line="15"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19"/>
          <w:szCs w:val="19"/>
          <w:color w:val="auto"/>
        </w:rPr>
        <w:t>relating thereto.</w:t>
      </w:r>
    </w:p>
    <w:p>
      <w:pPr>
        <w:spacing w:after="0" w:line="196" w:lineRule="exact"/>
        <w:rPr>
          <w:sz w:val="20"/>
          <w:szCs w:val="20"/>
          <w:color w:val="auto"/>
        </w:rPr>
      </w:pPr>
    </w:p>
    <w:p>
      <w:pPr>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3.3 </w:t>
      </w:r>
      <w:r>
        <w:rPr>
          <w:rFonts w:ascii="Arial" w:cs="Arial" w:eastAsia="Arial" w:hAnsi="Arial"/>
          <w:sz w:val="19"/>
          <w:szCs w:val="19"/>
          <w:b w:val="1"/>
          <w:bCs w:val="1"/>
          <w:u w:val="single" w:color="auto"/>
          <w:color w:val="auto"/>
        </w:rPr>
        <w:t>Award Agreements</w:t>
      </w:r>
      <w:r>
        <w:rPr>
          <w:rFonts w:ascii="Arial" w:cs="Arial" w:eastAsia="Arial" w:hAnsi="Arial"/>
          <w:sz w:val="19"/>
          <w:szCs w:val="19"/>
          <w:color w:val="auto"/>
        </w:rPr>
        <w:t>. All Awards shall be evidenced by, and subject to the terms and conditions of, a written notice</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by the Company to the Participant or a written agreement executed by the Company and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351155" cy="18859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51155" cy="188595"/>
                    </a:xfrm>
                    <a:prstGeom prst="rect">
                      <a:avLst/>
                    </a:prstGeom>
                    <a:noFill/>
                  </pic:spPr>
                </pic:pic>
              </a:graphicData>
            </a:graphic>
          </wp:anchor>
        </w:drawing>
      </w:r>
    </w:p>
    <w:p>
      <w:pPr>
        <w:spacing w:after="0" w:line="136" w:lineRule="exact"/>
        <w:rPr>
          <w:sz w:val="20"/>
          <w:szCs w:val="20"/>
          <w:color w:val="auto"/>
        </w:rPr>
      </w:pPr>
    </w:p>
    <w:p>
      <w:pPr>
        <w:ind w:left="220"/>
        <w:spacing w:after="0"/>
        <w:tabs>
          <w:tab w:leader="none" w:pos="780" w:val="left"/>
          <w:tab w:leader="none" w:pos="9000" w:val="left"/>
        </w:tabs>
        <w:rPr>
          <w:sz w:val="20"/>
          <w:szCs w:val="20"/>
          <w:color w:val="auto"/>
        </w:rPr>
      </w:pPr>
      <w:r>
        <w:rPr>
          <w:rFonts w:ascii="Arial" w:cs="Arial" w:eastAsia="Arial" w:hAnsi="Arial"/>
          <w:sz w:val="16"/>
          <w:szCs w:val="16"/>
          <w:color w:val="FFFFFF"/>
        </w:rPr>
        <w:t>A-12</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2023 Omnibus Incentive Plan</w:t>
      </w:r>
    </w:p>
    <w:p>
      <w:pPr>
        <w:sectPr>
          <w:pgSz w:w="11900" w:h="16838" w:orient="portrait"/>
          <w:cols w:equalWidth="0" w:num="1">
            <w:col w:w="11140"/>
          </w:cols>
          <w:pgMar w:left="320" w:top="482"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firstLine="991"/>
        <w:spacing w:after="0" w:line="245" w:lineRule="auto"/>
        <w:rPr>
          <w:sz w:val="20"/>
          <w:szCs w:val="20"/>
          <w:color w:val="auto"/>
        </w:rPr>
      </w:pPr>
      <w:r>
        <w:rPr>
          <w:rFonts w:ascii="Arial" w:cs="Arial" w:eastAsia="Arial" w:hAnsi="Arial"/>
          <w:sz w:val="19"/>
          <w:szCs w:val="19"/>
          <w:b w:val="1"/>
          <w:bCs w:val="1"/>
          <w:color w:val="auto"/>
        </w:rPr>
        <w:t xml:space="preserve">3.4 </w:t>
      </w:r>
      <w:r>
        <w:rPr>
          <w:rFonts w:ascii="Arial" w:cs="Arial" w:eastAsia="Arial" w:hAnsi="Arial"/>
          <w:sz w:val="19"/>
          <w:szCs w:val="19"/>
          <w:b w:val="1"/>
          <w:bCs w:val="1"/>
          <w:u w:val="single" w:color="auto"/>
          <w:color w:val="auto"/>
        </w:rPr>
        <w:t>Guidelines</w:t>
      </w:r>
      <w:r>
        <w:rPr>
          <w:rFonts w:ascii="Arial" w:cs="Arial" w:eastAsia="Arial" w:hAnsi="Arial"/>
          <w:sz w:val="19"/>
          <w:szCs w:val="19"/>
          <w:color w:val="auto"/>
        </w:rPr>
        <w:t>. The Committee shall have the authority to adopt, alter and repeal such administrative rules,</w:t>
      </w:r>
      <w:r>
        <w:rPr>
          <w:rFonts w:ascii="Arial" w:cs="Arial" w:eastAsia="Arial" w:hAnsi="Arial"/>
          <w:sz w:val="19"/>
          <w:szCs w:val="19"/>
          <w:b w:val="1"/>
          <w:bCs w:val="1"/>
          <w:color w:val="auto"/>
        </w:rPr>
        <w:t xml:space="preserve"> </w:t>
      </w:r>
      <w:r>
        <w:rPr>
          <w:rFonts w:ascii="Arial" w:cs="Arial" w:eastAsia="Arial" w:hAnsi="Arial"/>
          <w:sz w:val="19"/>
          <w:szCs w:val="19"/>
          <w:color w:val="auto"/>
        </w:rPr>
        <w:t>guidelines and practices governing the Plan as it shall, from time to time, deem necessary or advisable. The Committee may adopt special guidelines and provisions for persons who are residing in or employed in, or subject to, the taxes of, any domestic or foreign jurisdiction to comply with applicable tax and securities laws and may impose such limitations and restrictions that it deems necessary or advisable to comply with the applicable tax and securities laws of such domestic or foreign jurisdiction.</w:t>
      </w:r>
    </w:p>
    <w:p>
      <w:pPr>
        <w:spacing w:after="0" w:line="181" w:lineRule="exact"/>
        <w:rPr>
          <w:sz w:val="20"/>
          <w:szCs w:val="20"/>
          <w:color w:val="auto"/>
        </w:rPr>
      </w:pPr>
    </w:p>
    <w:p>
      <w:pPr>
        <w:jc w:val="both"/>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3.5 </w:t>
      </w:r>
      <w:r>
        <w:rPr>
          <w:rFonts w:ascii="Arial" w:cs="Arial" w:eastAsia="Arial" w:hAnsi="Arial"/>
          <w:sz w:val="19"/>
          <w:szCs w:val="19"/>
          <w:b w:val="1"/>
          <w:bCs w:val="1"/>
          <w:u w:val="single" w:color="auto"/>
          <w:color w:val="auto"/>
        </w:rPr>
        <w:t>Delegation; Advisors</w:t>
      </w:r>
      <w:r>
        <w:rPr>
          <w:rFonts w:ascii="Arial" w:cs="Arial" w:eastAsia="Arial" w:hAnsi="Arial"/>
          <w:sz w:val="19"/>
          <w:szCs w:val="19"/>
          <w:color w:val="auto"/>
        </w:rPr>
        <w:t>. The Committee may, as it from time to time as it deems advisable, to the extent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by applicable law and stock exchange rules:</w:t>
      </w:r>
    </w:p>
    <w:p>
      <w:pPr>
        <w:spacing w:after="0" w:line="156" w:lineRule="exact"/>
        <w:rPr>
          <w:sz w:val="20"/>
          <w:szCs w:val="20"/>
          <w:color w:val="auto"/>
        </w:rPr>
      </w:pPr>
    </w:p>
    <w:p>
      <w:pPr>
        <w:ind w:left="120" w:right="20" w:firstLine="1538"/>
        <w:spacing w:after="0" w:line="270" w:lineRule="auto"/>
        <w:tabs>
          <w:tab w:leader="none" w:pos="2142" w:val="left"/>
        </w:tabs>
        <w:numPr>
          <w:ilvl w:val="0"/>
          <w:numId w:val="88"/>
        </w:numPr>
        <w:rPr>
          <w:rFonts w:ascii="Arial" w:cs="Arial" w:eastAsia="Arial" w:hAnsi="Arial"/>
          <w:sz w:val="19"/>
          <w:szCs w:val="19"/>
          <w:color w:val="auto"/>
        </w:rPr>
      </w:pPr>
      <w:r>
        <w:rPr>
          <w:rFonts w:ascii="Arial" w:cs="Arial" w:eastAsia="Arial" w:hAnsi="Arial"/>
          <w:sz w:val="19"/>
          <w:szCs w:val="19"/>
          <w:color w:val="auto"/>
        </w:rPr>
        <w:t>delegate its responsibilities to officers or employees of the Company and its Affiliates, including delegating authority to officers to grant Awards or execute agreements or other documents on behalf of the Committee; and</w:t>
      </w:r>
    </w:p>
    <w:p>
      <w:pPr>
        <w:spacing w:after="0" w:line="156" w:lineRule="exact"/>
        <w:rPr>
          <w:rFonts w:ascii="Arial" w:cs="Arial" w:eastAsia="Arial" w:hAnsi="Arial"/>
          <w:sz w:val="19"/>
          <w:szCs w:val="19"/>
          <w:color w:val="auto"/>
        </w:rPr>
      </w:pPr>
    </w:p>
    <w:p>
      <w:pPr>
        <w:jc w:val="both"/>
        <w:ind w:left="120" w:firstLine="1538"/>
        <w:spacing w:after="0" w:line="254" w:lineRule="auto"/>
        <w:tabs>
          <w:tab w:leader="none" w:pos="2169" w:val="left"/>
        </w:tabs>
        <w:numPr>
          <w:ilvl w:val="0"/>
          <w:numId w:val="88"/>
        </w:numPr>
        <w:rPr>
          <w:rFonts w:ascii="Arial" w:cs="Arial" w:eastAsia="Arial" w:hAnsi="Arial"/>
          <w:sz w:val="19"/>
          <w:szCs w:val="19"/>
          <w:color w:val="auto"/>
        </w:rPr>
      </w:pPr>
      <w:r>
        <w:rPr>
          <w:rFonts w:ascii="Arial" w:cs="Arial" w:eastAsia="Arial" w:hAnsi="Arial"/>
          <w:sz w:val="19"/>
          <w:szCs w:val="19"/>
          <w:color w:val="auto"/>
        </w:rPr>
        <w:t>engage legal counsel, consultants, professional advisors and agents to assist in the administration of the Plan and rely upon any opinion or computation received from any such Person. Expenses incurred by the Committee or the Board in the engagement of any such person shall be paid by the Company.</w:t>
      </w:r>
    </w:p>
    <w:p>
      <w:pPr>
        <w:spacing w:after="0" w:line="170" w:lineRule="exact"/>
        <w:rPr>
          <w:sz w:val="20"/>
          <w:szCs w:val="20"/>
          <w:color w:val="auto"/>
        </w:rPr>
      </w:pPr>
    </w:p>
    <w:p>
      <w:pPr>
        <w:jc w:val="both"/>
        <w:ind w:left="120" w:right="20" w:firstLine="991"/>
        <w:spacing w:after="0" w:line="245" w:lineRule="auto"/>
        <w:rPr>
          <w:sz w:val="20"/>
          <w:szCs w:val="20"/>
          <w:color w:val="auto"/>
        </w:rPr>
      </w:pPr>
      <w:r>
        <w:rPr>
          <w:rFonts w:ascii="Arial" w:cs="Arial" w:eastAsia="Arial" w:hAnsi="Arial"/>
          <w:sz w:val="19"/>
          <w:szCs w:val="19"/>
          <w:b w:val="1"/>
          <w:bCs w:val="1"/>
          <w:color w:val="auto"/>
        </w:rPr>
        <w:t xml:space="preserve">3.6 </w:t>
      </w:r>
      <w:r>
        <w:rPr>
          <w:rFonts w:ascii="Arial" w:cs="Arial" w:eastAsia="Arial" w:hAnsi="Arial"/>
          <w:sz w:val="19"/>
          <w:szCs w:val="19"/>
          <w:b w:val="1"/>
          <w:bCs w:val="1"/>
          <w:u w:val="single" w:color="auto"/>
          <w:color w:val="auto"/>
        </w:rPr>
        <w:t>Decisions Final</w:t>
      </w:r>
      <w:r>
        <w:rPr>
          <w:rFonts w:ascii="Arial" w:cs="Arial" w:eastAsia="Arial" w:hAnsi="Arial"/>
          <w:sz w:val="19"/>
          <w:szCs w:val="19"/>
          <w:color w:val="auto"/>
        </w:rPr>
        <w:t>. All determinations, evaluations, elections, approvals, authorizations, consents, decisions,</w:t>
      </w:r>
      <w:r>
        <w:rPr>
          <w:rFonts w:ascii="Arial" w:cs="Arial" w:eastAsia="Arial" w:hAnsi="Arial"/>
          <w:sz w:val="19"/>
          <w:szCs w:val="19"/>
          <w:b w:val="1"/>
          <w:bCs w:val="1"/>
          <w:color w:val="auto"/>
        </w:rPr>
        <w:t xml:space="preserve"> </w:t>
      </w:r>
      <w:r>
        <w:rPr>
          <w:rFonts w:ascii="Arial" w:cs="Arial" w:eastAsia="Arial" w:hAnsi="Arial"/>
          <w:sz w:val="19"/>
          <w:szCs w:val="19"/>
          <w:color w:val="auto"/>
        </w:rPr>
        <w:t>interpretations and other actions made or taken by or at the direction of the Company, the Board or the Committee (or any of its members) arising out of or in connection with the Plan shall be within the sole and absolute discretion of all and each of them, and shall be final, binding and conclusive on all employees and Participants and their respective beneficiaries, heirs, executors, administrators, successors and assigns.</w:t>
      </w:r>
    </w:p>
    <w:p>
      <w:pPr>
        <w:spacing w:after="0" w:line="181" w:lineRule="exact"/>
        <w:rPr>
          <w:sz w:val="20"/>
          <w:szCs w:val="20"/>
          <w:color w:val="auto"/>
        </w:rPr>
      </w:pPr>
    </w:p>
    <w:p>
      <w:pPr>
        <w:jc w:val="both"/>
        <w:ind w:left="120" w:right="20" w:firstLine="991"/>
        <w:spacing w:after="0" w:line="248" w:lineRule="auto"/>
        <w:rPr>
          <w:sz w:val="20"/>
          <w:szCs w:val="20"/>
          <w:color w:val="auto"/>
        </w:rPr>
      </w:pPr>
      <w:r>
        <w:rPr>
          <w:rFonts w:ascii="Arial" w:cs="Arial" w:eastAsia="Arial" w:hAnsi="Arial"/>
          <w:sz w:val="19"/>
          <w:szCs w:val="19"/>
          <w:b w:val="1"/>
          <w:bCs w:val="1"/>
          <w:color w:val="auto"/>
        </w:rPr>
        <w:t xml:space="preserve">3.7 </w:t>
      </w:r>
      <w:r>
        <w:rPr>
          <w:rFonts w:ascii="Arial" w:cs="Arial" w:eastAsia="Arial" w:hAnsi="Arial"/>
          <w:sz w:val="19"/>
          <w:szCs w:val="19"/>
          <w:b w:val="1"/>
          <w:bCs w:val="1"/>
          <w:u w:val="single" w:color="auto"/>
          <w:color w:val="auto"/>
        </w:rPr>
        <w:t>Procedures</w:t>
      </w:r>
      <w:r>
        <w:rPr>
          <w:rFonts w:ascii="Arial" w:cs="Arial" w:eastAsia="Arial" w:hAnsi="Arial"/>
          <w:sz w:val="19"/>
          <w:szCs w:val="19"/>
          <w:color w:val="auto"/>
        </w:rPr>
        <w:t>. If the Committee is appointed, the Committee shall hold meetings, subject to the By-Laws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at such times and places as it shall deem advisable, including by telephone conference or by written consent. The Committee shall keep minutes of its meetings and shall make such rules and regulations for the conduct of its business as it shall deem advisable.</w:t>
      </w:r>
    </w:p>
    <w:p>
      <w:pPr>
        <w:spacing w:after="0" w:line="177" w:lineRule="exact"/>
        <w:rPr>
          <w:sz w:val="20"/>
          <w:szCs w:val="20"/>
          <w:color w:val="auto"/>
        </w:rPr>
      </w:pPr>
    </w:p>
    <w:p>
      <w:pPr>
        <w:ind w:left="1100"/>
        <w:spacing w:after="0"/>
        <w:tabs>
          <w:tab w:leader="none" w:pos="1560" w:val="left"/>
        </w:tabs>
        <w:rPr>
          <w:sz w:val="20"/>
          <w:szCs w:val="20"/>
          <w:color w:val="auto"/>
        </w:rPr>
      </w:pPr>
      <w:r>
        <w:rPr>
          <w:rFonts w:ascii="Arial" w:cs="Arial" w:eastAsia="Arial" w:hAnsi="Arial"/>
          <w:sz w:val="19"/>
          <w:szCs w:val="19"/>
          <w:b w:val="1"/>
          <w:bCs w:val="1"/>
          <w:color w:val="auto"/>
        </w:rPr>
        <w:t>3.8</w:t>
      </w:r>
      <w:r>
        <w:rPr>
          <w:sz w:val="20"/>
          <w:szCs w:val="20"/>
          <w:color w:val="auto"/>
        </w:rPr>
        <w:tab/>
      </w:r>
      <w:r>
        <w:rPr>
          <w:rFonts w:ascii="Arial" w:cs="Arial" w:eastAsia="Arial" w:hAnsi="Arial"/>
          <w:sz w:val="18"/>
          <w:szCs w:val="18"/>
          <w:b w:val="1"/>
          <w:bCs w:val="1"/>
          <w:u w:val="single" w:color="auto"/>
          <w:color w:val="auto"/>
        </w:rPr>
        <w:t>Liability; Indemnification</w:t>
      </w:r>
      <w:r>
        <w:rPr>
          <w:rFonts w:ascii="Arial" w:cs="Arial" w:eastAsia="Arial" w:hAnsi="Arial"/>
          <w:sz w:val="18"/>
          <w:szCs w:val="18"/>
          <w:color w:val="auto"/>
        </w:rPr>
        <w:t>.</w:t>
      </w:r>
    </w:p>
    <w:p>
      <w:pPr>
        <w:spacing w:after="0" w:line="214" w:lineRule="exact"/>
        <w:rPr>
          <w:sz w:val="20"/>
          <w:szCs w:val="20"/>
          <w:color w:val="auto"/>
        </w:rPr>
      </w:pPr>
    </w:p>
    <w:p>
      <w:pPr>
        <w:jc w:val="both"/>
        <w:ind w:left="120" w:firstLine="1538"/>
        <w:spacing w:after="0" w:line="248" w:lineRule="auto"/>
        <w:tabs>
          <w:tab w:leader="none" w:pos="2183"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Committee, its members and any delegate or Person engaged pursuant to Section 3.5 shall not be liable for any action or determination made in good faith with respect to the Plan. To the maximum extent permitted by applicable law, no officer or employee of the Company or any Affiliate or member or former member of the Committee or of the Board shall be liable for any action or determination made in good faith with respect to the Plan or any Award granted under it.</w:t>
      </w:r>
    </w:p>
    <w:p>
      <w:pPr>
        <w:spacing w:after="0" w:line="176" w:lineRule="exact"/>
        <w:rPr>
          <w:rFonts w:ascii="Arial" w:cs="Arial" w:eastAsia="Arial" w:hAnsi="Arial"/>
          <w:sz w:val="19"/>
          <w:szCs w:val="19"/>
          <w:color w:val="auto"/>
        </w:rPr>
      </w:pPr>
    </w:p>
    <w:p>
      <w:pPr>
        <w:jc w:val="both"/>
        <w:ind w:left="120" w:firstLine="1538"/>
        <w:spacing w:after="0" w:line="241" w:lineRule="auto"/>
        <w:tabs>
          <w:tab w:leader="none" w:pos="2124" w:val="left"/>
        </w:tabs>
        <w:numPr>
          <w:ilvl w:val="0"/>
          <w:numId w:val="89"/>
        </w:numPr>
        <w:rPr>
          <w:rFonts w:ascii="Arial" w:cs="Arial" w:eastAsia="Arial" w:hAnsi="Arial"/>
          <w:sz w:val="19"/>
          <w:szCs w:val="19"/>
          <w:color w:val="auto"/>
        </w:rPr>
      </w:pPr>
      <w:r>
        <w:rPr>
          <w:rFonts w:ascii="Arial" w:cs="Arial" w:eastAsia="Arial" w:hAnsi="Arial"/>
          <w:sz w:val="19"/>
          <w:szCs w:val="19"/>
          <w:color w:val="auto"/>
        </w:rPr>
        <w:t>To the maximum extent permitted by applicable law and the Certificate of Incorporation and By-Laws of the Company and to the extent not covered by insurance directly insuring such person, each current or former officer or employee of the Company or any Affiliate and member of the Committee or the Board shall be indemnified and held harmless by the Company against any cost or expense (including reasonable fees of counsel reasonably acceptable to the Committee) or liability (including any sum paid in settlement of a claim with the approval of the Committee), and advanced amounts necessary to pay the foregoing at the earliest time and to the fullest extent permitted, arising out of any act or omission to act in connection with the administration of the Plan, except to the extent arising out of such person’s own fraud or bad faith. Such indemnification shall be in addition to any rights of indemnification provided for under applicable law or under the Certificate of Incorporation or By-Laws of the Company 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83185</wp:posOffset>
            </wp:positionV>
            <wp:extent cx="360045" cy="18859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60045" cy="188595"/>
                    </a:xfrm>
                    <a:prstGeom prst="rect">
                      <a:avLst/>
                    </a:prstGeom>
                    <a:noFill/>
                  </pic:spPr>
                </pic:pic>
              </a:graphicData>
            </a:graphic>
          </wp:anchor>
        </w:drawing>
      </w:r>
    </w:p>
    <w:p>
      <w:pPr>
        <w:spacing w:after="0" w:line="165" w:lineRule="exact"/>
        <w:rPr>
          <w:sz w:val="20"/>
          <w:szCs w:val="20"/>
          <w:color w:val="auto"/>
        </w:rPr>
      </w:pPr>
    </w:p>
    <w:p>
      <w:pPr>
        <w:ind w:left="120"/>
        <w:spacing w:after="0"/>
        <w:tabs>
          <w:tab w:leader="none" w:pos="8840" w:val="left"/>
          <w:tab w:leader="none" w:pos="10660" w:val="left"/>
        </w:tabs>
        <w:rPr>
          <w:sz w:val="20"/>
          <w:szCs w:val="20"/>
          <w:color w:val="auto"/>
        </w:rPr>
      </w:pPr>
      <w:r>
        <w:rPr>
          <w:rFonts w:ascii="Arial" w:cs="Arial" w:eastAsia="Arial" w:hAnsi="Arial"/>
          <w:sz w:val="16"/>
          <w:szCs w:val="16"/>
          <w:color w:val="002060"/>
        </w:rPr>
        <w:t>2023 Omnibus Incentive Plan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A-13</w:t>
      </w:r>
    </w:p>
    <w:p>
      <w:pPr>
        <w:sectPr>
          <w:pgSz w:w="11900" w:h="16838" w:orient="portrait"/>
          <w:cols w:equalWidth="0" w:num="1">
            <w:col w:w="11140"/>
          </w:cols>
          <w:pgMar w:left="320" w:top="482"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line="270" w:lineRule="auto"/>
        <w:rPr>
          <w:sz w:val="20"/>
          <w:szCs w:val="20"/>
          <w:color w:val="auto"/>
        </w:rPr>
      </w:pPr>
      <w:r>
        <w:rPr>
          <w:rFonts w:ascii="Arial" w:cs="Arial" w:eastAsia="Arial" w:hAnsi="Arial"/>
          <w:sz w:val="19"/>
          <w:szCs w:val="19"/>
          <w:color w:val="auto"/>
        </w:rPr>
        <w:t>Notwithstanding anything else herein, this indemnification will not apply to the actions or determinations made by an individual with regard to Awards granted to him or her.</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ARTICLE IV</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SHARE LIMITATIONS</w:t>
      </w:r>
    </w:p>
    <w:p>
      <w:pPr>
        <w:spacing w:after="0" w:line="214" w:lineRule="exact"/>
        <w:rPr>
          <w:sz w:val="20"/>
          <w:szCs w:val="20"/>
          <w:color w:val="auto"/>
        </w:rPr>
      </w:pPr>
    </w:p>
    <w:p>
      <w:pPr>
        <w:ind w:left="1100"/>
        <w:spacing w:after="0"/>
        <w:tabs>
          <w:tab w:leader="none" w:pos="1560" w:val="left"/>
        </w:tabs>
        <w:rPr>
          <w:sz w:val="20"/>
          <w:szCs w:val="20"/>
          <w:color w:val="auto"/>
        </w:rPr>
      </w:pPr>
      <w:r>
        <w:rPr>
          <w:rFonts w:ascii="Arial" w:cs="Arial" w:eastAsia="Arial" w:hAnsi="Arial"/>
          <w:sz w:val="19"/>
          <w:szCs w:val="19"/>
          <w:b w:val="1"/>
          <w:bCs w:val="1"/>
          <w:color w:val="auto"/>
        </w:rPr>
        <w:t>4.1</w:t>
      </w:r>
      <w:r>
        <w:rPr>
          <w:sz w:val="20"/>
          <w:szCs w:val="20"/>
          <w:color w:val="auto"/>
        </w:rPr>
        <w:tab/>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w:t>
      </w:r>
    </w:p>
    <w:p>
      <w:pPr>
        <w:spacing w:after="0" w:line="214" w:lineRule="exact"/>
        <w:rPr>
          <w:sz w:val="20"/>
          <w:szCs w:val="20"/>
          <w:color w:val="auto"/>
        </w:rPr>
      </w:pPr>
    </w:p>
    <w:p>
      <w:pPr>
        <w:ind w:left="2100" w:hanging="442"/>
        <w:spacing w:after="0"/>
        <w:tabs>
          <w:tab w:leader="none" w:pos="2100"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General Limitations</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left="120" w:right="20" w:firstLine="1979"/>
        <w:spacing w:after="0" w:line="243" w:lineRule="auto"/>
        <w:tabs>
          <w:tab w:leader="none" w:pos="2491" w:val="left"/>
        </w:tabs>
        <w:numPr>
          <w:ilvl w:val="1"/>
          <w:numId w:val="90"/>
        </w:numPr>
        <w:rPr>
          <w:rFonts w:ascii="Arial" w:cs="Arial" w:eastAsia="Arial" w:hAnsi="Arial"/>
          <w:sz w:val="19"/>
          <w:szCs w:val="19"/>
          <w:color w:val="auto"/>
        </w:rPr>
      </w:pPr>
      <w:r>
        <w:rPr>
          <w:rFonts w:ascii="Arial" w:cs="Arial" w:eastAsia="Arial" w:hAnsi="Arial"/>
          <w:sz w:val="19"/>
          <w:szCs w:val="19"/>
          <w:color w:val="auto"/>
        </w:rPr>
        <w:t>The aggregate number of shares of Common Stock that may be issued or used for reference purposes or with respect to which Awards may be granted over the term of the Plan shall equal the sum of (i) 370,000 shares of Common Stock, plus (ii) the number of shares remaining available for issuance under the 2014 Plan as of the Effective Date, plus (iii) any shares subject to awards granted under the 2014 Plan that are outstanding as of the Effective Date but that expire, terminate, or are cancelled for any reason without being exercised in full (other than shares withheld as a result of net exercise or settlement or shares used to pay any exercise price or tax withholding obligation).</w:t>
      </w:r>
    </w:p>
    <w:p>
      <w:pPr>
        <w:spacing w:after="0" w:line="184" w:lineRule="exact"/>
        <w:rPr>
          <w:rFonts w:ascii="Arial" w:cs="Arial" w:eastAsia="Arial" w:hAnsi="Arial"/>
          <w:sz w:val="19"/>
          <w:szCs w:val="19"/>
          <w:color w:val="auto"/>
        </w:rPr>
      </w:pPr>
    </w:p>
    <w:p>
      <w:pPr>
        <w:jc w:val="both"/>
        <w:ind w:left="120" w:right="20" w:firstLine="1979"/>
        <w:spacing w:after="0" w:line="248" w:lineRule="auto"/>
        <w:tabs>
          <w:tab w:leader="none" w:pos="2655" w:val="left"/>
        </w:tabs>
        <w:numPr>
          <w:ilvl w:val="1"/>
          <w:numId w:val="90"/>
        </w:numPr>
        <w:rPr>
          <w:rFonts w:ascii="Arial" w:cs="Arial" w:eastAsia="Arial" w:hAnsi="Arial"/>
          <w:sz w:val="19"/>
          <w:szCs w:val="19"/>
          <w:color w:val="auto"/>
        </w:rPr>
      </w:pPr>
      <w:r>
        <w:rPr>
          <w:rFonts w:ascii="Arial" w:cs="Arial" w:eastAsia="Arial" w:hAnsi="Arial"/>
          <w:sz w:val="19"/>
          <w:szCs w:val="19"/>
          <w:color w:val="auto"/>
        </w:rPr>
        <w:t>If any Appreciation Award expires, terminates or is canceled for any reason without having been exercised in full, the number of shares of Common Stock underlying any unexercised portion shall again be available under the Plan. If shares of Restricted Stock or Other Stock-Based Awards, that are not Appreciation Awards are forfeited for any reason, the number of forfeited shares comprising or underlying the Award shall again be available under the Plan.</w:t>
      </w:r>
    </w:p>
    <w:p>
      <w:pPr>
        <w:spacing w:after="0" w:line="176" w:lineRule="exact"/>
        <w:rPr>
          <w:rFonts w:ascii="Arial" w:cs="Arial" w:eastAsia="Arial" w:hAnsi="Arial"/>
          <w:sz w:val="19"/>
          <w:szCs w:val="19"/>
          <w:color w:val="auto"/>
        </w:rPr>
      </w:pPr>
    </w:p>
    <w:p>
      <w:pPr>
        <w:jc w:val="both"/>
        <w:ind w:left="120" w:right="20" w:firstLine="1979"/>
        <w:spacing w:after="0" w:line="242" w:lineRule="auto"/>
        <w:tabs>
          <w:tab w:leader="none" w:pos="2764" w:val="left"/>
        </w:tabs>
        <w:numPr>
          <w:ilvl w:val="1"/>
          <w:numId w:val="90"/>
        </w:numPr>
        <w:rPr>
          <w:rFonts w:ascii="Arial" w:cs="Arial" w:eastAsia="Arial" w:hAnsi="Arial"/>
          <w:sz w:val="19"/>
          <w:szCs w:val="19"/>
          <w:color w:val="auto"/>
        </w:rPr>
      </w:pPr>
      <w:r>
        <w:rPr>
          <w:rFonts w:ascii="Arial" w:cs="Arial" w:eastAsia="Arial" w:hAnsi="Arial"/>
          <w:sz w:val="19"/>
          <w:szCs w:val="19"/>
          <w:color w:val="auto"/>
        </w:rPr>
        <w:t>The number of shares available under the Plan shall be reduced by (A) the total number of Appreciation Awards that have been exercised, regardless of whether any shares of Common Stock underlying such Awards are not actually issued to the Participant as the result of a net exercise or settlement, and (B) all shares of Common Stock used to pay any exercise price or tax withholding obligation with respect to any Award. In addition, the Company may not use the cash proceeds it receives from Stock Option exercises to repurchase shares of Common Stock on the open market for reuse under the Plan. Notwithstanding anything to the contrary herein, Awards that may be settled solely in cash shall not be deemed to use any shares under the Plan.</w:t>
      </w:r>
    </w:p>
    <w:p>
      <w:pPr>
        <w:spacing w:after="0" w:line="185" w:lineRule="exact"/>
        <w:rPr>
          <w:rFonts w:ascii="Arial" w:cs="Arial" w:eastAsia="Arial" w:hAnsi="Arial"/>
          <w:sz w:val="19"/>
          <w:szCs w:val="19"/>
          <w:color w:val="auto"/>
        </w:rPr>
      </w:pPr>
    </w:p>
    <w:p>
      <w:pPr>
        <w:ind w:left="120" w:right="20" w:firstLine="1979"/>
        <w:spacing w:after="0" w:line="270" w:lineRule="auto"/>
        <w:tabs>
          <w:tab w:leader="none" w:pos="2659" w:val="left"/>
        </w:tabs>
        <w:numPr>
          <w:ilvl w:val="1"/>
          <w:numId w:val="90"/>
        </w:numPr>
        <w:rPr>
          <w:rFonts w:ascii="Arial" w:cs="Arial" w:eastAsia="Arial" w:hAnsi="Arial"/>
          <w:sz w:val="19"/>
          <w:szCs w:val="19"/>
          <w:color w:val="auto"/>
        </w:rPr>
      </w:pPr>
      <w:r>
        <w:rPr>
          <w:rFonts w:ascii="Arial" w:cs="Arial" w:eastAsia="Arial" w:hAnsi="Arial"/>
          <w:sz w:val="19"/>
          <w:szCs w:val="19"/>
          <w:color w:val="auto"/>
        </w:rPr>
        <w:t>Shares issued under the Plan may be either authorized and unissued Common Stock or Common Stock held in or acquired for the treasury of the Company, or both.</w:t>
      </w:r>
    </w:p>
    <w:p>
      <w:pPr>
        <w:spacing w:after="0" w:line="156" w:lineRule="exact"/>
        <w:rPr>
          <w:rFonts w:ascii="Arial" w:cs="Arial" w:eastAsia="Arial" w:hAnsi="Arial"/>
          <w:sz w:val="19"/>
          <w:szCs w:val="19"/>
          <w:color w:val="auto"/>
        </w:rPr>
      </w:pPr>
    </w:p>
    <w:p>
      <w:pPr>
        <w:jc w:val="both"/>
        <w:ind w:left="120" w:right="20" w:firstLine="1538"/>
        <w:spacing w:after="0" w:line="241" w:lineRule="auto"/>
        <w:tabs>
          <w:tab w:leader="none" w:pos="2144"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Individual Participant Limitations</w:t>
      </w:r>
      <w:r>
        <w:rPr>
          <w:rFonts w:ascii="Arial" w:cs="Arial" w:eastAsia="Arial" w:hAnsi="Arial"/>
          <w:sz w:val="19"/>
          <w:szCs w:val="19"/>
          <w:color w:val="auto"/>
        </w:rPr>
        <w:t>. Except as otherwise provided herein, the maximum number of shares of Common Stock that may be made subject to Stock Options, Restricted Stock or Other Stock-Based Awards denominated in shares of Common Stock granted to each Eligible Employee or Consultant during any fiscal year of the Company is 500,000 shares per type of Award (subject to increase or decrease pursuant to Section 4.2); provided that the maximum number of shares of Common Stock for all types of Awards during any fiscal year of the Company that may be granted to each Eligible Employee or Consultant is 500,000 shares (subject to increase or decrease pursuant to Section 4.2); provided further, that the maximum number of shares of Common Stock for all types of Awards during any fiscal year that may be granted to any Non-Employee Director shall be a number of shares of Common Stock for which the grant date fair value, when aggregated with cash compensation for service as a Non-Employee Director of the Company during such period, does not exceed $400,000.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351155" cy="18859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51155" cy="188595"/>
                    </a:xfrm>
                    <a:prstGeom prst="rect">
                      <a:avLst/>
                    </a:prstGeom>
                    <a:noFill/>
                  </pic:spPr>
                </pic:pic>
              </a:graphicData>
            </a:graphic>
          </wp:anchor>
        </w:drawing>
      </w:r>
    </w:p>
    <w:p>
      <w:pPr>
        <w:spacing w:after="0" w:line="165" w:lineRule="exact"/>
        <w:rPr>
          <w:sz w:val="20"/>
          <w:szCs w:val="20"/>
          <w:color w:val="auto"/>
        </w:rPr>
      </w:pPr>
    </w:p>
    <w:p>
      <w:pPr>
        <w:ind w:left="220"/>
        <w:spacing w:after="0"/>
        <w:tabs>
          <w:tab w:leader="none" w:pos="780" w:val="left"/>
          <w:tab w:leader="none" w:pos="9000" w:val="left"/>
        </w:tabs>
        <w:rPr>
          <w:sz w:val="20"/>
          <w:szCs w:val="20"/>
          <w:color w:val="auto"/>
        </w:rPr>
      </w:pPr>
      <w:r>
        <w:rPr>
          <w:rFonts w:ascii="Arial" w:cs="Arial" w:eastAsia="Arial" w:hAnsi="Arial"/>
          <w:sz w:val="16"/>
          <w:szCs w:val="16"/>
          <w:color w:val="FFFFFF"/>
        </w:rPr>
        <w:t>A-14</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2023 Omnibus Incentive Plan</w:t>
      </w:r>
    </w:p>
    <w:p>
      <w:pPr>
        <w:sectPr>
          <w:pgSz w:w="11900" w:h="16838" w:orient="portrait"/>
          <w:cols w:equalWidth="0" w:num="1">
            <w:col w:w="11140"/>
          </w:cols>
          <w:pgMar w:left="320" w:top="482"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100"/>
        <w:spacing w:after="0"/>
        <w:tabs>
          <w:tab w:leader="none" w:pos="1560" w:val="left"/>
        </w:tabs>
        <w:rPr>
          <w:sz w:val="20"/>
          <w:szCs w:val="20"/>
          <w:color w:val="auto"/>
        </w:rPr>
      </w:pPr>
      <w:r>
        <w:rPr>
          <w:rFonts w:ascii="Arial" w:cs="Arial" w:eastAsia="Arial" w:hAnsi="Arial"/>
          <w:sz w:val="19"/>
          <w:szCs w:val="19"/>
          <w:b w:val="1"/>
          <w:bCs w:val="1"/>
          <w:color w:val="auto"/>
        </w:rPr>
        <w:t>4.2</w:t>
      </w:r>
      <w:r>
        <w:rPr>
          <w:sz w:val="20"/>
          <w:szCs w:val="20"/>
          <w:color w:val="auto"/>
        </w:rPr>
        <w:tab/>
      </w:r>
      <w:r>
        <w:rPr>
          <w:rFonts w:ascii="Arial" w:cs="Arial" w:eastAsia="Arial" w:hAnsi="Arial"/>
          <w:sz w:val="19"/>
          <w:szCs w:val="19"/>
          <w:b w:val="1"/>
          <w:bCs w:val="1"/>
          <w:u w:val="single" w:color="auto"/>
          <w:color w:val="auto"/>
        </w:rPr>
        <w:t>Changes</w:t>
      </w:r>
      <w:r>
        <w:rPr>
          <w:rFonts w:ascii="Arial" w:cs="Arial" w:eastAsia="Arial" w:hAnsi="Arial"/>
          <w:sz w:val="19"/>
          <w:szCs w:val="19"/>
          <w:color w:val="auto"/>
        </w:rPr>
        <w:t>.</w:t>
      </w:r>
    </w:p>
    <w:p>
      <w:pPr>
        <w:spacing w:after="0" w:line="214" w:lineRule="exact"/>
        <w:rPr>
          <w:sz w:val="20"/>
          <w:szCs w:val="20"/>
          <w:color w:val="auto"/>
        </w:rPr>
      </w:pPr>
    </w:p>
    <w:p>
      <w:pPr>
        <w:jc w:val="both"/>
        <w:ind w:left="120" w:firstLine="1538"/>
        <w:spacing w:after="0" w:line="243" w:lineRule="auto"/>
        <w:tabs>
          <w:tab w:leader="none" w:pos="2127" w:val="left"/>
        </w:tabs>
        <w:numPr>
          <w:ilvl w:val="1"/>
          <w:numId w:val="91"/>
        </w:numPr>
        <w:rPr>
          <w:rFonts w:ascii="Arial" w:cs="Arial" w:eastAsia="Arial" w:hAnsi="Arial"/>
          <w:sz w:val="19"/>
          <w:szCs w:val="19"/>
          <w:color w:val="auto"/>
        </w:rPr>
      </w:pPr>
      <w:r>
        <w:rPr>
          <w:rFonts w:ascii="Arial" w:cs="Arial" w:eastAsia="Arial" w:hAnsi="Arial"/>
          <w:sz w:val="19"/>
          <w:szCs w:val="19"/>
          <w:color w:val="auto"/>
        </w:rPr>
        <w:t>The existence of the Plan and the Awards shall not affect in any way the right or power of the Board or the stockholders of the Company to make or authorize (i) any adjustment, recapitalization, reorganization or other change in the Company’s capital structure or its business, (ii) any merger or consolidation of the Company or any Affiliate, (iii) any issuance of bonds, debentures, preferred or prior preference stock ahead of or affecting the Common Stock, (iv) the dissolution or liquidation of the Company or any Affiliate, (v) any sale or transfer of all or part of the assets or business of the Company or any Affiliate, (vi) any Section 4.2 Event or (vii) any other corporate act or proceeding.</w:t>
      </w:r>
    </w:p>
    <w:p>
      <w:pPr>
        <w:spacing w:after="0" w:line="184" w:lineRule="exact"/>
        <w:rPr>
          <w:rFonts w:ascii="Arial" w:cs="Arial" w:eastAsia="Arial" w:hAnsi="Arial"/>
          <w:sz w:val="19"/>
          <w:szCs w:val="19"/>
          <w:color w:val="auto"/>
        </w:rPr>
      </w:pPr>
    </w:p>
    <w:p>
      <w:pPr>
        <w:jc w:val="both"/>
        <w:ind w:left="120" w:firstLine="1538"/>
        <w:spacing w:after="0" w:line="238" w:lineRule="auto"/>
        <w:tabs>
          <w:tab w:leader="none" w:pos="2117" w:val="left"/>
        </w:tabs>
        <w:numPr>
          <w:ilvl w:val="1"/>
          <w:numId w:val="91"/>
        </w:numPr>
        <w:rPr>
          <w:rFonts w:ascii="Arial" w:cs="Arial" w:eastAsia="Arial" w:hAnsi="Arial"/>
          <w:sz w:val="19"/>
          <w:szCs w:val="19"/>
          <w:color w:val="auto"/>
        </w:rPr>
      </w:pPr>
      <w:r>
        <w:rPr>
          <w:rFonts w:ascii="Arial" w:cs="Arial" w:eastAsia="Arial" w:hAnsi="Arial"/>
          <w:sz w:val="19"/>
          <w:szCs w:val="19"/>
          <w:color w:val="auto"/>
        </w:rPr>
        <w:t>Subject to the provisions of Section 4.2(d), in the event of any change in the capital structure or business of the Company by reason of any stock split, reverse stock split, stock dividend, combination or reclassification of shares, recapitalization, merger, consolidation, spin off, split off, reorganization or partial or complete liquidation, issuance of rights or warrants to purchase Common Stock or securities convertible into Common Stock, sale or transfer of all or part of the Company’s assets or business, or other corporate transaction or event that would be considered an “equity restructuring” within the meaning of FASB ASC Topic 718 (each, a “</w:t>
      </w:r>
      <w:r>
        <w:rPr>
          <w:rFonts w:ascii="Arial" w:cs="Arial" w:eastAsia="Arial" w:hAnsi="Arial"/>
          <w:sz w:val="19"/>
          <w:szCs w:val="19"/>
          <w:b w:val="1"/>
          <w:bCs w:val="1"/>
          <w:u w:val="single" w:color="auto"/>
          <w:color w:val="auto"/>
        </w:rPr>
        <w:t>Section 4.2 Event</w:t>
      </w:r>
      <w:r>
        <w:rPr>
          <w:rFonts w:ascii="Arial" w:cs="Arial" w:eastAsia="Arial" w:hAnsi="Arial"/>
          <w:sz w:val="19"/>
          <w:szCs w:val="19"/>
          <w:color w:val="auto"/>
        </w:rPr>
        <w:t>”), then (i) the aggregate number or kind of shares that thereafter may be issued under the Plan, (ii) the number or kind of shares or other property (including cash) subject to an Award, (iii) the purchase or exercise price of Awards, or (iv) the individual Participant limits set forth in Section 4.1(b) (other than cash limitations) shall be adjusted by the Committee as the Committee determines, in good faith, to be necessary or advisable to prevent substantial dilution or enlargement of the rights of Participants under the Plan. In connection with any Section 4.2 Event, the Committee may provide for the cancellation of outstanding Awards and payment in cash or other property in exchange therefor. In addition, subject to Section 4.2(d), in the event of any change in the capital structure of the Company that is not a Section 4.2 Event (an “</w:t>
      </w:r>
      <w:r>
        <w:rPr>
          <w:rFonts w:ascii="Arial" w:cs="Arial" w:eastAsia="Arial" w:hAnsi="Arial"/>
          <w:sz w:val="19"/>
          <w:szCs w:val="19"/>
          <w:b w:val="1"/>
          <w:bCs w:val="1"/>
          <w:u w:val="single" w:color="auto"/>
          <w:color w:val="auto"/>
        </w:rPr>
        <w:t>Other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Extraordinary Event</w:t>
      </w:r>
      <w:r>
        <w:rPr>
          <w:rFonts w:ascii="Arial" w:cs="Arial" w:eastAsia="Arial" w:hAnsi="Arial"/>
          <w:sz w:val="19"/>
          <w:szCs w:val="19"/>
          <w:color w:val="auto"/>
        </w:rPr>
        <w:t>”), then the Committee may make the adjustments described in clauses (i) through (iv) above as it determines,</w:t>
      </w:r>
      <w:r>
        <w:rPr>
          <w:rFonts w:ascii="Arial" w:cs="Arial" w:eastAsia="Arial" w:hAnsi="Arial"/>
          <w:sz w:val="19"/>
          <w:szCs w:val="19"/>
          <w:b w:val="1"/>
          <w:bCs w:val="1"/>
          <w:color w:val="auto"/>
        </w:rPr>
        <w:t xml:space="preserve"> </w:t>
      </w:r>
      <w:r>
        <w:rPr>
          <w:rFonts w:ascii="Arial" w:cs="Arial" w:eastAsia="Arial" w:hAnsi="Arial"/>
          <w:sz w:val="19"/>
          <w:szCs w:val="19"/>
          <w:color w:val="auto"/>
        </w:rPr>
        <w:t>in good faith, to be necessary or advisable to prevent substantial dilution or enlargement of the rights of Participants under the Plan. Notice of any such adjustment shall be given by the Committee to each Participant whose Award has been adjusted and such adjustment (whether or not such notice is given) shall be binding for all purposes of the Plan. Except as expressly provided in this Section 4.2(b) or in the applicable Award agreement, a Participant shall have no rights by reason of any Section 4.2 Event or any Other Extraordinary Event. Notwithstanding the foregoing, (x) any adjustments made pursuant to Section 4.2(b) to Awards that are considered “non-qualified deferred compensation” within the meaning of Section 409A shall be made in a manner intended to comply with the requirements of Section 409A; and (y) any adjustments made pursuant to Section 4.2(b) to Awards that are not considered “non-qualified deferred compensation” subject to Section 409A shall be made in a manner intended to ensure that after such adjustment, the Awards either (A) continue not to be subject to Section 409A or (B) comply with the requirements of Section 409A.</w:t>
      </w:r>
    </w:p>
    <w:p>
      <w:pPr>
        <w:spacing w:after="0" w:line="200" w:lineRule="exact"/>
        <w:rPr>
          <w:rFonts w:ascii="Arial" w:cs="Arial" w:eastAsia="Arial" w:hAnsi="Arial"/>
          <w:sz w:val="19"/>
          <w:szCs w:val="19"/>
          <w:color w:val="auto"/>
        </w:rPr>
      </w:pPr>
    </w:p>
    <w:p>
      <w:pPr>
        <w:ind w:left="2120" w:hanging="462"/>
        <w:spacing w:after="0"/>
        <w:tabs>
          <w:tab w:leader="none" w:pos="2120" w:val="left"/>
        </w:tabs>
        <w:numPr>
          <w:ilvl w:val="1"/>
          <w:numId w:val="91"/>
        </w:numPr>
        <w:rPr>
          <w:rFonts w:ascii="Arial" w:cs="Arial" w:eastAsia="Arial" w:hAnsi="Arial"/>
          <w:sz w:val="19"/>
          <w:szCs w:val="19"/>
          <w:color w:val="auto"/>
        </w:rPr>
      </w:pPr>
      <w:r>
        <w:rPr>
          <w:rFonts w:ascii="Arial" w:cs="Arial" w:eastAsia="Arial" w:hAnsi="Arial"/>
          <w:sz w:val="19"/>
          <w:szCs w:val="19"/>
          <w:color w:val="auto"/>
        </w:rPr>
        <w:t>Fractional shares of Common Stock resulting from any adjustment in Awards pursuant to Section 4.2(a) or</w:t>
      </w:r>
    </w:p>
    <w:p>
      <w:pPr>
        <w:spacing w:after="0" w:line="15" w:lineRule="exact"/>
        <w:rPr>
          <w:rFonts w:ascii="Arial" w:cs="Arial" w:eastAsia="Arial" w:hAnsi="Arial"/>
          <w:sz w:val="19"/>
          <w:szCs w:val="19"/>
          <w:color w:val="auto"/>
        </w:rPr>
      </w:pPr>
    </w:p>
    <w:p>
      <w:pPr>
        <w:jc w:val="both"/>
        <w:ind w:left="120" w:hanging="4"/>
        <w:spacing w:after="0" w:line="244" w:lineRule="auto"/>
        <w:tabs>
          <w:tab w:leader="none" w:pos="449" w:val="left"/>
        </w:tabs>
        <w:numPr>
          <w:ilvl w:val="0"/>
          <w:numId w:val="92"/>
        </w:numPr>
        <w:rPr>
          <w:rFonts w:ascii="Arial" w:cs="Arial" w:eastAsia="Arial" w:hAnsi="Arial"/>
          <w:sz w:val="19"/>
          <w:szCs w:val="19"/>
          <w:color w:val="auto"/>
        </w:rPr>
      </w:pPr>
      <w:r>
        <w:rPr>
          <w:rFonts w:ascii="Arial" w:cs="Arial" w:eastAsia="Arial" w:hAnsi="Arial"/>
          <w:sz w:val="19"/>
          <w:szCs w:val="19"/>
          <w:color w:val="auto"/>
        </w:rPr>
        <w:t>shall be aggregated until, and eliminated at, the time of exercise by rounding-down for fractions less than one-half and rounding-up for fractions equal to or greater than one-half. No cash settlements shall be made with respect to fractional shares eliminated by rounding.</w:t>
      </w:r>
    </w:p>
    <w:p>
      <w:pPr>
        <w:spacing w:after="0" w:line="179" w:lineRule="exact"/>
        <w:rPr>
          <w:rFonts w:ascii="Arial" w:cs="Arial" w:eastAsia="Arial" w:hAnsi="Arial"/>
          <w:sz w:val="19"/>
          <w:szCs w:val="19"/>
          <w:color w:val="auto"/>
        </w:rPr>
      </w:pPr>
    </w:p>
    <w:p>
      <w:pPr>
        <w:jc w:val="both"/>
        <w:ind w:left="120" w:right="20" w:firstLine="1538"/>
        <w:spacing w:after="0" w:line="245" w:lineRule="auto"/>
        <w:tabs>
          <w:tab w:leader="none" w:pos="2103" w:val="left"/>
        </w:tabs>
        <w:numPr>
          <w:ilvl w:val="1"/>
          <w:numId w:val="92"/>
        </w:numPr>
        <w:rPr>
          <w:rFonts w:ascii="Arial" w:cs="Arial" w:eastAsia="Arial" w:hAnsi="Arial"/>
          <w:sz w:val="19"/>
          <w:szCs w:val="19"/>
          <w:color w:val="auto"/>
        </w:rPr>
      </w:pPr>
      <w:r>
        <w:rPr>
          <w:rFonts w:ascii="Arial" w:cs="Arial" w:eastAsia="Arial" w:hAnsi="Arial"/>
          <w:sz w:val="19"/>
          <w:szCs w:val="19"/>
          <w:color w:val="auto"/>
        </w:rPr>
        <w:t>Upon the occurrence of an Acquisition Event, the Committee may terminate all outstanding and unexercised Stock Options or any Other Stock-Based Award that provides for a Participant-elected exercise (collectively, “</w:t>
      </w:r>
      <w:r>
        <w:rPr>
          <w:rFonts w:ascii="Arial" w:cs="Arial" w:eastAsia="Arial" w:hAnsi="Arial"/>
          <w:sz w:val="19"/>
          <w:szCs w:val="19"/>
          <w:b w:val="1"/>
          <w:bCs w:val="1"/>
          <w:u w:val="single" w:color="auto"/>
          <w:color w:val="auto"/>
        </w:rPr>
        <w:t>Exercisable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Awards</w:t>
      </w:r>
      <w:r>
        <w:rPr>
          <w:rFonts w:ascii="Arial" w:cs="Arial" w:eastAsia="Arial" w:hAnsi="Arial"/>
          <w:sz w:val="19"/>
          <w:szCs w:val="19"/>
          <w:color w:val="auto"/>
        </w:rPr>
        <w:t>”), effective as of the date of the Acquisition Event, by delivering notice of termination to each Participant at least 20 days</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the date of consummation of the Acquisition Event, in which case during the period from the date on which such notice of termination is delivered to the consummation of the Acquisition Event, each such Participant shall have the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80645</wp:posOffset>
            </wp:positionV>
            <wp:extent cx="360045" cy="18859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60045" cy="188595"/>
                    </a:xfrm>
                    <a:prstGeom prst="rect">
                      <a:avLst/>
                    </a:prstGeom>
                    <a:noFill/>
                  </pic:spPr>
                </pic:pic>
              </a:graphicData>
            </a:graphic>
          </wp:anchor>
        </w:drawing>
      </w:r>
    </w:p>
    <w:p>
      <w:pPr>
        <w:spacing w:after="0" w:line="160" w:lineRule="exact"/>
        <w:rPr>
          <w:sz w:val="20"/>
          <w:szCs w:val="20"/>
          <w:color w:val="auto"/>
        </w:rPr>
      </w:pPr>
    </w:p>
    <w:p>
      <w:pPr>
        <w:ind w:left="120"/>
        <w:spacing w:after="0"/>
        <w:tabs>
          <w:tab w:leader="none" w:pos="8840" w:val="left"/>
          <w:tab w:leader="none" w:pos="10660" w:val="left"/>
        </w:tabs>
        <w:rPr>
          <w:sz w:val="20"/>
          <w:szCs w:val="20"/>
          <w:color w:val="auto"/>
        </w:rPr>
      </w:pPr>
      <w:r>
        <w:rPr>
          <w:rFonts w:ascii="Arial" w:cs="Arial" w:eastAsia="Arial" w:hAnsi="Arial"/>
          <w:sz w:val="16"/>
          <w:szCs w:val="16"/>
          <w:color w:val="002060"/>
        </w:rPr>
        <w:t>2023 Omnibus Incentive Plan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A-15</w:t>
      </w:r>
    </w:p>
    <w:p>
      <w:pPr>
        <w:sectPr>
          <w:pgSz w:w="11900" w:h="16838" w:orient="portrait"/>
          <w:cols w:equalWidth="0" w:num="1">
            <w:col w:w="11140"/>
          </w:cols>
          <w:pgMar w:left="320" w:top="482"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41" w:lineRule="auto"/>
        <w:rPr>
          <w:sz w:val="20"/>
          <w:szCs w:val="20"/>
          <w:color w:val="auto"/>
        </w:rPr>
      </w:pPr>
      <w:r>
        <w:rPr>
          <w:rFonts w:ascii="Arial" w:cs="Arial" w:eastAsia="Arial" w:hAnsi="Arial"/>
          <w:sz w:val="19"/>
          <w:szCs w:val="19"/>
          <w:color w:val="auto"/>
        </w:rPr>
        <w:t>exercise in full all of such Exercisable Awards that are then outstanding to the extent vested on the date such notice of termination is given (or, at the discretion of the Committee, without regard to any limitations on exercisability otherwise contained in the Award agreements), but any such exercise shall be contingent on the occurrence of the Acquisition Event, and, provided that, if the Acquisition Event does not take place within a specified period after giving such notice for any reason whatsoever, the notice and exercise pursuant thereto shall be null and void and the applicable provisions of Section 4.2(b) and Article XI shall apply. For the avoidance of doubt, in the event of an Acquisition Event, the Committee may terminate any Exercisable Award for which the exercise price is equal to or exceeds the Fair Market Value on the date of the Acquisition Event without payment of consideration therefor. If an Acquisition Event occurs but the Committee does not terminate the outstanding Awards pursuant to this Section 4.2(d), then the provisions of Section 4.2(b) and Article XI shall apply.</w:t>
      </w:r>
    </w:p>
    <w:p>
      <w:pPr>
        <w:spacing w:after="0" w:line="185" w:lineRule="exact"/>
        <w:rPr>
          <w:sz w:val="20"/>
          <w:szCs w:val="20"/>
          <w:color w:val="auto"/>
        </w:rPr>
      </w:pPr>
    </w:p>
    <w:p>
      <w:pPr>
        <w:jc w:val="both"/>
        <w:ind w:left="120" w:firstLine="991"/>
        <w:spacing w:after="0" w:line="254"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b w:val="1"/>
          <w:bCs w:val="1"/>
          <w:u w:val="single" w:color="auto"/>
          <w:color w:val="auto"/>
        </w:rPr>
        <w:t>Minimum Purchase Price</w:t>
      </w:r>
      <w:r>
        <w:rPr>
          <w:rFonts w:ascii="Arial" w:cs="Arial" w:eastAsia="Arial" w:hAnsi="Arial"/>
          <w:sz w:val="19"/>
          <w:szCs w:val="19"/>
          <w:color w:val="auto"/>
        </w:rPr>
        <w:t>. Notwithstanding any provision of the Plan to the contrary, if authorized but previously</w:t>
      </w:r>
      <w:r>
        <w:rPr>
          <w:rFonts w:ascii="Arial" w:cs="Arial" w:eastAsia="Arial" w:hAnsi="Arial"/>
          <w:sz w:val="19"/>
          <w:szCs w:val="19"/>
          <w:b w:val="1"/>
          <w:bCs w:val="1"/>
          <w:color w:val="auto"/>
        </w:rPr>
        <w:t xml:space="preserve"> </w:t>
      </w:r>
      <w:r>
        <w:rPr>
          <w:rFonts w:ascii="Arial" w:cs="Arial" w:eastAsia="Arial" w:hAnsi="Arial"/>
          <w:sz w:val="19"/>
          <w:szCs w:val="19"/>
          <w:color w:val="auto"/>
        </w:rPr>
        <w:t>unissued shares of Common Stock are issued under the Plan, such shares shall not be issued for a consideration that is less than permitted under applicable law.</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ARTICLE V</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ELIGIBILITY</w:t>
      </w:r>
    </w:p>
    <w:p>
      <w:pPr>
        <w:spacing w:after="0" w:line="214" w:lineRule="exact"/>
        <w:rPr>
          <w:sz w:val="20"/>
          <w:szCs w:val="20"/>
          <w:color w:val="auto"/>
        </w:rPr>
      </w:pPr>
    </w:p>
    <w:p>
      <w:pPr>
        <w:jc w:val="both"/>
        <w:ind w:left="120" w:firstLine="991"/>
        <w:spacing w:after="0" w:line="242"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b w:val="1"/>
          <w:bCs w:val="1"/>
          <w:u w:val="single" w:color="auto"/>
          <w:color w:val="auto"/>
        </w:rPr>
        <w:t>General Eligibility</w:t>
      </w:r>
      <w:r>
        <w:rPr>
          <w:rFonts w:ascii="Arial" w:cs="Arial" w:eastAsia="Arial" w:hAnsi="Arial"/>
          <w:sz w:val="19"/>
          <w:szCs w:val="19"/>
          <w:color w:val="auto"/>
        </w:rPr>
        <w:t>. All current and prospective Eligible Employees and Consultants, and current Non-Employee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are eligible to be granted Awards. Eligibility for the grant of Awards and actual participation in the Plan shall be determined by the Committee. Notwithstanding anything herein to the contrary, no Award under which a Participant may receive shares of Common Stock may be granted to an Eligible Employee, Consultant or Non-Employee Director of any Affiliate if such shares of Common Stock do not constitute “service recipient stock” for purposes of Section 409A of the Code with respect to such Eligible Employee, Consultant or Non-Employee Director if such shares are required to constitute “service recipient stock” for such Award to comply with, or be exempt from, Section 409A of the Code.</w:t>
      </w:r>
    </w:p>
    <w:p>
      <w:pPr>
        <w:spacing w:after="0" w:line="186" w:lineRule="exact"/>
        <w:rPr>
          <w:sz w:val="20"/>
          <w:szCs w:val="20"/>
          <w:color w:val="auto"/>
        </w:rPr>
      </w:pPr>
    </w:p>
    <w:p>
      <w:pPr>
        <w:jc w:val="both"/>
        <w:ind w:left="120" w:right="20" w:firstLine="991"/>
        <w:spacing w:after="0" w:line="254" w:lineRule="auto"/>
        <w:rPr>
          <w:sz w:val="20"/>
          <w:szCs w:val="20"/>
          <w:color w:val="auto"/>
        </w:rPr>
      </w:pPr>
      <w:r>
        <w:rPr>
          <w:rFonts w:ascii="Arial" w:cs="Arial" w:eastAsia="Arial" w:hAnsi="Arial"/>
          <w:sz w:val="19"/>
          <w:szCs w:val="19"/>
          <w:b w:val="1"/>
          <w:bCs w:val="1"/>
          <w:color w:val="auto"/>
        </w:rPr>
        <w:t xml:space="preserve">5.2 </w:t>
      </w:r>
      <w:r>
        <w:rPr>
          <w:rFonts w:ascii="Arial" w:cs="Arial" w:eastAsia="Arial" w:hAnsi="Arial"/>
          <w:sz w:val="19"/>
          <w:szCs w:val="19"/>
          <w:b w:val="1"/>
          <w:bCs w:val="1"/>
          <w:u w:val="single" w:color="auto"/>
          <w:color w:val="auto"/>
        </w:rPr>
        <w:t>Incentive Stock Options</w:t>
      </w:r>
      <w:r>
        <w:rPr>
          <w:rFonts w:ascii="Arial" w:cs="Arial" w:eastAsia="Arial" w:hAnsi="Arial"/>
          <w:sz w:val="19"/>
          <w:szCs w:val="19"/>
          <w:color w:val="auto"/>
        </w:rPr>
        <w:t>. Notwithstanding anything herein to the contrary, only Eligible Employees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its Subsidiaries and its Parent (if any) are eligible to be granted Incentive Stock Options under the Plan. Eligibility for the grant of an Incentive Stock Option and actual participation in the Plan shall be determined by the Committee.</w:t>
      </w:r>
    </w:p>
    <w:p>
      <w:pPr>
        <w:spacing w:after="0" w:line="170" w:lineRule="exact"/>
        <w:rPr>
          <w:sz w:val="20"/>
          <w:szCs w:val="20"/>
          <w:color w:val="auto"/>
        </w:rPr>
      </w:pPr>
    </w:p>
    <w:p>
      <w:pPr>
        <w:jc w:val="both"/>
        <w:ind w:left="120" w:firstLine="991"/>
        <w:spacing w:after="0" w:line="242" w:lineRule="auto"/>
        <w:rPr>
          <w:sz w:val="20"/>
          <w:szCs w:val="20"/>
          <w:color w:val="auto"/>
        </w:rPr>
      </w:pPr>
      <w:r>
        <w:rPr>
          <w:rFonts w:ascii="Arial" w:cs="Arial" w:eastAsia="Arial" w:hAnsi="Arial"/>
          <w:sz w:val="19"/>
          <w:szCs w:val="19"/>
          <w:b w:val="1"/>
          <w:bCs w:val="1"/>
          <w:color w:val="auto"/>
        </w:rPr>
        <w:t xml:space="preserve">5.3 </w:t>
      </w:r>
      <w:r>
        <w:rPr>
          <w:rFonts w:ascii="Arial" w:cs="Arial" w:eastAsia="Arial" w:hAnsi="Arial"/>
          <w:sz w:val="19"/>
          <w:szCs w:val="19"/>
          <w:b w:val="1"/>
          <w:bCs w:val="1"/>
          <w:u w:val="single" w:color="auto"/>
          <w:color w:val="auto"/>
        </w:rPr>
        <w:t>General Requirement</w:t>
      </w:r>
      <w:r>
        <w:rPr>
          <w:rFonts w:ascii="Arial" w:cs="Arial" w:eastAsia="Arial" w:hAnsi="Arial"/>
          <w:sz w:val="19"/>
          <w:szCs w:val="19"/>
          <w:color w:val="auto"/>
        </w:rPr>
        <w:t>. The grant of Awards to a prospective Eligible Employee or Consultant and the vesting and</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of such Awards shall be conditioned upon such Person actually becoming an Eligible Employee or Consultant; provided, however, that no Award may be granted to a prospective Eligible Employee or Consultant unless the Company determines that the Award will comply with applicable laws, including the securities laws of all relevant jurisdictions (and, in the case of an Award to an Eligible Employee or Consultant pursuant to which Common Stock would be issued prior to such Person performing services for the Company, the Company may require payment of not less than the par value of the Common Stock by cash or check in order to ensure proper issuance of the shares in compliance with applicable law). Awards may be awarded in consideration for past services actually rendered to the Company or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351155" cy="18859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51155" cy="188595"/>
                    </a:xfrm>
                    <a:prstGeom prst="rect">
                      <a:avLst/>
                    </a:prstGeom>
                    <a:noFill/>
                  </pic:spPr>
                </pic:pic>
              </a:graphicData>
            </a:graphic>
          </wp:anchor>
        </w:drawing>
      </w:r>
    </w:p>
    <w:p>
      <w:pPr>
        <w:spacing w:after="0" w:line="161" w:lineRule="exact"/>
        <w:rPr>
          <w:sz w:val="20"/>
          <w:szCs w:val="20"/>
          <w:color w:val="auto"/>
        </w:rPr>
      </w:pPr>
    </w:p>
    <w:p>
      <w:pPr>
        <w:ind w:left="220"/>
        <w:spacing w:after="0"/>
        <w:tabs>
          <w:tab w:leader="none" w:pos="780" w:val="left"/>
          <w:tab w:leader="none" w:pos="9000" w:val="left"/>
        </w:tabs>
        <w:rPr>
          <w:sz w:val="20"/>
          <w:szCs w:val="20"/>
          <w:color w:val="auto"/>
        </w:rPr>
      </w:pPr>
      <w:r>
        <w:rPr>
          <w:rFonts w:ascii="Arial" w:cs="Arial" w:eastAsia="Arial" w:hAnsi="Arial"/>
          <w:sz w:val="16"/>
          <w:szCs w:val="16"/>
          <w:color w:val="FFFFFF"/>
        </w:rPr>
        <w:t>A-16</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2023 Omnibus Incentive Plan</w:t>
      </w:r>
    </w:p>
    <w:p>
      <w:pPr>
        <w:sectPr>
          <w:pgSz w:w="11900" w:h="16838" w:orient="portrait"/>
          <w:cols w:equalWidth="0" w:num="1">
            <w:col w:w="11140"/>
          </w:cols>
          <w:pgMar w:left="320" w:top="482"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ARTICLE VI</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STOCK OPTIONS</w:t>
      </w:r>
    </w:p>
    <w:p>
      <w:pPr>
        <w:spacing w:after="0" w:line="214" w:lineRule="exact"/>
        <w:rPr>
          <w:sz w:val="20"/>
          <w:szCs w:val="20"/>
          <w:color w:val="auto"/>
        </w:rPr>
      </w:pPr>
    </w:p>
    <w:p>
      <w:pPr>
        <w:jc w:val="both"/>
        <w:ind w:left="120" w:right="20" w:firstLine="991"/>
        <w:spacing w:after="0" w:line="243" w:lineRule="auto"/>
        <w:rPr>
          <w:sz w:val="20"/>
          <w:szCs w:val="20"/>
          <w:color w:val="auto"/>
        </w:rPr>
      </w:pPr>
      <w:r>
        <w:rPr>
          <w:rFonts w:ascii="Arial" w:cs="Arial" w:eastAsia="Arial" w:hAnsi="Arial"/>
          <w:sz w:val="19"/>
          <w:szCs w:val="19"/>
          <w:b w:val="1"/>
          <w:bCs w:val="1"/>
          <w:color w:val="auto"/>
        </w:rPr>
        <w:t xml:space="preserve">6.1 </w:t>
      </w:r>
      <w:r>
        <w:rPr>
          <w:rFonts w:ascii="Arial" w:cs="Arial" w:eastAsia="Arial" w:hAnsi="Arial"/>
          <w:sz w:val="19"/>
          <w:szCs w:val="19"/>
          <w:b w:val="1"/>
          <w:bCs w:val="1"/>
          <w:u w:val="single" w:color="auto"/>
          <w:color w:val="auto"/>
        </w:rPr>
        <w:t>Stock Options</w:t>
      </w:r>
      <w:r>
        <w:rPr>
          <w:rFonts w:ascii="Arial" w:cs="Arial" w:eastAsia="Arial" w:hAnsi="Arial"/>
          <w:sz w:val="19"/>
          <w:szCs w:val="19"/>
          <w:color w:val="auto"/>
        </w:rPr>
        <w:t>. Each Stock Option shall be one of two types: (a) an Incentive Stock Option or (b) a Non-Qualified</w:t>
      </w:r>
      <w:r>
        <w:rPr>
          <w:rFonts w:ascii="Arial" w:cs="Arial" w:eastAsia="Arial" w:hAnsi="Arial"/>
          <w:sz w:val="19"/>
          <w:szCs w:val="19"/>
          <w:b w:val="1"/>
          <w:bCs w:val="1"/>
          <w:color w:val="auto"/>
        </w:rPr>
        <w:t xml:space="preserve"> </w:t>
      </w:r>
      <w:r>
        <w:rPr>
          <w:rFonts w:ascii="Arial" w:cs="Arial" w:eastAsia="Arial" w:hAnsi="Arial"/>
          <w:sz w:val="19"/>
          <w:szCs w:val="19"/>
          <w:color w:val="auto"/>
        </w:rPr>
        <w:t>Stock Option. The Committee shall have the authority to grant to any Eligible Employee Incentive Stock Options, Non-Qualified Stock Options, or both types of Stock Options. The Committee shall have the authority to grant any Consultant or Non-Employee Director Non-Qualified Stock Options. To the extent that any Stock Option does not qualify as an Incentive Stock Option (whether because of its provisions or the time or manner of its exercise or otherwise), such Stock Option or the portion thereof that does not qualify shall constitute a separate Non-Qualified Stock Option.</w:t>
      </w:r>
    </w:p>
    <w:p>
      <w:pPr>
        <w:spacing w:after="0" w:line="185" w:lineRule="exact"/>
        <w:rPr>
          <w:sz w:val="20"/>
          <w:szCs w:val="20"/>
          <w:color w:val="auto"/>
        </w:rPr>
      </w:pPr>
    </w:p>
    <w:p>
      <w:pPr>
        <w:jc w:val="both"/>
        <w:ind w:left="120" w:firstLine="991"/>
        <w:spacing w:after="0" w:line="248" w:lineRule="auto"/>
        <w:rPr>
          <w:sz w:val="20"/>
          <w:szCs w:val="20"/>
          <w:color w:val="auto"/>
        </w:rPr>
      </w:pPr>
      <w:r>
        <w:rPr>
          <w:rFonts w:ascii="Arial" w:cs="Arial" w:eastAsia="Arial" w:hAnsi="Arial"/>
          <w:sz w:val="19"/>
          <w:szCs w:val="19"/>
          <w:b w:val="1"/>
          <w:bCs w:val="1"/>
          <w:color w:val="auto"/>
        </w:rPr>
        <w:t xml:space="preserve">6.2 </w:t>
      </w:r>
      <w:r>
        <w:rPr>
          <w:rFonts w:ascii="Arial" w:cs="Arial" w:eastAsia="Arial" w:hAnsi="Arial"/>
          <w:sz w:val="19"/>
          <w:szCs w:val="19"/>
          <w:b w:val="1"/>
          <w:bCs w:val="1"/>
          <w:u w:val="single" w:color="auto"/>
          <w:color w:val="auto"/>
        </w:rPr>
        <w:t>Incentive Stock Options</w:t>
      </w:r>
      <w:r>
        <w:rPr>
          <w:rFonts w:ascii="Arial" w:cs="Arial" w:eastAsia="Arial" w:hAnsi="Arial"/>
          <w:sz w:val="19"/>
          <w:szCs w:val="19"/>
          <w:color w:val="auto"/>
        </w:rPr>
        <w:t>. Notwithstanding anything in the Plan to the contrary, no term of the Plan relating to</w:t>
      </w:r>
      <w:r>
        <w:rPr>
          <w:rFonts w:ascii="Arial" w:cs="Arial" w:eastAsia="Arial" w:hAnsi="Arial"/>
          <w:sz w:val="19"/>
          <w:szCs w:val="19"/>
          <w:b w:val="1"/>
          <w:bCs w:val="1"/>
          <w:color w:val="auto"/>
        </w:rPr>
        <w:t xml:space="preserve"> </w:t>
      </w:r>
      <w:r>
        <w:rPr>
          <w:rFonts w:ascii="Arial" w:cs="Arial" w:eastAsia="Arial" w:hAnsi="Arial"/>
          <w:sz w:val="19"/>
          <w:szCs w:val="19"/>
          <w:color w:val="auto"/>
        </w:rPr>
        <w:t>Incentive Stock Options shall be interpreted, amended or altered, nor shall any discretion or authority granted under the Plan be so exercised, so as to disqualify the Plan under Section 422 of the Code, or, without the consent of the Participants affected, to disqualify any Incentive Stock Option under Section 422 of the Code.</w:t>
      </w:r>
    </w:p>
    <w:p>
      <w:pPr>
        <w:spacing w:after="0" w:line="177" w:lineRule="exact"/>
        <w:rPr>
          <w:sz w:val="20"/>
          <w:szCs w:val="20"/>
          <w:color w:val="auto"/>
        </w:rPr>
      </w:pPr>
    </w:p>
    <w:p>
      <w:pPr>
        <w:jc w:val="both"/>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6.3 </w:t>
      </w:r>
      <w:r>
        <w:rPr>
          <w:rFonts w:ascii="Arial" w:cs="Arial" w:eastAsia="Arial" w:hAnsi="Arial"/>
          <w:sz w:val="19"/>
          <w:szCs w:val="19"/>
          <w:b w:val="1"/>
          <w:bCs w:val="1"/>
          <w:u w:val="single" w:color="auto"/>
          <w:color w:val="auto"/>
        </w:rPr>
        <w:t>Terms of Stock Options</w:t>
      </w:r>
      <w:r>
        <w:rPr>
          <w:rFonts w:ascii="Arial" w:cs="Arial" w:eastAsia="Arial" w:hAnsi="Arial"/>
          <w:sz w:val="19"/>
          <w:szCs w:val="19"/>
          <w:color w:val="auto"/>
        </w:rPr>
        <w:t>. Stock Options shall be subject to the following terms and conditions and such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terms and conditions, not inconsistent with the terms of the Plan, as the Committee shall deem desirable:</w:t>
      </w:r>
    </w:p>
    <w:p>
      <w:pPr>
        <w:spacing w:after="0" w:line="156" w:lineRule="exact"/>
        <w:rPr>
          <w:sz w:val="20"/>
          <w:szCs w:val="20"/>
          <w:color w:val="auto"/>
        </w:rPr>
      </w:pPr>
    </w:p>
    <w:p>
      <w:pPr>
        <w:jc w:val="both"/>
        <w:ind w:left="120" w:firstLine="1538"/>
        <w:spacing w:after="0" w:line="248" w:lineRule="auto"/>
        <w:tabs>
          <w:tab w:leader="none" w:pos="2279"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The exercise price per share of Common Stock subject to a Stock Option shall be determined by the Committee on or before the date of grant, provided that the per share exercise price of a Stock Option shall not be less than 100% (or, in the case of an Incentive Stock Option granted to a Ten Percent Stockholder, 110%) of the Fair Market Value on the date of grant.</w:t>
      </w:r>
    </w:p>
    <w:p>
      <w:pPr>
        <w:spacing w:after="0" w:line="176" w:lineRule="exact"/>
        <w:rPr>
          <w:rFonts w:ascii="Arial" w:cs="Arial" w:eastAsia="Arial" w:hAnsi="Arial"/>
          <w:sz w:val="19"/>
          <w:szCs w:val="19"/>
          <w:color w:val="auto"/>
        </w:rPr>
      </w:pPr>
    </w:p>
    <w:p>
      <w:pPr>
        <w:jc w:val="both"/>
        <w:ind w:left="120" w:firstLine="1538"/>
        <w:spacing w:after="0" w:line="254" w:lineRule="auto"/>
        <w:tabs>
          <w:tab w:leader="none" w:pos="2117"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Stock Option Term</w:t>
      </w:r>
      <w:r>
        <w:rPr>
          <w:rFonts w:ascii="Arial" w:cs="Arial" w:eastAsia="Arial" w:hAnsi="Arial"/>
          <w:sz w:val="19"/>
          <w:szCs w:val="19"/>
          <w:color w:val="auto"/>
        </w:rPr>
        <w:t>. The term of each Stock Option shall be fixed by the Committee, provided that no Stock Option shall be exercisable more than ten years after the date such Stock Option is granted (or, in the case of an Incentive Stock Option granted to a Ten Percent Stockholder, five years).</w:t>
      </w:r>
    </w:p>
    <w:p>
      <w:pPr>
        <w:spacing w:after="0" w:line="170" w:lineRule="exact"/>
        <w:rPr>
          <w:rFonts w:ascii="Arial" w:cs="Arial" w:eastAsia="Arial" w:hAnsi="Arial"/>
          <w:sz w:val="19"/>
          <w:szCs w:val="19"/>
          <w:color w:val="auto"/>
        </w:rPr>
      </w:pPr>
    </w:p>
    <w:p>
      <w:pPr>
        <w:ind w:left="2080" w:hanging="422"/>
        <w:spacing w:after="0"/>
        <w:tabs>
          <w:tab w:leader="none" w:pos="2080"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Exercisability</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left="120" w:right="20" w:firstLine="1979"/>
        <w:spacing w:after="0" w:line="242" w:lineRule="auto"/>
        <w:tabs>
          <w:tab w:leader="none" w:pos="2524"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Stock Options shall be exercisable at such time or times and subject to such terms and conditions as shall be determined by the Committee at grant. Notwithstanding any other provision of the Plan to the contrary, the vesting period applicable to Stock Options shall be no less than one year; provided, that the Committee shall be authorized (at the time of grant or thereafter) to provide for earlier vesting in the event of a Change in Control or a Participant’s retirement, death or Disability;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shares underlying Awards with respect to up to 5% of the total number of shares of Common Stock available under the Plan may be exempt from the foregoing limitations. Subject to the immediately preceding sentence, the Committee may waive any limitations on exercisability at any time at or after grant in whole or in part, in its discretion.</w:t>
      </w:r>
    </w:p>
    <w:p>
      <w:pPr>
        <w:spacing w:after="0" w:line="185" w:lineRule="exact"/>
        <w:rPr>
          <w:rFonts w:ascii="Arial" w:cs="Arial" w:eastAsia="Arial" w:hAnsi="Arial"/>
          <w:sz w:val="19"/>
          <w:szCs w:val="19"/>
          <w:color w:val="auto"/>
        </w:rPr>
      </w:pPr>
    </w:p>
    <w:p>
      <w:pPr>
        <w:jc w:val="both"/>
        <w:ind w:left="120" w:right="20" w:firstLine="1979"/>
        <w:spacing w:after="0" w:line="245" w:lineRule="auto"/>
        <w:tabs>
          <w:tab w:leader="none" w:pos="2528" w:val="left"/>
        </w:tabs>
        <w:numPr>
          <w:ilvl w:val="1"/>
          <w:numId w:val="93"/>
        </w:numPr>
        <w:rPr>
          <w:rFonts w:ascii="Arial" w:cs="Arial" w:eastAsia="Arial" w:hAnsi="Arial"/>
          <w:sz w:val="19"/>
          <w:szCs w:val="19"/>
          <w:color w:val="auto"/>
        </w:rPr>
      </w:pPr>
      <w:r>
        <w:rPr>
          <w:rFonts w:ascii="Arial" w:cs="Arial" w:eastAsia="Arial" w:hAnsi="Arial"/>
          <w:sz w:val="19"/>
          <w:szCs w:val="19"/>
          <w:color w:val="auto"/>
        </w:rPr>
        <w:t>Unless otherwise determined by the Committee at grant, the Option agreement shall provide that (A) in the event the Participant engages in Detrimental Activity prior to any exercise of the Stock Option, all Stock Options held by the Participant shall thereupon terminate and expire, (B) as a condition of the exercise of a Stock Option, the Participant shall be required to certify in a manner acceptable to the Company (or shall be deemed to have certified) that the Participant is in compliance with the terms and conditions of the Plan and that the Participant has not engaged in, and does not intend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80645</wp:posOffset>
            </wp:positionV>
            <wp:extent cx="360045" cy="1885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60045" cy="188595"/>
                    </a:xfrm>
                    <a:prstGeom prst="rect">
                      <a:avLst/>
                    </a:prstGeom>
                    <a:noFill/>
                  </pic:spPr>
                </pic:pic>
              </a:graphicData>
            </a:graphic>
          </wp:anchor>
        </w:drawing>
      </w:r>
    </w:p>
    <w:p>
      <w:pPr>
        <w:spacing w:after="0" w:line="160" w:lineRule="exact"/>
        <w:rPr>
          <w:sz w:val="20"/>
          <w:szCs w:val="20"/>
          <w:color w:val="auto"/>
        </w:rPr>
      </w:pPr>
    </w:p>
    <w:p>
      <w:pPr>
        <w:ind w:left="120"/>
        <w:spacing w:after="0"/>
        <w:tabs>
          <w:tab w:leader="none" w:pos="8840" w:val="left"/>
          <w:tab w:leader="none" w:pos="10660" w:val="left"/>
        </w:tabs>
        <w:rPr>
          <w:sz w:val="20"/>
          <w:szCs w:val="20"/>
          <w:color w:val="auto"/>
        </w:rPr>
      </w:pPr>
      <w:r>
        <w:rPr>
          <w:rFonts w:ascii="Arial" w:cs="Arial" w:eastAsia="Arial" w:hAnsi="Arial"/>
          <w:sz w:val="16"/>
          <w:szCs w:val="16"/>
          <w:color w:val="002060"/>
        </w:rPr>
        <w:t>2023 Omnibus Incentive Plan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A-17</w:t>
      </w:r>
    </w:p>
    <w:p>
      <w:pPr>
        <w:sectPr>
          <w:pgSz w:w="11900" w:h="16838" w:orient="portrait"/>
          <w:cols w:equalWidth="0" w:num="1">
            <w:col w:w="11140"/>
          </w:cols>
          <w:pgMar w:left="320" w:top="482"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9"/>
          <w:szCs w:val="19"/>
          <w:color w:val="auto"/>
        </w:rPr>
        <w:t>engage in, any Detrimental Activity, and (C) in the event the Participant engages in Detrimental Activity during the one-year period commencing on the earlier of the date the Stock Option is exercised or the date of the Participant’s Termination, the Company shall be entitled to recover from the Participant at any time within one year after such date, and the Participant shall pay over to the Company, an amount equal to any gain realized (whether at the time of exercise or thereafter) as a result of the exercise. Unless otherwise determined by the Committee at grant, this Section 6.3(c)(ii) shall cease to apply upon a Change in Control.</w:t>
      </w:r>
    </w:p>
    <w:p>
      <w:pPr>
        <w:spacing w:after="0" w:line="181" w:lineRule="exact"/>
        <w:rPr>
          <w:sz w:val="20"/>
          <w:szCs w:val="20"/>
          <w:color w:val="auto"/>
        </w:rPr>
      </w:pPr>
    </w:p>
    <w:p>
      <w:pPr>
        <w:jc w:val="both"/>
        <w:ind w:left="120" w:firstLine="1538"/>
        <w:spacing w:after="0"/>
        <w:tabs>
          <w:tab w:leader="none" w:pos="2130"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To the extent vested, a Stock Option may be exercised in whole or in part at any time during the Option term, by giving written notice of exercise to the Committee (or its designee) specifying the number of shares of Common Stock to be purchased. Such notice shall be in a form acceptable to the Committee and shall be accompanied by payment in full of the purchase price as follows: (i) in cash or by check, bank draft or money order payable to the order of the Company; (ii) solely to the extent permitted by applicable law and authorized by the Committee, if the Common Stock is traded on a national securities exchange or quoted on a national quotation system sponsored by the Financial Industry Regulatory Authority, through a procedure whereby the Participant delivers irrevocable instructions to a broker reasonably acceptable to the Committee to deliver promptly to the Company an amount equal to the purchase price; or (iii) on such other terms and conditions as may be acceptable to the Committee (including the relinquishment of Stock Options or by payment in full or in part in the form of Common Stock owned by the Participant (for which the Participant has good title free and clear of any liens and encumbrances)). No shares of Common Stock shall be issued until payment therefor, as provided herein, has been made or provided for.</w:t>
      </w:r>
    </w:p>
    <w:p>
      <w:pPr>
        <w:spacing w:after="0" w:line="188" w:lineRule="exact"/>
        <w:rPr>
          <w:rFonts w:ascii="Arial" w:cs="Arial" w:eastAsia="Arial" w:hAnsi="Arial"/>
          <w:sz w:val="19"/>
          <w:szCs w:val="19"/>
          <w:color w:val="auto"/>
        </w:rPr>
      </w:pPr>
    </w:p>
    <w:p>
      <w:pPr>
        <w:jc w:val="both"/>
        <w:ind w:left="120" w:firstLine="1538"/>
        <w:spacing w:after="0"/>
        <w:tabs>
          <w:tab w:leader="none" w:pos="2103"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Non-Transferability of Options</w:t>
      </w:r>
      <w:r>
        <w:rPr>
          <w:rFonts w:ascii="Arial" w:cs="Arial" w:eastAsia="Arial" w:hAnsi="Arial"/>
          <w:sz w:val="19"/>
          <w:szCs w:val="19"/>
          <w:color w:val="auto"/>
        </w:rPr>
        <w:t>. No Stock Option shall be Transferable by the Participant other than by will or by the laws of descent and distribution, and all Stock Options shall be exercisable, during the Participant’s lifetime, only by the Participant. Notwithstanding the foregoing, the Committee may determine that a Non-Qualified Stock Option that otherwise is not Transferable pursuant to this section is Transferable to a Family Member in whole or in part, and in such circumstances, and under such conditions as specified by the Committee. A Non-Qualified Stock Option that is Transferred to a Family Member pursuant to the preceding sentence (i) may not be Transferred subsequently other than by will or by the laws of descent and distribution and</w:t>
      </w:r>
    </w:p>
    <w:p>
      <w:pPr>
        <w:spacing w:after="0" w:line="3" w:lineRule="exact"/>
        <w:rPr>
          <w:rFonts w:ascii="Arial" w:cs="Arial" w:eastAsia="Arial" w:hAnsi="Arial"/>
          <w:sz w:val="19"/>
          <w:szCs w:val="19"/>
          <w:color w:val="auto"/>
        </w:rPr>
      </w:pPr>
    </w:p>
    <w:p>
      <w:pPr>
        <w:ind w:left="380" w:hanging="264"/>
        <w:spacing w:after="0"/>
        <w:tabs>
          <w:tab w:leader="none" w:pos="380" w:val="left"/>
        </w:tabs>
        <w:numPr>
          <w:ilvl w:val="0"/>
          <w:numId w:val="95"/>
        </w:numPr>
        <w:rPr>
          <w:rFonts w:ascii="Arial" w:cs="Arial" w:eastAsia="Arial" w:hAnsi="Arial"/>
          <w:sz w:val="19"/>
          <w:szCs w:val="19"/>
          <w:color w:val="auto"/>
        </w:rPr>
      </w:pPr>
      <w:r>
        <w:rPr>
          <w:rFonts w:ascii="Arial" w:cs="Arial" w:eastAsia="Arial" w:hAnsi="Arial"/>
          <w:sz w:val="19"/>
          <w:szCs w:val="19"/>
          <w:color w:val="auto"/>
        </w:rPr>
        <w:t>remains subject to the terms of the Plan and the applicable Award agreement.</w:t>
      </w:r>
    </w:p>
    <w:p>
      <w:pPr>
        <w:spacing w:after="0" w:line="195" w:lineRule="exact"/>
        <w:rPr>
          <w:rFonts w:ascii="Arial" w:cs="Arial" w:eastAsia="Arial" w:hAnsi="Arial"/>
          <w:sz w:val="19"/>
          <w:szCs w:val="19"/>
          <w:color w:val="auto"/>
        </w:rPr>
      </w:pPr>
    </w:p>
    <w:p>
      <w:pPr>
        <w:jc w:val="both"/>
        <w:ind w:left="120" w:firstLine="1538"/>
        <w:spacing w:after="0" w:line="243" w:lineRule="auto"/>
        <w:tabs>
          <w:tab w:leader="none" w:pos="2050"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Termination by Death or Disability</w:t>
      </w:r>
      <w:r>
        <w:rPr>
          <w:rFonts w:ascii="Arial" w:cs="Arial" w:eastAsia="Arial" w:hAnsi="Arial"/>
          <w:sz w:val="19"/>
          <w:szCs w:val="19"/>
          <w:color w:val="auto"/>
        </w:rPr>
        <w:t>. Unless otherwise determined by the Committee at grant (or, if no rights of the Participant (or, in the case of his death, his estate) are reduced, thereafter), if a Participant’s Termination is by reason of death or Disability, all Stock Options that are held by such Participant that are vested and exercisable on the date of the Participant’s Termination may be exercised by the Participant (or, in the case of death, by the legal representative of the Participant’s estate) at any time within a period of one year after the date of such Termination, but in no event beyond the expiration of the stated term of such Stock Options.</w:t>
      </w:r>
    </w:p>
    <w:p>
      <w:pPr>
        <w:spacing w:after="0" w:line="184" w:lineRule="exact"/>
        <w:rPr>
          <w:rFonts w:ascii="Arial" w:cs="Arial" w:eastAsia="Arial" w:hAnsi="Arial"/>
          <w:sz w:val="19"/>
          <w:szCs w:val="19"/>
          <w:color w:val="auto"/>
        </w:rPr>
      </w:pPr>
    </w:p>
    <w:p>
      <w:pPr>
        <w:jc w:val="both"/>
        <w:ind w:left="120" w:firstLine="1538"/>
        <w:spacing w:after="0" w:line="245" w:lineRule="auto"/>
        <w:tabs>
          <w:tab w:leader="none" w:pos="2157"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Involuntary Termination Without Cause</w:t>
      </w:r>
      <w:r>
        <w:rPr>
          <w:rFonts w:ascii="Arial" w:cs="Arial" w:eastAsia="Arial" w:hAnsi="Arial"/>
          <w:sz w:val="19"/>
          <w:szCs w:val="19"/>
          <w:color w:val="auto"/>
        </w:rPr>
        <w:t>. Unless otherwise determined by the Committee at grant (or, if no rights of the Participant (or, in the case of his death, his estate) are reduced, thereafter), if a Participant’s Termination is by involuntary termination without Cause, all Stock Options that are held by such Participant that are vested and exercisable on the date of the Participant’s Termination may be exercised by the Participant at any time within a period of 90 days after the date of such Termination, but in no event beyond the expiration of the stated term of such Stock Options.</w:t>
      </w:r>
    </w:p>
    <w:p>
      <w:pPr>
        <w:spacing w:after="0" w:line="180" w:lineRule="exact"/>
        <w:rPr>
          <w:rFonts w:ascii="Arial" w:cs="Arial" w:eastAsia="Arial" w:hAnsi="Arial"/>
          <w:sz w:val="19"/>
          <w:szCs w:val="19"/>
          <w:color w:val="auto"/>
        </w:rPr>
      </w:pPr>
    </w:p>
    <w:p>
      <w:pPr>
        <w:ind w:left="120" w:right="20" w:firstLine="1538"/>
        <w:spacing w:after="0" w:line="270" w:lineRule="auto"/>
        <w:tabs>
          <w:tab w:leader="none" w:pos="2238"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Voluntary Termination</w:t>
      </w:r>
      <w:r>
        <w:rPr>
          <w:rFonts w:ascii="Arial" w:cs="Arial" w:eastAsia="Arial" w:hAnsi="Arial"/>
          <w:sz w:val="19"/>
          <w:szCs w:val="19"/>
          <w:color w:val="auto"/>
        </w:rPr>
        <w:t>. Unless otherwise determined by the Committee at grant (or, if no rights of the Participant (or, in the case of his death, his estate) are reduced, thereafter), if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351155" cy="18859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51155" cy="188595"/>
                    </a:xfrm>
                    <a:prstGeom prst="rect">
                      <a:avLst/>
                    </a:prstGeom>
                    <a:noFill/>
                  </pic:spPr>
                </pic:pic>
              </a:graphicData>
            </a:graphic>
          </wp:anchor>
        </w:drawing>
      </w:r>
    </w:p>
    <w:p>
      <w:pPr>
        <w:spacing w:after="0" w:line="136" w:lineRule="exact"/>
        <w:rPr>
          <w:sz w:val="20"/>
          <w:szCs w:val="20"/>
          <w:color w:val="auto"/>
        </w:rPr>
      </w:pPr>
    </w:p>
    <w:p>
      <w:pPr>
        <w:ind w:left="220"/>
        <w:spacing w:after="0"/>
        <w:tabs>
          <w:tab w:leader="none" w:pos="780" w:val="left"/>
          <w:tab w:leader="none" w:pos="9000" w:val="left"/>
        </w:tabs>
        <w:rPr>
          <w:sz w:val="20"/>
          <w:szCs w:val="20"/>
          <w:color w:val="auto"/>
        </w:rPr>
      </w:pPr>
      <w:r>
        <w:rPr>
          <w:rFonts w:ascii="Arial" w:cs="Arial" w:eastAsia="Arial" w:hAnsi="Arial"/>
          <w:sz w:val="16"/>
          <w:szCs w:val="16"/>
          <w:color w:val="FFFFFF"/>
        </w:rPr>
        <w:t>A-18</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2023 Omnibus Incentive Plan</w:t>
      </w:r>
    </w:p>
    <w:p>
      <w:pPr>
        <w:sectPr>
          <w:pgSz w:w="11900" w:h="16838" w:orient="portrait"/>
          <w:cols w:equalWidth="0" w:num="1">
            <w:col w:w="11140"/>
          </w:cols>
          <w:pgMar w:left="320" w:top="482"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48" w:lineRule="auto"/>
        <w:rPr>
          <w:sz w:val="20"/>
          <w:szCs w:val="20"/>
          <w:color w:val="auto"/>
        </w:rPr>
      </w:pPr>
      <w:r>
        <w:rPr>
          <w:rFonts w:ascii="Arial" w:cs="Arial" w:eastAsia="Arial" w:hAnsi="Arial"/>
          <w:sz w:val="19"/>
          <w:szCs w:val="19"/>
          <w:color w:val="auto"/>
        </w:rPr>
        <w:t>Participant’s Termination is voluntary (other than a voluntary Termination described in subsection (i)(ii) below), all Stock Options that are held by such Participant that are vested and exercisable on the date of the Participant’s Termination may be exercised by the Participant at any time within a period of 30 days after the date of such Termination, but in no event beyond the expiration of the stated term of such Stock Options.</w:t>
      </w:r>
    </w:p>
    <w:p>
      <w:pPr>
        <w:spacing w:after="0" w:line="177" w:lineRule="exact"/>
        <w:rPr>
          <w:sz w:val="20"/>
          <w:szCs w:val="20"/>
          <w:color w:val="auto"/>
        </w:rPr>
      </w:pPr>
    </w:p>
    <w:p>
      <w:pPr>
        <w:jc w:val="both"/>
        <w:ind w:left="120" w:firstLine="1538"/>
        <w:spacing w:after="0" w:line="248" w:lineRule="auto"/>
        <w:tabs>
          <w:tab w:leader="none" w:pos="2175"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Unless otherwise determined by the Committee at grant (or, if no rights of the Participant (or, in the case of his death, his estate) are reduced, thereafter), if a Participant’s Termination (i) is for Cause or (ii) is a voluntary Termination after the occurrence of an event that would be grounds for a Termination for Cause, all Stock Options, whether vested or not vested, that are held by such Participant shall terminate and expire on the date of such Termination.</w:t>
      </w:r>
    </w:p>
    <w:p>
      <w:pPr>
        <w:spacing w:after="0" w:line="176" w:lineRule="exact"/>
        <w:rPr>
          <w:rFonts w:ascii="Arial" w:cs="Arial" w:eastAsia="Arial" w:hAnsi="Arial"/>
          <w:sz w:val="19"/>
          <w:szCs w:val="19"/>
          <w:color w:val="auto"/>
        </w:rPr>
      </w:pPr>
    </w:p>
    <w:p>
      <w:pPr>
        <w:ind w:left="120" w:right="20" w:firstLine="1538"/>
        <w:spacing w:after="0" w:line="270" w:lineRule="auto"/>
        <w:tabs>
          <w:tab w:leader="none" w:pos="2053"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Unvested Stock Options</w:t>
      </w:r>
      <w:r>
        <w:rPr>
          <w:rFonts w:ascii="Arial" w:cs="Arial" w:eastAsia="Arial" w:hAnsi="Arial"/>
          <w:sz w:val="19"/>
          <w:szCs w:val="19"/>
          <w:color w:val="auto"/>
        </w:rPr>
        <w:t>. Unless otherwise determined by the Committee, Stock Options that are not vested as of the date of a Participant’s Termination for any reason shall terminate and expire on the date of such Termination.</w:t>
      </w:r>
    </w:p>
    <w:p>
      <w:pPr>
        <w:spacing w:after="0" w:line="156" w:lineRule="exact"/>
        <w:rPr>
          <w:rFonts w:ascii="Arial" w:cs="Arial" w:eastAsia="Arial" w:hAnsi="Arial"/>
          <w:sz w:val="19"/>
          <w:szCs w:val="19"/>
          <w:color w:val="auto"/>
        </w:rPr>
      </w:pPr>
    </w:p>
    <w:p>
      <w:pPr>
        <w:jc w:val="both"/>
        <w:ind w:left="120" w:firstLine="1538"/>
        <w:spacing w:after="0" w:line="241" w:lineRule="auto"/>
        <w:tabs>
          <w:tab w:leader="none" w:pos="2092"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Incentive Stock Option Limitations</w:t>
      </w:r>
      <w:r>
        <w:rPr>
          <w:rFonts w:ascii="Arial" w:cs="Arial" w:eastAsia="Arial" w:hAnsi="Arial"/>
          <w:sz w:val="19"/>
          <w:szCs w:val="19"/>
          <w:color w:val="auto"/>
        </w:rPr>
        <w:t>. To the extent that the aggregate Fair Market Value (determined as of the date of grant) with respect to which Incentive Stock Options are exercisable for the first time by an Eligible Employee during any calendar year under the Plan and any other stock option plan of the Company, any Subsidiary or any Parent exceeds $100,000, such Options shall be treated as Non-Qualified Stock Options. In addition, if an Eligible Employee does not remain employed by the Company, any Subsidiary or any Parent at all times from the date an Incentive Stock Option is granted until three months prior to the date of exercise thereof (or such other period as required by applicable law), such Stock Option shall be treated as a Non-Qualified Stock Option. Should any provision of the Plan not be necessary in order for the Stock Options to qualify as Incentive Stock Options, or should any additional provisions be required, the Committee may amend the Plan accordingly, without the necessity of obtaining the approval of the stockholders of the Company.</w:t>
      </w:r>
    </w:p>
    <w:p>
      <w:pPr>
        <w:spacing w:after="0" w:line="185" w:lineRule="exact"/>
        <w:rPr>
          <w:rFonts w:ascii="Arial" w:cs="Arial" w:eastAsia="Arial" w:hAnsi="Arial"/>
          <w:sz w:val="19"/>
          <w:szCs w:val="19"/>
          <w:color w:val="auto"/>
        </w:rPr>
      </w:pPr>
    </w:p>
    <w:p>
      <w:pPr>
        <w:jc w:val="both"/>
        <w:ind w:left="120" w:firstLine="1538"/>
        <w:spacing w:after="0" w:line="242" w:lineRule="auto"/>
        <w:tabs>
          <w:tab w:leader="none" w:pos="2040"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Form, Modification, Extension and Renewal of Stock Options</w:t>
      </w:r>
      <w:r>
        <w:rPr>
          <w:rFonts w:ascii="Arial" w:cs="Arial" w:eastAsia="Arial" w:hAnsi="Arial"/>
          <w:sz w:val="19"/>
          <w:szCs w:val="19"/>
          <w:color w:val="auto"/>
        </w:rPr>
        <w:t>. Stock Options may be evidenced by such form of agreement as is approved by the Committee. The Committee may (i) modify, extend or renew outstanding Stock Options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rights of a Participant are not reduced without his or her consent and (B) such action does not subject the Stock Options to Section 409A or otherwise extend the Stock Options beyond their stated term), and (ii) accept the surrender of outstanding Stock Options and authorize the granting of new Stock Options in substitution therefor. Notwithstanding anything herein to the contrary, an outstanding Option may not be modified to reduce the exercise price thereof nor may a new Option at a lower price be substituted for a surrendered Option (other than adjustments or substitutions in accordance with Section 4.2), unless such action is approved by the stockholders of the Company.</w:t>
      </w:r>
    </w:p>
    <w:p>
      <w:pPr>
        <w:spacing w:after="0" w:line="181" w:lineRule="exact"/>
        <w:rPr>
          <w:rFonts w:ascii="Arial" w:cs="Arial" w:eastAsia="Arial" w:hAnsi="Arial"/>
          <w:sz w:val="19"/>
          <w:szCs w:val="19"/>
          <w:color w:val="auto"/>
        </w:rPr>
      </w:pPr>
    </w:p>
    <w:p>
      <w:pPr>
        <w:ind w:left="120" w:right="20" w:firstLine="1538"/>
        <w:spacing w:after="0" w:line="270" w:lineRule="auto"/>
        <w:tabs>
          <w:tab w:leader="none" w:pos="2155"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No Reload Options</w:t>
      </w:r>
      <w:r>
        <w:rPr>
          <w:rFonts w:ascii="Arial" w:cs="Arial" w:eastAsia="Arial" w:hAnsi="Arial"/>
          <w:sz w:val="19"/>
          <w:szCs w:val="19"/>
          <w:color w:val="auto"/>
        </w:rPr>
        <w:t>. Options shall not provide for the grant of the same number of Options as the number of shares used to pay for the exercise price of Options or shares used to pay withholding taxes (i.e., “reloads”).</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ARTICLE VII</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RESTRICTED STOCK</w:t>
      </w:r>
    </w:p>
    <w:p>
      <w:pPr>
        <w:spacing w:after="0" w:line="214" w:lineRule="exact"/>
        <w:rPr>
          <w:sz w:val="20"/>
          <w:szCs w:val="20"/>
          <w:color w:val="auto"/>
        </w:rPr>
      </w:pPr>
    </w:p>
    <w:p>
      <w:pPr>
        <w:jc w:val="both"/>
        <w:ind w:left="120" w:right="20" w:firstLine="991"/>
        <w:spacing w:after="0" w:line="254"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b w:val="1"/>
          <w:bCs w:val="1"/>
          <w:u w:val="single" w:color="auto"/>
          <w:color w:val="auto"/>
        </w:rPr>
        <w:t>Awards of Restricted Stock</w:t>
      </w:r>
      <w:r>
        <w:rPr>
          <w:rFonts w:ascii="Arial" w:cs="Arial" w:eastAsia="Arial" w:hAnsi="Arial"/>
          <w:sz w:val="19"/>
          <w:szCs w:val="19"/>
          <w:color w:val="auto"/>
        </w:rPr>
        <w:t>. The Committee shall determine the Participants, to whom, and the time or times at</w:t>
      </w:r>
      <w:r>
        <w:rPr>
          <w:rFonts w:ascii="Arial" w:cs="Arial" w:eastAsia="Arial" w:hAnsi="Arial"/>
          <w:sz w:val="19"/>
          <w:szCs w:val="19"/>
          <w:b w:val="1"/>
          <w:bCs w:val="1"/>
          <w:color w:val="auto"/>
        </w:rPr>
        <w:t xml:space="preserve"> </w:t>
      </w:r>
      <w:r>
        <w:rPr>
          <w:rFonts w:ascii="Arial" w:cs="Arial" w:eastAsia="Arial" w:hAnsi="Arial"/>
          <w:sz w:val="19"/>
          <w:szCs w:val="19"/>
          <w:color w:val="auto"/>
        </w:rPr>
        <w:t>which, grants of Restricted Stock shall be made, the number of shares to be awarded, the purchase price (if any) to be paid by the Participant (subject to Section 7.2), the time or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73660</wp:posOffset>
            </wp:positionV>
            <wp:extent cx="360045" cy="18859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60045" cy="188595"/>
                    </a:xfrm>
                    <a:prstGeom prst="rect">
                      <a:avLst/>
                    </a:prstGeom>
                    <a:noFill/>
                  </pic:spPr>
                </pic:pic>
              </a:graphicData>
            </a:graphic>
          </wp:anchor>
        </w:drawing>
      </w:r>
    </w:p>
    <w:p>
      <w:pPr>
        <w:spacing w:after="0" w:line="150" w:lineRule="exact"/>
        <w:rPr>
          <w:sz w:val="20"/>
          <w:szCs w:val="20"/>
          <w:color w:val="auto"/>
        </w:rPr>
      </w:pPr>
    </w:p>
    <w:p>
      <w:pPr>
        <w:ind w:left="120"/>
        <w:spacing w:after="0"/>
        <w:tabs>
          <w:tab w:leader="none" w:pos="8840" w:val="left"/>
          <w:tab w:leader="none" w:pos="10660" w:val="left"/>
        </w:tabs>
        <w:rPr>
          <w:sz w:val="20"/>
          <w:szCs w:val="20"/>
          <w:color w:val="auto"/>
        </w:rPr>
      </w:pPr>
      <w:r>
        <w:rPr>
          <w:rFonts w:ascii="Arial" w:cs="Arial" w:eastAsia="Arial" w:hAnsi="Arial"/>
          <w:sz w:val="16"/>
          <w:szCs w:val="16"/>
          <w:color w:val="002060"/>
        </w:rPr>
        <w:t>2023 Omnibus Incentive Plan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A-19</w:t>
      </w:r>
    </w:p>
    <w:p>
      <w:pPr>
        <w:sectPr>
          <w:pgSz w:w="11900" w:h="16838" w:orient="portrait"/>
          <w:cols w:equalWidth="0" w:num="1">
            <w:col w:w="11140"/>
          </w:cols>
          <w:pgMar w:left="320" w:top="482"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at which such Awards may be subject to forfeiture or to restrictions on transfer, and all other terms and conditions of the Awards.</w:t>
      </w:r>
    </w:p>
    <w:p>
      <w:pPr>
        <w:spacing w:after="0" w:line="214" w:lineRule="exact"/>
        <w:rPr>
          <w:sz w:val="20"/>
          <w:szCs w:val="20"/>
          <w:color w:val="auto"/>
        </w:rPr>
      </w:pPr>
    </w:p>
    <w:p>
      <w:pPr>
        <w:jc w:val="both"/>
        <w:ind w:left="120" w:right="20" w:firstLine="991"/>
        <w:spacing w:after="0" w:line="242" w:lineRule="auto"/>
        <w:rPr>
          <w:sz w:val="20"/>
          <w:szCs w:val="20"/>
          <w:color w:val="auto"/>
        </w:rPr>
      </w:pPr>
      <w:r>
        <w:rPr>
          <w:rFonts w:ascii="Arial" w:cs="Arial" w:eastAsia="Arial" w:hAnsi="Arial"/>
          <w:sz w:val="19"/>
          <w:szCs w:val="19"/>
          <w:color w:val="auto"/>
        </w:rPr>
        <w:t>Unless otherwise determined by the Committee at grant, each Award of Restricted Stock shall provide that (A) in the event the Participant engages in Detrimental Activity prior to any vesting of Restricted Stock, all unvested Restricted Stock shall be immediately forfeited, and (B) in the event the Participant engages in Detrimental Activity during the one year period after any vesting of such Restricted Stock, the Committee shall be entitled to recover from the Participant (at any time within one year after such engagement in Detrimental Activity) an amount equal to the Fair Market Value as of the vesting date(s) of any Restricted Stock that had vested in the period referred to above. Unless otherwise determined by the Committee at grant, this paragraph shall cease to apply upon a Change in Control.</w:t>
      </w:r>
    </w:p>
    <w:p>
      <w:pPr>
        <w:spacing w:after="0" w:line="186" w:lineRule="exact"/>
        <w:rPr>
          <w:sz w:val="20"/>
          <w:szCs w:val="20"/>
          <w:color w:val="auto"/>
        </w:rPr>
      </w:pPr>
    </w:p>
    <w:p>
      <w:pPr>
        <w:jc w:val="both"/>
        <w:ind w:left="120" w:right="20" w:firstLine="991"/>
        <w:spacing w:after="0" w:line="254" w:lineRule="auto"/>
        <w:rPr>
          <w:sz w:val="20"/>
          <w:szCs w:val="20"/>
          <w:color w:val="auto"/>
        </w:rPr>
      </w:pPr>
      <w:r>
        <w:rPr>
          <w:rFonts w:ascii="Arial" w:cs="Arial" w:eastAsia="Arial" w:hAnsi="Arial"/>
          <w:sz w:val="19"/>
          <w:szCs w:val="19"/>
          <w:color w:val="auto"/>
        </w:rPr>
        <w:t>The Committee may condition the grant or vesting of Restricted Stock upon the attainment of specified performance goals or such other factors as the Committee may determine, and such shares of Restricted Stock shall be designated Performance Shares.</w:t>
      </w:r>
    </w:p>
    <w:p>
      <w:pPr>
        <w:spacing w:after="0" w:line="170" w:lineRule="exact"/>
        <w:rPr>
          <w:sz w:val="20"/>
          <w:szCs w:val="20"/>
          <w:color w:val="auto"/>
        </w:rPr>
      </w:pPr>
    </w:p>
    <w:p>
      <w:pPr>
        <w:jc w:val="both"/>
        <w:ind w:left="120" w:right="20" w:firstLine="991"/>
        <w:spacing w:after="0" w:line="248" w:lineRule="auto"/>
        <w:rPr>
          <w:sz w:val="20"/>
          <w:szCs w:val="20"/>
          <w:color w:val="auto"/>
        </w:rPr>
      </w:pPr>
      <w:r>
        <w:rPr>
          <w:rFonts w:ascii="Arial" w:cs="Arial" w:eastAsia="Arial" w:hAnsi="Arial"/>
          <w:sz w:val="19"/>
          <w:szCs w:val="19"/>
          <w:b w:val="1"/>
          <w:bCs w:val="1"/>
          <w:color w:val="auto"/>
        </w:rPr>
        <w:t xml:space="preserve">7.2 </w:t>
      </w:r>
      <w:r>
        <w:rPr>
          <w:rFonts w:ascii="Arial" w:cs="Arial" w:eastAsia="Arial" w:hAnsi="Arial"/>
          <w:sz w:val="19"/>
          <w:szCs w:val="19"/>
          <w:b w:val="1"/>
          <w:bCs w:val="1"/>
          <w:u w:val="single" w:color="auto"/>
          <w:color w:val="auto"/>
        </w:rPr>
        <w:t>Awards and Certificates</w:t>
      </w:r>
      <w:r>
        <w:rPr>
          <w:rFonts w:ascii="Arial" w:cs="Arial" w:eastAsia="Arial" w:hAnsi="Arial"/>
          <w:sz w:val="19"/>
          <w:szCs w:val="19"/>
          <w:color w:val="auto"/>
        </w:rPr>
        <w:t>. The Committee may require, as a condition to the effectiveness of an Award of</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that the Participant execute and deliver to the Company an Award agreement or other documentation and comply with the terms of such Award agreement or other documentation. Further, Restricted Stock shall be subject to the following conditions:</w:t>
      </w:r>
    </w:p>
    <w:p>
      <w:pPr>
        <w:spacing w:after="0" w:line="177" w:lineRule="exact"/>
        <w:rPr>
          <w:sz w:val="20"/>
          <w:szCs w:val="20"/>
          <w:color w:val="auto"/>
        </w:rPr>
      </w:pPr>
    </w:p>
    <w:p>
      <w:pPr>
        <w:jc w:val="both"/>
        <w:ind w:left="120" w:right="20" w:firstLine="1538"/>
        <w:spacing w:after="0" w:line="254" w:lineRule="auto"/>
        <w:tabs>
          <w:tab w:leader="none" w:pos="2265"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Purchase Price</w:t>
      </w:r>
      <w:r>
        <w:rPr>
          <w:rFonts w:ascii="Arial" w:cs="Arial" w:eastAsia="Arial" w:hAnsi="Arial"/>
          <w:sz w:val="19"/>
          <w:szCs w:val="19"/>
          <w:color w:val="auto"/>
        </w:rPr>
        <w:t>. The purchase price of Restricted Stock, if any, shall be fixed by the Committee. In accordance with Section 4.3, the purchase price for shares of Restricted Stock may be zero to the extent permitted by applicable law, and, to the extent not so permitted, such purchase price may not be less than par value.</w:t>
      </w:r>
    </w:p>
    <w:p>
      <w:pPr>
        <w:spacing w:after="0" w:line="170" w:lineRule="exact"/>
        <w:rPr>
          <w:rFonts w:ascii="Arial" w:cs="Arial" w:eastAsia="Arial" w:hAnsi="Arial"/>
          <w:sz w:val="19"/>
          <w:szCs w:val="19"/>
          <w:color w:val="auto"/>
        </w:rPr>
      </w:pPr>
    </w:p>
    <w:p>
      <w:pPr>
        <w:jc w:val="both"/>
        <w:ind w:left="120" w:right="20" w:firstLine="1538"/>
        <w:spacing w:after="0" w:line="245" w:lineRule="auto"/>
        <w:tabs>
          <w:tab w:leader="none" w:pos="2171"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Legend</w:t>
      </w:r>
      <w:r>
        <w:rPr>
          <w:rFonts w:ascii="Arial" w:cs="Arial" w:eastAsia="Arial" w:hAnsi="Arial"/>
          <w:sz w:val="19"/>
          <w:szCs w:val="19"/>
          <w:color w:val="auto"/>
        </w:rPr>
        <w:t>. Each Participant receiving Restricted Stock shall be issued a stock certificate in respect of such shares of Restricted Stock, unless the Committee elects to use another system, such as book entries by the transfer agent, as evidencing ownership of shares of Restricted Stock. Such certificate shall be registered in the name of such Participant, and shall, in addition to such legends required by applicable securities laws, bear an appropriate legend referring to the terms, conditions, and restrictions applicable to such Award, substantially in the following form:</w:t>
      </w:r>
    </w:p>
    <w:p>
      <w:pPr>
        <w:spacing w:after="0" w:line="181" w:lineRule="exact"/>
        <w:rPr>
          <w:sz w:val="20"/>
          <w:szCs w:val="20"/>
          <w:color w:val="auto"/>
        </w:rPr>
      </w:pPr>
    </w:p>
    <w:p>
      <w:pPr>
        <w:ind w:left="1660" w:right="220"/>
        <w:spacing w:after="0" w:line="257" w:lineRule="auto"/>
        <w:rPr>
          <w:sz w:val="20"/>
          <w:szCs w:val="20"/>
          <w:color w:val="auto"/>
        </w:rPr>
      </w:pPr>
      <w:r>
        <w:rPr>
          <w:rFonts w:ascii="Arial" w:cs="Arial" w:eastAsia="Arial" w:hAnsi="Arial"/>
          <w:sz w:val="18"/>
          <w:szCs w:val="18"/>
          <w:color w:val="auto"/>
        </w:rPr>
        <w:t>“The anticipation, alienation, attachment, sale, transfer, assignment, pledge, encumbrance or charge of the shares of stock represented hereby are subject to the terms and conditions (including forfeiture) of the Installed Building Products, Inc.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2023 Omnibus Incentive Plan (as amended from time to time, the</w:t>
      </w:r>
    </w:p>
    <w:p>
      <w:pPr>
        <w:spacing w:after="0" w:line="1" w:lineRule="exact"/>
        <w:rPr>
          <w:sz w:val="20"/>
          <w:szCs w:val="20"/>
          <w:color w:val="auto"/>
        </w:rPr>
      </w:pPr>
    </w:p>
    <w:p>
      <w:pPr>
        <w:ind w:left="1660" w:right="360"/>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Plan</w:t>
      </w:r>
      <w:r>
        <w:rPr>
          <w:rFonts w:ascii="Arial" w:cs="Arial" w:eastAsia="Arial" w:hAnsi="Arial"/>
          <w:sz w:val="19"/>
          <w:szCs w:val="19"/>
          <w:color w:val="auto"/>
        </w:rPr>
        <w:t>”), and an Award Agreement entered into between the registered owner and the Company dated [ ]. Copies of such Plan and Agreement are on file at the principal office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6514465</wp:posOffset>
            </wp:positionH>
            <wp:positionV relativeFrom="paragraph">
              <wp:posOffset>-172085</wp:posOffset>
            </wp:positionV>
            <wp:extent cx="2667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153" w:lineRule="exact"/>
        <w:rPr>
          <w:sz w:val="20"/>
          <w:szCs w:val="20"/>
          <w:color w:val="auto"/>
        </w:rPr>
      </w:pPr>
    </w:p>
    <w:p>
      <w:pPr>
        <w:jc w:val="both"/>
        <w:ind w:left="120" w:firstLine="1538"/>
        <w:spacing w:after="0" w:line="248" w:lineRule="auto"/>
        <w:tabs>
          <w:tab w:leader="none" w:pos="2092"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Custody</w:t>
      </w:r>
      <w:r>
        <w:rPr>
          <w:rFonts w:ascii="Arial" w:cs="Arial" w:eastAsia="Arial" w:hAnsi="Arial"/>
          <w:sz w:val="19"/>
          <w:szCs w:val="19"/>
          <w:color w:val="auto"/>
        </w:rPr>
        <w:t>. If stock certificates are issued in respect of shares of Restricted Stock, the Committee may require that such stock certificates be held in custody by the Company until the restrictions on the shares have lapsed, and that, as a condition of any grant of Restricted Stock, the Participant shall have delivered a duly signed stock power, endorsed in blank, relating to the Common Stock covered by such Award.</w:t>
      </w:r>
    </w:p>
    <w:p>
      <w:pPr>
        <w:spacing w:after="0" w:line="177" w:lineRule="exact"/>
        <w:rPr>
          <w:sz w:val="20"/>
          <w:szCs w:val="20"/>
          <w:color w:val="auto"/>
        </w:rPr>
      </w:pPr>
    </w:p>
    <w:p>
      <w:pPr>
        <w:ind w:left="1100"/>
        <w:spacing w:after="0"/>
        <w:tabs>
          <w:tab w:leader="none" w:pos="1560" w:val="left"/>
        </w:tabs>
        <w:rPr>
          <w:sz w:val="20"/>
          <w:szCs w:val="20"/>
          <w:color w:val="auto"/>
        </w:rPr>
      </w:pPr>
      <w:r>
        <w:rPr>
          <w:rFonts w:ascii="Arial" w:cs="Arial" w:eastAsia="Arial" w:hAnsi="Arial"/>
          <w:sz w:val="19"/>
          <w:szCs w:val="19"/>
          <w:b w:val="1"/>
          <w:bCs w:val="1"/>
          <w:color w:val="auto"/>
        </w:rPr>
        <w:t>7.3</w:t>
      </w:r>
      <w:r>
        <w:rPr>
          <w:sz w:val="20"/>
          <w:szCs w:val="20"/>
          <w:color w:val="auto"/>
        </w:rPr>
        <w:tab/>
      </w:r>
      <w:r>
        <w:rPr>
          <w:rFonts w:ascii="Arial" w:cs="Arial" w:eastAsia="Arial" w:hAnsi="Arial"/>
          <w:sz w:val="18"/>
          <w:szCs w:val="18"/>
          <w:b w:val="1"/>
          <w:bCs w:val="1"/>
          <w:u w:val="single" w:color="auto"/>
          <w:color w:val="auto"/>
        </w:rPr>
        <w:t>Restrictions and Conditions</w:t>
      </w:r>
      <w:r>
        <w:rPr>
          <w:rFonts w:ascii="Arial" w:cs="Arial" w:eastAsia="Arial" w:hAnsi="Arial"/>
          <w:sz w:val="18"/>
          <w:szCs w:val="18"/>
          <w:color w:val="auto"/>
        </w:rPr>
        <w:t>. Restricted Stock shall be subject to the following restrictions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101600</wp:posOffset>
            </wp:positionV>
            <wp:extent cx="351155" cy="18859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51155" cy="188595"/>
                    </a:xfrm>
                    <a:prstGeom prst="rect">
                      <a:avLst/>
                    </a:prstGeom>
                    <a:noFill/>
                  </pic:spPr>
                </pic:pic>
              </a:graphicData>
            </a:graphic>
          </wp:anchor>
        </w:drawing>
      </w:r>
    </w:p>
    <w:p>
      <w:pPr>
        <w:spacing w:after="0" w:line="193" w:lineRule="exact"/>
        <w:rPr>
          <w:sz w:val="20"/>
          <w:szCs w:val="20"/>
          <w:color w:val="auto"/>
        </w:rPr>
      </w:pPr>
    </w:p>
    <w:p>
      <w:pPr>
        <w:ind w:left="220"/>
        <w:spacing w:after="0"/>
        <w:tabs>
          <w:tab w:leader="none" w:pos="780" w:val="left"/>
          <w:tab w:leader="none" w:pos="9000" w:val="left"/>
        </w:tabs>
        <w:rPr>
          <w:sz w:val="20"/>
          <w:szCs w:val="20"/>
          <w:color w:val="auto"/>
        </w:rPr>
      </w:pPr>
      <w:r>
        <w:rPr>
          <w:rFonts w:ascii="Arial" w:cs="Arial" w:eastAsia="Arial" w:hAnsi="Arial"/>
          <w:sz w:val="16"/>
          <w:szCs w:val="16"/>
          <w:color w:val="FFFFFF"/>
        </w:rPr>
        <w:t>A-20</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2023 Omnibus Incentive Plan</w:t>
      </w:r>
    </w:p>
    <w:p>
      <w:pPr>
        <w:sectPr>
          <w:pgSz w:w="11900" w:h="16838" w:orient="portrait"/>
          <w:cols w:equalWidth="0" w:num="1">
            <w:col w:w="11140"/>
          </w:cols>
          <w:pgMar w:left="320" w:top="482"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ind w:left="2100" w:hanging="442"/>
        <w:spacing w:after="0"/>
        <w:tabs>
          <w:tab w:leader="none" w:pos="210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Restriction Period</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left="120" w:right="20" w:firstLine="1979"/>
        <w:spacing w:after="0" w:line="245" w:lineRule="auto"/>
        <w:tabs>
          <w:tab w:leader="none" w:pos="2506"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Participant shall not be permitted to Transfer shares of Restricted Stock, and the Restricted Stock shall be subject to a risk of forfeiture (collectively, “restrictions”) during the period or periods set by the Committee (the “</w:t>
      </w:r>
      <w:r>
        <w:rPr>
          <w:rFonts w:ascii="Arial" w:cs="Arial" w:eastAsia="Arial" w:hAnsi="Arial"/>
          <w:sz w:val="19"/>
          <w:szCs w:val="19"/>
          <w:b w:val="1"/>
          <w:bCs w:val="1"/>
          <w:u w:val="single" w:color="auto"/>
          <w:color w:val="auto"/>
        </w:rPr>
        <w:t>Restriction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Periods</w:t>
      </w:r>
      <w:r>
        <w:rPr>
          <w:rFonts w:ascii="Arial" w:cs="Arial" w:eastAsia="Arial" w:hAnsi="Arial"/>
          <w:sz w:val="19"/>
          <w:szCs w:val="19"/>
          <w:color w:val="auto"/>
        </w:rPr>
        <w:t>”), as set forth in the Restricted Stock Award agreement. The Committee may provide for the lapse of the restrictions in</w:t>
      </w:r>
      <w:r>
        <w:rPr>
          <w:rFonts w:ascii="Arial" w:cs="Arial" w:eastAsia="Arial" w:hAnsi="Arial"/>
          <w:sz w:val="19"/>
          <w:szCs w:val="19"/>
          <w:b w:val="1"/>
          <w:bCs w:val="1"/>
          <w:color w:val="auto"/>
        </w:rPr>
        <w:t xml:space="preserve"> </w:t>
      </w:r>
      <w:r>
        <w:rPr>
          <w:rFonts w:ascii="Arial" w:cs="Arial" w:eastAsia="Arial" w:hAnsi="Arial"/>
          <w:sz w:val="19"/>
          <w:szCs w:val="19"/>
          <w:color w:val="auto"/>
        </w:rPr>
        <w:t>whole or in part (including in installments) based on service, attainment of performance goals or such other factors or criteria as the Committee may determine, and may waive all or any part of the restrictions at any time subject to Section 7.3(a)(iii).</w:t>
      </w:r>
    </w:p>
    <w:p>
      <w:pPr>
        <w:spacing w:after="0" w:line="180" w:lineRule="exact"/>
        <w:rPr>
          <w:rFonts w:ascii="Arial" w:cs="Arial" w:eastAsia="Arial" w:hAnsi="Arial"/>
          <w:sz w:val="19"/>
          <w:szCs w:val="19"/>
          <w:color w:val="auto"/>
        </w:rPr>
      </w:pPr>
    </w:p>
    <w:p>
      <w:pPr>
        <w:jc w:val="both"/>
        <w:ind w:left="120" w:right="20" w:firstLine="1979"/>
        <w:spacing w:after="0" w:line="248" w:lineRule="auto"/>
        <w:tabs>
          <w:tab w:leader="none" w:pos="2572" w:val="left"/>
        </w:tabs>
        <w:numPr>
          <w:ilvl w:val="1"/>
          <w:numId w:val="99"/>
        </w:numPr>
        <w:rPr>
          <w:rFonts w:ascii="Arial" w:cs="Arial" w:eastAsia="Arial" w:hAnsi="Arial"/>
          <w:sz w:val="19"/>
          <w:szCs w:val="19"/>
          <w:color w:val="auto"/>
        </w:rPr>
      </w:pPr>
      <w:r>
        <w:rPr>
          <w:rFonts w:ascii="Arial" w:cs="Arial" w:eastAsia="Arial" w:hAnsi="Arial"/>
          <w:sz w:val="19"/>
          <w:szCs w:val="19"/>
          <w:color w:val="auto"/>
        </w:rPr>
        <w:t>If the grant of Restricted Stock or the lapse of restrictions is based on the attainment of performance goals, such performance goals shall be established by the Committee in writing on or before the date the grant of Restricted Stock is made. Such performance goals may incorporate provisions for disregarding (or adjusting for) changes in accounting methods, corporate transactions (including dispositions and acquisitions) and other similar events or circumstances.</w:t>
      </w:r>
    </w:p>
    <w:p>
      <w:pPr>
        <w:spacing w:after="0" w:line="176" w:lineRule="exact"/>
        <w:rPr>
          <w:rFonts w:ascii="Arial" w:cs="Arial" w:eastAsia="Arial" w:hAnsi="Arial"/>
          <w:sz w:val="19"/>
          <w:szCs w:val="19"/>
          <w:color w:val="auto"/>
        </w:rPr>
      </w:pPr>
    </w:p>
    <w:p>
      <w:pPr>
        <w:jc w:val="both"/>
        <w:ind w:left="120" w:firstLine="1979"/>
        <w:spacing w:after="0" w:line="245" w:lineRule="auto"/>
        <w:tabs>
          <w:tab w:leader="none" w:pos="2604" w:val="left"/>
        </w:tabs>
        <w:numPr>
          <w:ilvl w:val="1"/>
          <w:numId w:val="99"/>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the Plan to the contrary, the Restriction Period with respect to any Restricted Stock Award shall be no less than one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Committee shall be authorized (at the time of grant or thereafter) to provide for the earlier lapsing of restrictions in the event of a Change in Control or a Participant’s retirement, death or Disability;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shares underlying Awards with respect to up to 5% of the total number of shares of Common Stock reserved for Awards may be exempt from the foregoing limitations.</w:t>
      </w:r>
    </w:p>
    <w:p>
      <w:pPr>
        <w:spacing w:after="0" w:line="180" w:lineRule="exact"/>
        <w:rPr>
          <w:rFonts w:ascii="Arial" w:cs="Arial" w:eastAsia="Arial" w:hAnsi="Arial"/>
          <w:sz w:val="19"/>
          <w:szCs w:val="19"/>
          <w:color w:val="auto"/>
        </w:rPr>
      </w:pPr>
    </w:p>
    <w:p>
      <w:pPr>
        <w:jc w:val="both"/>
        <w:ind w:left="120" w:firstLine="1538"/>
        <w:spacing w:after="0" w:line="241" w:lineRule="auto"/>
        <w:tabs>
          <w:tab w:leader="none" w:pos="2144"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Except as otherwise determined by the Committee, the Participant shall have all the rights of a holder of shares of Common Stock of the Company with respect to Restricted Stock, subject to the following provisions of this Section 7.3(b). Except as otherwise determined by the Committee, (i) the Participant shall have no right to tender shares of Restricted Stock, (ii) dividends or other distributions (collectively, “dividends”) on shares of Restricted Stock shall be withheld, in each case, while the Restricted Stock is subject to restrictions, and (iii) in no event shall dividends or other distributions payable thereunder be paid unless and until the shares of Restricted Stock to which they relate no longer are subject to a risk of forfeiture. Dividends that are not paid currently shall be credited to bookkeeping accounts on the Company’s records for purposes of the Plan and, except as otherwise determined by the Committee, shall not accrue interest. Such dividends shall be paid to the Participant in the same form as paid on the Common Stock upon the lapse of the restrictions.</w:t>
      </w:r>
    </w:p>
    <w:p>
      <w:pPr>
        <w:spacing w:after="0" w:line="185" w:lineRule="exact"/>
        <w:rPr>
          <w:rFonts w:ascii="Arial" w:cs="Arial" w:eastAsia="Arial" w:hAnsi="Arial"/>
          <w:sz w:val="19"/>
          <w:szCs w:val="19"/>
          <w:color w:val="auto"/>
        </w:rPr>
      </w:pPr>
    </w:p>
    <w:p>
      <w:pPr>
        <w:jc w:val="both"/>
        <w:ind w:left="120" w:right="20" w:firstLine="1538"/>
        <w:spacing w:after="0" w:line="254" w:lineRule="auto"/>
        <w:tabs>
          <w:tab w:leader="none" w:pos="2173"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Upon a Participant’s Termination for any reason during the Restriction Period, all Restricted Stock still subject to restriction will vest or be forfeited in accordance with the terms and conditions established by the Committee at grant, or, if no rights of a Participant are reduced, thereafter.</w:t>
      </w:r>
    </w:p>
    <w:p>
      <w:pPr>
        <w:spacing w:after="0" w:line="170" w:lineRule="exact"/>
        <w:rPr>
          <w:rFonts w:ascii="Arial" w:cs="Arial" w:eastAsia="Arial" w:hAnsi="Arial"/>
          <w:sz w:val="19"/>
          <w:szCs w:val="19"/>
          <w:color w:val="auto"/>
        </w:rPr>
      </w:pPr>
    </w:p>
    <w:p>
      <w:pPr>
        <w:jc w:val="both"/>
        <w:ind w:left="120" w:firstLine="1538"/>
        <w:spacing w:after="0" w:line="248" w:lineRule="auto"/>
        <w:tabs>
          <w:tab w:leader="none" w:pos="213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Lapse of Restrictions</w:t>
      </w:r>
      <w:r>
        <w:rPr>
          <w:rFonts w:ascii="Arial" w:cs="Arial" w:eastAsia="Arial" w:hAnsi="Arial"/>
          <w:sz w:val="19"/>
          <w:szCs w:val="19"/>
          <w:color w:val="auto"/>
        </w:rPr>
        <w:t>. If and when the Restriction Period expires without a prior forfeiture of the Restricted Stock, the certificates for such shares shall be delivered to the Participant, and any and all unpaid distributions or dividends payable thereunder shall be paid. All legends shall be removed from said certificates at the time of delivery to the Participant, except as otherwise required by applicable law or other limitations imposed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78105</wp:posOffset>
            </wp:positionV>
            <wp:extent cx="360045" cy="18859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60045" cy="188595"/>
                    </a:xfrm>
                    <a:prstGeom prst="rect">
                      <a:avLst/>
                    </a:prstGeom>
                    <a:noFill/>
                  </pic:spPr>
                </pic:pic>
              </a:graphicData>
            </a:graphic>
          </wp:anchor>
        </w:drawing>
      </w:r>
    </w:p>
    <w:p>
      <w:pPr>
        <w:spacing w:after="0" w:line="156" w:lineRule="exact"/>
        <w:rPr>
          <w:sz w:val="20"/>
          <w:szCs w:val="20"/>
          <w:color w:val="auto"/>
        </w:rPr>
      </w:pPr>
    </w:p>
    <w:p>
      <w:pPr>
        <w:ind w:left="120"/>
        <w:spacing w:after="0"/>
        <w:tabs>
          <w:tab w:leader="none" w:pos="8840" w:val="left"/>
          <w:tab w:leader="none" w:pos="10660" w:val="left"/>
        </w:tabs>
        <w:rPr>
          <w:sz w:val="20"/>
          <w:szCs w:val="20"/>
          <w:color w:val="auto"/>
        </w:rPr>
      </w:pPr>
      <w:r>
        <w:rPr>
          <w:rFonts w:ascii="Arial" w:cs="Arial" w:eastAsia="Arial" w:hAnsi="Arial"/>
          <w:sz w:val="16"/>
          <w:szCs w:val="16"/>
          <w:color w:val="002060"/>
        </w:rPr>
        <w:t>2023 Omnibus Incentive Plan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A-21</w:t>
      </w:r>
    </w:p>
    <w:p>
      <w:pPr>
        <w:sectPr>
          <w:pgSz w:w="11900" w:h="16838" w:orient="portrait"/>
          <w:cols w:equalWidth="0" w:num="1">
            <w:col w:w="11140"/>
          </w:cols>
          <w:pgMar w:left="320" w:top="482"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ARTICLE VIII</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OTHER STOCK-BASED AWARDS</w:t>
      </w:r>
    </w:p>
    <w:p>
      <w:pPr>
        <w:spacing w:after="0" w:line="214" w:lineRule="exact"/>
        <w:rPr>
          <w:sz w:val="20"/>
          <w:szCs w:val="20"/>
          <w:color w:val="auto"/>
        </w:rPr>
      </w:pPr>
    </w:p>
    <w:p>
      <w:pPr>
        <w:jc w:val="both"/>
        <w:ind w:left="120" w:firstLine="991"/>
        <w:spacing w:after="0" w:line="243" w:lineRule="auto"/>
        <w:rPr>
          <w:sz w:val="20"/>
          <w:szCs w:val="20"/>
          <w:color w:val="auto"/>
        </w:rPr>
      </w:pPr>
      <w:r>
        <w:rPr>
          <w:rFonts w:ascii="Arial" w:cs="Arial" w:eastAsia="Arial" w:hAnsi="Arial"/>
          <w:sz w:val="19"/>
          <w:szCs w:val="19"/>
          <w:b w:val="1"/>
          <w:bCs w:val="1"/>
          <w:color w:val="auto"/>
        </w:rPr>
        <w:t xml:space="preserve">8.1 </w:t>
      </w:r>
      <w:r>
        <w:rPr>
          <w:rFonts w:ascii="Arial" w:cs="Arial" w:eastAsia="Arial" w:hAnsi="Arial"/>
          <w:sz w:val="19"/>
          <w:szCs w:val="19"/>
          <w:b w:val="1"/>
          <w:bCs w:val="1"/>
          <w:u w:val="single" w:color="auto"/>
          <w:color w:val="auto"/>
        </w:rPr>
        <w:t>Other Awards</w:t>
      </w:r>
      <w:r>
        <w:rPr>
          <w:rFonts w:ascii="Arial" w:cs="Arial" w:eastAsia="Arial" w:hAnsi="Arial"/>
          <w:sz w:val="19"/>
          <w:szCs w:val="19"/>
          <w:color w:val="auto"/>
        </w:rPr>
        <w:t>. The Committee is authorized to grant Other Stock-Based Awards that are payable in, valued in</w:t>
      </w:r>
      <w:r>
        <w:rPr>
          <w:rFonts w:ascii="Arial" w:cs="Arial" w:eastAsia="Arial" w:hAnsi="Arial"/>
          <w:sz w:val="19"/>
          <w:szCs w:val="19"/>
          <w:b w:val="1"/>
          <w:bCs w:val="1"/>
          <w:color w:val="auto"/>
        </w:rPr>
        <w:t xml:space="preserve"> </w:t>
      </w:r>
      <w:r>
        <w:rPr>
          <w:rFonts w:ascii="Arial" w:cs="Arial" w:eastAsia="Arial" w:hAnsi="Arial"/>
          <w:sz w:val="19"/>
          <w:szCs w:val="19"/>
          <w:color w:val="auto"/>
        </w:rPr>
        <w:t>whole or in part by reference to, or otherwise based on or related to shares of Common Stock, including but not limited to, shares of Common Stock awarded purely as a bonus and not subject to any restrictions or conditions, shares of Common Stock in payment of the amounts due under an incentive or performance plan sponsored or maintained by the Company or an Affiliate, stock appreciation rights, stock equivalent units, restricted stock units, Performance Units and Awards valued by reference to book value of shares of Common Stock.</w:t>
      </w:r>
    </w:p>
    <w:p>
      <w:pPr>
        <w:spacing w:after="0" w:line="185" w:lineRule="exact"/>
        <w:rPr>
          <w:sz w:val="20"/>
          <w:szCs w:val="20"/>
          <w:color w:val="auto"/>
        </w:rPr>
      </w:pPr>
    </w:p>
    <w:p>
      <w:pPr>
        <w:jc w:val="both"/>
        <w:ind w:left="120" w:firstLine="991"/>
        <w:spacing w:after="0" w:line="254" w:lineRule="auto"/>
        <w:rPr>
          <w:sz w:val="20"/>
          <w:szCs w:val="20"/>
          <w:color w:val="auto"/>
        </w:rPr>
      </w:pPr>
      <w:r>
        <w:rPr>
          <w:rFonts w:ascii="Arial" w:cs="Arial" w:eastAsia="Arial" w:hAnsi="Arial"/>
          <w:sz w:val="19"/>
          <w:szCs w:val="19"/>
          <w:color w:val="auto"/>
        </w:rPr>
        <w:t>The Committee shall have authority to determine the Participants, to whom, and the time or times at which, Other Stock-Based Awards shall be made, the number of shares of Common Stock to be awarded pursuant to such Awards, and all other terms and conditions of the Awards.</w:t>
      </w:r>
    </w:p>
    <w:p>
      <w:pPr>
        <w:spacing w:after="0" w:line="170" w:lineRule="exact"/>
        <w:rPr>
          <w:sz w:val="20"/>
          <w:szCs w:val="20"/>
          <w:color w:val="auto"/>
        </w:rPr>
      </w:pPr>
    </w:p>
    <w:p>
      <w:pPr>
        <w:jc w:val="both"/>
        <w:ind w:left="120" w:firstLine="991"/>
        <w:spacing w:after="0" w:line="243" w:lineRule="auto"/>
        <w:rPr>
          <w:sz w:val="20"/>
          <w:szCs w:val="20"/>
          <w:color w:val="auto"/>
        </w:rPr>
      </w:pPr>
      <w:r>
        <w:rPr>
          <w:rFonts w:ascii="Arial" w:cs="Arial" w:eastAsia="Arial" w:hAnsi="Arial"/>
          <w:sz w:val="19"/>
          <w:szCs w:val="19"/>
          <w:color w:val="auto"/>
        </w:rPr>
        <w:t>The Committee may condition the grant or vesting of Other Stock-Based Awards upon the attainment of performance goals or such other factors as the Committee may determine. If the grant or vesting of an Other Stock-Based Award is based on the attainment of performance goals, such performance goals shall be established by the Committee in writing on or before the date the grant of Other Stock-Based Award is made. Such performance goals may incorporate provisions for disregarding (or adjusting for) changes in accounting methods, corporate transactions (including dispositions and acquisitions) and other similar events or circumstances.</w:t>
      </w:r>
    </w:p>
    <w:p>
      <w:pPr>
        <w:spacing w:after="0" w:line="185" w:lineRule="exact"/>
        <w:rPr>
          <w:sz w:val="20"/>
          <w:szCs w:val="20"/>
          <w:color w:val="auto"/>
        </w:rPr>
      </w:pPr>
    </w:p>
    <w:p>
      <w:pPr>
        <w:jc w:val="both"/>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8.2 </w:t>
      </w:r>
      <w:r>
        <w:rPr>
          <w:rFonts w:ascii="Arial" w:cs="Arial" w:eastAsia="Arial" w:hAnsi="Arial"/>
          <w:sz w:val="19"/>
          <w:szCs w:val="19"/>
          <w:b w:val="1"/>
          <w:bCs w:val="1"/>
          <w:u w:val="single" w:color="auto"/>
          <w:color w:val="auto"/>
        </w:rPr>
        <w:t>Terms and Conditions</w:t>
      </w:r>
      <w:r>
        <w:rPr>
          <w:rFonts w:ascii="Arial" w:cs="Arial" w:eastAsia="Arial" w:hAnsi="Arial"/>
          <w:sz w:val="19"/>
          <w:szCs w:val="19"/>
          <w:color w:val="auto"/>
        </w:rPr>
        <w:t>. Other Stock-Based Awards made pursuant to this Article VIII shall be subject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terms and conditions:</w:t>
      </w:r>
    </w:p>
    <w:p>
      <w:pPr>
        <w:spacing w:after="0" w:line="156" w:lineRule="exact"/>
        <w:rPr>
          <w:sz w:val="20"/>
          <w:szCs w:val="20"/>
          <w:color w:val="auto"/>
        </w:rPr>
      </w:pPr>
    </w:p>
    <w:p>
      <w:pPr>
        <w:jc w:val="both"/>
        <w:ind w:left="120" w:right="20" w:firstLine="1538"/>
        <w:spacing w:after="0" w:line="254" w:lineRule="auto"/>
        <w:tabs>
          <w:tab w:leader="none" w:pos="2198"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Non-Transferability</w:t>
      </w:r>
      <w:r>
        <w:rPr>
          <w:rFonts w:ascii="Arial" w:cs="Arial" w:eastAsia="Arial" w:hAnsi="Arial"/>
          <w:sz w:val="19"/>
          <w:szCs w:val="19"/>
          <w:color w:val="auto"/>
        </w:rPr>
        <w:t>. The Participant may not Transfer Other Stock-Based Awards or the Common Stock underlying such Awards prior to the date on which the underlying Common Stock is issued, or, if later, the date on which any restriction, performance or deferral period applicable to such Common Stock lapses.</w:t>
      </w:r>
    </w:p>
    <w:p>
      <w:pPr>
        <w:spacing w:after="0" w:line="170" w:lineRule="exact"/>
        <w:rPr>
          <w:rFonts w:ascii="Arial" w:cs="Arial" w:eastAsia="Arial" w:hAnsi="Arial"/>
          <w:sz w:val="19"/>
          <w:szCs w:val="19"/>
          <w:color w:val="auto"/>
        </w:rPr>
      </w:pPr>
    </w:p>
    <w:p>
      <w:pPr>
        <w:jc w:val="both"/>
        <w:ind w:left="120" w:firstLine="1538"/>
        <w:spacing w:after="0" w:line="242" w:lineRule="auto"/>
        <w:tabs>
          <w:tab w:leader="none" w:pos="2130"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Dividends</w:t>
      </w:r>
      <w:r>
        <w:rPr>
          <w:rFonts w:ascii="Arial" w:cs="Arial" w:eastAsia="Arial" w:hAnsi="Arial"/>
          <w:sz w:val="19"/>
          <w:szCs w:val="19"/>
          <w:color w:val="auto"/>
        </w:rPr>
        <w:t>. The Committee shall determine to what extent, and under what conditions, the Participant shall have the right to receive dividends, dividend equivalents or other distributions (collectively, “dividends”) with respect to shares of Common Stock covered by Other Stock-Based Awards. Except as otherwise determined by the Committee, dividends with respect to unvested Other Stock-Based Awards shall be withheld until such Other Stock-Based Awards vest. Dividends that are not paid currently shall be credited to bookkeeping accounts on the Company’s records for purposes of the Plan and, except as otherwise determined by the Committee, shall not accrue interest. Such dividends shall be paid to the Participant in the same form as paid on the Common Stock or such other form as is determined by the Committee upon the lapse of the restrictions.</w:t>
      </w:r>
    </w:p>
    <w:p>
      <w:pPr>
        <w:spacing w:after="0" w:line="185" w:lineRule="exact"/>
        <w:rPr>
          <w:rFonts w:ascii="Arial" w:cs="Arial" w:eastAsia="Arial" w:hAnsi="Arial"/>
          <w:sz w:val="19"/>
          <w:szCs w:val="19"/>
          <w:color w:val="auto"/>
        </w:rPr>
      </w:pPr>
    </w:p>
    <w:p>
      <w:pPr>
        <w:jc w:val="both"/>
        <w:ind w:left="120" w:firstLine="1538"/>
        <w:spacing w:after="0" w:line="243" w:lineRule="auto"/>
        <w:tabs>
          <w:tab w:leader="none" w:pos="2187"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Other Stock Based Awards and any underlying Common Stock shall vest or be forfeited to the extent set forth in the applicable Award agreement or as otherwise determined by the Committee. At the expiration of any applicable Performance Period, the Committee shall determine the extent to which the relevant performance goals are achieved and the portion of each Other Stock-Based Award that has been earned. The Committee may, at or after grant, accelerate the vesting of all or any part of any Other Stock-Based Award. Notwithstanding any other provision of the Plan to the contrary, the minimum vesting period with respect to any Other Stock-Based Awards shall be no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351155" cy="18859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51155" cy="188595"/>
                    </a:xfrm>
                    <a:prstGeom prst="rect">
                      <a:avLst/>
                    </a:prstGeom>
                    <a:noFill/>
                  </pic:spPr>
                </pic:pic>
              </a:graphicData>
            </a:graphic>
          </wp:anchor>
        </w:drawing>
      </w:r>
    </w:p>
    <w:p>
      <w:pPr>
        <w:spacing w:after="0" w:line="164" w:lineRule="exact"/>
        <w:rPr>
          <w:sz w:val="20"/>
          <w:szCs w:val="20"/>
          <w:color w:val="auto"/>
        </w:rPr>
      </w:pPr>
    </w:p>
    <w:p>
      <w:pPr>
        <w:ind w:left="220"/>
        <w:spacing w:after="0"/>
        <w:tabs>
          <w:tab w:leader="none" w:pos="780" w:val="left"/>
          <w:tab w:leader="none" w:pos="9000" w:val="left"/>
        </w:tabs>
        <w:rPr>
          <w:sz w:val="20"/>
          <w:szCs w:val="20"/>
          <w:color w:val="auto"/>
        </w:rPr>
      </w:pPr>
      <w:r>
        <w:rPr>
          <w:rFonts w:ascii="Arial" w:cs="Arial" w:eastAsia="Arial" w:hAnsi="Arial"/>
          <w:sz w:val="16"/>
          <w:szCs w:val="16"/>
          <w:color w:val="FFFFFF"/>
        </w:rPr>
        <w:t>A-22</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2023 Omnibus Incentive Plan</w:t>
      </w:r>
    </w:p>
    <w:p>
      <w:pPr>
        <w:sectPr>
          <w:pgSz w:w="11900" w:h="16838" w:orient="portrait"/>
          <w:cols w:equalWidth="0" w:num="1">
            <w:col w:w="11140"/>
          </w:cols>
          <w:pgMar w:left="320" w:top="482"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48"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Committee shall be authorized (at the time of grant or thereafter) to provide for the earlier vesting in the event of a Change in Control or a Participant’s retirement, death or Disability;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subject to the limitations set forth in Section 4.1, shares underlying Awards with respect to up to 5% of the total number of shares of Common Stock reserved for Awards may be exempt from the foregoing limitations.</w:t>
      </w:r>
    </w:p>
    <w:p>
      <w:pPr>
        <w:spacing w:after="0" w:line="177" w:lineRule="exact"/>
        <w:rPr>
          <w:sz w:val="20"/>
          <w:szCs w:val="20"/>
          <w:color w:val="auto"/>
        </w:rPr>
      </w:pPr>
    </w:p>
    <w:p>
      <w:pPr>
        <w:jc w:val="both"/>
        <w:ind w:left="120" w:firstLine="1538"/>
        <w:spacing w:after="0" w:line="242" w:lineRule="auto"/>
        <w:tabs>
          <w:tab w:leader="none" w:pos="2211"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Following the Committee’s determination in accordance with subsection (c) above, shares of Common Stock or, as determined by the Committee, the cash equivalent of such shares shall be delivered to the Eligible Employee, Consultant or Non-Employee Director, or his legal representative, in an amount equal to such individual’s earned Other Stock-Based Award. Notwithstanding the foregoing, the Committee may exercise negative discretion by providing in an Other Stock-Based Award the discretion to pay an amount less than otherwise would be provided under the applicable level of attainment of the performance goals or subject the payment of all or part of any Other Stock-Based Award to additional vesting, forfeiture and deferral conditions as it deems appropriate.</w:t>
      </w:r>
    </w:p>
    <w:p>
      <w:pPr>
        <w:spacing w:after="0" w:line="185" w:lineRule="exact"/>
        <w:rPr>
          <w:rFonts w:ascii="Arial" w:cs="Arial" w:eastAsia="Arial" w:hAnsi="Arial"/>
          <w:sz w:val="19"/>
          <w:szCs w:val="19"/>
          <w:color w:val="auto"/>
        </w:rPr>
      </w:pPr>
    </w:p>
    <w:p>
      <w:pPr>
        <w:jc w:val="both"/>
        <w:ind w:left="120" w:firstLine="1538"/>
        <w:spacing w:after="0" w:line="242" w:lineRule="auto"/>
        <w:tabs>
          <w:tab w:leader="none" w:pos="2211"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Detrimental Activity</w:t>
      </w:r>
      <w:r>
        <w:rPr>
          <w:rFonts w:ascii="Arial" w:cs="Arial" w:eastAsia="Arial" w:hAnsi="Arial"/>
          <w:sz w:val="19"/>
          <w:szCs w:val="19"/>
          <w:color w:val="auto"/>
        </w:rPr>
        <w:t>. Unless otherwise determined by the Committee at grant, each Other Stock-Based Award shall provide that (A) in the event the Participant engages in Detrimental Activity prior to any vesting of such Other Stock-Based Award, all unvested Other Stock-Based Award shall be immediately forfeited, and (B) in the event the Participant engages in Detrimental Activity during the one year period after any vesting of such Other Stock-Based Award, the Committee shall be entitled to recover from the Participant (at any time within the one-year period after such engagement in Detrimental Activity) an amount equal to any gain the Participant realized from any Other Stock-Based Award that had vested in the period referred to above. Unless otherwise determined by the Committee at grant, this Section 8.2(e) shall cease to apply upon a Change in Control.</w:t>
      </w:r>
    </w:p>
    <w:p>
      <w:pPr>
        <w:spacing w:after="0" w:line="185" w:lineRule="exact"/>
        <w:rPr>
          <w:rFonts w:ascii="Arial" w:cs="Arial" w:eastAsia="Arial" w:hAnsi="Arial"/>
          <w:sz w:val="19"/>
          <w:szCs w:val="19"/>
          <w:color w:val="auto"/>
        </w:rPr>
      </w:pPr>
    </w:p>
    <w:p>
      <w:pPr>
        <w:jc w:val="both"/>
        <w:ind w:left="120" w:right="20" w:firstLine="1538"/>
        <w:spacing w:after="0" w:line="248" w:lineRule="auto"/>
        <w:tabs>
          <w:tab w:leader="none" w:pos="2253"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Price</w:t>
      </w:r>
      <w:r>
        <w:rPr>
          <w:rFonts w:ascii="Arial" w:cs="Arial" w:eastAsia="Arial" w:hAnsi="Arial"/>
          <w:sz w:val="19"/>
          <w:szCs w:val="19"/>
          <w:color w:val="auto"/>
        </w:rPr>
        <w:t>. Common Stock issued on a bonus basis under this Article VIII may be issued for no cash consideration; Common Stock purchased pursuant to a purchase right awarded under this Article VIII shall be priced as determined by the Committee; stock appreciation rights shall have a per share strike price that is not less than 100% of the Fair Market Value on the date of grant and a term of no more than ten years.</w:t>
      </w:r>
    </w:p>
    <w:p>
      <w:pPr>
        <w:spacing w:after="0" w:line="176" w:lineRule="exact"/>
        <w:rPr>
          <w:rFonts w:ascii="Arial" w:cs="Arial" w:eastAsia="Arial" w:hAnsi="Arial"/>
          <w:sz w:val="19"/>
          <w:szCs w:val="19"/>
          <w:color w:val="auto"/>
        </w:rPr>
      </w:pPr>
    </w:p>
    <w:p>
      <w:pPr>
        <w:jc w:val="both"/>
        <w:ind w:left="120" w:right="20" w:firstLine="1538"/>
        <w:spacing w:after="0" w:line="254" w:lineRule="auto"/>
        <w:tabs>
          <w:tab w:leader="none" w:pos="2198"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Upon a Participant’s Termination for any reason during the Performance Period, the Other Stock-Based Awards will vest or be forfeited in accordance with the terms and conditions established by the Committee at grant or, if no rights of the Participant are reduced, thereafter.</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ARTICLE IX</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PERFORMANCE-BASED CASH AWARDS</w:t>
      </w:r>
    </w:p>
    <w:p>
      <w:pPr>
        <w:spacing w:after="0" w:line="214" w:lineRule="exact"/>
        <w:rPr>
          <w:sz w:val="20"/>
          <w:szCs w:val="20"/>
          <w:color w:val="auto"/>
        </w:rPr>
      </w:pPr>
    </w:p>
    <w:p>
      <w:pPr>
        <w:jc w:val="both"/>
        <w:ind w:left="120" w:right="20" w:firstLine="991"/>
        <w:spacing w:after="0" w:line="248"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b w:val="1"/>
          <w:bCs w:val="1"/>
          <w:u w:val="single" w:color="auto"/>
          <w:color w:val="auto"/>
        </w:rPr>
        <w:t>Performance-Based Cash Awards</w:t>
      </w:r>
      <w:r>
        <w:rPr>
          <w:rFonts w:ascii="Arial" w:cs="Arial" w:eastAsia="Arial" w:hAnsi="Arial"/>
          <w:sz w:val="19"/>
          <w:szCs w:val="19"/>
          <w:color w:val="auto"/>
        </w:rPr>
        <w:t>. The Committee shall have authority to determine the Eligible Employees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Consultants to whom, and the time or times at which, Performance-Based Cash Awards shall be made, the dollar amount to be awarded pursuant to such Performance-Based Cash Award, and all other conditions for the payment of the Performance-Based Cash Award.</w:t>
      </w:r>
    </w:p>
    <w:p>
      <w:pPr>
        <w:spacing w:after="0" w:line="177" w:lineRule="exact"/>
        <w:rPr>
          <w:sz w:val="20"/>
          <w:szCs w:val="20"/>
          <w:color w:val="auto"/>
        </w:rPr>
      </w:pPr>
    </w:p>
    <w:p>
      <w:pPr>
        <w:jc w:val="both"/>
        <w:ind w:left="120" w:right="20" w:firstLine="991"/>
        <w:spacing w:after="0" w:line="254" w:lineRule="auto"/>
        <w:rPr>
          <w:sz w:val="20"/>
          <w:szCs w:val="20"/>
          <w:color w:val="auto"/>
        </w:rPr>
      </w:pPr>
      <w:r>
        <w:rPr>
          <w:rFonts w:ascii="Arial" w:cs="Arial" w:eastAsia="Arial" w:hAnsi="Arial"/>
          <w:sz w:val="19"/>
          <w:szCs w:val="19"/>
          <w:color w:val="auto"/>
        </w:rPr>
        <w:t>Except as otherwise provided herein, the Committee shall condition the right to payment of any Performance-Based Cash Award upon the attainment of specified performance goals established pursuant to Section 9.2(c) and such other factors as the Committee may determine. The Committee may establish different performance goals for different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73660</wp:posOffset>
            </wp:positionV>
            <wp:extent cx="360045" cy="18859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60045" cy="188595"/>
                    </a:xfrm>
                    <a:prstGeom prst="rect">
                      <a:avLst/>
                    </a:prstGeom>
                    <a:noFill/>
                  </pic:spPr>
                </pic:pic>
              </a:graphicData>
            </a:graphic>
          </wp:anchor>
        </w:drawing>
      </w:r>
    </w:p>
    <w:p>
      <w:pPr>
        <w:spacing w:after="0" w:line="150" w:lineRule="exact"/>
        <w:rPr>
          <w:sz w:val="20"/>
          <w:szCs w:val="20"/>
          <w:color w:val="auto"/>
        </w:rPr>
      </w:pPr>
    </w:p>
    <w:p>
      <w:pPr>
        <w:ind w:left="120"/>
        <w:spacing w:after="0"/>
        <w:tabs>
          <w:tab w:leader="none" w:pos="8840" w:val="left"/>
          <w:tab w:leader="none" w:pos="10660" w:val="left"/>
        </w:tabs>
        <w:rPr>
          <w:sz w:val="20"/>
          <w:szCs w:val="20"/>
          <w:color w:val="auto"/>
        </w:rPr>
      </w:pPr>
      <w:r>
        <w:rPr>
          <w:rFonts w:ascii="Arial" w:cs="Arial" w:eastAsia="Arial" w:hAnsi="Arial"/>
          <w:sz w:val="16"/>
          <w:szCs w:val="16"/>
          <w:color w:val="002060"/>
        </w:rPr>
        <w:t>2023 Omnibus Incentive Plan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A-23</w:t>
      </w:r>
    </w:p>
    <w:p>
      <w:pPr>
        <w:sectPr>
          <w:pgSz w:w="11900" w:h="16838" w:orient="portrait"/>
          <w:cols w:equalWidth="0" w:num="1">
            <w:col w:w="11140"/>
          </w:cols>
          <w:pgMar w:left="320" w:top="482"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991"/>
        <w:spacing w:after="0"/>
        <w:rPr>
          <w:sz w:val="20"/>
          <w:szCs w:val="20"/>
          <w:color w:val="auto"/>
        </w:rPr>
      </w:pPr>
      <w:r>
        <w:rPr>
          <w:rFonts w:ascii="Arial" w:cs="Arial" w:eastAsia="Arial" w:hAnsi="Arial"/>
          <w:sz w:val="19"/>
          <w:szCs w:val="19"/>
          <w:color w:val="auto"/>
        </w:rPr>
        <w:t xml:space="preserve">For any Participant, the Committee may specify a targeted Performance-Based Cash Award for a Performance Period (each an “ </w:t>
      </w:r>
      <w:r>
        <w:rPr>
          <w:rFonts w:ascii="Arial" w:cs="Arial" w:eastAsia="Arial" w:hAnsi="Arial"/>
          <w:sz w:val="19"/>
          <w:szCs w:val="19"/>
          <w:b w:val="1"/>
          <w:bCs w:val="1"/>
          <w:u w:val="single" w:color="auto"/>
          <w:color w:val="auto"/>
        </w:rPr>
        <w:t>Individual Target Award</w:t>
      </w:r>
      <w:r>
        <w:rPr>
          <w:rFonts w:ascii="Arial" w:cs="Arial" w:eastAsia="Arial" w:hAnsi="Arial"/>
          <w:sz w:val="19"/>
          <w:szCs w:val="19"/>
          <w:color w:val="auto"/>
        </w:rPr>
        <w:t>”). An Individual Target Award may be expressed, at the Committee’s discretion, as a fixed dollar amount, a percentage of the Participant’s base pay, as a percentage of a bonus pool funded by a formula based on achievement of performance goals, or an amount determined pursuant to an objective formula or standard. The Committee’s establishment of an Individual Target Award for a Participant for a Performance Period shall not imply or require that the same level or any Individual Target Award be established for the Participant for any subsequent Performance Period or for any other Participant for that Performance Period or any subsequent Performance Period. At the time the performance goals are established (as provided in Section 9.2(c)), the Committee shall prescribe a formula to determine the maximum and minimum percentages (which may be greater or less than 100% of an Individual Target Award) that may be earned or payable based upon the degree of attainment of the performance goals during the Performance Period.</w:t>
      </w:r>
    </w:p>
    <w:p>
      <w:pPr>
        <w:spacing w:after="0" w:line="191" w:lineRule="exact"/>
        <w:rPr>
          <w:sz w:val="20"/>
          <w:szCs w:val="20"/>
          <w:color w:val="auto"/>
        </w:rPr>
      </w:pPr>
    </w:p>
    <w:p>
      <w:pPr>
        <w:ind w:left="1100"/>
        <w:spacing w:after="0"/>
        <w:tabs>
          <w:tab w:leader="none" w:pos="1560" w:val="left"/>
        </w:tabs>
        <w:rPr>
          <w:sz w:val="20"/>
          <w:szCs w:val="20"/>
          <w:color w:val="auto"/>
        </w:rPr>
      </w:pPr>
      <w:r>
        <w:rPr>
          <w:rFonts w:ascii="Arial" w:cs="Arial" w:eastAsia="Arial" w:hAnsi="Arial"/>
          <w:sz w:val="19"/>
          <w:szCs w:val="19"/>
          <w:b w:val="1"/>
          <w:bCs w:val="1"/>
          <w:color w:val="auto"/>
        </w:rPr>
        <w:t>9.2</w:t>
      </w:r>
      <w:r>
        <w:rPr>
          <w:sz w:val="20"/>
          <w:szCs w:val="20"/>
          <w:color w:val="auto"/>
        </w:rPr>
        <w:tab/>
      </w:r>
      <w:r>
        <w:rPr>
          <w:rFonts w:ascii="Arial" w:cs="Arial" w:eastAsia="Arial" w:hAnsi="Arial"/>
          <w:sz w:val="18"/>
          <w:szCs w:val="18"/>
          <w:b w:val="1"/>
          <w:bCs w:val="1"/>
          <w:u w:val="single" w:color="auto"/>
          <w:color w:val="auto"/>
        </w:rPr>
        <w:t>Terms and Conditions</w:t>
      </w:r>
      <w:r>
        <w:rPr>
          <w:rFonts w:ascii="Arial" w:cs="Arial" w:eastAsia="Arial" w:hAnsi="Arial"/>
          <w:sz w:val="18"/>
          <w:szCs w:val="18"/>
          <w:color w:val="auto"/>
        </w:rPr>
        <w:t>. Performance-Based Cash Awards shall be subject to the following terms and conditions:</w:t>
      </w:r>
    </w:p>
    <w:p>
      <w:pPr>
        <w:spacing w:after="0" w:line="214" w:lineRule="exact"/>
        <w:rPr>
          <w:sz w:val="20"/>
          <w:szCs w:val="20"/>
          <w:color w:val="auto"/>
        </w:rPr>
      </w:pPr>
    </w:p>
    <w:p>
      <w:pPr>
        <w:jc w:val="both"/>
        <w:ind w:left="120" w:right="20" w:firstLine="1538"/>
        <w:spacing w:after="0" w:line="254" w:lineRule="auto"/>
        <w:tabs>
          <w:tab w:leader="none" w:pos="2211"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Committee Determination</w:t>
      </w:r>
      <w:r>
        <w:rPr>
          <w:rFonts w:ascii="Arial" w:cs="Arial" w:eastAsia="Arial" w:hAnsi="Arial"/>
          <w:sz w:val="19"/>
          <w:szCs w:val="19"/>
          <w:color w:val="auto"/>
        </w:rPr>
        <w:t>. At the expiration of the applicable Performance Period, the Committee shall determine the extent to which the performance goals established pursuant to Section 9.2(c) are achieved and, if applicable, the percentage of the Performance-Based Cash Award that has been vested and earned.</w:t>
      </w:r>
    </w:p>
    <w:p>
      <w:pPr>
        <w:spacing w:after="0" w:line="170" w:lineRule="exact"/>
        <w:rPr>
          <w:rFonts w:ascii="Arial" w:cs="Arial" w:eastAsia="Arial" w:hAnsi="Arial"/>
          <w:sz w:val="19"/>
          <w:szCs w:val="19"/>
          <w:color w:val="auto"/>
        </w:rPr>
      </w:pPr>
    </w:p>
    <w:p>
      <w:pPr>
        <w:jc w:val="both"/>
        <w:ind w:left="120" w:right="20" w:firstLine="1538"/>
        <w:spacing w:after="0" w:line="254" w:lineRule="auto"/>
        <w:tabs>
          <w:tab w:leader="none" w:pos="2346"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Waiver of Limitation</w:t>
      </w:r>
      <w:r>
        <w:rPr>
          <w:rFonts w:ascii="Arial" w:cs="Arial" w:eastAsia="Arial" w:hAnsi="Arial"/>
          <w:sz w:val="19"/>
          <w:szCs w:val="19"/>
          <w:color w:val="auto"/>
        </w:rPr>
        <w:t>. In the event of the Participant’s Disability or death, or in cases of special circumstances, the Committee may waive in whole or in part any or all of the limitations imposed thereunder with respect to any or all of a Performance-Based Cash Award.</w:t>
      </w:r>
    </w:p>
    <w:p>
      <w:pPr>
        <w:spacing w:after="0" w:line="170" w:lineRule="exact"/>
        <w:rPr>
          <w:rFonts w:ascii="Arial" w:cs="Arial" w:eastAsia="Arial" w:hAnsi="Arial"/>
          <w:sz w:val="19"/>
          <w:szCs w:val="19"/>
          <w:color w:val="auto"/>
        </w:rPr>
      </w:pPr>
    </w:p>
    <w:p>
      <w:pPr>
        <w:jc w:val="both"/>
        <w:ind w:left="120" w:right="20" w:firstLine="1538"/>
        <w:spacing w:after="0" w:line="248" w:lineRule="auto"/>
        <w:tabs>
          <w:tab w:leader="none" w:pos="2119"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Performance Goals, Formulae or Standards</w:t>
      </w:r>
      <w:r>
        <w:rPr>
          <w:rFonts w:ascii="Arial" w:cs="Arial" w:eastAsia="Arial" w:hAnsi="Arial"/>
          <w:sz w:val="19"/>
          <w:szCs w:val="19"/>
          <w:color w:val="auto"/>
        </w:rPr>
        <w:t>. The performance goals for the earning of Performance-Based Cash Awards shall be established by the Committee on or before the date the grant of Performance-Based Cash Award. Such performance goals may incorporate provisions for disregarding (or adjusting for) changes in accounting methods, corporate transactions (including dispositions and acquisitions) and other similar type events or circumstances.</w:t>
      </w:r>
    </w:p>
    <w:p>
      <w:pPr>
        <w:spacing w:after="0" w:line="176" w:lineRule="exact"/>
        <w:rPr>
          <w:rFonts w:ascii="Arial" w:cs="Arial" w:eastAsia="Arial" w:hAnsi="Arial"/>
          <w:sz w:val="19"/>
          <w:szCs w:val="19"/>
          <w:color w:val="auto"/>
        </w:rPr>
      </w:pPr>
    </w:p>
    <w:p>
      <w:pPr>
        <w:jc w:val="both"/>
        <w:ind w:left="120" w:firstLine="1538"/>
        <w:spacing w:after="0"/>
        <w:tabs>
          <w:tab w:leader="none" w:pos="2171"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Following the Committee’s determination, the earned Performance-Based Cash Award amount shall be paid to the Participant or his legal representative, in accordance with the terms and conditions set forth in Performance-Based Cash Award agreement, but in no event, except as provided in the next sentence, shall such amount be paid later than the later of: (i) March 15 of the year following the year in which the applicable Performance Period ends (or, if later, the year in which the Award is earned); or (ii) two and one-half months after the expiration of the fiscal year of the Company in which the applicable Performance Period ends. Notwithstanding the foregoing, the Committee may place such conditions on the payment of all or any portion of any Performance-Based Cash Award as the Committee may determine and prior to the beginning of a Performance Period the Committee may (A) provide that the payment of all or any portion of any Performance-Based Cash Award shall be deferred and (B) permit a Participant to elect to defer receipt of all or a portion of any Performance-Based Cash Award. To the extent applicable, any deferral under this Section 9.2(d) shall be made in a manner intended to comply with or be exempt from the applicable requirements of Section 409A. Notwithstanding the foregoing, the Committee may exercise negative discretion by providing in a Performance-Based Cash Award the discretion to pay an amount less than otherwise would be provided under the applicable level of attainment of the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351155" cy="18859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51155" cy="188595"/>
                    </a:xfrm>
                    <a:prstGeom prst="rect">
                      <a:avLst/>
                    </a:prstGeom>
                    <a:noFill/>
                  </pic:spPr>
                </pic:pic>
              </a:graphicData>
            </a:graphic>
          </wp:anchor>
        </w:drawing>
      </w:r>
    </w:p>
    <w:p>
      <w:pPr>
        <w:spacing w:after="0" w:line="163" w:lineRule="exact"/>
        <w:rPr>
          <w:sz w:val="20"/>
          <w:szCs w:val="20"/>
          <w:color w:val="auto"/>
        </w:rPr>
      </w:pPr>
    </w:p>
    <w:p>
      <w:pPr>
        <w:ind w:left="220"/>
        <w:spacing w:after="0"/>
        <w:tabs>
          <w:tab w:leader="none" w:pos="780" w:val="left"/>
          <w:tab w:leader="none" w:pos="9000" w:val="left"/>
        </w:tabs>
        <w:rPr>
          <w:sz w:val="20"/>
          <w:szCs w:val="20"/>
          <w:color w:val="auto"/>
        </w:rPr>
      </w:pPr>
      <w:r>
        <w:rPr>
          <w:rFonts w:ascii="Arial" w:cs="Arial" w:eastAsia="Arial" w:hAnsi="Arial"/>
          <w:sz w:val="16"/>
          <w:szCs w:val="16"/>
          <w:color w:val="FFFFFF"/>
        </w:rPr>
        <w:t>A-24</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2023 Omnibus Incentive Plan</w:t>
      </w:r>
    </w:p>
    <w:p>
      <w:pPr>
        <w:sectPr>
          <w:pgSz w:w="11900" w:h="16838" w:orient="portrait"/>
          <w:cols w:equalWidth="0" w:num="1">
            <w:col w:w="11140"/>
          </w:cols>
          <w:pgMar w:left="320" w:top="482"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firstLine="1538"/>
        <w:spacing w:after="0" w:line="248" w:lineRule="auto"/>
        <w:tabs>
          <w:tab w:leader="none" w:pos="2211"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Unless otherwise determined by the Committee at the time of grant (or, if no rights of the Participant (or, in the case of his death, his estate) are reduced, thereafter), no Performance-Based Cash Award or pro rata portion thereof shall be payable to any Participant who incurs a Termination prior to the date such Performance-Based Cash Award is paid and the performance-Based Cash Awards only shall be deemed to be earned when actually paid.</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ARTICLE X</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CHANGE IN CONTROL PROVISIONS</w:t>
      </w:r>
    </w:p>
    <w:p>
      <w:pPr>
        <w:spacing w:after="0" w:line="214" w:lineRule="exact"/>
        <w:rPr>
          <w:sz w:val="20"/>
          <w:szCs w:val="20"/>
          <w:color w:val="auto"/>
        </w:rPr>
      </w:pPr>
    </w:p>
    <w:p>
      <w:pPr>
        <w:jc w:val="both"/>
        <w:ind w:left="120" w:firstLine="991"/>
        <w:spacing w:after="0" w:line="254" w:lineRule="auto"/>
        <w:rPr>
          <w:sz w:val="20"/>
          <w:szCs w:val="20"/>
          <w:color w:val="auto"/>
        </w:rPr>
      </w:pPr>
      <w:r>
        <w:rPr>
          <w:rFonts w:ascii="Arial" w:cs="Arial" w:eastAsia="Arial" w:hAnsi="Arial"/>
          <w:sz w:val="19"/>
          <w:szCs w:val="19"/>
          <w:b w:val="1"/>
          <w:bCs w:val="1"/>
          <w:color w:val="auto"/>
        </w:rPr>
        <w:t xml:space="preserve">10.1 </w:t>
      </w:r>
      <w:r>
        <w:rPr>
          <w:rFonts w:ascii="Arial" w:cs="Arial" w:eastAsia="Arial" w:hAnsi="Arial"/>
          <w:sz w:val="19"/>
          <w:szCs w:val="19"/>
          <w:b w:val="1"/>
          <w:bCs w:val="1"/>
          <w:u w:val="single" w:color="auto"/>
          <w:color w:val="auto"/>
        </w:rPr>
        <w:t>General Change in Control Treatment</w:t>
      </w:r>
      <w:r>
        <w:rPr>
          <w:rFonts w:ascii="Arial" w:cs="Arial" w:eastAsia="Arial" w:hAnsi="Arial"/>
          <w:sz w:val="19"/>
          <w:szCs w:val="19"/>
          <w:color w:val="auto"/>
        </w:rPr>
        <w:t>. In the event of a Change in Control of the Company,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provided by the Committee in an Award agreement or otherwise in writing, a Participant’s unvested Award shall not vest and a Participant’s Award shall be treated in accordance with one of the following methods as determined by the Committee:</w:t>
      </w:r>
    </w:p>
    <w:p>
      <w:pPr>
        <w:spacing w:after="0" w:line="170" w:lineRule="exact"/>
        <w:rPr>
          <w:sz w:val="20"/>
          <w:szCs w:val="20"/>
          <w:color w:val="auto"/>
        </w:rPr>
      </w:pPr>
    </w:p>
    <w:p>
      <w:pPr>
        <w:jc w:val="both"/>
        <w:ind w:left="120" w:right="20" w:firstLine="1538"/>
        <w:spacing w:after="0" w:line="243" w:lineRule="auto"/>
        <w:tabs>
          <w:tab w:leader="none" w:pos="2095"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Awards, whether or not then vested, may be continued, assumed, have new rights substituted therefor or be treated in accordance with Section 4.2(d), and Restricted Stock or other Awards may, where appropriate in the discretion of the Committee, receive the same distribution as other Common Stock on such terms as determined by the Committee; provided that, the Committee may decide to award additional Restricted Stock or any other Award in lieu of any cash distribution. Notwithstanding anything to the contrary herein, any assumption or substitution of Incentive Stock Options shall be structured in a manner intended to comply with the requirements of Treasury Regulation §1.424-1 (and any amendments thereto).</w:t>
      </w:r>
    </w:p>
    <w:p>
      <w:pPr>
        <w:spacing w:after="0" w:line="184" w:lineRule="exact"/>
        <w:rPr>
          <w:rFonts w:ascii="Arial" w:cs="Arial" w:eastAsia="Arial" w:hAnsi="Arial"/>
          <w:sz w:val="19"/>
          <w:szCs w:val="19"/>
          <w:color w:val="auto"/>
        </w:rPr>
      </w:pPr>
    </w:p>
    <w:p>
      <w:pPr>
        <w:jc w:val="both"/>
        <w:ind w:left="120" w:firstLine="1538"/>
        <w:spacing w:after="0" w:line="248" w:lineRule="auto"/>
        <w:tabs>
          <w:tab w:leader="none" w:pos="219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Awards may be canceled in exchange for an amount of cash equal to the Change in Control Price (as defined below) per share of Common Stock covered by such Awards, less, in the case of an Appreciation Award, the exercise price per share of Common Stock covered by such Award. The “</w:t>
      </w:r>
      <w:r>
        <w:rPr>
          <w:rFonts w:ascii="Arial" w:cs="Arial" w:eastAsia="Arial" w:hAnsi="Arial"/>
          <w:sz w:val="19"/>
          <w:szCs w:val="19"/>
          <w:b w:val="1"/>
          <w:bCs w:val="1"/>
          <w:u w:val="single" w:color="auto"/>
          <w:color w:val="auto"/>
        </w:rPr>
        <w:t>Change in Control Price</w:t>
      </w:r>
      <w:r>
        <w:rPr>
          <w:rFonts w:ascii="Arial" w:cs="Arial" w:eastAsia="Arial" w:hAnsi="Arial"/>
          <w:sz w:val="19"/>
          <w:szCs w:val="19"/>
          <w:color w:val="auto"/>
        </w:rPr>
        <w:t>” means the price per share of Common Stock paid in the Change in Control transaction.</w:t>
      </w:r>
    </w:p>
    <w:p>
      <w:pPr>
        <w:spacing w:after="0" w:line="176" w:lineRule="exact"/>
        <w:rPr>
          <w:rFonts w:ascii="Arial" w:cs="Arial" w:eastAsia="Arial" w:hAnsi="Arial"/>
          <w:sz w:val="19"/>
          <w:szCs w:val="19"/>
          <w:color w:val="auto"/>
        </w:rPr>
      </w:pPr>
    </w:p>
    <w:p>
      <w:pPr>
        <w:ind w:left="120" w:right="20" w:firstLine="1538"/>
        <w:spacing w:after="0" w:line="270" w:lineRule="auto"/>
        <w:tabs>
          <w:tab w:leader="none" w:pos="217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Appreciation Awards may be cancelled without payment, if the Change in Control Price is less than the exercise price per share of such Appreciation Awards.</w:t>
      </w:r>
    </w:p>
    <w:p>
      <w:pPr>
        <w:spacing w:after="0" w:line="156" w:lineRule="exact"/>
        <w:rPr>
          <w:sz w:val="20"/>
          <w:szCs w:val="20"/>
          <w:color w:val="auto"/>
        </w:rPr>
      </w:pPr>
    </w:p>
    <w:p>
      <w:pPr>
        <w:jc w:val="both"/>
        <w:ind w:left="120" w:right="20"/>
        <w:spacing w:after="0" w:line="270" w:lineRule="auto"/>
        <w:rPr>
          <w:sz w:val="20"/>
          <w:szCs w:val="20"/>
          <w:color w:val="auto"/>
        </w:rPr>
      </w:pPr>
      <w:r>
        <w:rPr>
          <w:rFonts w:ascii="Arial" w:cs="Arial" w:eastAsia="Arial" w:hAnsi="Arial"/>
          <w:sz w:val="19"/>
          <w:szCs w:val="19"/>
          <w:color w:val="auto"/>
        </w:rPr>
        <w:t>Notwithstanding anything else herein, the Committee may provide for accelerated vesting or lapse of restrictions, of an Award at any time.</w:t>
      </w:r>
    </w:p>
    <w:p>
      <w:pPr>
        <w:spacing w:after="0" w:line="156" w:lineRule="exact"/>
        <w:rPr>
          <w:sz w:val="20"/>
          <w:szCs w:val="20"/>
          <w:color w:val="auto"/>
        </w:rPr>
      </w:pPr>
    </w:p>
    <w:p>
      <w:pPr>
        <w:jc w:val="both"/>
        <w:ind w:left="120" w:firstLine="991"/>
        <w:spacing w:after="0" w:line="248" w:lineRule="auto"/>
        <w:rPr>
          <w:sz w:val="20"/>
          <w:szCs w:val="20"/>
          <w:color w:val="auto"/>
        </w:rPr>
      </w:pPr>
      <w:r>
        <w:rPr>
          <w:rFonts w:ascii="Arial" w:cs="Arial" w:eastAsia="Arial" w:hAnsi="Arial"/>
          <w:sz w:val="19"/>
          <w:szCs w:val="19"/>
          <w:b w:val="1"/>
          <w:bCs w:val="1"/>
          <w:color w:val="auto"/>
        </w:rPr>
        <w:t xml:space="preserve">10.2 </w:t>
      </w:r>
      <w:r>
        <w:rPr>
          <w:rFonts w:ascii="Arial" w:cs="Arial" w:eastAsia="Arial" w:hAnsi="Arial"/>
          <w:sz w:val="19"/>
          <w:szCs w:val="19"/>
          <w:b w:val="1"/>
          <w:bCs w:val="1"/>
          <w:u w:val="single" w:color="auto"/>
          <w:color w:val="auto"/>
        </w:rPr>
        <w:t>Terminations in Connection with a Change in Control</w:t>
      </w:r>
      <w:r>
        <w:rPr>
          <w:rFonts w:ascii="Arial" w:cs="Arial" w:eastAsia="Arial" w:hAnsi="Arial"/>
          <w:sz w:val="19"/>
          <w:szCs w:val="19"/>
          <w:color w:val="auto"/>
        </w:rPr>
        <w:t>. Notwithstanding any provision in this Plan or an Award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to the contrary, in the event of a Termination without Cause that occurs in the twenty-four (24)-month period following a Change in Control, such terminated Participant’s unvested Awards shall become fully vested immediately upon such Termination without Cause.</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ARTICLE XI</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TERMINATION OR AMENDMENT OF PLAN</w:t>
      </w:r>
    </w:p>
    <w:p>
      <w:pPr>
        <w:spacing w:after="0" w:line="214" w:lineRule="exact"/>
        <w:rPr>
          <w:sz w:val="20"/>
          <w:szCs w:val="20"/>
          <w:color w:val="auto"/>
        </w:rPr>
      </w:pPr>
    </w:p>
    <w:p>
      <w:pPr>
        <w:jc w:val="both"/>
        <w:ind w:left="120" w:right="20" w:firstLine="991"/>
        <w:spacing w:after="0" w:line="245" w:lineRule="auto"/>
        <w:rPr>
          <w:sz w:val="20"/>
          <w:szCs w:val="20"/>
          <w:color w:val="auto"/>
        </w:rPr>
      </w:pPr>
      <w:r>
        <w:rPr>
          <w:rFonts w:ascii="Arial" w:cs="Arial" w:eastAsia="Arial" w:hAnsi="Arial"/>
          <w:sz w:val="19"/>
          <w:szCs w:val="19"/>
          <w:color w:val="auto"/>
        </w:rPr>
        <w:t xml:space="preserve">Notwithstanding any other provision of the Plan, the Board, or the Committee (to the extent permitted by law), may at any time, and from time to time, amend, in whole or in part, any or all of the provisions of the Plan (including any amendment deemed necessary or advisable to ensure that the Company may comply with any regulatory requirement referred to in Article XIII or Section 409A), or suspend or terminate it entirely, retroactively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unless otherwise required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80645</wp:posOffset>
            </wp:positionV>
            <wp:extent cx="360045" cy="18859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60045" cy="188595"/>
                    </a:xfrm>
                    <a:prstGeom prst="rect">
                      <a:avLst/>
                    </a:prstGeom>
                    <a:noFill/>
                  </pic:spPr>
                </pic:pic>
              </a:graphicData>
            </a:graphic>
          </wp:anchor>
        </w:drawing>
      </w:r>
    </w:p>
    <w:p>
      <w:pPr>
        <w:spacing w:after="0" w:line="160" w:lineRule="exact"/>
        <w:rPr>
          <w:sz w:val="20"/>
          <w:szCs w:val="20"/>
          <w:color w:val="auto"/>
        </w:rPr>
      </w:pPr>
    </w:p>
    <w:p>
      <w:pPr>
        <w:ind w:left="120"/>
        <w:spacing w:after="0"/>
        <w:tabs>
          <w:tab w:leader="none" w:pos="8840" w:val="left"/>
          <w:tab w:leader="none" w:pos="10660" w:val="left"/>
        </w:tabs>
        <w:rPr>
          <w:sz w:val="20"/>
          <w:szCs w:val="20"/>
          <w:color w:val="auto"/>
        </w:rPr>
      </w:pPr>
      <w:r>
        <w:rPr>
          <w:rFonts w:ascii="Arial" w:cs="Arial" w:eastAsia="Arial" w:hAnsi="Arial"/>
          <w:sz w:val="16"/>
          <w:szCs w:val="16"/>
          <w:color w:val="002060"/>
        </w:rPr>
        <w:t>2023 Omnibus Incentive Plan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A-25</w:t>
      </w:r>
    </w:p>
    <w:p>
      <w:pPr>
        <w:sectPr>
          <w:pgSz w:w="11900" w:h="16838" w:orient="portrait"/>
          <w:cols w:equalWidth="0" w:num="1">
            <w:col w:w="11140"/>
          </w:cols>
          <w:pgMar w:left="320" w:top="482"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 xml:space="preserve">law or specifically provided herein, the rights of a Participant with respect to Awards granted prior to such amendment, suspension or termination, may not be reduced without the consent of such Participant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without the approval of the holders of the Company’s Common Stock entitled to vote in accordance with applicable law, no amendment may be made that would</w:t>
      </w:r>
    </w:p>
    <w:p>
      <w:pPr>
        <w:spacing w:after="0" w:line="1" w:lineRule="exact"/>
        <w:rPr>
          <w:sz w:val="20"/>
          <w:szCs w:val="20"/>
          <w:color w:val="auto"/>
        </w:rPr>
      </w:pPr>
    </w:p>
    <w:p>
      <w:pPr>
        <w:jc w:val="both"/>
        <w:ind w:left="120" w:hanging="4"/>
        <w:spacing w:after="0" w:line="237" w:lineRule="auto"/>
        <w:tabs>
          <w:tab w:leader="none" w:pos="44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increase the aggregate number of shares of Common Stock that may be issued under the Plan (except by operation of Section 4.2); (b) change the classification of individuals eligible to receive Awards under the Plan; (c) extend the maximum term of Options; (d) other than adjustments or substitutions in accordance with Section 4.2, amend the terms of outstanding Awards to reduce the exercise price of outstanding Stock Options or Appreciation Awards, or cancel outstanding Stock Options or Appreciation Awards (where, prior to the reduction or cancellation, the exercise price exceeds the Fair Market Value on the date of cancellation) in exchange for cash, other Awards or Stock Options or Appreciation Awards with an exercise price that is less than the exercise price of the original Stock Options or Appreciation Awards; (e) require stockholder approval in order for the Plan to continue to comply with the applicable provisions of, to the extent applicable to Incentive Stock Options, Section 422 of the Code or</w:t>
      </w:r>
    </w:p>
    <w:p>
      <w:pPr>
        <w:spacing w:after="0" w:line="1" w:lineRule="exact"/>
        <w:rPr>
          <w:rFonts w:ascii="Arial" w:cs="Arial" w:eastAsia="Arial" w:hAnsi="Arial"/>
          <w:sz w:val="19"/>
          <w:szCs w:val="19"/>
          <w:color w:val="auto"/>
        </w:rPr>
      </w:pPr>
    </w:p>
    <w:p>
      <w:pPr>
        <w:ind w:left="120" w:right="20" w:hanging="4"/>
        <w:spacing w:after="0" w:line="251" w:lineRule="auto"/>
        <w:tabs>
          <w:tab w:leader="none" w:pos="3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require stockholder approval under the rules of any exchange or system on which the Company’s securities are listed or traded at the request of the Company.</w:t>
      </w:r>
    </w:p>
    <w:p>
      <w:pPr>
        <w:spacing w:after="0" w:line="173" w:lineRule="exact"/>
        <w:rPr>
          <w:sz w:val="20"/>
          <w:szCs w:val="20"/>
          <w:color w:val="auto"/>
        </w:rPr>
      </w:pPr>
    </w:p>
    <w:p>
      <w:pPr>
        <w:jc w:val="both"/>
        <w:ind w:left="120" w:right="20" w:firstLine="991"/>
        <w:spacing w:after="0" w:line="254" w:lineRule="auto"/>
        <w:rPr>
          <w:sz w:val="20"/>
          <w:szCs w:val="20"/>
          <w:color w:val="auto"/>
        </w:rPr>
      </w:pPr>
      <w:r>
        <w:rPr>
          <w:rFonts w:ascii="Arial" w:cs="Arial" w:eastAsia="Arial" w:hAnsi="Arial"/>
          <w:sz w:val="19"/>
          <w:szCs w:val="19"/>
          <w:color w:val="auto"/>
        </w:rPr>
        <w:t>The Committee may amend the terms of any Award theretofore granted, prospectively or retroactively; provided that no such amendment reduces the rights of any Participant without the Participant’s consent. Actions taken by the Committee in accordance with Article IV shall not be deemed to reduce the rights of any Participant.</w:t>
      </w:r>
    </w:p>
    <w:p>
      <w:pPr>
        <w:spacing w:after="0" w:line="170" w:lineRule="exact"/>
        <w:rPr>
          <w:sz w:val="20"/>
          <w:szCs w:val="20"/>
          <w:color w:val="auto"/>
        </w:rPr>
      </w:pPr>
    </w:p>
    <w:p>
      <w:pPr>
        <w:jc w:val="both"/>
        <w:ind w:left="120" w:right="20" w:firstLine="991"/>
        <w:spacing w:after="0" w:line="270" w:lineRule="auto"/>
        <w:rPr>
          <w:sz w:val="20"/>
          <w:szCs w:val="20"/>
          <w:color w:val="auto"/>
        </w:rPr>
      </w:pPr>
      <w:r>
        <w:rPr>
          <w:rFonts w:ascii="Arial" w:cs="Arial" w:eastAsia="Arial" w:hAnsi="Arial"/>
          <w:sz w:val="19"/>
          <w:szCs w:val="19"/>
          <w:color w:val="auto"/>
        </w:rPr>
        <w:t>Notwithstanding anything herein to the contrary, the Board or the Committee may amend the Plan or any Award at any time without a Participant’s consent to comply with Section 409A or any other applicable law.</w:t>
      </w: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ARTICLE XII</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UNFUNDED PLAN</w:t>
      </w:r>
    </w:p>
    <w:p>
      <w:pPr>
        <w:spacing w:after="0" w:line="214" w:lineRule="exact"/>
        <w:rPr>
          <w:sz w:val="20"/>
          <w:szCs w:val="20"/>
          <w:color w:val="auto"/>
        </w:rPr>
      </w:pPr>
    </w:p>
    <w:p>
      <w:pPr>
        <w:jc w:val="both"/>
        <w:ind w:left="120" w:right="20" w:firstLine="991"/>
        <w:spacing w:after="0" w:line="254" w:lineRule="auto"/>
        <w:rPr>
          <w:sz w:val="20"/>
          <w:szCs w:val="20"/>
          <w:color w:val="auto"/>
        </w:rPr>
      </w:pPr>
      <w:r>
        <w:rPr>
          <w:rFonts w:ascii="Arial" w:cs="Arial" w:eastAsia="Arial" w:hAnsi="Arial"/>
          <w:sz w:val="19"/>
          <w:szCs w:val="19"/>
          <w:color w:val="auto"/>
        </w:rPr>
        <w:t>The Plan is an “unfunded” plan for incentive and deferred compensation. With respect to any payments as to which a Participant has a fixed and vested interest but which are not yet made to a Participant by the Company, nothing contained herein shall give any such Participant any rights that are greater than those of a general unsecured creditor of the Company.</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ARTICLE XIII</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GENERAL PROVISIONS</w:t>
      </w:r>
    </w:p>
    <w:p>
      <w:pPr>
        <w:spacing w:after="0" w:line="214" w:lineRule="exact"/>
        <w:rPr>
          <w:sz w:val="20"/>
          <w:szCs w:val="20"/>
          <w:color w:val="auto"/>
        </w:rPr>
      </w:pPr>
    </w:p>
    <w:p>
      <w:pPr>
        <w:jc w:val="both"/>
        <w:ind w:left="120" w:right="20" w:firstLine="991"/>
        <w:spacing w:after="0" w:line="245" w:lineRule="auto"/>
        <w:rPr>
          <w:sz w:val="20"/>
          <w:szCs w:val="20"/>
          <w:color w:val="auto"/>
        </w:rPr>
      </w:pPr>
      <w:r>
        <w:rPr>
          <w:rFonts w:ascii="Arial" w:cs="Arial" w:eastAsia="Arial" w:hAnsi="Arial"/>
          <w:sz w:val="19"/>
          <w:szCs w:val="19"/>
          <w:b w:val="1"/>
          <w:bCs w:val="1"/>
          <w:color w:val="auto"/>
        </w:rPr>
        <w:t xml:space="preserve">13.1 </w:t>
      </w:r>
      <w:r>
        <w:rPr>
          <w:rFonts w:ascii="Arial" w:cs="Arial" w:eastAsia="Arial" w:hAnsi="Arial"/>
          <w:sz w:val="19"/>
          <w:szCs w:val="19"/>
          <w:b w:val="1"/>
          <w:bCs w:val="1"/>
          <w:u w:val="single" w:color="auto"/>
          <w:color w:val="auto"/>
        </w:rPr>
        <w:t>Legend</w:t>
      </w:r>
      <w:r>
        <w:rPr>
          <w:rFonts w:ascii="Arial" w:cs="Arial" w:eastAsia="Arial" w:hAnsi="Arial"/>
          <w:sz w:val="19"/>
          <w:szCs w:val="19"/>
          <w:color w:val="auto"/>
        </w:rPr>
        <w:t>. The Committee may require each person receiving shares of Common Stock pursuant to an Award to</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 to and agree with the Company in writing that the Participant is acquiring the shares without a view to distribution thereof and such other securities law related representations as the Committee shall request. In addition to any legend required by the Plan, the certificates or book entry accounts for such shares may include any legend that the Committee deems appropriate to reflect any restrictions on Transfer.</w:t>
      </w:r>
    </w:p>
    <w:p>
      <w:pPr>
        <w:spacing w:after="0" w:line="181" w:lineRule="exact"/>
        <w:rPr>
          <w:sz w:val="20"/>
          <w:szCs w:val="20"/>
          <w:color w:val="auto"/>
        </w:rPr>
      </w:pPr>
    </w:p>
    <w:p>
      <w:pPr>
        <w:jc w:val="both"/>
        <w:ind w:left="120" w:firstLine="991"/>
        <w:spacing w:after="0" w:line="248" w:lineRule="auto"/>
        <w:rPr>
          <w:sz w:val="20"/>
          <w:szCs w:val="20"/>
          <w:color w:val="auto"/>
        </w:rPr>
      </w:pPr>
      <w:r>
        <w:rPr>
          <w:rFonts w:ascii="Arial" w:cs="Arial" w:eastAsia="Arial" w:hAnsi="Arial"/>
          <w:sz w:val="19"/>
          <w:szCs w:val="19"/>
          <w:color w:val="auto"/>
        </w:rPr>
        <w:t>All certificates or book entry accounts for shares of Common Stock delivered under the Plan shall be subject to such stop transfer orders and other restrictions as the Committee may deem advisable under the rules, regulations and other requirements of the Securities and Exchange Commission, any stock exchange upon which the Common Stock is then listed or any national automated quotation system on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351155" cy="18859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51155" cy="188595"/>
                    </a:xfrm>
                    <a:prstGeom prst="rect">
                      <a:avLst/>
                    </a:prstGeom>
                    <a:noFill/>
                  </pic:spPr>
                </pic:pic>
              </a:graphicData>
            </a:graphic>
          </wp:anchor>
        </w:drawing>
      </w:r>
    </w:p>
    <w:p>
      <w:pPr>
        <w:spacing w:after="0" w:line="156" w:lineRule="exact"/>
        <w:rPr>
          <w:sz w:val="20"/>
          <w:szCs w:val="20"/>
          <w:color w:val="auto"/>
        </w:rPr>
      </w:pPr>
    </w:p>
    <w:p>
      <w:pPr>
        <w:ind w:left="220"/>
        <w:spacing w:after="0"/>
        <w:tabs>
          <w:tab w:leader="none" w:pos="780" w:val="left"/>
          <w:tab w:leader="none" w:pos="9000" w:val="left"/>
        </w:tabs>
        <w:rPr>
          <w:sz w:val="20"/>
          <w:szCs w:val="20"/>
          <w:color w:val="auto"/>
        </w:rPr>
      </w:pPr>
      <w:r>
        <w:rPr>
          <w:rFonts w:ascii="Arial" w:cs="Arial" w:eastAsia="Arial" w:hAnsi="Arial"/>
          <w:sz w:val="16"/>
          <w:szCs w:val="16"/>
          <w:color w:val="FFFFFF"/>
        </w:rPr>
        <w:t>A-26</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2023 Omnibus Incentive Plan</w:t>
      </w:r>
    </w:p>
    <w:p>
      <w:pPr>
        <w:sectPr>
          <w:pgSz w:w="11900" w:h="16838" w:orient="portrait"/>
          <w:cols w:equalWidth="0" w:num="1">
            <w:col w:w="11140"/>
          </w:cols>
          <w:pgMar w:left="320" w:top="482"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9"/>
          <w:szCs w:val="19"/>
          <w:color w:val="auto"/>
        </w:rPr>
        <w:t>Common Stock is then quoted, any applicable Federal or state securities law, and any applicable corporate law, and the Committee may cause a legend or legends to be put on any such certificates to make appropriate reference to such restrictions. If necessary or advisable in order to prevent a violation of applicable securities laws or to avoid the imposition of public company reporting requirements, then, notwithstanding anything herein to the contrary, any stock-settled Awards shall be paid in cash in an amount equal to the Fair Market Value on the date of settlement of such Awards.</w:t>
      </w:r>
    </w:p>
    <w:p>
      <w:pPr>
        <w:spacing w:after="0" w:line="181" w:lineRule="exact"/>
        <w:rPr>
          <w:sz w:val="20"/>
          <w:szCs w:val="20"/>
          <w:color w:val="auto"/>
        </w:rPr>
      </w:pPr>
    </w:p>
    <w:p>
      <w:pPr>
        <w:jc w:val="both"/>
        <w:ind w:left="120" w:firstLine="991"/>
        <w:spacing w:after="0" w:line="254" w:lineRule="auto"/>
        <w:rPr>
          <w:sz w:val="20"/>
          <w:szCs w:val="20"/>
          <w:color w:val="auto"/>
        </w:rPr>
      </w:pPr>
      <w:r>
        <w:rPr>
          <w:rFonts w:ascii="Arial" w:cs="Arial" w:eastAsia="Arial" w:hAnsi="Arial"/>
          <w:sz w:val="19"/>
          <w:szCs w:val="19"/>
          <w:b w:val="1"/>
          <w:bCs w:val="1"/>
          <w:color w:val="auto"/>
        </w:rPr>
        <w:t xml:space="preserve">13.2 </w:t>
      </w:r>
      <w:r>
        <w:rPr>
          <w:rFonts w:ascii="Arial" w:cs="Arial" w:eastAsia="Arial" w:hAnsi="Arial"/>
          <w:sz w:val="19"/>
          <w:szCs w:val="19"/>
          <w:b w:val="1"/>
          <w:bCs w:val="1"/>
          <w:u w:val="single" w:color="auto"/>
          <w:color w:val="auto"/>
        </w:rPr>
        <w:t>Other Plans</w:t>
      </w:r>
      <w:r>
        <w:rPr>
          <w:rFonts w:ascii="Arial" w:cs="Arial" w:eastAsia="Arial" w:hAnsi="Arial"/>
          <w:sz w:val="19"/>
          <w:szCs w:val="19"/>
          <w:color w:val="auto"/>
        </w:rPr>
        <w:t>. Nothing contained in the Plan shall prevent the Board from adopting other or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arrangements, subject to stockholder approval if such approval is required; and such arrangements may be either generally applicable or applicable only in specific cases.</w:t>
      </w:r>
    </w:p>
    <w:p>
      <w:pPr>
        <w:spacing w:after="0" w:line="170" w:lineRule="exact"/>
        <w:rPr>
          <w:sz w:val="20"/>
          <w:szCs w:val="20"/>
          <w:color w:val="auto"/>
        </w:rPr>
      </w:pPr>
    </w:p>
    <w:p>
      <w:pPr>
        <w:jc w:val="both"/>
        <w:ind w:left="120" w:right="20" w:firstLine="991"/>
        <w:spacing w:after="0" w:line="248" w:lineRule="auto"/>
        <w:rPr>
          <w:sz w:val="20"/>
          <w:szCs w:val="20"/>
          <w:color w:val="auto"/>
        </w:rPr>
      </w:pPr>
      <w:r>
        <w:rPr>
          <w:rFonts w:ascii="Arial" w:cs="Arial" w:eastAsia="Arial" w:hAnsi="Arial"/>
          <w:sz w:val="19"/>
          <w:szCs w:val="19"/>
          <w:b w:val="1"/>
          <w:bCs w:val="1"/>
          <w:color w:val="auto"/>
        </w:rPr>
        <w:t xml:space="preserve">13.3 </w:t>
      </w:r>
      <w:r>
        <w:rPr>
          <w:rFonts w:ascii="Arial" w:cs="Arial" w:eastAsia="Arial" w:hAnsi="Arial"/>
          <w:sz w:val="19"/>
          <w:szCs w:val="19"/>
          <w:b w:val="1"/>
          <w:bCs w:val="1"/>
          <w:u w:val="single" w:color="auto"/>
          <w:color w:val="auto"/>
        </w:rPr>
        <w:t>No Right to Employment/Consultancy/Directorship</w:t>
      </w:r>
      <w:r>
        <w:rPr>
          <w:rFonts w:ascii="Arial" w:cs="Arial" w:eastAsia="Arial" w:hAnsi="Arial"/>
          <w:sz w:val="19"/>
          <w:szCs w:val="19"/>
          <w:color w:val="auto"/>
        </w:rPr>
        <w:t>. Neither the Plan nor the grant of any Award thereunder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shall give any Participant or other person any right to employment, consultancy or directorship by the Company or any Affiliate, or limit in any way the right of the Company or any Affiliate by which an employee is employed or a Consultant or Non-Employee Director is retained to terminate his or her employment, consultancy or directorship at any time.</w:t>
      </w:r>
    </w:p>
    <w:p>
      <w:pPr>
        <w:spacing w:after="0" w:line="177" w:lineRule="exact"/>
        <w:rPr>
          <w:sz w:val="20"/>
          <w:szCs w:val="20"/>
          <w:color w:val="auto"/>
        </w:rPr>
      </w:pPr>
    </w:p>
    <w:p>
      <w:pPr>
        <w:jc w:val="both"/>
        <w:ind w:left="120" w:firstLine="991"/>
        <w:spacing w:after="0" w:line="242" w:lineRule="auto"/>
        <w:rPr>
          <w:sz w:val="20"/>
          <w:szCs w:val="20"/>
          <w:color w:val="auto"/>
        </w:rPr>
      </w:pPr>
      <w:r>
        <w:rPr>
          <w:rFonts w:ascii="Arial" w:cs="Arial" w:eastAsia="Arial" w:hAnsi="Arial"/>
          <w:sz w:val="19"/>
          <w:szCs w:val="19"/>
          <w:b w:val="1"/>
          <w:bCs w:val="1"/>
          <w:color w:val="auto"/>
        </w:rPr>
        <w:t xml:space="preserve">13.4 </w:t>
      </w:r>
      <w:r>
        <w:rPr>
          <w:rFonts w:ascii="Arial" w:cs="Arial" w:eastAsia="Arial" w:hAnsi="Arial"/>
          <w:sz w:val="19"/>
          <w:szCs w:val="19"/>
          <w:b w:val="1"/>
          <w:bCs w:val="1"/>
          <w:u w:val="single" w:color="auto"/>
          <w:color w:val="auto"/>
        </w:rPr>
        <w:t>Withholding of Taxes</w:t>
      </w:r>
      <w:r>
        <w:rPr>
          <w:rFonts w:ascii="Arial" w:cs="Arial" w:eastAsia="Arial" w:hAnsi="Arial"/>
          <w:sz w:val="19"/>
          <w:szCs w:val="19"/>
          <w:color w:val="auto"/>
        </w:rPr>
        <w:t>. The Company shall have the right to deduct from any payment to be made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or to otherwise require, prior to the issuance or delivery of any shares of Common Stock or the payment of any cash thereunder, payment by the Participant of, any Federal, state or local taxes required by law to be withheld. Upon the vesting of Restricted Stock (or other Award that is taxable upon vesting), or upon making an election under Section 83(b) of the Code, a Participant shall pay all required withholding to the Company. Any statutorily required withholding obligation with regard to any Participant may be satisfied, subject to the consent of the Committee, by reducing the number of shares of Common Stock otherwise deliverable or by delivering shares of Common Stock already owned. Any fraction of a share of Common Stock required to satisfy such tax obligations shall be disregarded and the amount due shall be paid instead in cash by the Participant.</w:t>
      </w:r>
    </w:p>
    <w:p>
      <w:pPr>
        <w:spacing w:after="0" w:line="182" w:lineRule="exact"/>
        <w:rPr>
          <w:sz w:val="20"/>
          <w:szCs w:val="20"/>
          <w:color w:val="auto"/>
        </w:rPr>
      </w:pPr>
    </w:p>
    <w:p>
      <w:pPr>
        <w:jc w:val="both"/>
        <w:ind w:left="120" w:firstLine="991"/>
        <w:spacing w:after="0" w:line="245" w:lineRule="auto"/>
        <w:rPr>
          <w:sz w:val="20"/>
          <w:szCs w:val="20"/>
          <w:color w:val="auto"/>
        </w:rPr>
      </w:pPr>
      <w:r>
        <w:rPr>
          <w:rFonts w:ascii="Arial" w:cs="Arial" w:eastAsia="Arial" w:hAnsi="Arial"/>
          <w:sz w:val="19"/>
          <w:szCs w:val="19"/>
          <w:b w:val="1"/>
          <w:bCs w:val="1"/>
          <w:color w:val="auto"/>
        </w:rPr>
        <w:t xml:space="preserve">13.5 </w:t>
      </w:r>
      <w:r>
        <w:rPr>
          <w:rFonts w:ascii="Arial" w:cs="Arial" w:eastAsia="Arial" w:hAnsi="Arial"/>
          <w:sz w:val="19"/>
          <w:szCs w:val="19"/>
          <w:b w:val="1"/>
          <w:bCs w:val="1"/>
          <w:u w:val="single" w:color="auto"/>
          <w:color w:val="auto"/>
        </w:rPr>
        <w:t>No Assignment of Benefits</w:t>
      </w:r>
      <w:r>
        <w:rPr>
          <w:rFonts w:ascii="Arial" w:cs="Arial" w:eastAsia="Arial" w:hAnsi="Arial"/>
          <w:sz w:val="19"/>
          <w:szCs w:val="19"/>
          <w:color w:val="auto"/>
        </w:rPr>
        <w:t>. No Award or other benefit payable under the Plan shall, except as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specifically provided in the Plan or permitted by the Committee, be Transferable in any manner, and any attempt to Transfer any such benefit shall be void, and any such benefit shall not in any manner be liable for or subject to the debts, contracts, liabilities, engagements or torts of any person who shall be entitled to such benefit, nor shall it be subject to attachment or legal process for or against such person.</w:t>
      </w:r>
    </w:p>
    <w:p>
      <w:pPr>
        <w:spacing w:after="0" w:line="181" w:lineRule="exact"/>
        <w:rPr>
          <w:sz w:val="20"/>
          <w:szCs w:val="20"/>
          <w:color w:val="auto"/>
        </w:rPr>
      </w:pPr>
    </w:p>
    <w:p>
      <w:pPr>
        <w:jc w:val="both"/>
        <w:ind w:left="120" w:right="20" w:firstLine="991"/>
        <w:spacing w:after="0" w:line="258"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b w:val="1"/>
          <w:bCs w:val="1"/>
          <w:u w:val="single" w:color="auto"/>
          <w:color w:val="auto"/>
        </w:rPr>
        <w:t>Listing and Other Conditions</w:t>
      </w:r>
      <w:r>
        <w:rPr>
          <w:rFonts w:ascii="Arial" w:cs="Arial" w:eastAsia="Arial" w:hAnsi="Arial"/>
          <w:sz w:val="18"/>
          <w:szCs w:val="18"/>
          <w:color w:val="auto"/>
        </w:rPr>
        <w:t>. If at any time counsel to the Company shall be of the opinion that any offer or</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Common Stock pursuant to an Award is or may be unlawful or prohibited, or will or may result in the imposition of excise taxes on the Company, under the statutes, rules or regulations of any applicable jurisdiction or under the rules of the national securities exchange on which the Common Stock then is listed, the Company shall have no obligation to make such offer or sale, or to make any application or to effect or to maintain any qualification or registration under the Securities Act or otherwise, with respect to the Common Stock or Awards, and the right to exercise any Option or Exercisable Award shall be suspended until, in the opinion of said counsel, such offer or sale shall be lawful, permitted or will not result in the imposition of excise taxes on the Company.</w:t>
      </w:r>
    </w:p>
    <w:p>
      <w:pPr>
        <w:spacing w:after="0" w:line="170" w:lineRule="exact"/>
        <w:rPr>
          <w:sz w:val="20"/>
          <w:szCs w:val="20"/>
          <w:color w:val="auto"/>
        </w:rPr>
      </w:pPr>
    </w:p>
    <w:p>
      <w:pPr>
        <w:jc w:val="both"/>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13.7 </w:t>
      </w: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 The Plan and matters arising under or related to it shall be governed by and construed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 internal laws of the State of Delaware without giving effect to its principles of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64770</wp:posOffset>
            </wp:positionV>
            <wp:extent cx="360045" cy="18859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60045" cy="188595"/>
                    </a:xfrm>
                    <a:prstGeom prst="rect">
                      <a:avLst/>
                    </a:prstGeom>
                    <a:noFill/>
                  </pic:spPr>
                </pic:pic>
              </a:graphicData>
            </a:graphic>
          </wp:anchor>
        </w:drawing>
      </w:r>
    </w:p>
    <w:p>
      <w:pPr>
        <w:spacing w:after="0" w:line="136" w:lineRule="exact"/>
        <w:rPr>
          <w:sz w:val="20"/>
          <w:szCs w:val="20"/>
          <w:color w:val="auto"/>
        </w:rPr>
      </w:pPr>
    </w:p>
    <w:p>
      <w:pPr>
        <w:ind w:left="120"/>
        <w:spacing w:after="0"/>
        <w:tabs>
          <w:tab w:leader="none" w:pos="8840" w:val="left"/>
          <w:tab w:leader="none" w:pos="10660" w:val="left"/>
        </w:tabs>
        <w:rPr>
          <w:sz w:val="20"/>
          <w:szCs w:val="20"/>
          <w:color w:val="auto"/>
        </w:rPr>
      </w:pPr>
      <w:r>
        <w:rPr>
          <w:rFonts w:ascii="Arial" w:cs="Arial" w:eastAsia="Arial" w:hAnsi="Arial"/>
          <w:sz w:val="16"/>
          <w:szCs w:val="16"/>
          <w:color w:val="002060"/>
        </w:rPr>
        <w:t>2023 Omnibus Incentive Plan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A-27</w:t>
      </w:r>
    </w:p>
    <w:p>
      <w:pPr>
        <w:sectPr>
          <w:pgSz w:w="11900" w:h="16838" w:orient="portrait"/>
          <w:cols w:equalWidth="0" w:num="1">
            <w:col w:w="11140"/>
          </w:cols>
          <w:pgMar w:left="320" w:top="482"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991"/>
        <w:spacing w:after="0" w:line="248" w:lineRule="auto"/>
        <w:rPr>
          <w:sz w:val="20"/>
          <w:szCs w:val="20"/>
          <w:color w:val="auto"/>
        </w:rPr>
      </w:pPr>
      <w:r>
        <w:rPr>
          <w:rFonts w:ascii="Arial" w:cs="Arial" w:eastAsia="Arial" w:hAnsi="Arial"/>
          <w:sz w:val="19"/>
          <w:szCs w:val="19"/>
          <w:b w:val="1"/>
          <w:bCs w:val="1"/>
          <w:color w:val="auto"/>
        </w:rPr>
        <w:t xml:space="preserve">13.8 </w:t>
      </w:r>
      <w:r>
        <w:rPr>
          <w:rFonts w:ascii="Arial" w:cs="Arial" w:eastAsia="Arial" w:hAnsi="Arial"/>
          <w:sz w:val="19"/>
          <w:szCs w:val="19"/>
          <w:b w:val="1"/>
          <w:bCs w:val="1"/>
          <w:u w:val="single" w:color="auto"/>
          <w:color w:val="auto"/>
        </w:rPr>
        <w:t>Construction</w:t>
      </w:r>
      <w:r>
        <w:rPr>
          <w:rFonts w:ascii="Arial" w:cs="Arial" w:eastAsia="Arial" w:hAnsi="Arial"/>
          <w:sz w:val="19"/>
          <w:szCs w:val="19"/>
          <w:color w:val="auto"/>
        </w:rPr>
        <w:t>. Wherever any words are used in the Plan in the masculine gender they shall be construed as</w:t>
      </w:r>
      <w:r>
        <w:rPr>
          <w:rFonts w:ascii="Arial" w:cs="Arial" w:eastAsia="Arial" w:hAnsi="Arial"/>
          <w:sz w:val="19"/>
          <w:szCs w:val="19"/>
          <w:b w:val="1"/>
          <w:bCs w:val="1"/>
          <w:color w:val="auto"/>
        </w:rPr>
        <w:t xml:space="preserve"> </w:t>
      </w:r>
      <w:r>
        <w:rPr>
          <w:rFonts w:ascii="Arial" w:cs="Arial" w:eastAsia="Arial" w:hAnsi="Arial"/>
          <w:sz w:val="19"/>
          <w:szCs w:val="19"/>
          <w:color w:val="auto"/>
        </w:rPr>
        <w:t>though they were also used in the feminine gender in all cases where they would so apply. As used herein, (a) “or” shall mean “and/or” and (b) “including” or “include” shall mean “including, without limitation.” Any reference herein to an agreement in writing shall be deemed to include an electronic writing to the extent permitted by applicable law.</w:t>
      </w:r>
    </w:p>
    <w:p>
      <w:pPr>
        <w:spacing w:after="0" w:line="177" w:lineRule="exact"/>
        <w:rPr>
          <w:sz w:val="20"/>
          <w:szCs w:val="20"/>
          <w:color w:val="auto"/>
        </w:rPr>
      </w:pPr>
    </w:p>
    <w:p>
      <w:pPr>
        <w:jc w:val="both"/>
        <w:ind w:left="120" w:right="20" w:firstLine="991"/>
        <w:spacing w:after="0" w:line="248" w:lineRule="auto"/>
        <w:rPr>
          <w:sz w:val="20"/>
          <w:szCs w:val="20"/>
          <w:color w:val="auto"/>
        </w:rPr>
      </w:pPr>
      <w:r>
        <w:rPr>
          <w:rFonts w:ascii="Arial" w:cs="Arial" w:eastAsia="Arial" w:hAnsi="Arial"/>
          <w:sz w:val="19"/>
          <w:szCs w:val="19"/>
          <w:b w:val="1"/>
          <w:bCs w:val="1"/>
          <w:color w:val="auto"/>
        </w:rPr>
        <w:t xml:space="preserve">13.9 </w:t>
      </w:r>
      <w:r>
        <w:rPr>
          <w:rFonts w:ascii="Arial" w:cs="Arial" w:eastAsia="Arial" w:hAnsi="Arial"/>
          <w:sz w:val="19"/>
          <w:szCs w:val="19"/>
          <w:b w:val="1"/>
          <w:bCs w:val="1"/>
          <w:u w:val="single" w:color="auto"/>
          <w:color w:val="auto"/>
        </w:rPr>
        <w:t>Other Benefits</w:t>
      </w:r>
      <w:r>
        <w:rPr>
          <w:rFonts w:ascii="Arial" w:cs="Arial" w:eastAsia="Arial" w:hAnsi="Arial"/>
          <w:sz w:val="19"/>
          <w:szCs w:val="19"/>
          <w:color w:val="auto"/>
        </w:rPr>
        <w:t>. No Award, whether at grant or payment, shall be deemed compensation for purposes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computing benefits under any retirement plan of the Company or its Affiliates or shall affect any benefits under any other benefit plan now or subsequently in effect under which the availability or amount of benefits is related to the level of compensation, unless expressly provided to the contrary in such benefit plan.</w:t>
      </w:r>
    </w:p>
    <w:p>
      <w:pPr>
        <w:spacing w:after="0" w:line="177" w:lineRule="exact"/>
        <w:rPr>
          <w:sz w:val="20"/>
          <w:szCs w:val="20"/>
          <w:color w:val="auto"/>
        </w:rPr>
      </w:pPr>
    </w:p>
    <w:p>
      <w:pPr>
        <w:jc w:val="both"/>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13.10 </w:t>
      </w:r>
      <w:r>
        <w:rPr>
          <w:rFonts w:ascii="Arial" w:cs="Arial" w:eastAsia="Arial" w:hAnsi="Arial"/>
          <w:sz w:val="19"/>
          <w:szCs w:val="19"/>
          <w:b w:val="1"/>
          <w:bCs w:val="1"/>
          <w:u w:val="single" w:color="auto"/>
          <w:color w:val="auto"/>
        </w:rPr>
        <w:t>Costs</w:t>
      </w:r>
      <w:r>
        <w:rPr>
          <w:rFonts w:ascii="Arial" w:cs="Arial" w:eastAsia="Arial" w:hAnsi="Arial"/>
          <w:sz w:val="19"/>
          <w:szCs w:val="19"/>
          <w:color w:val="auto"/>
        </w:rPr>
        <w:t>. The Company shall bear all expenses associated with administering the Plan, including expenses of</w:t>
      </w:r>
      <w:r>
        <w:rPr>
          <w:rFonts w:ascii="Arial" w:cs="Arial" w:eastAsia="Arial" w:hAnsi="Arial"/>
          <w:sz w:val="19"/>
          <w:szCs w:val="19"/>
          <w:b w:val="1"/>
          <w:bCs w:val="1"/>
          <w:color w:val="auto"/>
        </w:rPr>
        <w:t xml:space="preserve"> </w:t>
      </w:r>
      <w:r>
        <w:rPr>
          <w:rFonts w:ascii="Arial" w:cs="Arial" w:eastAsia="Arial" w:hAnsi="Arial"/>
          <w:sz w:val="19"/>
          <w:szCs w:val="19"/>
          <w:color w:val="auto"/>
        </w:rPr>
        <w:t>issuing Common Stock pursuant to any Awards.</w:t>
      </w:r>
    </w:p>
    <w:p>
      <w:pPr>
        <w:spacing w:after="0" w:line="156" w:lineRule="exact"/>
        <w:rPr>
          <w:sz w:val="20"/>
          <w:szCs w:val="20"/>
          <w:color w:val="auto"/>
        </w:rPr>
      </w:pPr>
    </w:p>
    <w:p>
      <w:pPr>
        <w:jc w:val="both"/>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13.11 </w:t>
      </w:r>
      <w:r>
        <w:rPr>
          <w:rFonts w:ascii="Arial" w:cs="Arial" w:eastAsia="Arial" w:hAnsi="Arial"/>
          <w:sz w:val="19"/>
          <w:szCs w:val="19"/>
          <w:b w:val="1"/>
          <w:bCs w:val="1"/>
          <w:u w:val="single" w:color="auto"/>
          <w:color w:val="auto"/>
        </w:rPr>
        <w:t>No Right to Same Benefits</w:t>
      </w:r>
      <w:r>
        <w:rPr>
          <w:rFonts w:ascii="Arial" w:cs="Arial" w:eastAsia="Arial" w:hAnsi="Arial"/>
          <w:sz w:val="19"/>
          <w:szCs w:val="19"/>
          <w:color w:val="auto"/>
        </w:rPr>
        <w:t>. The provisions of Awards need not be the same with respect to each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and each Award to an individual Participant need not be the same.</w:t>
      </w:r>
    </w:p>
    <w:p>
      <w:pPr>
        <w:spacing w:after="0" w:line="156" w:lineRule="exact"/>
        <w:rPr>
          <w:sz w:val="20"/>
          <w:szCs w:val="20"/>
          <w:color w:val="auto"/>
        </w:rPr>
      </w:pPr>
    </w:p>
    <w:p>
      <w:pPr>
        <w:jc w:val="both"/>
        <w:ind w:left="120" w:firstLine="991"/>
        <w:spacing w:after="0" w:line="248" w:lineRule="auto"/>
        <w:rPr>
          <w:sz w:val="20"/>
          <w:szCs w:val="20"/>
          <w:color w:val="auto"/>
        </w:rPr>
      </w:pPr>
      <w:r>
        <w:rPr>
          <w:rFonts w:ascii="Arial" w:cs="Arial" w:eastAsia="Arial" w:hAnsi="Arial"/>
          <w:sz w:val="19"/>
          <w:szCs w:val="19"/>
          <w:b w:val="1"/>
          <w:bCs w:val="1"/>
          <w:color w:val="auto"/>
        </w:rPr>
        <w:t xml:space="preserve">13.12 </w:t>
      </w:r>
      <w:r>
        <w:rPr>
          <w:rFonts w:ascii="Arial" w:cs="Arial" w:eastAsia="Arial" w:hAnsi="Arial"/>
          <w:sz w:val="19"/>
          <w:szCs w:val="19"/>
          <w:b w:val="1"/>
          <w:bCs w:val="1"/>
          <w:u w:val="single" w:color="auto"/>
          <w:color w:val="auto"/>
        </w:rPr>
        <w:t>Death/Disability</w:t>
      </w:r>
      <w:r>
        <w:rPr>
          <w:rFonts w:ascii="Arial" w:cs="Arial" w:eastAsia="Arial" w:hAnsi="Arial"/>
          <w:sz w:val="19"/>
          <w:szCs w:val="19"/>
          <w:color w:val="auto"/>
        </w:rPr>
        <w:t>. The Committee may require the transferee of a Participant to supply it with written notice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Participant’s death or Disability and to supply it with a copy of the will (in the case of the Participant’s death) or such other evidence as the Committee deems necessary or advisable to establish the validity of the transfer of an Award. The Committee also may require that the transferee agree to be bound by all of the terms and conditions of the Plan.</w:t>
      </w:r>
    </w:p>
    <w:p>
      <w:pPr>
        <w:spacing w:after="0" w:line="177" w:lineRule="exact"/>
        <w:rPr>
          <w:sz w:val="20"/>
          <w:szCs w:val="20"/>
          <w:color w:val="auto"/>
        </w:rPr>
      </w:pPr>
    </w:p>
    <w:p>
      <w:pPr>
        <w:jc w:val="both"/>
        <w:ind w:left="120" w:right="20" w:firstLine="991"/>
        <w:spacing w:after="0" w:line="245" w:lineRule="auto"/>
        <w:rPr>
          <w:sz w:val="20"/>
          <w:szCs w:val="20"/>
          <w:color w:val="auto"/>
        </w:rPr>
      </w:pPr>
      <w:r>
        <w:rPr>
          <w:rFonts w:ascii="Arial" w:cs="Arial" w:eastAsia="Arial" w:hAnsi="Arial"/>
          <w:sz w:val="19"/>
          <w:szCs w:val="19"/>
          <w:b w:val="1"/>
          <w:bCs w:val="1"/>
          <w:color w:val="auto"/>
        </w:rPr>
        <w:t xml:space="preserve">13.13 </w:t>
      </w:r>
      <w:r>
        <w:rPr>
          <w:rFonts w:ascii="Arial" w:cs="Arial" w:eastAsia="Arial" w:hAnsi="Arial"/>
          <w:sz w:val="19"/>
          <w:szCs w:val="19"/>
          <w:b w:val="1"/>
          <w:bCs w:val="1"/>
          <w:u w:val="single" w:color="auto"/>
          <w:color w:val="auto"/>
        </w:rPr>
        <w:t>Section 16(b) of the Exchange Act</w:t>
      </w:r>
      <w:r>
        <w:rPr>
          <w:rFonts w:ascii="Arial" w:cs="Arial" w:eastAsia="Arial" w:hAnsi="Arial"/>
          <w:sz w:val="19"/>
          <w:szCs w:val="19"/>
          <w:color w:val="auto"/>
        </w:rPr>
        <w:t>. All elections and transactions under the Plan by persons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16 of the Exchange Act involving shares of Common Stock are intended to comply with any applicable exemptive condition under Rule 16b-3. The Committee may establish and adopt written administrative guidelines, designed to facilitate compliance with Section 16(b) of the Exchange Act, as it may deem necessary or advisable for the administration and operation of the Plan and the transaction of business thereunder.</w:t>
      </w:r>
    </w:p>
    <w:p>
      <w:pPr>
        <w:spacing w:after="0" w:line="181" w:lineRule="exact"/>
        <w:rPr>
          <w:sz w:val="20"/>
          <w:szCs w:val="20"/>
          <w:color w:val="auto"/>
        </w:rPr>
      </w:pPr>
    </w:p>
    <w:p>
      <w:pPr>
        <w:ind w:left="1100"/>
        <w:spacing w:after="0"/>
        <w:tabs>
          <w:tab w:leader="none" w:pos="1780" w:val="left"/>
        </w:tabs>
        <w:rPr>
          <w:sz w:val="20"/>
          <w:szCs w:val="20"/>
          <w:color w:val="auto"/>
        </w:rPr>
      </w:pPr>
      <w:r>
        <w:rPr>
          <w:rFonts w:ascii="Arial" w:cs="Arial" w:eastAsia="Arial" w:hAnsi="Arial"/>
          <w:sz w:val="19"/>
          <w:szCs w:val="19"/>
          <w:b w:val="1"/>
          <w:bCs w:val="1"/>
          <w:color w:val="auto"/>
        </w:rPr>
        <w:t>13.14</w:t>
      </w:r>
      <w:r>
        <w:rPr>
          <w:sz w:val="20"/>
          <w:szCs w:val="20"/>
          <w:color w:val="auto"/>
        </w:rPr>
        <w:tab/>
      </w: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w:t>
      </w:r>
    </w:p>
    <w:p>
      <w:pPr>
        <w:spacing w:after="0" w:line="214" w:lineRule="exact"/>
        <w:rPr>
          <w:sz w:val="20"/>
          <w:szCs w:val="20"/>
          <w:color w:val="auto"/>
        </w:rPr>
      </w:pPr>
    </w:p>
    <w:p>
      <w:pPr>
        <w:jc w:val="both"/>
        <w:ind w:left="120" w:firstLine="1538"/>
        <w:spacing w:after="0"/>
        <w:tabs>
          <w:tab w:leader="none" w:pos="216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Although the Company does not guarantee to a Participant the particular tax treatment of any Award, all Awards are intended to comply with, or be exempt from, the requirements of Section 409A and the Plan and any Award agreement shall be limited, construed and interpreted in accordance with such intent. To the extent that any Award constitutes “non-qualified deferred compensation” pursuant to Section 409A (a “</w:t>
      </w:r>
      <w:r>
        <w:rPr>
          <w:rFonts w:ascii="Arial" w:cs="Arial" w:eastAsia="Arial" w:hAnsi="Arial"/>
          <w:sz w:val="19"/>
          <w:szCs w:val="19"/>
          <w:b w:val="1"/>
          <w:bCs w:val="1"/>
          <w:u w:val="single" w:color="auto"/>
          <w:color w:val="auto"/>
        </w:rPr>
        <w:t>Section 409A Covered Award</w:t>
      </w:r>
      <w:r>
        <w:rPr>
          <w:rFonts w:ascii="Arial" w:cs="Arial" w:eastAsia="Arial" w:hAnsi="Arial"/>
          <w:sz w:val="19"/>
          <w:szCs w:val="19"/>
          <w:color w:val="auto"/>
        </w:rPr>
        <w:t>”), it is intended to be paid in a manner that will comply with Section 409A. In no event shall the Company be liable for any additional tax, interest or penalties that may be imposed on a Participant by Section 409A or for any damages for failing to comply with Section 409A. Notwithstanding anything in the Plan or in an Award to the contrary, the following provisions shall apply to Section 409A Covered Awards: A termination of employment shall not be deemed to have occurred for purposes of any provision of a Section 409A Covered Award providing for payment upon or following a termination of the Participant’s employment unless such termination is also a “separation from service” within the meaning of Section 409A and, for purposes of any such provision of a Section 409A Covered Award, references to a “termination,” “termination of employment” or like terms shall mean separation from service. Notwithstanding any provision to the contrary in the Plan or the Award, if the Participant is deemed on the date of the Participant’s Termination to be a “specified employee” within the meaning of that term under Section 409A(a)(2)(B) of the Code and using the identification 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351155" cy="18859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51155" cy="188595"/>
                    </a:xfrm>
                    <a:prstGeom prst="rect">
                      <a:avLst/>
                    </a:prstGeom>
                    <a:noFill/>
                  </pic:spPr>
                </pic:pic>
              </a:graphicData>
            </a:graphic>
          </wp:anchor>
        </w:drawing>
      </w:r>
    </w:p>
    <w:p>
      <w:pPr>
        <w:spacing w:after="0" w:line="163" w:lineRule="exact"/>
        <w:rPr>
          <w:sz w:val="20"/>
          <w:szCs w:val="20"/>
          <w:color w:val="auto"/>
        </w:rPr>
      </w:pPr>
    </w:p>
    <w:p>
      <w:pPr>
        <w:ind w:left="220"/>
        <w:spacing w:after="0"/>
        <w:tabs>
          <w:tab w:leader="none" w:pos="780" w:val="left"/>
          <w:tab w:leader="none" w:pos="9000" w:val="left"/>
        </w:tabs>
        <w:rPr>
          <w:sz w:val="20"/>
          <w:szCs w:val="20"/>
          <w:color w:val="auto"/>
        </w:rPr>
      </w:pPr>
      <w:r>
        <w:rPr>
          <w:rFonts w:ascii="Arial" w:cs="Arial" w:eastAsia="Arial" w:hAnsi="Arial"/>
          <w:sz w:val="16"/>
          <w:szCs w:val="16"/>
          <w:color w:val="FFFFFF"/>
        </w:rPr>
        <w:t>A-28</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2023 Omnibus Incentive Plan</w:t>
      </w:r>
    </w:p>
    <w:p>
      <w:pPr>
        <w:sectPr>
          <w:pgSz w:w="11900" w:h="16838" w:orient="portrait"/>
          <w:cols w:equalWidth="0" w:num="1">
            <w:col w:w="11140"/>
          </w:cols>
          <w:pgMar w:left="320" w:top="482"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43" w:lineRule="auto"/>
        <w:rPr>
          <w:sz w:val="20"/>
          <w:szCs w:val="20"/>
          <w:color w:val="auto"/>
        </w:rPr>
      </w:pPr>
      <w:r>
        <w:rPr>
          <w:rFonts w:ascii="Arial" w:cs="Arial" w:eastAsia="Arial" w:hAnsi="Arial"/>
          <w:sz w:val="19"/>
          <w:szCs w:val="19"/>
          <w:color w:val="auto"/>
        </w:rPr>
        <w:t>selected by the Company from time to time, or if none, the default methodology set forth in Section 409A, then with regard to any such payment under a Section 409A Covered Award, to the extent required to be delayed in compliance with Section 409A(a)(2)(B) of the Code, such payment shall not be made prior to the earlier of (i) the expiration of the six-month period measured from the date of the Participant’s separation from service, and (ii) the date of the Participant’s death. All payments delayed pursuant to this Section 13.14(a) shall be paid to the Participant on the first day of the seventh month following the date of the Participant’s separation from service or, if earlier, on the date of the Participant’s death.</w:t>
      </w:r>
    </w:p>
    <w:p>
      <w:pPr>
        <w:spacing w:after="0" w:line="185" w:lineRule="exact"/>
        <w:rPr>
          <w:sz w:val="20"/>
          <w:szCs w:val="20"/>
          <w:color w:val="auto"/>
        </w:rPr>
      </w:pPr>
    </w:p>
    <w:p>
      <w:pPr>
        <w:jc w:val="both"/>
        <w:ind w:left="120" w:firstLine="1538"/>
        <w:spacing w:after="0" w:line="242" w:lineRule="auto"/>
        <w:tabs>
          <w:tab w:leader="none" w:pos="2111" w:val="left"/>
        </w:tabs>
        <w:numPr>
          <w:ilvl w:val="1"/>
          <w:numId w:val="108"/>
        </w:numPr>
        <w:rPr>
          <w:rFonts w:ascii="Arial" w:cs="Arial" w:eastAsia="Arial" w:hAnsi="Arial"/>
          <w:sz w:val="19"/>
          <w:szCs w:val="19"/>
          <w:color w:val="auto"/>
        </w:rPr>
      </w:pPr>
      <w:r>
        <w:rPr>
          <w:rFonts w:ascii="Arial" w:cs="Arial" w:eastAsia="Arial" w:hAnsi="Arial"/>
          <w:sz w:val="19"/>
          <w:szCs w:val="19"/>
          <w:color w:val="auto"/>
        </w:rPr>
        <w:t>With respect to any payment pursuant to a Section 409A Covered Award that is triggered upon a Change in Control, the settlement of such Award shall not occur until the earliest of (i) the Change in Control if such Change in Control constitutes a “change in the ownership of the corporation,” a “change in effective control of the corporation” or a “change in the ownership of a substantial portion of the assets of the corporation,” within the meaning of Section 409A(a)(2)(A)(v) of the Code,</w:t>
      </w:r>
    </w:p>
    <w:p>
      <w:pPr>
        <w:ind w:left="120" w:hanging="4"/>
        <w:spacing w:after="0" w:line="251" w:lineRule="auto"/>
        <w:tabs>
          <w:tab w:leader="none" w:pos="43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date such Award otherwise would be settled pursuant to the terms of the applicable Award agreement and (iii) the Participant’s “separation from service” within the meaning of Section 409A, subject to Section 13.14(a).</w:t>
      </w:r>
    </w:p>
    <w:p>
      <w:pPr>
        <w:spacing w:after="0" w:line="172" w:lineRule="exact"/>
        <w:rPr>
          <w:rFonts w:ascii="Arial" w:cs="Arial" w:eastAsia="Arial" w:hAnsi="Arial"/>
          <w:sz w:val="19"/>
          <w:szCs w:val="19"/>
          <w:color w:val="auto"/>
        </w:rPr>
      </w:pPr>
    </w:p>
    <w:p>
      <w:pPr>
        <w:ind w:left="120" w:right="20" w:firstLine="1538"/>
        <w:spacing w:after="0" w:line="270" w:lineRule="auto"/>
        <w:tabs>
          <w:tab w:leader="none" w:pos="2181" w:val="left"/>
        </w:tabs>
        <w:numPr>
          <w:ilvl w:val="1"/>
          <w:numId w:val="109"/>
        </w:numPr>
        <w:rPr>
          <w:rFonts w:ascii="Arial" w:cs="Arial" w:eastAsia="Arial" w:hAnsi="Arial"/>
          <w:sz w:val="19"/>
          <w:szCs w:val="19"/>
          <w:color w:val="auto"/>
        </w:rPr>
      </w:pPr>
      <w:r>
        <w:rPr>
          <w:rFonts w:ascii="Arial" w:cs="Arial" w:eastAsia="Arial" w:hAnsi="Arial"/>
          <w:sz w:val="19"/>
          <w:szCs w:val="19"/>
          <w:color w:val="auto"/>
        </w:rPr>
        <w:t>For purposes of Code Section 409A, a Participant’s right to receive any installment payments under the Plan or pursuant to an Award shall be treated as a right to receive a series of separate and distinct payments.</w:t>
      </w:r>
    </w:p>
    <w:p>
      <w:pPr>
        <w:spacing w:after="0" w:line="156" w:lineRule="exact"/>
        <w:rPr>
          <w:rFonts w:ascii="Arial" w:cs="Arial" w:eastAsia="Arial" w:hAnsi="Arial"/>
          <w:sz w:val="19"/>
          <w:szCs w:val="19"/>
          <w:color w:val="auto"/>
        </w:rPr>
      </w:pPr>
    </w:p>
    <w:p>
      <w:pPr>
        <w:jc w:val="both"/>
        <w:ind w:left="120" w:right="20" w:firstLine="1538"/>
        <w:spacing w:after="0" w:line="254" w:lineRule="auto"/>
        <w:tabs>
          <w:tab w:leader="none" w:pos="2129" w:val="left"/>
        </w:tabs>
        <w:numPr>
          <w:ilvl w:val="1"/>
          <w:numId w:val="109"/>
        </w:numPr>
        <w:rPr>
          <w:rFonts w:ascii="Arial" w:cs="Arial" w:eastAsia="Arial" w:hAnsi="Arial"/>
          <w:sz w:val="19"/>
          <w:szCs w:val="19"/>
          <w:color w:val="auto"/>
        </w:rPr>
      </w:pPr>
      <w:r>
        <w:rPr>
          <w:rFonts w:ascii="Arial" w:cs="Arial" w:eastAsia="Arial" w:hAnsi="Arial"/>
          <w:sz w:val="19"/>
          <w:szCs w:val="19"/>
          <w:color w:val="auto"/>
        </w:rPr>
        <w:t>Whenever a payment under the Plan or pursuant to an Award specifies a payment period with reference to a number of days (e.g., “payment shall be made within 30 days following the date of termination”), the actual date of payment within the specified period shall be within the sole discretion of the Company.</w:t>
      </w:r>
    </w:p>
    <w:p>
      <w:pPr>
        <w:spacing w:after="0" w:line="170" w:lineRule="exact"/>
        <w:rPr>
          <w:sz w:val="20"/>
          <w:szCs w:val="20"/>
          <w:color w:val="auto"/>
        </w:rPr>
      </w:pPr>
    </w:p>
    <w:p>
      <w:pPr>
        <w:jc w:val="both"/>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13.15 </w:t>
      </w:r>
      <w:r>
        <w:rPr>
          <w:rFonts w:ascii="Arial" w:cs="Arial" w:eastAsia="Arial" w:hAnsi="Arial"/>
          <w:sz w:val="19"/>
          <w:szCs w:val="19"/>
          <w:b w:val="1"/>
          <w:bCs w:val="1"/>
          <w:u w:val="single" w:color="auto"/>
          <w:color w:val="auto"/>
        </w:rPr>
        <w:t>Successor and Assigns</w:t>
      </w:r>
      <w:r>
        <w:rPr>
          <w:rFonts w:ascii="Arial" w:cs="Arial" w:eastAsia="Arial" w:hAnsi="Arial"/>
          <w:sz w:val="19"/>
          <w:szCs w:val="19"/>
          <w:color w:val="auto"/>
        </w:rPr>
        <w:t>. The Plan shall be binding on all successors and permitted assigns of a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the estate of such Participant and the executor, administrator or trustee of such estate.</w:t>
      </w:r>
    </w:p>
    <w:p>
      <w:pPr>
        <w:spacing w:after="0" w:line="156" w:lineRule="exact"/>
        <w:rPr>
          <w:sz w:val="20"/>
          <w:szCs w:val="20"/>
          <w:color w:val="auto"/>
        </w:rPr>
      </w:pPr>
    </w:p>
    <w:p>
      <w:pPr>
        <w:jc w:val="both"/>
        <w:ind w:left="120" w:right="20" w:firstLine="991"/>
        <w:spacing w:after="0" w:line="254" w:lineRule="auto"/>
        <w:rPr>
          <w:sz w:val="20"/>
          <w:szCs w:val="20"/>
          <w:color w:val="auto"/>
        </w:rPr>
      </w:pPr>
      <w:r>
        <w:rPr>
          <w:rFonts w:ascii="Arial" w:cs="Arial" w:eastAsia="Arial" w:hAnsi="Arial"/>
          <w:sz w:val="19"/>
          <w:szCs w:val="19"/>
          <w:b w:val="1"/>
          <w:bCs w:val="1"/>
          <w:color w:val="auto"/>
        </w:rPr>
        <w:t xml:space="preserve">13.16 </w:t>
      </w:r>
      <w:r>
        <w:rPr>
          <w:rFonts w:ascii="Arial" w:cs="Arial" w:eastAsia="Arial" w:hAnsi="Arial"/>
          <w:sz w:val="19"/>
          <w:szCs w:val="19"/>
          <w:b w:val="1"/>
          <w:bCs w:val="1"/>
          <w:u w:val="single" w:color="auto"/>
          <w:color w:val="auto"/>
        </w:rPr>
        <w:t>Severability of Provisions</w:t>
      </w:r>
      <w:r>
        <w:rPr>
          <w:rFonts w:ascii="Arial" w:cs="Arial" w:eastAsia="Arial" w:hAnsi="Arial"/>
          <w:sz w:val="19"/>
          <w:szCs w:val="19"/>
          <w:color w:val="auto"/>
        </w:rPr>
        <w:t>. If any provision of the Plan shall be held invalid or unenforceable, such invalidity or</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unenforceability shall not affect any other provisions hereof, and the Plan shall be construed and enforced as if such provisions had not been included.</w:t>
      </w:r>
    </w:p>
    <w:p>
      <w:pPr>
        <w:spacing w:after="0" w:line="170" w:lineRule="exact"/>
        <w:rPr>
          <w:sz w:val="20"/>
          <w:szCs w:val="20"/>
          <w:color w:val="auto"/>
        </w:rPr>
      </w:pPr>
    </w:p>
    <w:p>
      <w:pPr>
        <w:jc w:val="both"/>
        <w:ind w:left="120" w:right="20" w:firstLine="991"/>
        <w:spacing w:after="0" w:line="248" w:lineRule="auto"/>
        <w:rPr>
          <w:sz w:val="20"/>
          <w:szCs w:val="20"/>
          <w:color w:val="auto"/>
        </w:rPr>
      </w:pPr>
      <w:r>
        <w:rPr>
          <w:rFonts w:ascii="Arial" w:cs="Arial" w:eastAsia="Arial" w:hAnsi="Arial"/>
          <w:sz w:val="19"/>
          <w:szCs w:val="19"/>
          <w:b w:val="1"/>
          <w:bCs w:val="1"/>
          <w:color w:val="auto"/>
        </w:rPr>
        <w:t xml:space="preserve">13.17 </w:t>
      </w:r>
      <w:r>
        <w:rPr>
          <w:rFonts w:ascii="Arial" w:cs="Arial" w:eastAsia="Arial" w:hAnsi="Arial"/>
          <w:sz w:val="19"/>
          <w:szCs w:val="19"/>
          <w:b w:val="1"/>
          <w:bCs w:val="1"/>
          <w:u w:val="single" w:color="auto"/>
          <w:color w:val="auto"/>
        </w:rPr>
        <w:t>Payments to Minors, Etc</w:t>
      </w:r>
      <w:r>
        <w:rPr>
          <w:rFonts w:ascii="Arial" w:cs="Arial" w:eastAsia="Arial" w:hAnsi="Arial"/>
          <w:sz w:val="19"/>
          <w:szCs w:val="19"/>
          <w:color w:val="auto"/>
        </w:rPr>
        <w:t>. Any benefit payable to or for the benefit of a minor, an incompetent person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person incapable of receipt thereof shall be deemed paid when paid to such person’s guardian or to the party providing or reasonably appearing to provide for the care of such person, and such payment shall fully discharge the Committee, the Board, the Company, its Affiliates and their employees, agents and representatives with respect thereto.</w:t>
      </w:r>
    </w:p>
    <w:p>
      <w:pPr>
        <w:spacing w:after="0" w:line="177" w:lineRule="exact"/>
        <w:rPr>
          <w:sz w:val="20"/>
          <w:szCs w:val="20"/>
          <w:color w:val="auto"/>
        </w:rPr>
      </w:pPr>
    </w:p>
    <w:p>
      <w:pPr>
        <w:jc w:val="both"/>
        <w:ind w:left="120" w:right="20" w:firstLine="991"/>
        <w:spacing w:after="0" w:line="270" w:lineRule="auto"/>
        <w:rPr>
          <w:sz w:val="20"/>
          <w:szCs w:val="20"/>
          <w:color w:val="auto"/>
        </w:rPr>
      </w:pPr>
      <w:r>
        <w:rPr>
          <w:rFonts w:ascii="Arial" w:cs="Arial" w:eastAsia="Arial" w:hAnsi="Arial"/>
          <w:sz w:val="19"/>
          <w:szCs w:val="19"/>
          <w:b w:val="1"/>
          <w:bCs w:val="1"/>
          <w:color w:val="auto"/>
        </w:rPr>
        <w:t xml:space="preserve">13.18 </w:t>
      </w:r>
      <w:r>
        <w:rPr>
          <w:rFonts w:ascii="Arial" w:cs="Arial" w:eastAsia="Arial" w:hAnsi="Arial"/>
          <w:sz w:val="19"/>
          <w:szCs w:val="19"/>
          <w:b w:val="1"/>
          <w:bCs w:val="1"/>
          <w:u w:val="single" w:color="auto"/>
          <w:color w:val="auto"/>
        </w:rPr>
        <w:t>Headings and Captions</w:t>
      </w:r>
      <w:r>
        <w:rPr>
          <w:rFonts w:ascii="Arial" w:cs="Arial" w:eastAsia="Arial" w:hAnsi="Arial"/>
          <w:sz w:val="19"/>
          <w:szCs w:val="19"/>
          <w:color w:val="auto"/>
        </w:rPr>
        <w:t>. The headings and captions herein are provided for reference and convenience only,</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be considered part of the Plan, and shall not be employed in the construction of the Plan.</w:t>
      </w:r>
    </w:p>
    <w:p>
      <w:pPr>
        <w:spacing w:after="0" w:line="156" w:lineRule="exact"/>
        <w:rPr>
          <w:sz w:val="20"/>
          <w:szCs w:val="20"/>
          <w:color w:val="auto"/>
        </w:rPr>
      </w:pPr>
    </w:p>
    <w:p>
      <w:pPr>
        <w:jc w:val="both"/>
        <w:ind w:left="120" w:right="20" w:firstLine="991"/>
        <w:spacing w:after="0" w:line="245" w:lineRule="auto"/>
        <w:rPr>
          <w:sz w:val="20"/>
          <w:szCs w:val="20"/>
          <w:color w:val="auto"/>
        </w:rPr>
      </w:pPr>
      <w:r>
        <w:rPr>
          <w:rFonts w:ascii="Arial" w:cs="Arial" w:eastAsia="Arial" w:hAnsi="Arial"/>
          <w:sz w:val="19"/>
          <w:szCs w:val="19"/>
          <w:b w:val="1"/>
          <w:bCs w:val="1"/>
          <w:color w:val="auto"/>
        </w:rPr>
        <w:t xml:space="preserve">13.19 </w:t>
      </w:r>
      <w:r>
        <w:rPr>
          <w:rFonts w:ascii="Arial" w:cs="Arial" w:eastAsia="Arial" w:hAnsi="Arial"/>
          <w:sz w:val="19"/>
          <w:szCs w:val="19"/>
          <w:b w:val="1"/>
          <w:bCs w:val="1"/>
          <w:u w:val="single" w:color="auto"/>
          <w:color w:val="auto"/>
        </w:rPr>
        <w:t>Recoupment</w:t>
      </w:r>
      <w:r>
        <w:rPr>
          <w:rFonts w:ascii="Arial" w:cs="Arial" w:eastAsia="Arial" w:hAnsi="Arial"/>
          <w:sz w:val="19"/>
          <w:szCs w:val="19"/>
          <w:color w:val="auto"/>
        </w:rPr>
        <w:t>. All Awards granted or other compensation paid by the Company under the Plan, including any</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issued under any Award thereunder, will be subject to: (i) any compensation recapture policies established by the Board or the Committee from time to time and in effect at the time of grant of the Award, and (ii) any compensation recapture policies to the extent required pursuant to any applicable law (including, without limitation, the Dodd-Frank Act) or the rules and regulations of any national securities exchange on which the shares of Common Stock are then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80645</wp:posOffset>
            </wp:positionV>
            <wp:extent cx="360045" cy="18859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60045" cy="188595"/>
                    </a:xfrm>
                    <a:prstGeom prst="rect">
                      <a:avLst/>
                    </a:prstGeom>
                    <a:noFill/>
                  </pic:spPr>
                </pic:pic>
              </a:graphicData>
            </a:graphic>
          </wp:anchor>
        </w:drawing>
      </w:r>
    </w:p>
    <w:p>
      <w:pPr>
        <w:spacing w:after="0" w:line="160" w:lineRule="exact"/>
        <w:rPr>
          <w:sz w:val="20"/>
          <w:szCs w:val="20"/>
          <w:color w:val="auto"/>
        </w:rPr>
      </w:pPr>
    </w:p>
    <w:p>
      <w:pPr>
        <w:ind w:left="120"/>
        <w:spacing w:after="0"/>
        <w:tabs>
          <w:tab w:leader="none" w:pos="8840" w:val="left"/>
          <w:tab w:leader="none" w:pos="10660" w:val="left"/>
        </w:tabs>
        <w:rPr>
          <w:sz w:val="20"/>
          <w:szCs w:val="20"/>
          <w:color w:val="auto"/>
        </w:rPr>
      </w:pPr>
      <w:r>
        <w:rPr>
          <w:rFonts w:ascii="Arial" w:cs="Arial" w:eastAsia="Arial" w:hAnsi="Arial"/>
          <w:sz w:val="16"/>
          <w:szCs w:val="16"/>
          <w:color w:val="002060"/>
        </w:rPr>
        <w:t>2023 Omnibus Incentive Plan</w:t>
      </w:r>
      <w:r>
        <w:rPr>
          <w:sz w:val="20"/>
          <w:szCs w:val="20"/>
          <w:color w:val="auto"/>
        </w:rPr>
        <w:tab/>
      </w:r>
      <w:r>
        <w:rPr>
          <w:rFonts w:ascii="Arial" w:cs="Arial" w:eastAsia="Arial" w:hAnsi="Arial"/>
          <w:sz w:val="16"/>
          <w:szCs w:val="16"/>
          <w:color w:val="002060"/>
        </w:rPr>
        <w:t>2023 Proxy Statement</w:t>
      </w:r>
      <w:r>
        <w:rPr>
          <w:rFonts w:ascii="Arial" w:cs="Arial" w:eastAsia="Arial" w:hAnsi="Arial"/>
          <w:sz w:val="16"/>
          <w:szCs w:val="16"/>
          <w:color w:val="FFFFFF"/>
        </w:rPr>
        <w:tab/>
        <w:t>A-29</w:t>
      </w:r>
    </w:p>
    <w:p>
      <w:pPr>
        <w:sectPr>
          <w:pgSz w:w="11900" w:h="16838" w:orient="portrait"/>
          <w:cols w:equalWidth="0" w:num="1">
            <w:col w:w="11140"/>
          </w:cols>
          <w:pgMar w:left="320" w:top="482"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991"/>
        <w:spacing w:after="0" w:line="245" w:lineRule="auto"/>
        <w:rPr>
          <w:sz w:val="20"/>
          <w:szCs w:val="20"/>
          <w:color w:val="auto"/>
        </w:rPr>
      </w:pPr>
      <w:r>
        <w:rPr>
          <w:rFonts w:ascii="Arial" w:cs="Arial" w:eastAsia="Arial" w:hAnsi="Arial"/>
          <w:sz w:val="19"/>
          <w:szCs w:val="19"/>
          <w:b w:val="1"/>
          <w:bCs w:val="1"/>
          <w:color w:val="auto"/>
        </w:rPr>
        <w:t xml:space="preserve">13.20 </w:t>
      </w:r>
      <w:r>
        <w:rPr>
          <w:rFonts w:ascii="Arial" w:cs="Arial" w:eastAsia="Arial" w:hAnsi="Arial"/>
          <w:sz w:val="19"/>
          <w:szCs w:val="19"/>
          <w:b w:val="1"/>
          <w:bCs w:val="1"/>
          <w:u w:val="single" w:color="auto"/>
          <w:color w:val="auto"/>
        </w:rPr>
        <w:t>Reformation</w:t>
      </w:r>
      <w:r>
        <w:rPr>
          <w:rFonts w:ascii="Arial" w:cs="Arial" w:eastAsia="Arial" w:hAnsi="Arial"/>
          <w:sz w:val="19"/>
          <w:szCs w:val="19"/>
          <w:color w:val="auto"/>
        </w:rPr>
        <w:t>. If any provision regarding Detrimental Activity or any other provision set forth in the Plan or an</w:t>
      </w:r>
      <w:r>
        <w:rPr>
          <w:rFonts w:ascii="Arial" w:cs="Arial" w:eastAsia="Arial" w:hAnsi="Arial"/>
          <w:sz w:val="19"/>
          <w:szCs w:val="19"/>
          <w:b w:val="1"/>
          <w:bCs w:val="1"/>
          <w:color w:val="auto"/>
        </w:rPr>
        <w:t xml:space="preserve"> </w:t>
      </w:r>
      <w:r>
        <w:rPr>
          <w:rFonts w:ascii="Arial" w:cs="Arial" w:eastAsia="Arial" w:hAnsi="Arial"/>
          <w:sz w:val="19"/>
          <w:szCs w:val="19"/>
          <w:color w:val="auto"/>
        </w:rPr>
        <w:t>Award agreement is found by any court of competent jurisdiction or arbitrator to be invalid, void or unenforceable or to be excessively broad as to duration, activity, geographic application or subject, such provision or provisions shall be construed, by limiting or reducing them to the extent legally permitted, so as to be enforceable to the maximum extent compatible with then applicable law.</w:t>
      </w:r>
    </w:p>
    <w:p>
      <w:pPr>
        <w:spacing w:after="0" w:line="181" w:lineRule="exact"/>
        <w:rPr>
          <w:sz w:val="20"/>
          <w:szCs w:val="20"/>
          <w:color w:val="auto"/>
        </w:rPr>
      </w:pPr>
    </w:p>
    <w:p>
      <w:pPr>
        <w:jc w:val="both"/>
        <w:ind w:left="120" w:right="20" w:firstLine="991"/>
        <w:spacing w:after="0" w:line="245" w:lineRule="auto"/>
        <w:rPr>
          <w:sz w:val="20"/>
          <w:szCs w:val="20"/>
          <w:color w:val="auto"/>
        </w:rPr>
      </w:pPr>
      <w:r>
        <w:rPr>
          <w:rFonts w:ascii="Arial" w:cs="Arial" w:eastAsia="Arial" w:hAnsi="Arial"/>
          <w:sz w:val="19"/>
          <w:szCs w:val="19"/>
          <w:b w:val="1"/>
          <w:bCs w:val="1"/>
          <w:color w:val="auto"/>
        </w:rPr>
        <w:t xml:space="preserve">13.21 </w:t>
      </w:r>
      <w:r>
        <w:rPr>
          <w:rFonts w:ascii="Arial" w:cs="Arial" w:eastAsia="Arial" w:hAnsi="Arial"/>
          <w:sz w:val="19"/>
          <w:szCs w:val="19"/>
          <w:b w:val="1"/>
          <w:bCs w:val="1"/>
          <w:u w:val="single" w:color="auto"/>
          <w:color w:val="auto"/>
        </w:rPr>
        <w:t>Electronic Communications</w:t>
      </w:r>
      <w:r>
        <w:rPr>
          <w:rFonts w:ascii="Arial" w:cs="Arial" w:eastAsia="Arial" w:hAnsi="Arial"/>
          <w:sz w:val="19"/>
          <w:szCs w:val="19"/>
          <w:color w:val="auto"/>
        </w:rPr>
        <w:t>. Notwithstanding anything else herein to the contrary, any Award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of exercise of an Exercisable Award, or other document or notice required or permitted by the Plan or an Award that is required to be delivered in writing may, to the extent determined by the Committee, be delivered and accepted electronically. Signatures also may be electronic if permitted by the Committee. The term “written agreement” as used in the Plan shall include any document that is delivered and/or accepted electronically.</w:t>
      </w:r>
    </w:p>
    <w:p>
      <w:pPr>
        <w:spacing w:after="0" w:line="181" w:lineRule="exact"/>
        <w:rPr>
          <w:sz w:val="20"/>
          <w:szCs w:val="20"/>
          <w:color w:val="auto"/>
        </w:rPr>
      </w:pPr>
    </w:p>
    <w:p>
      <w:pPr>
        <w:jc w:val="both"/>
        <w:ind w:left="120" w:firstLine="991"/>
        <w:spacing w:after="0"/>
        <w:rPr>
          <w:sz w:val="20"/>
          <w:szCs w:val="20"/>
          <w:color w:val="auto"/>
        </w:rPr>
      </w:pPr>
      <w:r>
        <w:rPr>
          <w:rFonts w:ascii="Arial" w:cs="Arial" w:eastAsia="Arial" w:hAnsi="Arial"/>
          <w:sz w:val="19"/>
          <w:szCs w:val="19"/>
          <w:b w:val="1"/>
          <w:bCs w:val="1"/>
          <w:color w:val="auto"/>
        </w:rPr>
        <w:t xml:space="preserve">13.22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As a condition to the grant of an Award, if requested by the Company and the lead underwriter of</w:t>
      </w:r>
      <w:r>
        <w:rPr>
          <w:rFonts w:ascii="Arial" w:cs="Arial" w:eastAsia="Arial" w:hAnsi="Arial"/>
          <w:sz w:val="19"/>
          <w:szCs w:val="19"/>
          <w:b w:val="1"/>
          <w:bCs w:val="1"/>
          <w:color w:val="auto"/>
        </w:rPr>
        <w:t xml:space="preserve"> </w:t>
      </w:r>
      <w:r>
        <w:rPr>
          <w:rFonts w:ascii="Arial" w:cs="Arial" w:eastAsia="Arial" w:hAnsi="Arial"/>
          <w:sz w:val="19"/>
          <w:szCs w:val="19"/>
          <w:color w:val="auto"/>
        </w:rPr>
        <w:t>any public offering of the Common Stock (the “</w:t>
      </w:r>
      <w:r>
        <w:rPr>
          <w:rFonts w:ascii="Arial" w:cs="Arial" w:eastAsia="Arial" w:hAnsi="Arial"/>
          <w:sz w:val="19"/>
          <w:szCs w:val="19"/>
          <w:b w:val="1"/>
          <w:bCs w:val="1"/>
          <w:u w:val="single" w:color="auto"/>
          <w:color w:val="auto"/>
        </w:rPr>
        <w:t>Lead Underwriter</w:t>
      </w:r>
      <w:r>
        <w:rPr>
          <w:rFonts w:ascii="Arial" w:cs="Arial" w:eastAsia="Arial" w:hAnsi="Arial"/>
          <w:sz w:val="19"/>
          <w:szCs w:val="19"/>
          <w:color w:val="auto"/>
        </w:rPr>
        <w:t>”), a Participant shall irrevocably agree not to sell, contract to sell, grant any option to purchase, transfer the economic risk of ownership in, make any short sale of, pledge or otherwise transfer or dispose of, any interest in any Common Stock or any securities convertible into, derivative of, or exchangeable or exercisable for Common Stock, or any other rights to purchase or acquire Common Stock (except Common Stock included in such public offering or acquired on the public market after such offering) during such period of time following the effective date of a registration statement of the Company filed under the Securities Act that the Lead Underwriter shall specify (the “</w:t>
      </w:r>
      <w:r>
        <w:rPr>
          <w:rFonts w:ascii="Arial" w:cs="Arial" w:eastAsia="Arial" w:hAnsi="Arial"/>
          <w:sz w:val="19"/>
          <w:szCs w:val="19"/>
          <w:b w:val="1"/>
          <w:bCs w:val="1"/>
          <w:u w:val="single" w:color="auto"/>
          <w:color w:val="auto"/>
        </w:rPr>
        <w:t>Lock-up Period</w:t>
      </w:r>
      <w:r>
        <w:rPr>
          <w:rFonts w:ascii="Arial" w:cs="Arial" w:eastAsia="Arial" w:hAnsi="Arial"/>
          <w:sz w:val="19"/>
          <w:szCs w:val="19"/>
          <w:color w:val="auto"/>
        </w:rPr>
        <w:t>”). The Participant shall further agree to sign such documents as may be requested by the Lead Underwriter to effect the foregoing and agree that the Company may impose stop-transfer instructions with respect to Common Stock acquired pursuant to an Award until the end of such Lock-up Period.</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ARTICLE XIV</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EFFECTIVE DATE OF PLAN</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The Plan was adopted by the Board on March 14, 2023. The Plan was approved by the stockholders of the Company on</w:t>
      </w:r>
    </w:p>
    <w:p>
      <w:pPr>
        <w:spacing w:after="0" w:line="16" w:lineRule="exact"/>
        <w:rPr>
          <w:sz w:val="20"/>
          <w:szCs w:val="20"/>
          <w:color w:val="auto"/>
        </w:rPr>
      </w:pPr>
    </w:p>
    <w:p>
      <w:pPr>
        <w:ind w:left="120"/>
        <w:spacing w:after="0"/>
        <w:tabs>
          <w:tab w:leader="none" w:pos="16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 2023, effective on the day immediately following such date (the “</w:t>
      </w:r>
      <w:r>
        <w:rPr>
          <w:rFonts w:ascii="Arial" w:cs="Arial" w:eastAsia="Arial" w:hAnsi="Arial"/>
          <w:sz w:val="19"/>
          <w:szCs w:val="19"/>
          <w:b w:val="1"/>
          <w:bCs w:val="1"/>
          <w:u w:val="single" w:color="auto"/>
          <w:color w:val="auto"/>
        </w:rPr>
        <w:t>Effective Date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-20955</wp:posOffset>
            </wp:positionV>
            <wp:extent cx="93345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ARTICLE XV</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TERM OF PLAN</w:t>
      </w:r>
    </w:p>
    <w:p>
      <w:pPr>
        <w:spacing w:after="0" w:line="214" w:lineRule="exact"/>
        <w:rPr>
          <w:sz w:val="20"/>
          <w:szCs w:val="20"/>
          <w:color w:val="auto"/>
        </w:rPr>
      </w:pPr>
    </w:p>
    <w:p>
      <w:pPr>
        <w:jc w:val="both"/>
        <w:ind w:left="120" w:right="20" w:firstLine="991"/>
        <w:spacing w:after="0" w:line="254" w:lineRule="auto"/>
        <w:rPr>
          <w:sz w:val="20"/>
          <w:szCs w:val="20"/>
          <w:color w:val="auto"/>
        </w:rPr>
      </w:pPr>
      <w:r>
        <w:rPr>
          <w:rFonts w:ascii="Arial" w:cs="Arial" w:eastAsia="Arial" w:hAnsi="Arial"/>
          <w:sz w:val="19"/>
          <w:szCs w:val="19"/>
          <w:color w:val="auto"/>
        </w:rPr>
        <w:t xml:space="preserve">No Award shall be granted on or after the tenth anniversary of the earlier of (a) the date the Plan is adopted or (b) the date of stockholder approval of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Awards granted prior to such tenth anniversary may extend beyond that date in accordance with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351155" cy="18859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51155" cy="188595"/>
                    </a:xfrm>
                    <a:prstGeom prst="rect">
                      <a:avLst/>
                    </a:prstGeom>
                    <a:noFill/>
                  </pic:spPr>
                </pic:pic>
              </a:graphicData>
            </a:graphic>
          </wp:anchor>
        </w:drawing>
      </w:r>
    </w:p>
    <w:p>
      <w:pPr>
        <w:spacing w:after="0" w:line="150" w:lineRule="exact"/>
        <w:rPr>
          <w:sz w:val="20"/>
          <w:szCs w:val="20"/>
          <w:color w:val="auto"/>
        </w:rPr>
      </w:pPr>
    </w:p>
    <w:p>
      <w:pPr>
        <w:ind w:left="220"/>
        <w:spacing w:after="0"/>
        <w:tabs>
          <w:tab w:leader="none" w:pos="780" w:val="left"/>
          <w:tab w:leader="none" w:pos="9000" w:val="left"/>
        </w:tabs>
        <w:rPr>
          <w:sz w:val="20"/>
          <w:szCs w:val="20"/>
          <w:color w:val="auto"/>
        </w:rPr>
      </w:pPr>
      <w:r>
        <w:rPr>
          <w:rFonts w:ascii="Arial" w:cs="Arial" w:eastAsia="Arial" w:hAnsi="Arial"/>
          <w:sz w:val="16"/>
          <w:szCs w:val="16"/>
          <w:color w:val="FFFFFF"/>
        </w:rPr>
        <w:t>A-30</w:t>
      </w:r>
      <w:r>
        <w:rPr>
          <w:rFonts w:ascii="Arial" w:cs="Arial" w:eastAsia="Arial" w:hAnsi="Arial"/>
          <w:sz w:val="16"/>
          <w:szCs w:val="16"/>
          <w:color w:val="002060"/>
        </w:rPr>
        <w:tab/>
        <w:t>2023 Proxy Statement</w:t>
      </w:r>
      <w:r>
        <w:rPr>
          <w:sz w:val="20"/>
          <w:szCs w:val="20"/>
          <w:color w:val="auto"/>
        </w:rPr>
        <w:tab/>
      </w:r>
      <w:r>
        <w:rPr>
          <w:rFonts w:ascii="Arial" w:cs="Arial" w:eastAsia="Arial" w:hAnsi="Arial"/>
          <w:sz w:val="16"/>
          <w:szCs w:val="16"/>
          <w:color w:val="002060"/>
        </w:rPr>
        <w:t>2023 Omnibus Incentive Plan</w:t>
      </w:r>
    </w:p>
    <w:p>
      <w:pPr>
        <w:sectPr>
          <w:pgSz w:w="11900" w:h="16838" w:orient="portrait"/>
          <w:cols w:equalWidth="0" w:num="1">
            <w:col w:w="11140"/>
          </w:cols>
          <w:pgMar w:left="320" w:top="482"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215265</wp:posOffset>
            </wp:positionV>
            <wp:extent cx="5786755" cy="75438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786755"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242570</wp:posOffset>
            </wp:positionV>
            <wp:extent cx="2846070" cy="6597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846070" cy="65976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2642870</wp:posOffset>
            </wp:positionV>
            <wp:extent cx="282575" cy="26543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 xml:space="preserve">Using a </w:t>
      </w:r>
      <w:r>
        <w:rPr>
          <w:rFonts w:ascii="Arial" w:cs="Arial" w:eastAsia="Arial" w:hAnsi="Arial"/>
          <w:sz w:val="13"/>
          <w:szCs w:val="13"/>
          <w:b w:val="1"/>
          <w:bCs w:val="1"/>
          <w:u w:val="single" w:color="auto"/>
          <w:color w:val="auto"/>
        </w:rPr>
        <w:t>black ink</w:t>
      </w:r>
      <w:r>
        <w:rPr>
          <w:rFonts w:ascii="Arial" w:cs="Arial" w:eastAsia="Arial" w:hAnsi="Arial"/>
          <w:sz w:val="13"/>
          <w:szCs w:val="13"/>
          <w:color w:val="auto"/>
        </w:rPr>
        <w:t xml:space="preserve"> pen, mark your votes with an </w:t>
      </w:r>
      <w:r>
        <w:rPr>
          <w:rFonts w:ascii="Arial" w:cs="Arial" w:eastAsia="Arial" w:hAnsi="Arial"/>
          <w:sz w:val="13"/>
          <w:szCs w:val="13"/>
          <w:b w:val="1"/>
          <w:bCs w:val="1"/>
          <w:color w:val="auto"/>
        </w:rPr>
        <w:t>X</w:t>
      </w:r>
      <w:r>
        <w:rPr>
          <w:rFonts w:ascii="Arial" w:cs="Arial" w:eastAsia="Arial" w:hAnsi="Arial"/>
          <w:sz w:val="13"/>
          <w:szCs w:val="13"/>
          <w:color w:val="auto"/>
        </w:rPr>
        <w:t xml:space="preserve"> as shown in this example.</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113665</wp:posOffset>
            </wp:positionV>
            <wp:extent cx="6995160" cy="3003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995160" cy="300355"/>
                    </a:xfrm>
                    <a:prstGeom prst="rect">
                      <a:avLst/>
                    </a:prstGeom>
                    <a:noFill/>
                  </pic:spPr>
                </pic:pic>
              </a:graphicData>
            </a:graphic>
          </wp:anchor>
        </w:drawing>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auto"/>
        </w:rPr>
        <w:t>2023 Annual Meeting Proxy Card</w:t>
      </w:r>
    </w:p>
    <w:p>
      <w:pPr>
        <w:spacing w:after="0" w:line="2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Times New Roman" w:cs="Times New Roman" w:eastAsia="Times New Roman" w:hAnsi="Times New Roman"/>
          <w:sz w:val="14"/>
          <w:szCs w:val="14"/>
          <w:color w:val="auto"/>
        </w:rPr>
        <w:t xml:space="preserve"> q</w:t>
      </w:r>
    </w:p>
    <w:p>
      <w:pPr>
        <w:spacing w:after="0" w:line="261" w:lineRule="exact"/>
        <w:rPr>
          <w:sz w:val="20"/>
          <w:szCs w:val="20"/>
          <w:color w:val="auto"/>
        </w:rPr>
      </w:pPr>
    </w:p>
    <w:p>
      <w:pPr>
        <w:ind w:left="540" w:right="1140" w:hanging="337"/>
        <w:spacing w:after="0" w:line="183" w:lineRule="auto"/>
        <w:tabs>
          <w:tab w:leader="none" w:pos="540" w:val="left"/>
        </w:tabs>
        <w:numPr>
          <w:ilvl w:val="1"/>
          <w:numId w:val="110"/>
        </w:numPr>
        <w:rPr>
          <w:rFonts w:ascii="Arial" w:cs="Arial" w:eastAsia="Arial" w:hAnsi="Arial"/>
          <w:sz w:val="34"/>
          <w:szCs w:val="34"/>
          <w:b w:val="1"/>
          <w:bCs w:val="1"/>
          <w:color w:val="FFFFFF"/>
          <w:vertAlign w:val="subscript"/>
        </w:rPr>
      </w:pPr>
      <w:r>
        <w:rPr>
          <w:rFonts w:ascii="Arial" w:cs="Arial" w:eastAsia="Arial" w:hAnsi="Arial"/>
          <w:sz w:val="17"/>
          <w:szCs w:val="17"/>
          <w:b w:val="1"/>
          <w:bCs w:val="1"/>
          <w:color w:val="auto"/>
        </w:rPr>
        <w:t xml:space="preserve">Proposals – The Board of Directors recommends a vote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all the nominees listed,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Proposals 2, 3 and 5 and for </w:t>
      </w:r>
      <w:r>
        <w:rPr>
          <w:rFonts w:ascii="Arial" w:cs="Arial" w:eastAsia="Arial" w:hAnsi="Arial"/>
          <w:sz w:val="17"/>
          <w:szCs w:val="17"/>
          <w:b w:val="1"/>
          <w:bCs w:val="1"/>
          <w:u w:val="single" w:color="auto"/>
          <w:color w:val="auto"/>
        </w:rPr>
        <w:t>ONE YEAR</w:t>
      </w:r>
      <w:r>
        <w:rPr>
          <w:rFonts w:ascii="Arial" w:cs="Arial" w:eastAsia="Arial" w:hAnsi="Arial"/>
          <w:sz w:val="17"/>
          <w:szCs w:val="17"/>
          <w:b w:val="1"/>
          <w:bCs w:val="1"/>
          <w:color w:val="auto"/>
        </w:rPr>
        <w:t xml:space="preserve"> on Proposal 4.</w:t>
      </w:r>
    </w:p>
    <w:p>
      <w:pPr>
        <w:spacing w:after="0" w:line="61" w:lineRule="exact"/>
        <w:rPr>
          <w:rFonts w:ascii="Arial" w:cs="Arial" w:eastAsia="Arial" w:hAnsi="Arial"/>
          <w:sz w:val="34"/>
          <w:szCs w:val="34"/>
          <w:b w:val="1"/>
          <w:bCs w:val="1"/>
          <w:color w:val="FFFFFF"/>
          <w:vertAlign w:val="subscript"/>
        </w:rPr>
      </w:pPr>
    </w:p>
    <w:p>
      <w:pPr>
        <w:ind w:left="280" w:hanging="164"/>
        <w:spacing w:after="0"/>
        <w:tabs>
          <w:tab w:leader="none" w:pos="28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Election of Directors to serve for three-year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-429895</wp:posOffset>
            </wp:positionV>
            <wp:extent cx="6995160" cy="55689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5160" cy="556895"/>
                    </a:xfrm>
                    <a:prstGeom prst="rect">
                      <a:avLst/>
                    </a:prstGeom>
                    <a:noFill/>
                  </pic:spPr>
                </pic:pic>
              </a:graphicData>
            </a:graphic>
          </wp:anchor>
        </w:drawing>
      </w:r>
    </w:p>
    <w:p>
      <w:pPr>
        <w:spacing w:after="0" w:line="32"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00" w:type="dxa"/>
            <w:vAlign w:val="bottom"/>
            <w:gridSpan w:val="2"/>
          </w:tcPr>
          <w:p>
            <w:pPr>
              <w:ind w:left="340"/>
              <w:spacing w:after="0"/>
              <w:rPr>
                <w:sz w:val="20"/>
                <w:szCs w:val="20"/>
                <w:color w:val="auto"/>
              </w:rPr>
            </w:pPr>
            <w:r>
              <w:rPr>
                <w:rFonts w:ascii="Arial" w:cs="Arial" w:eastAsia="Arial" w:hAnsi="Arial"/>
                <w:sz w:val="14"/>
                <w:szCs w:val="14"/>
                <w:b w:val="1"/>
                <w:bCs w:val="1"/>
                <w:color w:val="auto"/>
              </w:rPr>
              <w:t>For  Against  Abstain</w:t>
            </w:r>
          </w:p>
        </w:tc>
        <w:tc>
          <w:tcPr>
            <w:tcW w:w="0" w:type="dxa"/>
            <w:vAlign w:val="bottom"/>
          </w:tcPr>
          <w:p>
            <w:pPr>
              <w:spacing w:after="0"/>
              <w:rPr>
                <w:sz w:val="1"/>
                <w:szCs w:val="1"/>
                <w:color w:val="auto"/>
              </w:rPr>
            </w:pPr>
          </w:p>
        </w:tc>
      </w:tr>
      <w:tr>
        <w:trPr>
          <w:trHeight w:val="270"/>
        </w:trPr>
        <w:tc>
          <w:tcPr>
            <w:tcW w:w="180" w:type="dxa"/>
            <w:vAlign w:val="bottom"/>
            <w:vMerge w:val="restart"/>
          </w:tcPr>
          <w:p>
            <w:pPr>
              <w:jc w:val="right"/>
              <w:spacing w:after="0"/>
              <w:rPr>
                <w:sz w:val="20"/>
                <w:szCs w:val="20"/>
                <w:color w:val="auto"/>
              </w:rPr>
            </w:pPr>
            <w:r>
              <w:rPr>
                <w:rFonts w:ascii="Arial" w:cs="Arial" w:eastAsia="Arial" w:hAnsi="Arial"/>
                <w:sz w:val="14"/>
                <w:szCs w:val="14"/>
                <w:color w:val="auto"/>
                <w:w w:val="89"/>
              </w:rPr>
              <w:t>01</w:t>
            </w:r>
          </w:p>
        </w:tc>
        <w:tc>
          <w:tcPr>
            <w:tcW w:w="1440" w:type="dxa"/>
            <w:vAlign w:val="bottom"/>
            <w:vMerge w:val="restart"/>
          </w:tcPr>
          <w:p>
            <w:pPr>
              <w:ind w:left="20"/>
              <w:spacing w:after="0"/>
              <w:rPr>
                <w:sz w:val="20"/>
                <w:szCs w:val="20"/>
                <w:color w:val="auto"/>
              </w:rPr>
            </w:pPr>
            <w:r>
              <w:rPr>
                <w:rFonts w:ascii="Arial" w:cs="Arial" w:eastAsia="Arial" w:hAnsi="Arial"/>
                <w:sz w:val="14"/>
                <w:szCs w:val="14"/>
                <w:color w:val="auto"/>
              </w:rPr>
              <w:t>- Michael T. Miller</w:t>
            </w:r>
          </w:p>
        </w:tc>
        <w:tc>
          <w:tcPr>
            <w:tcW w:w="1300" w:type="dxa"/>
            <w:vAlign w:val="bottom"/>
          </w:tcPr>
          <w:p>
            <w:pPr>
              <w:jc w:val="right"/>
              <w:ind w:right="63"/>
              <w:spacing w:after="0" w:line="270" w:lineRule="exact"/>
              <w:rPr>
                <w:sz w:val="20"/>
                <w:szCs w:val="20"/>
                <w:color w:val="auto"/>
              </w:rPr>
            </w:pPr>
            <w:r>
              <w:rPr>
                <w:rFonts w:ascii="MS PGothic" w:cs="MS PGothic" w:eastAsia="MS PGothic" w:hAnsi="MS PGothic"/>
                <w:sz w:val="32"/>
                <w:szCs w:val="32"/>
                <w:color w:val="auto"/>
              </w:rPr>
              <w:t>☐ ☐</w:t>
            </w:r>
          </w:p>
        </w:tc>
        <w:tc>
          <w:tcPr>
            <w:tcW w:w="600" w:type="dxa"/>
            <w:vAlign w:val="bottom"/>
          </w:tcPr>
          <w:p>
            <w:pPr>
              <w:ind w:left="180"/>
              <w:spacing w:after="0" w:line="270" w:lineRule="exact"/>
              <w:rPr>
                <w:sz w:val="20"/>
                <w:szCs w:val="20"/>
                <w:color w:val="auto"/>
              </w:rPr>
            </w:pPr>
            <w:r>
              <w:rPr>
                <w:rFonts w:ascii="MS PGothic" w:cs="MS PGothic" w:eastAsia="MS PGothic" w:hAnsi="MS PGothic"/>
                <w:sz w:val="32"/>
                <w:szCs w:val="32"/>
                <w:color w:val="auto"/>
              </w:rPr>
              <w:t>☐</w:t>
            </w:r>
          </w:p>
        </w:tc>
        <w:tc>
          <w:tcPr>
            <w:tcW w:w="0" w:type="dxa"/>
            <w:vAlign w:val="bottom"/>
          </w:tcPr>
          <w:p>
            <w:pPr>
              <w:spacing w:after="0"/>
              <w:rPr>
                <w:sz w:val="1"/>
                <w:szCs w:val="1"/>
                <w:color w:val="auto"/>
              </w:rPr>
            </w:pPr>
          </w:p>
        </w:tc>
      </w:tr>
      <w:tr>
        <w:trPr>
          <w:trHeight w:val="46"/>
        </w:trPr>
        <w:tc>
          <w:tcPr>
            <w:tcW w:w="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1"/>
        </w:trPr>
        <w:tc>
          <w:tcPr>
            <w:tcW w:w="180" w:type="dxa"/>
            <w:vAlign w:val="bottom"/>
          </w:tcPr>
          <w:p>
            <w:pPr>
              <w:jc w:val="right"/>
              <w:spacing w:after="0"/>
              <w:rPr>
                <w:sz w:val="20"/>
                <w:szCs w:val="20"/>
                <w:color w:val="auto"/>
              </w:rPr>
            </w:pPr>
            <w:r>
              <w:rPr>
                <w:rFonts w:ascii="Arial" w:cs="Arial" w:eastAsia="Arial" w:hAnsi="Arial"/>
                <w:sz w:val="14"/>
                <w:szCs w:val="14"/>
                <w:color w:val="auto"/>
                <w:w w:val="89"/>
              </w:rPr>
              <w:t>02</w:t>
            </w:r>
          </w:p>
        </w:tc>
        <w:tc>
          <w:tcPr>
            <w:tcW w:w="2740" w:type="dxa"/>
            <w:vAlign w:val="bottom"/>
            <w:gridSpan w:val="2"/>
          </w:tcPr>
          <w:p>
            <w:pPr>
              <w:jc w:val="right"/>
              <w:ind w:right="63"/>
              <w:spacing w:after="0" w:line="321" w:lineRule="exact"/>
              <w:rPr>
                <w:sz w:val="20"/>
                <w:szCs w:val="20"/>
                <w:color w:val="auto"/>
              </w:rPr>
            </w:pPr>
            <w:r>
              <w:rPr>
                <w:rFonts w:ascii="Arial" w:cs="Arial" w:eastAsia="Arial" w:hAnsi="Arial"/>
                <w:sz w:val="14"/>
                <w:szCs w:val="14"/>
                <w:color w:val="auto"/>
              </w:rPr>
              <w:t>- Marchelle E. Moore</w:t>
            </w:r>
            <w:r>
              <w:rPr>
                <w:rFonts w:ascii="MS PGothic" w:cs="MS PGothic" w:eastAsia="MS PGothic" w:hAnsi="MS PGothic"/>
                <w:sz w:val="32"/>
                <w:szCs w:val="32"/>
                <w:color w:val="auto"/>
              </w:rPr>
              <w:t>☐ ☐</w:t>
            </w:r>
          </w:p>
        </w:tc>
        <w:tc>
          <w:tcPr>
            <w:tcW w:w="600" w:type="dxa"/>
            <w:vAlign w:val="bottom"/>
          </w:tcPr>
          <w:p>
            <w:pPr>
              <w:ind w:left="180"/>
              <w:spacing w:after="0" w:line="321" w:lineRule="exact"/>
              <w:rPr>
                <w:sz w:val="20"/>
                <w:szCs w:val="20"/>
                <w:color w:val="auto"/>
              </w:rPr>
            </w:pPr>
            <w:r>
              <w:rPr>
                <w:rFonts w:ascii="MS PGothic" w:cs="MS PGothic" w:eastAsia="MS PGothic" w:hAnsi="MS PGothic"/>
                <w:sz w:val="32"/>
                <w:szCs w:val="32"/>
                <w:color w:val="auto"/>
              </w:rPr>
              <w:t>☐</w:t>
            </w:r>
          </w:p>
        </w:tc>
        <w:tc>
          <w:tcPr>
            <w:tcW w:w="0" w:type="dxa"/>
            <w:vAlign w:val="bottom"/>
          </w:tcPr>
          <w:p>
            <w:pPr>
              <w:spacing w:after="0"/>
              <w:rPr>
                <w:sz w:val="1"/>
                <w:szCs w:val="1"/>
                <w:color w:val="auto"/>
              </w:rPr>
            </w:pPr>
          </w:p>
        </w:tc>
      </w:tr>
      <w:tr>
        <w:trPr>
          <w:trHeight w:val="511"/>
        </w:trPr>
        <w:tc>
          <w:tcPr>
            <w:tcW w:w="180" w:type="dxa"/>
            <w:vAlign w:val="bottom"/>
          </w:tcPr>
          <w:p>
            <w:pPr>
              <w:jc w:val="right"/>
              <w:spacing w:after="0"/>
              <w:rPr>
                <w:sz w:val="20"/>
                <w:szCs w:val="20"/>
                <w:color w:val="auto"/>
              </w:rPr>
            </w:pPr>
            <w:r>
              <w:rPr>
                <w:rFonts w:ascii="Arial" w:cs="Arial" w:eastAsia="Arial" w:hAnsi="Arial"/>
                <w:sz w:val="14"/>
                <w:szCs w:val="14"/>
                <w:color w:val="auto"/>
                <w:w w:val="89"/>
              </w:rPr>
              <w:t>03</w:t>
            </w:r>
          </w:p>
        </w:tc>
        <w:tc>
          <w:tcPr>
            <w:tcW w:w="2740" w:type="dxa"/>
            <w:vAlign w:val="bottom"/>
            <w:gridSpan w:val="2"/>
          </w:tcPr>
          <w:p>
            <w:pPr>
              <w:jc w:val="right"/>
              <w:ind w:right="63"/>
              <w:spacing w:after="0" w:line="368" w:lineRule="exact"/>
              <w:rPr>
                <w:sz w:val="20"/>
                <w:szCs w:val="20"/>
                <w:color w:val="auto"/>
              </w:rPr>
            </w:pPr>
            <w:r>
              <w:rPr>
                <w:rFonts w:ascii="Arial" w:cs="Arial" w:eastAsia="Arial" w:hAnsi="Arial"/>
                <w:sz w:val="14"/>
                <w:szCs w:val="14"/>
                <w:color w:val="auto"/>
              </w:rPr>
              <w:t xml:space="preserve">- Robert H. Schottenstein  </w:t>
            </w:r>
            <w:r>
              <w:rPr>
                <w:rFonts w:ascii="MS PGothic" w:cs="MS PGothic" w:eastAsia="MS PGothic" w:hAnsi="MS PGothic"/>
                <w:sz w:val="32"/>
                <w:szCs w:val="32"/>
                <w:color w:val="auto"/>
              </w:rPr>
              <w:t>☐ ☐</w:t>
            </w:r>
          </w:p>
        </w:tc>
        <w:tc>
          <w:tcPr>
            <w:tcW w:w="600" w:type="dxa"/>
            <w:vAlign w:val="bottom"/>
          </w:tcPr>
          <w:p>
            <w:pPr>
              <w:ind w:left="180"/>
              <w:spacing w:after="0" w:line="321" w:lineRule="exact"/>
              <w:rPr>
                <w:sz w:val="20"/>
                <w:szCs w:val="20"/>
                <w:color w:val="auto"/>
              </w:rPr>
            </w:pPr>
            <w:r>
              <w:rPr>
                <w:rFonts w:ascii="MS PGothic" w:cs="MS PGothic" w:eastAsia="MS PGothic" w:hAnsi="MS PGothic"/>
                <w:sz w:val="32"/>
                <w:szCs w:val="32"/>
                <w:color w:val="auto"/>
              </w:rPr>
              <w:t>☐</w:t>
            </w:r>
          </w:p>
        </w:tc>
        <w:tc>
          <w:tcPr>
            <w:tcW w:w="0" w:type="dxa"/>
            <w:vAlign w:val="bottom"/>
          </w:tcPr>
          <w:p>
            <w:pPr>
              <w:spacing w:after="0"/>
              <w:rPr>
                <w:sz w:val="1"/>
                <w:szCs w:val="1"/>
                <w:color w:val="auto"/>
              </w:rPr>
            </w:pPr>
          </w:p>
        </w:tc>
      </w:tr>
    </w:tbl>
    <w:p>
      <w:pPr>
        <w:spacing w:after="0" w:line="43" w:lineRule="exact"/>
        <w:rPr>
          <w:sz w:val="20"/>
          <w:szCs w:val="20"/>
          <w:color w:val="auto"/>
        </w:rPr>
      </w:pPr>
    </w:p>
    <w:p>
      <w:pPr>
        <w:sectPr>
          <w:pgSz w:w="11900" w:h="16838" w:orient="portrait"/>
          <w:cols w:equalWidth="0" w:num="1">
            <w:col w:w="11120"/>
          </w:cols>
          <w:pgMar w:left="320" w:top="482" w:right="459" w:bottom="1440" w:gutter="0" w:footer="0" w:header="0"/>
        </w:sectPr>
      </w:pPr>
    </w:p>
    <w:tbl>
      <w:tblPr>
        <w:tblLayout w:type="fixed"/>
        <w:tblInd w:w="1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Arial" w:cs="Arial" w:eastAsia="Arial" w:hAnsi="Arial"/>
                <w:sz w:val="14"/>
                <w:szCs w:val="14"/>
                <w:b w:val="1"/>
                <w:bCs w:val="1"/>
                <w:color w:val="auto"/>
              </w:rPr>
              <w:t>For  Against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3820" w:type="dxa"/>
            <w:vAlign w:val="bottom"/>
            <w:vMerge w:val="restart"/>
          </w:tcPr>
          <w:p>
            <w:pPr>
              <w:jc w:val="right"/>
              <w:ind w:right="8"/>
              <w:spacing w:after="0"/>
              <w:rPr>
                <w:sz w:val="20"/>
                <w:szCs w:val="20"/>
                <w:color w:val="auto"/>
              </w:rPr>
            </w:pPr>
            <w:r>
              <w:rPr>
                <w:rFonts w:ascii="Arial" w:cs="Arial" w:eastAsia="Arial" w:hAnsi="Arial"/>
                <w:sz w:val="14"/>
                <w:szCs w:val="14"/>
                <w:color w:val="auto"/>
              </w:rPr>
              <w:t>2.  Ratification of the appointment of Deloitte &amp; Touche LLP</w:t>
            </w:r>
          </w:p>
        </w:tc>
        <w:tc>
          <w:tcPr>
            <w:tcW w:w="1100" w:type="dxa"/>
            <w:vAlign w:val="bottom"/>
            <w:vMerge w:val="restart"/>
          </w:tcPr>
          <w:p>
            <w:pPr>
              <w:ind w:left="100"/>
              <w:spacing w:after="0" w:line="321" w:lineRule="exact"/>
              <w:rPr>
                <w:sz w:val="20"/>
                <w:szCs w:val="20"/>
                <w:color w:val="auto"/>
              </w:rPr>
            </w:pPr>
            <w:r>
              <w:rPr>
                <w:rFonts w:ascii="MS PGothic" w:cs="MS PGothic" w:eastAsia="MS PGothic" w:hAnsi="MS PGothic"/>
                <w:sz w:val="32"/>
                <w:szCs w:val="32"/>
                <w:color w:val="auto"/>
              </w:rPr>
              <w:t>☐ ☐</w:t>
            </w:r>
          </w:p>
        </w:tc>
        <w:tc>
          <w:tcPr>
            <w:tcW w:w="64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2680" w:type="dxa"/>
            <w:vAlign w:val="bottom"/>
          </w:tcPr>
          <w:p>
            <w:pPr>
              <w:ind w:left="60"/>
              <w:spacing w:after="0"/>
              <w:rPr>
                <w:sz w:val="20"/>
                <w:szCs w:val="20"/>
                <w:color w:val="auto"/>
              </w:rPr>
            </w:pPr>
            <w:r>
              <w:rPr>
                <w:rFonts w:ascii="Arial" w:cs="Arial" w:eastAsia="Arial" w:hAnsi="Arial"/>
                <w:sz w:val="14"/>
                <w:szCs w:val="14"/>
                <w:color w:val="auto"/>
              </w:rPr>
              <w:t>4.  Vote, on an advisory basis, on the</w:t>
            </w:r>
          </w:p>
        </w:tc>
        <w:tc>
          <w:tcPr>
            <w:tcW w:w="0" w:type="dxa"/>
            <w:vAlign w:val="bottom"/>
          </w:tcPr>
          <w:p>
            <w:pPr>
              <w:spacing w:after="0"/>
              <w:rPr>
                <w:sz w:val="1"/>
                <w:szCs w:val="1"/>
                <w:color w:val="auto"/>
              </w:rPr>
            </w:pPr>
          </w:p>
        </w:tc>
      </w:tr>
      <w:tr>
        <w:trPr>
          <w:trHeight w:val="54"/>
        </w:trPr>
        <w:tc>
          <w:tcPr>
            <w:tcW w:w="38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680" w:type="dxa"/>
            <w:vAlign w:val="bottom"/>
            <w:vMerge w:val="restart"/>
          </w:tcPr>
          <w:p>
            <w:pPr>
              <w:ind w:left="260"/>
              <w:spacing w:after="0"/>
              <w:rPr>
                <w:sz w:val="20"/>
                <w:szCs w:val="20"/>
                <w:color w:val="auto"/>
              </w:rPr>
            </w:pPr>
            <w:r>
              <w:rPr>
                <w:rFonts w:ascii="Arial" w:cs="Arial" w:eastAsia="Arial" w:hAnsi="Arial"/>
                <w:sz w:val="14"/>
                <w:szCs w:val="14"/>
                <w:color w:val="auto"/>
              </w:rPr>
              <w:t>frequency of the advisory vote on the</w:t>
            </w:r>
          </w:p>
        </w:tc>
        <w:tc>
          <w:tcPr>
            <w:tcW w:w="0" w:type="dxa"/>
            <w:vAlign w:val="bottom"/>
          </w:tcPr>
          <w:p>
            <w:pPr>
              <w:spacing w:after="0"/>
              <w:rPr>
                <w:sz w:val="1"/>
                <w:szCs w:val="1"/>
                <w:color w:val="auto"/>
              </w:rPr>
            </w:pPr>
          </w:p>
        </w:tc>
      </w:tr>
      <w:tr>
        <w:trPr>
          <w:trHeight w:val="144"/>
        </w:trPr>
        <w:tc>
          <w:tcPr>
            <w:tcW w:w="3820" w:type="dxa"/>
            <w:vAlign w:val="bottom"/>
          </w:tcPr>
          <w:p>
            <w:pPr>
              <w:jc w:val="right"/>
              <w:ind w:right="8"/>
              <w:spacing w:after="0" w:line="145" w:lineRule="exact"/>
              <w:rPr>
                <w:sz w:val="20"/>
                <w:szCs w:val="20"/>
                <w:color w:val="auto"/>
              </w:rPr>
            </w:pPr>
            <w:r>
              <w:rPr>
                <w:rFonts w:ascii="Arial" w:cs="Arial" w:eastAsia="Arial" w:hAnsi="Arial"/>
                <w:sz w:val="14"/>
                <w:szCs w:val="14"/>
                <w:color w:val="auto"/>
              </w:rPr>
              <w:t>as our independent registered public accounting firm for</w:t>
            </w:r>
          </w:p>
        </w:tc>
        <w:tc>
          <w:tcPr>
            <w:tcW w:w="1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20" w:type="dxa"/>
            <w:vAlign w:val="bottom"/>
            <w:vMerge w:val="restart"/>
          </w:tcPr>
          <w:p>
            <w:pPr>
              <w:jc w:val="right"/>
              <w:ind w:right="868"/>
              <w:spacing w:after="0"/>
              <w:rPr>
                <w:sz w:val="20"/>
                <w:szCs w:val="20"/>
                <w:color w:val="auto"/>
              </w:rPr>
            </w:pPr>
            <w:r>
              <w:rPr>
                <w:rFonts w:ascii="Arial" w:cs="Arial" w:eastAsia="Arial" w:hAnsi="Arial"/>
                <w:sz w:val="14"/>
                <w:szCs w:val="14"/>
                <w:color w:val="auto"/>
              </w:rPr>
              <w:t>the fiscal year ending December 31, 2023.</w:t>
            </w:r>
          </w:p>
        </w:tc>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ind w:left="260"/>
              <w:spacing w:after="0" w:line="126" w:lineRule="exact"/>
              <w:rPr>
                <w:sz w:val="20"/>
                <w:szCs w:val="20"/>
                <w:color w:val="auto"/>
              </w:rPr>
            </w:pPr>
            <w:r>
              <w:rPr>
                <w:rFonts w:ascii="Arial" w:cs="Arial" w:eastAsia="Arial" w:hAnsi="Arial"/>
                <w:sz w:val="14"/>
                <w:szCs w:val="14"/>
                <w:color w:val="auto"/>
              </w:rPr>
              <w:t>compensation of our named executive</w:t>
            </w:r>
          </w:p>
        </w:tc>
        <w:tc>
          <w:tcPr>
            <w:tcW w:w="0" w:type="dxa"/>
            <w:vAlign w:val="bottom"/>
          </w:tcPr>
          <w:p>
            <w:pPr>
              <w:spacing w:after="0"/>
              <w:rPr>
                <w:sz w:val="1"/>
                <w:szCs w:val="1"/>
                <w:color w:val="auto"/>
              </w:rPr>
            </w:pPr>
          </w:p>
        </w:tc>
      </w:tr>
      <w:tr>
        <w:trPr>
          <w:trHeight w:val="82"/>
        </w:trPr>
        <w:tc>
          <w:tcPr>
            <w:tcW w:w="382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80" w:type="dxa"/>
            <w:vAlign w:val="bottom"/>
            <w:vMerge w:val="restart"/>
          </w:tcPr>
          <w:p>
            <w:pPr>
              <w:ind w:left="260"/>
              <w:spacing w:after="0"/>
              <w:rPr>
                <w:sz w:val="20"/>
                <w:szCs w:val="20"/>
                <w:color w:val="auto"/>
              </w:rPr>
            </w:pPr>
            <w:r>
              <w:rPr>
                <w:rFonts w:ascii="Arial" w:cs="Arial" w:eastAsia="Arial" w:hAnsi="Arial"/>
                <w:sz w:val="14"/>
                <w:szCs w:val="14"/>
                <w:color w:val="auto"/>
              </w:rPr>
              <w:t>officers.</w:t>
            </w:r>
          </w:p>
        </w:tc>
        <w:tc>
          <w:tcPr>
            <w:tcW w:w="0" w:type="dxa"/>
            <w:vAlign w:val="bottom"/>
          </w:tcPr>
          <w:p>
            <w:pPr>
              <w:spacing w:after="0"/>
              <w:rPr>
                <w:sz w:val="1"/>
                <w:szCs w:val="1"/>
                <w:color w:val="auto"/>
              </w:rPr>
            </w:pPr>
          </w:p>
        </w:tc>
      </w:tr>
      <w:tr>
        <w:trPr>
          <w:trHeight w:val="107"/>
        </w:trPr>
        <w:tc>
          <w:tcPr>
            <w:tcW w:w="3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1160" w:val="left"/>
          <w:tab w:leader="none" w:pos="1800" w:val="left"/>
        </w:tabs>
        <w:rPr>
          <w:sz w:val="20"/>
          <w:szCs w:val="20"/>
          <w:color w:val="auto"/>
        </w:rPr>
      </w:pPr>
      <w:r>
        <w:rPr>
          <w:rFonts w:ascii="Arial" w:cs="Arial" w:eastAsia="Arial" w:hAnsi="Arial"/>
          <w:sz w:val="14"/>
          <w:szCs w:val="14"/>
          <w:b w:val="1"/>
          <w:bCs w:val="1"/>
          <w:color w:val="auto"/>
        </w:rPr>
        <w:t>1 Year  2 Years</w:t>
        <w:tab/>
        <w:t>3 Years</w:t>
        <w:tab/>
        <w:t>Abstain</w:t>
      </w:r>
    </w:p>
    <w:p>
      <w:pPr>
        <w:spacing w:after="0" w:line="7" w:lineRule="exact"/>
        <w:rPr>
          <w:sz w:val="20"/>
          <w:szCs w:val="20"/>
          <w:color w:val="auto"/>
        </w:rPr>
      </w:pPr>
    </w:p>
    <w:p>
      <w:pPr>
        <w:ind w:left="80"/>
        <w:spacing w:after="0" w:line="321" w:lineRule="exact"/>
        <w:rPr>
          <w:sz w:val="20"/>
          <w:szCs w:val="20"/>
          <w:color w:val="auto"/>
        </w:rPr>
      </w:pPr>
      <w:r>
        <w:rPr>
          <w:rFonts w:ascii="MS PGothic" w:cs="MS PGothic" w:eastAsia="MS PGothic" w:hAnsi="MS PGothic"/>
          <w:sz w:val="32"/>
          <w:szCs w:val="32"/>
          <w:color w:val="auto"/>
        </w:rPr>
        <w:t>☐ ☐  ☐  ☐</w:t>
      </w:r>
    </w:p>
    <w:p>
      <w:pPr>
        <w:spacing w:after="0" w:line="418" w:lineRule="exact"/>
        <w:rPr>
          <w:sz w:val="20"/>
          <w:szCs w:val="20"/>
          <w:color w:val="auto"/>
        </w:rPr>
      </w:pPr>
    </w:p>
    <w:p>
      <w:pPr>
        <w:sectPr>
          <w:pgSz w:w="11900" w:h="16838" w:orient="portrait"/>
          <w:cols w:equalWidth="0" w:num="2">
            <w:col w:w="8360" w:space="420"/>
            <w:col w:w="2340"/>
          </w:cols>
          <w:pgMar w:left="320" w:top="482" w:right="459" w:bottom="1440" w:gutter="0" w:footer="0" w:header="0"/>
          <w:type w:val="continuous"/>
        </w:sectPr>
      </w:pPr>
    </w:p>
    <w:tbl>
      <w:tblPr>
        <w:tblLayout w:type="fixed"/>
        <w:tblInd w:w="120" w:type="dxa"/>
        <w:tblCellMar>
          <w:top w:w="0" w:type="dxa"/>
          <w:left w:w="0" w:type="dxa"/>
          <w:bottom w:w="0" w:type="dxa"/>
          <w:right w:w="0" w:type="dxa"/>
        </w:tblCellMar>
      </w:tblPr>
      <w:tr>
        <w:trPr>
          <w:trHeight w:val="130"/>
        </w:trPr>
        <w:tc>
          <w:tcPr>
            <w:tcW w:w="3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80" w:type="dxa"/>
            <w:vAlign w:val="bottom"/>
          </w:tcPr>
          <w:p>
            <w:pPr>
              <w:jc w:val="center"/>
              <w:ind w:left="243"/>
              <w:spacing w:after="0" w:line="131" w:lineRule="exact"/>
              <w:rPr>
                <w:sz w:val="20"/>
                <w:szCs w:val="20"/>
                <w:color w:val="auto"/>
              </w:rPr>
            </w:pPr>
            <w:r>
              <w:rPr>
                <w:rFonts w:ascii="Arial" w:cs="Arial" w:eastAsia="Arial" w:hAnsi="Arial"/>
                <w:sz w:val="14"/>
                <w:szCs w:val="14"/>
                <w:b w:val="1"/>
                <w:bCs w:val="1"/>
                <w:color w:val="auto"/>
              </w:rPr>
              <w:t>For</w:t>
            </w:r>
          </w:p>
        </w:tc>
        <w:tc>
          <w:tcPr>
            <w:tcW w:w="7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rPr>
              <w:t>Against</w:t>
            </w:r>
          </w:p>
        </w:tc>
        <w:tc>
          <w:tcPr>
            <w:tcW w:w="5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07"/>
        </w:trPr>
        <w:tc>
          <w:tcPr>
            <w:tcW w:w="3780" w:type="dxa"/>
            <w:vAlign w:val="bottom"/>
          </w:tcPr>
          <w:p>
            <w:pPr>
              <w:spacing w:after="0"/>
              <w:rPr>
                <w:sz w:val="20"/>
                <w:szCs w:val="20"/>
                <w:color w:val="auto"/>
              </w:rPr>
            </w:pPr>
            <w:r>
              <w:rPr>
                <w:rFonts w:ascii="Arial" w:cs="Arial" w:eastAsia="Arial" w:hAnsi="Arial"/>
                <w:sz w:val="14"/>
                <w:szCs w:val="14"/>
                <w:color w:val="auto"/>
              </w:rPr>
              <w:t>3.  Approval, on an advisory basis, of the compensation of</w:t>
            </w:r>
          </w:p>
        </w:tc>
        <w:tc>
          <w:tcPr>
            <w:tcW w:w="1140" w:type="dxa"/>
            <w:vAlign w:val="bottom"/>
            <w:vMerge w:val="restart"/>
          </w:tcPr>
          <w:p>
            <w:pPr>
              <w:ind w:left="140"/>
              <w:spacing w:after="0" w:line="321" w:lineRule="exact"/>
              <w:rPr>
                <w:sz w:val="20"/>
                <w:szCs w:val="20"/>
                <w:color w:val="auto"/>
              </w:rPr>
            </w:pPr>
            <w:r>
              <w:rPr>
                <w:rFonts w:ascii="MS PGothic" w:cs="MS PGothic" w:eastAsia="MS PGothic" w:hAnsi="MS PGothic"/>
                <w:sz w:val="32"/>
                <w:szCs w:val="32"/>
                <w:color w:val="auto"/>
              </w:rPr>
              <w:t>☐ ☐</w:t>
            </w:r>
          </w:p>
        </w:tc>
        <w:tc>
          <w:tcPr>
            <w:tcW w:w="580" w:type="dxa"/>
            <w:vAlign w:val="bottom"/>
            <w:vMerge w:val="restart"/>
          </w:tcPr>
          <w:p>
            <w:pPr>
              <w:ind w:left="180"/>
              <w:spacing w:after="0" w:line="321" w:lineRule="exact"/>
              <w:rPr>
                <w:sz w:val="20"/>
                <w:szCs w:val="20"/>
                <w:color w:val="auto"/>
              </w:rPr>
            </w:pPr>
            <w:r>
              <w:rPr>
                <w:rFonts w:ascii="MS PGothic" w:cs="MS PGothic" w:eastAsia="MS PGothic" w:hAnsi="MS PGothic"/>
                <w:sz w:val="32"/>
                <w:szCs w:val="32"/>
                <w:color w:val="auto"/>
              </w:rPr>
              <w:t>☐</w:t>
            </w:r>
          </w:p>
        </w:tc>
        <w:tc>
          <w:tcPr>
            <w:tcW w:w="3340" w:type="dxa"/>
            <w:vAlign w:val="bottom"/>
          </w:tcPr>
          <w:p>
            <w:pPr>
              <w:ind w:left="120"/>
              <w:spacing w:after="0"/>
              <w:rPr>
                <w:sz w:val="20"/>
                <w:szCs w:val="20"/>
                <w:color w:val="auto"/>
              </w:rPr>
            </w:pPr>
            <w:r>
              <w:rPr>
                <w:rFonts w:ascii="Arial" w:cs="Arial" w:eastAsia="Arial" w:hAnsi="Arial"/>
                <w:sz w:val="14"/>
                <w:szCs w:val="14"/>
                <w:color w:val="auto"/>
              </w:rPr>
              <w:t>5.  Approval of our 2023 Omnibus Incentive</w:t>
            </w:r>
          </w:p>
        </w:tc>
        <w:tc>
          <w:tcPr>
            <w:tcW w:w="880" w:type="dxa"/>
            <w:vAlign w:val="bottom"/>
            <w:vMerge w:val="restart"/>
          </w:tcPr>
          <w:p>
            <w:pPr>
              <w:jc w:val="center"/>
              <w:ind w:left="243"/>
              <w:spacing w:after="0" w:line="321" w:lineRule="exact"/>
              <w:rPr>
                <w:sz w:val="20"/>
                <w:szCs w:val="20"/>
                <w:color w:val="auto"/>
              </w:rPr>
            </w:pPr>
            <w:r>
              <w:rPr>
                <w:rFonts w:ascii="MS PGothic" w:cs="MS PGothic" w:eastAsia="MS PGothic" w:hAnsi="MS PGothic"/>
                <w:sz w:val="32"/>
                <w:szCs w:val="32"/>
                <w:color w:val="auto"/>
                <w:w w:val="87"/>
              </w:rPr>
              <w:t>☐</w:t>
            </w:r>
          </w:p>
        </w:tc>
        <w:tc>
          <w:tcPr>
            <w:tcW w:w="70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58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304"/>
        </w:trPr>
        <w:tc>
          <w:tcPr>
            <w:tcW w:w="3780" w:type="dxa"/>
            <w:vAlign w:val="bottom"/>
          </w:tcPr>
          <w:p>
            <w:pPr>
              <w:ind w:left="180"/>
              <w:spacing w:after="0"/>
              <w:rPr>
                <w:sz w:val="20"/>
                <w:szCs w:val="20"/>
                <w:color w:val="auto"/>
              </w:rPr>
            </w:pPr>
            <w:r>
              <w:rPr>
                <w:rFonts w:ascii="Arial" w:cs="Arial" w:eastAsia="Arial" w:hAnsi="Arial"/>
                <w:sz w:val="14"/>
                <w:szCs w:val="14"/>
                <w:color w:val="auto"/>
              </w:rPr>
              <w:t>our named executive officers.</w:t>
            </w:r>
          </w:p>
        </w:tc>
        <w:tc>
          <w:tcPr>
            <w:tcW w:w="114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3340" w:type="dxa"/>
            <w:vAlign w:val="bottom"/>
          </w:tcPr>
          <w:p>
            <w:pPr>
              <w:ind w:left="320"/>
              <w:spacing w:after="0"/>
              <w:rPr>
                <w:sz w:val="20"/>
                <w:szCs w:val="20"/>
                <w:color w:val="auto"/>
              </w:rPr>
            </w:pPr>
            <w:r>
              <w:rPr>
                <w:rFonts w:ascii="Arial" w:cs="Arial" w:eastAsia="Arial" w:hAnsi="Arial"/>
                <w:sz w:val="14"/>
                <w:szCs w:val="14"/>
                <w:color w:val="auto"/>
              </w:rPr>
              <w:t>Plan.</w:t>
            </w:r>
          </w:p>
        </w:tc>
        <w:tc>
          <w:tcPr>
            <w:tcW w:w="88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541655</wp:posOffset>
            </wp:positionV>
            <wp:extent cx="6995160" cy="16319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0" w:hanging="347"/>
        <w:spacing w:after="0"/>
        <w:tabs>
          <w:tab w:leader="none" w:pos="560" w:val="left"/>
        </w:tabs>
        <w:numPr>
          <w:ilvl w:val="0"/>
          <w:numId w:val="111"/>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count. Please date and sign below.</w:t>
      </w:r>
    </w:p>
    <w:p>
      <w:pPr>
        <w:spacing w:after="0" w:line="86" w:lineRule="exact"/>
        <w:rPr>
          <w:sz w:val="20"/>
          <w:szCs w:val="20"/>
          <w:color w:val="auto"/>
        </w:rPr>
      </w:pPr>
    </w:p>
    <w:p>
      <w:pPr>
        <w:ind w:left="120" w:right="260"/>
        <w:spacing w:after="0" w:line="285"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50" w:lineRule="exact"/>
        <w:rPr>
          <w:sz w:val="20"/>
          <w:szCs w:val="20"/>
          <w:color w:val="auto"/>
        </w:rPr>
      </w:pPr>
    </w:p>
    <w:p>
      <w:pPr>
        <w:ind w:left="120"/>
        <w:spacing w:after="0"/>
        <w:tabs>
          <w:tab w:leader="none" w:pos="3860" w:val="left"/>
          <w:tab w:leader="none" w:pos="760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4"/>
          <w:szCs w:val="14"/>
          <w:color w:val="auto"/>
        </w:rPr>
        <w:t>Signature 2 – Please keep signature within the box.</w:t>
      </w:r>
    </w:p>
    <w:p>
      <w:pPr>
        <w:spacing w:after="0" w:line="29" w:lineRule="exact"/>
        <w:rPr>
          <w:sz w:val="20"/>
          <w:szCs w:val="20"/>
          <w:color w:val="auto"/>
        </w:rPr>
      </w:pPr>
    </w:p>
    <w:p>
      <w:pPr>
        <w:ind w:left="1240"/>
        <w:spacing w:after="0"/>
        <w:tabs>
          <w:tab w:leader="none" w:pos="2300" w:val="left"/>
        </w:tabs>
        <w:rPr>
          <w:sz w:val="20"/>
          <w:szCs w:val="20"/>
          <w:color w:val="auto"/>
        </w:rPr>
      </w:pPr>
      <w:r>
        <w:rPr>
          <w:rFonts w:ascii="Arial" w:cs="Arial" w:eastAsia="Arial" w:hAnsi="Arial"/>
          <w:sz w:val="43"/>
          <w:szCs w:val="43"/>
          <w:color w:val="auto"/>
        </w:rPr>
        <w:t>/</w:t>
      </w:r>
      <w:r>
        <w:rPr>
          <w:sz w:val="20"/>
          <w:szCs w:val="20"/>
          <w:color w:val="auto"/>
        </w:rPr>
        <w:tab/>
      </w:r>
      <w:r>
        <w:rPr>
          <w:rFonts w:ascii="Arial" w:cs="Arial" w:eastAsia="Arial" w:hAnsi="Arial"/>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-307975</wp:posOffset>
            </wp:positionV>
            <wp:extent cx="7012305" cy="3517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012305" cy="3517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196850</wp:posOffset>
            </wp:positionV>
            <wp:extent cx="205740" cy="1968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196850</wp:posOffset>
            </wp:positionV>
            <wp:extent cx="214630" cy="2228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14630" cy="222885"/>
                    </a:xfrm>
                    <a:prstGeom prst="rect">
                      <a:avLst/>
                    </a:prstGeom>
                    <a:noFill/>
                  </pic:spPr>
                </pic:pic>
              </a:graphicData>
            </a:graphic>
          </wp:anchor>
        </w:drawing>
      </w:r>
    </w:p>
    <w:p>
      <w:pPr>
        <w:spacing w:after="0" w:line="34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 U P X</w:t>
      </w:r>
    </w:p>
    <w:p>
      <w:pPr>
        <w:spacing w:after="0" w:line="300" w:lineRule="exact"/>
        <w:rPr>
          <w:sz w:val="20"/>
          <w:szCs w:val="20"/>
          <w:color w:val="auto"/>
        </w:rPr>
      </w:pPr>
    </w:p>
    <w:p>
      <w:pPr>
        <w:ind w:left="1320"/>
        <w:spacing w:after="0"/>
        <w:rPr>
          <w:sz w:val="20"/>
          <w:szCs w:val="20"/>
          <w:color w:val="auto"/>
        </w:rPr>
      </w:pPr>
      <w:r>
        <w:rPr>
          <w:rFonts w:ascii="Arial" w:cs="Arial" w:eastAsia="Arial" w:hAnsi="Arial"/>
          <w:sz w:val="11"/>
          <w:szCs w:val="11"/>
          <w:color w:val="auto"/>
        </w:rPr>
        <w:t>03RXHD</w:t>
      </w:r>
    </w:p>
    <w:p>
      <w:pPr>
        <w:sectPr>
          <w:pgSz w:w="11900" w:h="16838" w:orient="portrait"/>
          <w:cols w:equalWidth="0" w:num="1">
            <w:col w:w="11120"/>
          </w:cols>
          <w:pgMar w:left="320" w:top="482" w:right="45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2023 Annual Meeting of Stockholders of Installed Building Products, Inc. will be held on Thursday, May 25, 2023 at 10:00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 Eastern Time.</w:t>
      </w:r>
    </w:p>
    <w:p>
      <w:pPr>
        <w:jc w:val="center"/>
        <w:ind w:right="-119"/>
        <w:spacing w:after="0"/>
        <w:rPr>
          <w:sz w:val="20"/>
          <w:szCs w:val="20"/>
          <w:color w:val="auto"/>
        </w:rPr>
      </w:pPr>
      <w:r>
        <w:rPr>
          <w:rFonts w:ascii="Arial" w:cs="Arial" w:eastAsia="Arial" w:hAnsi="Arial"/>
          <w:sz w:val="18"/>
          <w:szCs w:val="18"/>
          <w:b w:val="1"/>
          <w:bCs w:val="1"/>
          <w:color w:val="auto"/>
        </w:rPr>
        <w:t>The Annual Meeting will be a virtual meeting hosted by a live webcast at meetnow.global/MMS997W</w:t>
      </w:r>
    </w:p>
    <w:p>
      <w:pPr>
        <w:spacing w:after="0" w:line="126"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To access the virtual meeting, please refer to the “Frequently Asked Questions” section of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440" w:right="840"/>
        <w:spacing w:after="0" w:line="281" w:lineRule="auto"/>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Stockholders. The material is available at: www.edocumentview.com/IBP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Times New Roman" w:cs="Times New Roman" w:eastAsia="Times New Roman" w:hAnsi="Times New Roman"/>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3003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95160" cy="3003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Proxy – Installed Building Products, Inc.</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Notice of 2023 Annual Meeting of Stockholders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Proxy Solicited by Board of Directors</w:t>
      </w:r>
    </w:p>
    <w:p>
      <w:pPr>
        <w:spacing w:after="0" w:line="18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Jeffrey W. Edwards and Michael T. Miller, or either of them, each with the power of substitution, are hereby authorized to represent and vote the shares of the undersigned, with all the powers which the undersigned would possess if personally present, at the Annual Meeting of Stockholders of Installed Building Products, Inc. to be held on May 25, 2023 or at any postponement or adjournment thereof.</w:t>
      </w:r>
    </w:p>
    <w:p>
      <w:pPr>
        <w:spacing w:after="0" w:line="88"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8"/>
          <w:szCs w:val="18"/>
          <w:color w:val="auto"/>
        </w:rPr>
        <w:t>This proxy, when properly executed, will be voted in the manner directed herein by the stockholder. If no direction is made, this proxy will be voted:</w:t>
      </w:r>
    </w:p>
    <w:p>
      <w:pPr>
        <w:ind w:left="220" w:hanging="104"/>
        <w:spacing w:after="0" w:line="235" w:lineRule="auto"/>
        <w:tabs>
          <w:tab w:leader="none" w:pos="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the election of Michael T. Miller, Marchelle E. Moore and Robert H. Schottenstein as directors to serve for three-year terms;</w:t>
      </w:r>
    </w:p>
    <w:p>
      <w:pPr>
        <w:ind w:left="220" w:hanging="104"/>
        <w:spacing w:after="0" w:line="234" w:lineRule="auto"/>
        <w:tabs>
          <w:tab w:leader="none" w:pos="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our independent registered public accounting firm for the fiscal year ending December 31, 2023;</w:t>
      </w:r>
    </w:p>
    <w:p>
      <w:pPr>
        <w:spacing w:after="0" w:line="1" w:lineRule="exact"/>
        <w:rPr>
          <w:rFonts w:ascii="Arial" w:cs="Arial" w:eastAsia="Arial" w:hAnsi="Arial"/>
          <w:sz w:val="18"/>
          <w:szCs w:val="18"/>
          <w:color w:val="auto"/>
        </w:rPr>
      </w:pPr>
    </w:p>
    <w:p>
      <w:pPr>
        <w:ind w:left="220" w:hanging="104"/>
        <w:spacing w:after="0" w:line="234" w:lineRule="auto"/>
        <w:tabs>
          <w:tab w:leader="none" w:pos="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the approval, on an advisory basis, of the compensation of our named executive officers;</w:t>
      </w:r>
    </w:p>
    <w:p>
      <w:pPr>
        <w:ind w:left="220" w:right="20" w:hanging="104"/>
        <w:spacing w:after="0" w:line="234" w:lineRule="auto"/>
        <w:tabs>
          <w:tab w:leader="none" w:pos="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a vote of ONE YEAR, on an advisory basis, on the frequency of the advisory vote on the compensation of our named executive officers; and</w:t>
      </w:r>
    </w:p>
    <w:p>
      <w:pPr>
        <w:spacing w:after="0" w:line="1" w:lineRule="exact"/>
        <w:rPr>
          <w:rFonts w:ascii="Arial" w:cs="Arial" w:eastAsia="Arial" w:hAnsi="Arial"/>
          <w:sz w:val="18"/>
          <w:szCs w:val="18"/>
          <w:color w:val="auto"/>
        </w:rPr>
      </w:pPr>
    </w:p>
    <w:p>
      <w:pPr>
        <w:ind w:left="220" w:hanging="104"/>
        <w:spacing w:after="0"/>
        <w:tabs>
          <w:tab w:leader="none" w:pos="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the approval of our 2023 Omnibus Incentive Plan.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14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(Items to be voted appear on reverse side)</w:t>
      </w:r>
    </w:p>
    <w:p>
      <w:pPr>
        <w:sectPr>
          <w:pgSz w:w="11900" w:h="16838" w:orient="portrait"/>
          <w:cols w:equalWidth="0" w:num="1">
            <w:col w:w="11140"/>
          </w:cols>
          <w:pgMar w:left="320" w:top="482"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208280</wp:posOffset>
            </wp:positionV>
            <wp:extent cx="1225550" cy="677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25550" cy="67754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208280</wp:posOffset>
            </wp:positionV>
            <wp:extent cx="720090" cy="48006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0090" cy="48006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3079750</wp:posOffset>
            </wp:positionV>
            <wp:extent cx="334645" cy="30861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3464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 xml:space="preserve">Using a </w:t>
      </w:r>
      <w:r>
        <w:rPr>
          <w:rFonts w:ascii="Arial" w:cs="Arial" w:eastAsia="Arial" w:hAnsi="Arial"/>
          <w:sz w:val="12"/>
          <w:szCs w:val="12"/>
          <w:b w:val="1"/>
          <w:bCs w:val="1"/>
          <w:u w:val="single" w:color="auto"/>
          <w:color w:val="auto"/>
        </w:rPr>
        <w:t>blackink</w:t>
      </w:r>
      <w:r>
        <w:rPr>
          <w:rFonts w:ascii="Arial" w:cs="Arial" w:eastAsia="Arial" w:hAnsi="Arial"/>
          <w:sz w:val="12"/>
          <w:szCs w:val="12"/>
          <w:color w:val="auto"/>
        </w:rPr>
        <w:t xml:space="preserve"> pen, mark your votes with an </w:t>
      </w:r>
      <w:r>
        <w:rPr>
          <w:rFonts w:ascii="Arial" w:cs="Arial" w:eastAsia="Arial" w:hAnsi="Arial"/>
          <w:sz w:val="12"/>
          <w:szCs w:val="12"/>
          <w:b w:val="1"/>
          <w:bCs w:val="1"/>
          <w:color w:val="auto"/>
        </w:rPr>
        <w:t>X</w:t>
      </w:r>
      <w:r>
        <w:rPr>
          <w:rFonts w:ascii="Arial" w:cs="Arial" w:eastAsia="Arial" w:hAnsi="Arial"/>
          <w:sz w:val="12"/>
          <w:szCs w:val="12"/>
          <w:color w:val="auto"/>
        </w:rPr>
        <w:t xml:space="preserve"> as shown in this example.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Please do not write outside the designated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Your vote matters – here’s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-1863725</wp:posOffset>
            </wp:positionV>
            <wp:extent cx="7174865" cy="552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3"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You may vote online or by phone instead of mailing this card.</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Online</w:t>
      </w:r>
    </w:p>
    <w:p>
      <w:pPr>
        <w:spacing w:after="0" w:line="27" w:lineRule="exact"/>
        <w:rPr>
          <w:sz w:val="20"/>
          <w:szCs w:val="20"/>
          <w:color w:val="auto"/>
        </w:rPr>
      </w:pPr>
    </w:p>
    <w:p>
      <w:pPr>
        <w:jc w:val="both"/>
        <w:ind w:left="760" w:right="240"/>
        <w:spacing w:after="0" w:line="242" w:lineRule="auto"/>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b w:val="1"/>
          <w:bCs w:val="1"/>
          <w:color w:val="auto"/>
        </w:rPr>
        <w:t>www.envisionreports.com/IBP</w:t>
      </w:r>
      <w:r>
        <w:rPr>
          <w:rFonts w:ascii="Arial" w:cs="Arial" w:eastAsia="Arial" w:hAnsi="Arial"/>
          <w:sz w:val="18"/>
          <w:szCs w:val="18"/>
          <w:color w:val="auto"/>
        </w:rPr>
        <w:t xml:space="preserve"> or scan the QR code – You will need the number in the shaded bar below.</w:t>
      </w:r>
    </w:p>
    <w:p>
      <w:pPr>
        <w:spacing w:after="0" w:line="8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274320" cy="41148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74320" cy="411480"/>
                    </a:xfrm>
                    <a:prstGeom prst="rect">
                      <a:avLst/>
                    </a:prstGeom>
                    <a:noFill/>
                  </pic:spPr>
                </pic:pic>
              </a:graphicData>
            </a:graphic>
          </wp:anchor>
        </w:drawing>
      </w:r>
    </w:p>
    <w:p>
      <w:pPr>
        <w:ind w:left="760" w:right="200"/>
        <w:spacing w:after="0" w:line="250" w:lineRule="auto"/>
        <w:rPr>
          <w:sz w:val="20"/>
          <w:szCs w:val="20"/>
          <w:color w:val="auto"/>
        </w:rPr>
      </w:pPr>
      <w:r>
        <w:rPr>
          <w:rFonts w:ascii="Arial" w:cs="Arial" w:eastAsia="Arial" w:hAnsi="Arial"/>
          <w:sz w:val="18"/>
          <w:szCs w:val="18"/>
          <w:color w:val="auto"/>
        </w:rPr>
        <w:t>Call toll free 1-800-652-VOTE (8683) within the USA, US territories and Canada</w:t>
      </w:r>
    </w:p>
    <w:p>
      <w:pPr>
        <w:spacing w:after="0" w:line="122" w:lineRule="exact"/>
        <w:rPr>
          <w:sz w:val="20"/>
          <w:szCs w:val="20"/>
          <w:color w:val="auto"/>
        </w:rPr>
      </w:pPr>
    </w:p>
    <w:p>
      <w:pPr>
        <w:ind w:left="760" w:right="600"/>
        <w:spacing w:after="0" w:line="269" w:lineRule="auto"/>
        <w:rPr>
          <w:sz w:val="20"/>
          <w:szCs w:val="20"/>
          <w:color w:val="auto"/>
        </w:rPr>
      </w:pPr>
      <w:r>
        <w:rPr>
          <w:rFonts w:ascii="Arial" w:cs="Arial" w:eastAsia="Arial" w:hAnsi="Arial"/>
          <w:sz w:val="21"/>
          <w:szCs w:val="21"/>
          <w:b w:val="1"/>
          <w:bCs w:val="1"/>
          <w:color w:val="auto"/>
        </w:rPr>
        <w:t>Save paper, time and money! Sign up for electronic delivery at www.envisionreports.com/IBP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-505460</wp:posOffset>
            </wp:positionV>
            <wp:extent cx="402590" cy="4025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02590" cy="402590"/>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25400</wp:posOffset>
            </wp:positionV>
            <wp:extent cx="6995160" cy="3346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995160" cy="334645"/>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5680" w:space="720"/>
            <w:col w:w="4720"/>
          </w:cols>
          <w:pgMar w:left="320" w:top="482" w:right="459" w:bottom="1440" w:gutter="0" w:footer="0" w:header="0"/>
        </w:sectPr>
      </w:pPr>
    </w:p>
    <w:p>
      <w:pPr>
        <w:ind w:left="260"/>
        <w:spacing w:after="0"/>
        <w:rPr>
          <w:sz w:val="20"/>
          <w:szCs w:val="20"/>
          <w:color w:val="auto"/>
        </w:rPr>
      </w:pPr>
      <w:r>
        <w:rPr>
          <w:rFonts w:ascii="Arial" w:cs="Arial" w:eastAsia="Arial" w:hAnsi="Arial"/>
          <w:sz w:val="25"/>
          <w:szCs w:val="25"/>
          <w:b w:val="1"/>
          <w:bCs w:val="1"/>
          <w:color w:val="auto"/>
        </w:rPr>
        <w:t>2023 Annual Meeting Proxy Card</w:t>
      </w:r>
    </w:p>
    <w:p>
      <w:pPr>
        <w:spacing w:after="0" w:line="2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Times New Roman" w:cs="Times New Roman" w:eastAsia="Times New Roman" w:hAnsi="Times New Roman"/>
          <w:sz w:val="14"/>
          <w:szCs w:val="14"/>
          <w:color w:val="auto"/>
        </w:rPr>
        <w:t xml:space="preserve"> q</w:t>
      </w:r>
    </w:p>
    <w:p>
      <w:pPr>
        <w:spacing w:after="0" w:line="261" w:lineRule="exact"/>
        <w:rPr>
          <w:sz w:val="20"/>
          <w:szCs w:val="20"/>
          <w:color w:val="auto"/>
        </w:rPr>
      </w:pPr>
    </w:p>
    <w:p>
      <w:pPr>
        <w:ind w:left="540" w:right="540" w:hanging="331"/>
        <w:spacing w:after="0" w:line="183" w:lineRule="auto"/>
        <w:tabs>
          <w:tab w:leader="none" w:pos="540" w:val="left"/>
        </w:tabs>
        <w:numPr>
          <w:ilvl w:val="0"/>
          <w:numId w:val="113"/>
        </w:numPr>
        <w:rPr>
          <w:rFonts w:ascii="Arial" w:cs="Arial" w:eastAsia="Arial" w:hAnsi="Arial"/>
          <w:sz w:val="34"/>
          <w:szCs w:val="34"/>
          <w:b w:val="1"/>
          <w:bCs w:val="1"/>
          <w:color w:val="FFFFFF"/>
          <w:vertAlign w:val="subscript"/>
        </w:rPr>
      </w:pPr>
      <w:r>
        <w:rPr>
          <w:rFonts w:ascii="Arial" w:cs="Arial" w:eastAsia="Arial" w:hAnsi="Arial"/>
          <w:sz w:val="17"/>
          <w:szCs w:val="17"/>
          <w:b w:val="1"/>
          <w:bCs w:val="1"/>
          <w:color w:val="auto"/>
        </w:rPr>
        <w:t xml:space="preserve">Proposals – The Board of Directors recommends a vote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all the nominees listed,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Proposals 2, 3 and 5 and for </w:t>
      </w:r>
      <w:r>
        <w:rPr>
          <w:rFonts w:ascii="Arial" w:cs="Arial" w:eastAsia="Arial" w:hAnsi="Arial"/>
          <w:sz w:val="17"/>
          <w:szCs w:val="17"/>
          <w:b w:val="1"/>
          <w:bCs w:val="1"/>
          <w:u w:val="single" w:color="auto"/>
          <w:color w:val="auto"/>
        </w:rPr>
        <w:t>ONE YEAR</w:t>
      </w:r>
      <w:r>
        <w:rPr>
          <w:rFonts w:ascii="Arial" w:cs="Arial" w:eastAsia="Arial" w:hAnsi="Arial"/>
          <w:sz w:val="17"/>
          <w:szCs w:val="17"/>
          <w:b w:val="1"/>
          <w:bCs w:val="1"/>
          <w:color w:val="auto"/>
        </w:rPr>
        <w:t xml:space="preserve"> on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-305435</wp:posOffset>
            </wp:positionV>
            <wp:extent cx="6643370" cy="3257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643370" cy="325755"/>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Election of Directors to serve for three-year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-95885</wp:posOffset>
            </wp:positionV>
            <wp:extent cx="214630" cy="2228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4630" cy="222885"/>
                    </a:xfrm>
                    <a:prstGeom prst="rect">
                      <a:avLst/>
                    </a:prstGeom>
                    <a:noFill/>
                  </pic:spPr>
                </pic:pic>
              </a:graphicData>
            </a:graphic>
          </wp:anchor>
        </w:drawing>
      </w:r>
    </w:p>
    <w:p>
      <w:pPr>
        <w:spacing w:after="0" w:line="184" w:lineRule="exact"/>
        <w:rPr>
          <w:sz w:val="20"/>
          <w:szCs w:val="20"/>
          <w:color w:val="auto"/>
        </w:rPr>
      </w:pPr>
    </w:p>
    <w:p>
      <w:pPr>
        <w:ind w:left="2360"/>
        <w:spacing w:after="0"/>
        <w:tabs>
          <w:tab w:leader="none" w:pos="3340" w:val="left"/>
        </w:tabs>
        <w:rPr>
          <w:sz w:val="20"/>
          <w:szCs w:val="20"/>
          <w:color w:val="auto"/>
        </w:rPr>
      </w:pPr>
      <w:r>
        <w:rPr>
          <w:rFonts w:ascii="Arial" w:cs="Arial" w:eastAsia="Arial" w:hAnsi="Arial"/>
          <w:sz w:val="14"/>
          <w:szCs w:val="14"/>
          <w:b w:val="1"/>
          <w:bCs w:val="1"/>
          <w:color w:val="auto"/>
        </w:rPr>
        <w:t>For  Against</w:t>
        <w:tab/>
        <w:t>Abstain</w:t>
      </w:r>
    </w:p>
    <w:p>
      <w:pPr>
        <w:sectPr>
          <w:pgSz w:w="11900" w:h="16838" w:orient="portrait"/>
          <w:cols w:equalWidth="0" w:num="1">
            <w:col w:w="11120"/>
          </w:cols>
          <w:pgMar w:left="320" w:top="482" w:right="459" w:bottom="1440" w:gutter="0" w:footer="0" w:header="0"/>
          <w:type w:val="continuous"/>
        </w:sectPr>
      </w:pPr>
    </w:p>
    <w:tbl>
      <w:tblPr>
        <w:tblLayout w:type="fixed"/>
        <w:tblInd w:w="340" w:type="dxa"/>
        <w:tblCellMar>
          <w:top w:w="0" w:type="dxa"/>
          <w:left w:w="0" w:type="dxa"/>
          <w:bottom w:w="0" w:type="dxa"/>
          <w:right w:w="0" w:type="dxa"/>
        </w:tblCellMar>
      </w:tblPr>
      <w:tr>
        <w:trPr>
          <w:trHeight w:val="334"/>
        </w:trPr>
        <w:tc>
          <w:tcPr>
            <w:tcW w:w="180" w:type="dxa"/>
            <w:vAlign w:val="bottom"/>
            <w:vMerge w:val="restart"/>
          </w:tcPr>
          <w:p>
            <w:pPr>
              <w:jc w:val="right"/>
              <w:spacing w:after="0"/>
              <w:rPr>
                <w:sz w:val="20"/>
                <w:szCs w:val="20"/>
                <w:color w:val="auto"/>
              </w:rPr>
            </w:pPr>
            <w:r>
              <w:rPr>
                <w:rFonts w:ascii="Arial" w:cs="Arial" w:eastAsia="Arial" w:hAnsi="Arial"/>
                <w:sz w:val="14"/>
                <w:szCs w:val="14"/>
                <w:color w:val="auto"/>
                <w:w w:val="89"/>
              </w:rPr>
              <w:t>01</w:t>
            </w:r>
          </w:p>
        </w:tc>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 Michael T. Miller</w:t>
            </w:r>
          </w:p>
        </w:tc>
        <w:tc>
          <w:tcPr>
            <w:tcW w:w="1780" w:type="dxa"/>
            <w:vAlign w:val="bottom"/>
          </w:tcPr>
          <w:p>
            <w:pPr>
              <w:jc w:val="right"/>
              <w:spacing w:after="0" w:line="333" w:lineRule="exact"/>
              <w:rPr>
                <w:sz w:val="20"/>
                <w:szCs w:val="20"/>
                <w:color w:val="auto"/>
              </w:rPr>
            </w:pPr>
            <w:r>
              <w:rPr>
                <w:rFonts w:ascii="MS PGothic" w:cs="MS PGothic" w:eastAsia="MS PGothic" w:hAnsi="MS PGothic"/>
                <w:sz w:val="36"/>
                <w:szCs w:val="36"/>
                <w:color w:val="auto"/>
              </w:rPr>
              <w:t>☐ ☐ ☐</w:t>
            </w:r>
          </w:p>
        </w:tc>
        <w:tc>
          <w:tcPr>
            <w:tcW w:w="0" w:type="dxa"/>
            <w:vAlign w:val="bottom"/>
          </w:tcPr>
          <w:p>
            <w:pPr>
              <w:spacing w:after="0"/>
              <w:rPr>
                <w:sz w:val="1"/>
                <w:szCs w:val="1"/>
                <w:color w:val="auto"/>
              </w:rPr>
            </w:pPr>
          </w:p>
        </w:tc>
      </w:tr>
      <w:tr>
        <w:trPr>
          <w:trHeight w:val="46"/>
        </w:trPr>
        <w:tc>
          <w:tcPr>
            <w:tcW w:w="18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4"/>
        </w:trPr>
        <w:tc>
          <w:tcPr>
            <w:tcW w:w="180" w:type="dxa"/>
            <w:vAlign w:val="bottom"/>
          </w:tcPr>
          <w:p>
            <w:pPr>
              <w:jc w:val="right"/>
              <w:spacing w:after="0"/>
              <w:rPr>
                <w:sz w:val="20"/>
                <w:szCs w:val="20"/>
                <w:color w:val="auto"/>
              </w:rPr>
            </w:pPr>
            <w:r>
              <w:rPr>
                <w:rFonts w:ascii="Arial" w:cs="Arial" w:eastAsia="Arial" w:hAnsi="Arial"/>
                <w:sz w:val="14"/>
                <w:szCs w:val="14"/>
                <w:color w:val="auto"/>
                <w:w w:val="89"/>
              </w:rPr>
              <w:t>02</w:t>
            </w:r>
          </w:p>
        </w:tc>
        <w:tc>
          <w:tcPr>
            <w:tcW w:w="3260" w:type="dxa"/>
            <w:vAlign w:val="bottom"/>
            <w:gridSpan w:val="2"/>
          </w:tcPr>
          <w:p>
            <w:pPr>
              <w:jc w:val="right"/>
              <w:spacing w:after="0" w:line="361" w:lineRule="exact"/>
              <w:rPr>
                <w:sz w:val="20"/>
                <w:szCs w:val="20"/>
                <w:color w:val="auto"/>
              </w:rPr>
            </w:pPr>
            <w:r>
              <w:rPr>
                <w:rFonts w:ascii="Arial" w:cs="Arial" w:eastAsia="Arial" w:hAnsi="Arial"/>
                <w:sz w:val="14"/>
                <w:szCs w:val="14"/>
                <w:color w:val="auto"/>
              </w:rPr>
              <w:t>- Marchelle E. Moore</w:t>
            </w:r>
            <w:r>
              <w:rPr>
                <w:rFonts w:ascii="MS PGothic" w:cs="MS PGothic" w:eastAsia="MS PGothic" w:hAnsi="MS PGothic"/>
                <w:sz w:val="36"/>
                <w:szCs w:val="36"/>
                <w:color w:val="auto"/>
              </w:rPr>
              <w:t>☐ ☐ ☐</w:t>
            </w:r>
          </w:p>
        </w:tc>
        <w:tc>
          <w:tcPr>
            <w:tcW w:w="0" w:type="dxa"/>
            <w:vAlign w:val="bottom"/>
          </w:tcPr>
          <w:p>
            <w:pPr>
              <w:spacing w:after="0"/>
              <w:rPr>
                <w:sz w:val="1"/>
                <w:szCs w:val="1"/>
                <w:color w:val="auto"/>
              </w:rPr>
            </w:pPr>
          </w:p>
        </w:tc>
      </w:tr>
      <w:tr>
        <w:trPr>
          <w:trHeight w:val="568"/>
        </w:trPr>
        <w:tc>
          <w:tcPr>
            <w:tcW w:w="180" w:type="dxa"/>
            <w:vAlign w:val="bottom"/>
          </w:tcPr>
          <w:p>
            <w:pPr>
              <w:jc w:val="right"/>
              <w:spacing w:after="0"/>
              <w:rPr>
                <w:sz w:val="20"/>
                <w:szCs w:val="20"/>
                <w:color w:val="auto"/>
              </w:rPr>
            </w:pPr>
            <w:r>
              <w:rPr>
                <w:rFonts w:ascii="Arial" w:cs="Arial" w:eastAsia="Arial" w:hAnsi="Arial"/>
                <w:sz w:val="14"/>
                <w:szCs w:val="14"/>
                <w:color w:val="auto"/>
                <w:w w:val="89"/>
              </w:rPr>
              <w:t>03</w:t>
            </w:r>
          </w:p>
        </w:tc>
        <w:tc>
          <w:tcPr>
            <w:tcW w:w="3260" w:type="dxa"/>
            <w:vAlign w:val="bottom"/>
            <w:gridSpan w:val="2"/>
          </w:tcPr>
          <w:p>
            <w:pPr>
              <w:jc w:val="right"/>
              <w:spacing w:after="0" w:line="403" w:lineRule="exact"/>
              <w:rPr>
                <w:sz w:val="20"/>
                <w:szCs w:val="20"/>
                <w:color w:val="auto"/>
              </w:rPr>
            </w:pPr>
            <w:r>
              <w:rPr>
                <w:rFonts w:ascii="Arial" w:cs="Arial" w:eastAsia="Arial" w:hAnsi="Arial"/>
                <w:sz w:val="14"/>
                <w:szCs w:val="14"/>
                <w:color w:val="auto"/>
                <w:w w:val="88"/>
              </w:rPr>
              <w:t xml:space="preserve">- Robert H. Schottenstein  </w:t>
            </w:r>
            <w:r>
              <w:rPr>
                <w:rFonts w:ascii="MS PGothic" w:cs="MS PGothic" w:eastAsia="MS PGothic" w:hAnsi="MS PGothic"/>
                <w:sz w:val="35"/>
                <w:szCs w:val="35"/>
                <w:color w:val="auto"/>
                <w:w w:val="88"/>
              </w:rPr>
              <w:t>☐ ☐</w:t>
            </w:r>
            <w:r>
              <w:rPr>
                <w:rFonts w:ascii="MS PGothic" w:cs="MS PGothic" w:eastAsia="MS PGothic" w:hAnsi="MS PGothic"/>
                <w:sz w:val="36"/>
                <w:szCs w:val="36"/>
                <w:color w:val="auto"/>
                <w:w w:val="88"/>
              </w:rPr>
              <w:t>☐</w:t>
            </w:r>
          </w:p>
        </w:tc>
        <w:tc>
          <w:tcPr>
            <w:tcW w:w="0" w:type="dxa"/>
            <w:vAlign w:val="bottom"/>
          </w:tcPr>
          <w:p>
            <w:pPr>
              <w:spacing w:after="0"/>
              <w:rPr>
                <w:sz w:val="1"/>
                <w:szCs w:val="1"/>
                <w:color w:val="auto"/>
              </w:rPr>
            </w:pPr>
          </w:p>
        </w:tc>
      </w:tr>
    </w:tbl>
    <w:p>
      <w:pPr>
        <w:spacing w:after="0" w:line="383" w:lineRule="exact"/>
        <w:rPr>
          <w:sz w:val="20"/>
          <w:szCs w:val="20"/>
          <w:color w:val="auto"/>
        </w:rPr>
      </w:pPr>
    </w:p>
    <w:p>
      <w:pPr>
        <w:ind w:left="300" w:hanging="186"/>
        <w:spacing w:after="0" w:line="263" w:lineRule="auto"/>
        <w:rPr>
          <w:sz w:val="20"/>
          <w:szCs w:val="20"/>
          <w:color w:val="auto"/>
        </w:rPr>
      </w:pPr>
      <w:r>
        <w:rPr>
          <w:rFonts w:ascii="Arial" w:cs="Arial" w:eastAsia="Arial" w:hAnsi="Arial"/>
          <w:sz w:val="14"/>
          <w:szCs w:val="14"/>
          <w:color w:val="auto"/>
        </w:rPr>
        <w:t>2.  Ratification of the appointment of Deloitte &amp; Touche LLP as our independent registered public accounting firm for the fiscal year ending December 31, 2023.</w:t>
      </w:r>
    </w:p>
    <w:p>
      <w:pPr>
        <w:spacing w:after="0" w:line="227" w:lineRule="exact"/>
        <w:rPr>
          <w:sz w:val="20"/>
          <w:szCs w:val="20"/>
          <w:color w:val="auto"/>
        </w:rPr>
      </w:pPr>
    </w:p>
    <w:p>
      <w:pPr>
        <w:ind w:left="300" w:right="40" w:hanging="186"/>
        <w:spacing w:after="0" w:line="285" w:lineRule="auto"/>
        <w:rPr>
          <w:sz w:val="20"/>
          <w:szCs w:val="20"/>
          <w:color w:val="auto"/>
        </w:rPr>
      </w:pPr>
      <w:r>
        <w:rPr>
          <w:rFonts w:ascii="Arial" w:cs="Arial" w:eastAsia="Arial" w:hAnsi="Arial"/>
          <w:sz w:val="14"/>
          <w:szCs w:val="14"/>
          <w:color w:val="auto"/>
        </w:rPr>
        <w:t>3.  Approval, on an advisory basis, of the compensation of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ind w:left="40"/>
              <w:spacing w:after="0"/>
              <w:rPr>
                <w:sz w:val="20"/>
                <w:szCs w:val="20"/>
                <w:color w:val="auto"/>
              </w:rPr>
            </w:pPr>
            <w:r>
              <w:rPr>
                <w:rFonts w:ascii="Arial" w:cs="Arial" w:eastAsia="Arial" w:hAnsi="Arial"/>
                <w:sz w:val="14"/>
                <w:szCs w:val="14"/>
                <w:b w:val="1"/>
                <w:bCs w:val="1"/>
                <w:color w:val="auto"/>
              </w:rPr>
              <w:t>For  Against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60" w:type="dxa"/>
            <w:vAlign w:val="bottom"/>
            <w:vMerge w:val="restart"/>
          </w:tcPr>
          <w:p>
            <w:pPr>
              <w:spacing w:after="0" w:line="361" w:lineRule="exact"/>
              <w:rPr>
                <w:sz w:val="20"/>
                <w:szCs w:val="20"/>
                <w:color w:val="auto"/>
              </w:rPr>
            </w:pPr>
            <w:r>
              <w:rPr>
                <w:rFonts w:ascii="MS PGothic" w:cs="MS PGothic" w:eastAsia="MS PGothic" w:hAnsi="MS PGothic"/>
                <w:sz w:val="36"/>
                <w:szCs w:val="36"/>
                <w:color w:val="auto"/>
              </w:rPr>
              <w:t>☐ ☐</w:t>
            </w:r>
          </w:p>
        </w:tc>
        <w:tc>
          <w:tcPr>
            <w:tcW w:w="720" w:type="dxa"/>
            <w:vAlign w:val="bottom"/>
            <w:vMerge w:val="restart"/>
          </w:tcPr>
          <w:p>
            <w:pPr>
              <w:jc w:val="center"/>
              <w:spacing w:after="0" w:line="361" w:lineRule="exact"/>
              <w:rPr>
                <w:sz w:val="20"/>
                <w:szCs w:val="20"/>
                <w:color w:val="auto"/>
              </w:rPr>
            </w:pPr>
            <w:r>
              <w:rPr>
                <w:rFonts w:ascii="MS PGothic" w:cs="MS PGothic" w:eastAsia="MS PGothic" w:hAnsi="MS PGothic"/>
                <w:sz w:val="36"/>
                <w:szCs w:val="36"/>
                <w:color w:val="auto"/>
                <w:w w:val="88"/>
              </w:rPr>
              <w:t>☐</w:t>
            </w:r>
          </w:p>
        </w:tc>
        <w:tc>
          <w:tcPr>
            <w:tcW w:w="2640" w:type="dxa"/>
            <w:vAlign w:val="bottom"/>
          </w:tcPr>
          <w:p>
            <w:pPr>
              <w:ind w:left="80"/>
              <w:spacing w:after="0"/>
              <w:rPr>
                <w:sz w:val="20"/>
                <w:szCs w:val="20"/>
                <w:color w:val="auto"/>
              </w:rPr>
            </w:pPr>
            <w:r>
              <w:rPr>
                <w:rFonts w:ascii="Arial" w:cs="Arial" w:eastAsia="Arial" w:hAnsi="Arial"/>
                <w:sz w:val="14"/>
                <w:szCs w:val="14"/>
                <w:color w:val="auto"/>
              </w:rPr>
              <w:t>4.  Vote, on an advisory basis, on the</w:t>
            </w:r>
          </w:p>
        </w:tc>
        <w:tc>
          <w:tcPr>
            <w:tcW w:w="0" w:type="dxa"/>
            <w:vAlign w:val="bottom"/>
          </w:tcPr>
          <w:p>
            <w:pPr>
              <w:spacing w:after="0"/>
              <w:rPr>
                <w:sz w:val="1"/>
                <w:szCs w:val="1"/>
                <w:color w:val="auto"/>
              </w:rPr>
            </w:pPr>
          </w:p>
        </w:tc>
      </w:tr>
      <w:tr>
        <w:trPr>
          <w:trHeight w:val="162"/>
        </w:trPr>
        <w:tc>
          <w:tcPr>
            <w:tcW w:w="10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640" w:type="dxa"/>
            <w:vAlign w:val="bottom"/>
          </w:tcPr>
          <w:p>
            <w:pPr>
              <w:ind w:left="280"/>
              <w:spacing w:after="0"/>
              <w:rPr>
                <w:sz w:val="20"/>
                <w:szCs w:val="20"/>
                <w:color w:val="auto"/>
              </w:rPr>
            </w:pPr>
            <w:r>
              <w:rPr>
                <w:rFonts w:ascii="Arial" w:cs="Arial" w:eastAsia="Arial" w:hAnsi="Arial"/>
                <w:sz w:val="14"/>
                <w:szCs w:val="14"/>
                <w:color w:val="auto"/>
              </w:rPr>
              <w:t>frequency of the advisory vote on the</w:t>
            </w:r>
          </w:p>
        </w:tc>
        <w:tc>
          <w:tcPr>
            <w:tcW w:w="0" w:type="dxa"/>
            <w:vAlign w:val="bottom"/>
          </w:tcPr>
          <w:p>
            <w:pPr>
              <w:spacing w:after="0"/>
              <w:rPr>
                <w:sz w:val="1"/>
                <w:szCs w:val="1"/>
                <w:color w:val="auto"/>
              </w:rPr>
            </w:pPr>
          </w:p>
        </w:tc>
      </w:tr>
      <w:tr>
        <w:trPr>
          <w:trHeight w:val="162"/>
        </w:trPr>
        <w:tc>
          <w:tcPr>
            <w:tcW w:w="10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640" w:type="dxa"/>
            <w:vAlign w:val="bottom"/>
          </w:tcPr>
          <w:p>
            <w:pPr>
              <w:ind w:left="280"/>
              <w:spacing w:after="0"/>
              <w:rPr>
                <w:sz w:val="20"/>
                <w:szCs w:val="20"/>
                <w:color w:val="auto"/>
              </w:rPr>
            </w:pPr>
            <w:r>
              <w:rPr>
                <w:rFonts w:ascii="Arial" w:cs="Arial" w:eastAsia="Arial" w:hAnsi="Arial"/>
                <w:sz w:val="14"/>
                <w:szCs w:val="14"/>
                <w:color w:val="auto"/>
              </w:rPr>
              <w:t>compensation of our named</w:t>
            </w:r>
          </w:p>
        </w:tc>
        <w:tc>
          <w:tcPr>
            <w:tcW w:w="0" w:type="dxa"/>
            <w:vAlign w:val="bottom"/>
          </w:tcPr>
          <w:p>
            <w:pPr>
              <w:spacing w:after="0"/>
              <w:rPr>
                <w:sz w:val="1"/>
                <w:szCs w:val="1"/>
                <w:color w:val="auto"/>
              </w:rPr>
            </w:pPr>
          </w:p>
        </w:tc>
      </w:tr>
      <w:tr>
        <w:trPr>
          <w:trHeight w:val="190"/>
        </w:trPr>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40" w:type="dxa"/>
            <w:vAlign w:val="bottom"/>
          </w:tcPr>
          <w:p>
            <w:pPr>
              <w:ind w:left="280"/>
              <w:spacing w:after="0"/>
              <w:rPr>
                <w:sz w:val="20"/>
                <w:szCs w:val="20"/>
                <w:color w:val="auto"/>
              </w:rPr>
            </w:pPr>
            <w:r>
              <w:rPr>
                <w:rFonts w:ascii="Arial" w:cs="Arial" w:eastAsia="Arial" w:hAnsi="Arial"/>
                <w:sz w:val="14"/>
                <w:szCs w:val="14"/>
                <w:color w:val="auto"/>
              </w:rPr>
              <w:t>executive officers.</w:t>
            </w:r>
          </w:p>
        </w:tc>
        <w:tc>
          <w:tcPr>
            <w:tcW w:w="0" w:type="dxa"/>
            <w:vAlign w:val="bottom"/>
          </w:tcPr>
          <w:p>
            <w:pPr>
              <w:spacing w:after="0"/>
              <w:rPr>
                <w:sz w:val="1"/>
                <w:szCs w:val="1"/>
                <w:color w:val="auto"/>
              </w:rPr>
            </w:pPr>
          </w:p>
        </w:tc>
      </w:tr>
      <w:tr>
        <w:trPr>
          <w:trHeight w:val="296"/>
        </w:trPr>
        <w:tc>
          <w:tcPr>
            <w:tcW w:w="1060" w:type="dxa"/>
            <w:vAlign w:val="bottom"/>
            <w:vMerge w:val="restart"/>
          </w:tcPr>
          <w:p>
            <w:pPr>
              <w:spacing w:after="0" w:line="361" w:lineRule="exact"/>
              <w:rPr>
                <w:sz w:val="20"/>
                <w:szCs w:val="20"/>
                <w:color w:val="auto"/>
              </w:rPr>
            </w:pPr>
            <w:r>
              <w:rPr>
                <w:rFonts w:ascii="MS PGothic" w:cs="MS PGothic" w:eastAsia="MS PGothic" w:hAnsi="MS PGothic"/>
                <w:sz w:val="36"/>
                <w:szCs w:val="36"/>
                <w:color w:val="auto"/>
              </w:rPr>
              <w:t>☐ ☐</w:t>
            </w:r>
          </w:p>
        </w:tc>
        <w:tc>
          <w:tcPr>
            <w:tcW w:w="720" w:type="dxa"/>
            <w:vAlign w:val="bottom"/>
            <w:vMerge w:val="restart"/>
          </w:tcPr>
          <w:p>
            <w:pPr>
              <w:jc w:val="center"/>
              <w:spacing w:after="0" w:line="361" w:lineRule="exact"/>
              <w:rPr>
                <w:sz w:val="20"/>
                <w:szCs w:val="20"/>
                <w:color w:val="auto"/>
              </w:rPr>
            </w:pPr>
            <w:r>
              <w:rPr>
                <w:rFonts w:ascii="MS PGothic" w:cs="MS PGothic" w:eastAsia="MS PGothic" w:hAnsi="MS PGothic"/>
                <w:sz w:val="36"/>
                <w:szCs w:val="36"/>
                <w:color w:val="auto"/>
                <w:w w:val="88"/>
              </w:rPr>
              <w:t>☐</w:t>
            </w:r>
          </w:p>
        </w:tc>
        <w:tc>
          <w:tcPr>
            <w:tcW w:w="2640" w:type="dxa"/>
            <w:vAlign w:val="bottom"/>
          </w:tcPr>
          <w:p>
            <w:pPr>
              <w:ind w:left="80"/>
              <w:spacing w:after="0"/>
              <w:rPr>
                <w:sz w:val="20"/>
                <w:szCs w:val="20"/>
                <w:color w:val="auto"/>
              </w:rPr>
            </w:pPr>
            <w:r>
              <w:rPr>
                <w:rFonts w:ascii="Arial" w:cs="Arial" w:eastAsia="Arial" w:hAnsi="Arial"/>
                <w:sz w:val="14"/>
                <w:szCs w:val="14"/>
                <w:color w:val="auto"/>
              </w:rPr>
              <w:t>5.  Approval of our 2023 Omnibus</w:t>
            </w:r>
          </w:p>
        </w:tc>
        <w:tc>
          <w:tcPr>
            <w:tcW w:w="0" w:type="dxa"/>
            <w:vAlign w:val="bottom"/>
          </w:tcPr>
          <w:p>
            <w:pPr>
              <w:spacing w:after="0"/>
              <w:rPr>
                <w:sz w:val="1"/>
                <w:szCs w:val="1"/>
                <w:color w:val="auto"/>
              </w:rPr>
            </w:pPr>
          </w:p>
        </w:tc>
      </w:tr>
      <w:tr>
        <w:trPr>
          <w:trHeight w:val="333"/>
        </w:trPr>
        <w:tc>
          <w:tcPr>
            <w:tcW w:w="106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2640" w:type="dxa"/>
            <w:vAlign w:val="bottom"/>
          </w:tcPr>
          <w:p>
            <w:pPr>
              <w:ind w:left="280"/>
              <w:spacing w:after="0"/>
              <w:rPr>
                <w:sz w:val="20"/>
                <w:szCs w:val="20"/>
                <w:color w:val="auto"/>
              </w:rPr>
            </w:pPr>
            <w:r>
              <w:rPr>
                <w:rFonts w:ascii="Arial" w:cs="Arial" w:eastAsia="Arial" w:hAnsi="Arial"/>
                <w:sz w:val="14"/>
                <w:szCs w:val="14"/>
                <w:color w:val="auto"/>
              </w:rPr>
              <w:t>Incentive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231775</wp:posOffset>
            </wp:positionV>
            <wp:extent cx="6780530" cy="1974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78053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160" w:val="left"/>
          <w:tab w:leader="none" w:pos="1800" w:val="left"/>
        </w:tabs>
        <w:rPr>
          <w:sz w:val="20"/>
          <w:szCs w:val="20"/>
          <w:color w:val="auto"/>
        </w:rPr>
      </w:pPr>
      <w:r>
        <w:rPr>
          <w:rFonts w:ascii="Arial" w:cs="Arial" w:eastAsia="Arial" w:hAnsi="Arial"/>
          <w:sz w:val="14"/>
          <w:szCs w:val="14"/>
          <w:b w:val="1"/>
          <w:bCs w:val="1"/>
          <w:color w:val="auto"/>
        </w:rPr>
        <w:t>1 Year  2 Years</w:t>
        <w:tab/>
        <w:t>3 Years</w:t>
        <w:tab/>
        <w:t>Abstain</w:t>
      </w:r>
    </w:p>
    <w:p>
      <w:pPr>
        <w:spacing w:after="0" w:line="14" w:lineRule="exact"/>
        <w:rPr>
          <w:sz w:val="20"/>
          <w:szCs w:val="20"/>
          <w:color w:val="auto"/>
        </w:rPr>
      </w:pPr>
    </w:p>
    <w:p>
      <w:pPr>
        <w:ind w:left="60"/>
        <w:spacing w:after="0" w:line="361" w:lineRule="exact"/>
        <w:rPr>
          <w:sz w:val="20"/>
          <w:szCs w:val="20"/>
          <w:color w:val="auto"/>
        </w:rPr>
      </w:pPr>
      <w:r>
        <w:rPr>
          <w:rFonts w:ascii="MS PGothic" w:cs="MS PGothic" w:eastAsia="MS PGothic" w:hAnsi="MS PGothic"/>
          <w:sz w:val="36"/>
          <w:szCs w:val="36"/>
          <w:color w:val="auto"/>
        </w:rPr>
        <w:t>☐ ☐ ☐ ☐</w:t>
      </w:r>
    </w:p>
    <w:p>
      <w:pPr>
        <w:spacing w:after="0" w:line="275" w:lineRule="exact"/>
        <w:rPr>
          <w:sz w:val="20"/>
          <w:szCs w:val="20"/>
          <w:color w:val="auto"/>
        </w:rPr>
      </w:pPr>
    </w:p>
    <w:p>
      <w:pPr>
        <w:jc w:val="both"/>
        <w:ind w:left="680"/>
        <w:spacing w:after="0"/>
        <w:tabs>
          <w:tab w:leader="none" w:pos="116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  Abstain</w:t>
      </w:r>
    </w:p>
    <w:p>
      <w:pPr>
        <w:spacing w:after="0" w:line="14" w:lineRule="exact"/>
        <w:rPr>
          <w:sz w:val="20"/>
          <w:szCs w:val="20"/>
          <w:color w:val="auto"/>
        </w:rPr>
      </w:pPr>
    </w:p>
    <w:p>
      <w:pPr>
        <w:ind w:left="640"/>
        <w:spacing w:after="0" w:line="361" w:lineRule="exact"/>
        <w:rPr>
          <w:sz w:val="20"/>
          <w:szCs w:val="20"/>
          <w:color w:val="auto"/>
        </w:rPr>
      </w:pPr>
      <w:r>
        <w:rPr>
          <w:rFonts w:ascii="MS PGothic" w:cs="MS PGothic" w:eastAsia="MS PGothic" w:hAnsi="MS PGothic"/>
          <w:sz w:val="36"/>
          <w:szCs w:val="36"/>
          <w:color w:val="auto"/>
        </w:rPr>
        <w:t>☐ ☐ ☐</w:t>
      </w:r>
    </w:p>
    <w:p>
      <w:pPr>
        <w:spacing w:after="0" w:line="321" w:lineRule="exact"/>
        <w:rPr>
          <w:sz w:val="20"/>
          <w:szCs w:val="20"/>
          <w:color w:val="auto"/>
        </w:rPr>
      </w:pPr>
    </w:p>
    <w:p>
      <w:pPr>
        <w:sectPr>
          <w:pgSz w:w="11900" w:h="16838" w:orient="portrait"/>
          <w:cols w:equalWidth="0" w:num="3">
            <w:col w:w="4060" w:space="140"/>
            <w:col w:w="4420" w:space="160"/>
            <w:col w:w="2340"/>
          </w:cols>
          <w:pgMar w:left="320" w:top="482" w:right="459" w:bottom="1440" w:gutter="0" w:footer="0" w:header="0"/>
          <w:type w:val="continuous"/>
        </w:sectPr>
      </w:pPr>
    </w:p>
    <w:p>
      <w:pPr>
        <w:spacing w:after="0" w:line="200" w:lineRule="exact"/>
        <w:rPr>
          <w:sz w:val="20"/>
          <w:szCs w:val="20"/>
          <w:color w:val="auto"/>
        </w:rPr>
      </w:pPr>
    </w:p>
    <w:p>
      <w:pPr>
        <w:ind w:left="560" w:hanging="344"/>
        <w:spacing w:after="0"/>
        <w:tabs>
          <w:tab w:leader="none" w:pos="560" w:val="left"/>
        </w:tabs>
        <w:numPr>
          <w:ilvl w:val="0"/>
          <w:numId w:val="114"/>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Authorized Signatures – This section must be completed for your vote to count. Please date and sign below.</w:t>
      </w:r>
    </w:p>
    <w:p>
      <w:pPr>
        <w:spacing w:after="0" w:line="100" w:lineRule="exact"/>
        <w:rPr>
          <w:sz w:val="20"/>
          <w:szCs w:val="20"/>
          <w:color w:val="auto"/>
        </w:rPr>
      </w:pPr>
    </w:p>
    <w:p>
      <w:pPr>
        <w:ind w:left="120" w:right="260"/>
        <w:spacing w:after="0" w:line="285"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90" w:lineRule="exact"/>
        <w:rPr>
          <w:sz w:val="20"/>
          <w:szCs w:val="20"/>
          <w:color w:val="auto"/>
        </w:rPr>
      </w:pPr>
    </w:p>
    <w:p>
      <w:pPr>
        <w:ind w:left="200"/>
        <w:spacing w:after="0"/>
        <w:tabs>
          <w:tab w:leader="none" w:pos="3840" w:val="left"/>
          <w:tab w:leader="none" w:pos="760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4"/>
          <w:szCs w:val="14"/>
          <w:color w:val="auto"/>
        </w:rPr>
        <w:t>Signature 2 – Please keep signature within the box.</w:t>
      </w:r>
    </w:p>
    <w:p>
      <w:pPr>
        <w:spacing w:after="0" w:line="31" w:lineRule="exact"/>
        <w:rPr>
          <w:sz w:val="20"/>
          <w:szCs w:val="20"/>
          <w:color w:val="auto"/>
        </w:rPr>
      </w:pPr>
    </w:p>
    <w:p>
      <w:pPr>
        <w:ind w:left="1040"/>
        <w:spacing w:after="0"/>
        <w:tabs>
          <w:tab w:leader="none" w:pos="1860" w:val="left"/>
        </w:tabs>
        <w:rPr>
          <w:sz w:val="20"/>
          <w:szCs w:val="20"/>
          <w:color w:val="auto"/>
        </w:rPr>
      </w:pPr>
      <w:r>
        <w:rPr>
          <w:rFonts w:ascii="Arial" w:cs="Arial" w:eastAsia="Arial" w:hAnsi="Arial"/>
          <w:sz w:val="50"/>
          <w:szCs w:val="50"/>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-351790</wp:posOffset>
            </wp:positionV>
            <wp:extent cx="6934835" cy="4025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34835" cy="40259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179070</wp:posOffset>
            </wp:positionV>
            <wp:extent cx="240030" cy="2228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40030" cy="22288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179070</wp:posOffset>
            </wp:positionV>
            <wp:extent cx="214630" cy="2228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4630" cy="222885"/>
                    </a:xfrm>
                    <a:prstGeom prst="rect">
                      <a:avLst/>
                    </a:prstGeom>
                    <a:noFill/>
                  </pic:spPr>
                </pic:pic>
              </a:graphicData>
            </a:graphic>
          </wp:anchor>
        </w:drawing>
      </w:r>
    </w:p>
    <w:p>
      <w:pPr>
        <w:spacing w:after="0" w:line="34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1 U P X</w:t>
      </w:r>
    </w:p>
    <w:p>
      <w:pPr>
        <w:sectPr>
          <w:pgSz w:w="11900" w:h="16838" w:orient="portrait"/>
          <w:cols w:equalWidth="0" w:num="1">
            <w:col w:w="11120"/>
          </w:cols>
          <w:pgMar w:left="320" w:top="482" w:right="459" w:bottom="1440" w:gutter="0" w:footer="0" w:header="0"/>
          <w:type w:val="continuous"/>
        </w:sectPr>
      </w:pPr>
    </w:p>
    <w:p>
      <w:pPr>
        <w:spacing w:after="0" w:line="165" w:lineRule="exact"/>
        <w:rPr>
          <w:sz w:val="20"/>
          <w:szCs w:val="20"/>
          <w:color w:val="auto"/>
        </w:rPr>
      </w:pPr>
    </w:p>
    <w:p>
      <w:pPr>
        <w:ind w:left="1540"/>
        <w:spacing w:after="0"/>
        <w:rPr>
          <w:sz w:val="20"/>
          <w:szCs w:val="20"/>
          <w:color w:val="auto"/>
        </w:rPr>
      </w:pPr>
      <w:r>
        <w:rPr>
          <w:rFonts w:ascii="Arial" w:cs="Arial" w:eastAsia="Arial" w:hAnsi="Arial"/>
          <w:sz w:val="10"/>
          <w:szCs w:val="10"/>
          <w:color w:val="auto"/>
        </w:rPr>
        <w:t>03RXGD</w:t>
      </w:r>
    </w:p>
    <w:p>
      <w:pPr>
        <w:sectPr>
          <w:pgSz w:w="11900" w:h="16838" w:orient="portrait"/>
          <w:cols w:equalWidth="0" w:num="1">
            <w:col w:w="11120"/>
          </w:cols>
          <w:pgMar w:left="320" w:top="482" w:right="45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2023 Annual Meeting of Stockholders of Installed Building Products, Inc. will be held on Thursday, May 25, 2023 at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10:00 a.m. Eastern Time.</w:t>
      </w:r>
    </w:p>
    <w:p>
      <w:pPr>
        <w:jc w:val="center"/>
        <w:ind w:right="-119"/>
        <w:spacing w:after="0"/>
        <w:rPr>
          <w:sz w:val="20"/>
          <w:szCs w:val="20"/>
          <w:color w:val="auto"/>
        </w:rPr>
      </w:pPr>
      <w:r>
        <w:rPr>
          <w:rFonts w:ascii="Arial" w:cs="Arial" w:eastAsia="Arial" w:hAnsi="Arial"/>
          <w:sz w:val="18"/>
          <w:szCs w:val="18"/>
          <w:b w:val="1"/>
          <w:bCs w:val="1"/>
          <w:color w:val="auto"/>
        </w:rPr>
        <w:t>The Annual Meeting will be a virtual meeting hosted by a live webcast at meetnow.global/MMS997W</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access the virtual meeting, vote your shares or submit questions during the virtual meeting,</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you must have the information that is printed in the shaded bar located on the reverse side of this form.</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40" w:right="840"/>
        <w:spacing w:after="0" w:line="281" w:lineRule="auto"/>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Stockholders. The material is available at: www.envisionreports.com/IBP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193040</wp:posOffset>
            </wp:positionV>
            <wp:extent cx="5323205" cy="58293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323205" cy="582930"/>
                    </a:xfrm>
                    <a:prstGeom prst="rect">
                      <a:avLst/>
                    </a:prstGeom>
                    <a:noFill/>
                  </pic:spPr>
                </pic:pic>
              </a:graphicData>
            </a:graphic>
          </wp:anchor>
        </w:drawing>
      </w:r>
    </w:p>
    <w:p>
      <w:pPr>
        <w:spacing w:after="0" w:line="34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Small steps make an impact.</w:t>
      </w:r>
    </w:p>
    <w:p>
      <w:pPr>
        <w:spacing w:after="0" w:line="6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Help the environment by consenting to receive electronic</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delivery, sign up at www.envisionreports.com/IBP</w:t>
      </w: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Times New Roman" w:cs="Times New Roman" w:eastAsia="Times New Roman" w:hAnsi="Times New Roman"/>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323215</wp:posOffset>
            </wp:positionV>
            <wp:extent cx="6652260" cy="3175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652260" cy="31750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auto"/>
        </w:rPr>
        <w:t>Proxy – Installed Building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6854190</wp:posOffset>
            </wp:positionH>
            <wp:positionV relativeFrom="paragraph">
              <wp:posOffset>-54610</wp:posOffset>
            </wp:positionV>
            <wp:extent cx="214630" cy="2228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4630" cy="222885"/>
                    </a:xfrm>
                    <a:prstGeom prst="rect">
                      <a:avLst/>
                    </a:prstGeom>
                    <a:noFill/>
                  </pic:spPr>
                </pic:pic>
              </a:graphicData>
            </a:graphic>
          </wp:anchor>
        </w:drawing>
      </w:r>
    </w:p>
    <w:p>
      <w:pPr>
        <w:spacing w:after="0" w:line="36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Notice of 2023 Annual Meeting of Stockholders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Proxy Solicited by Board of Directors</w:t>
      </w:r>
    </w:p>
    <w:p>
      <w:pPr>
        <w:spacing w:after="0" w:line="108"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Jeffrey W. Edwards and Michael T. Miller, or either of them, each with the power of substitution, are hereby authorized to represent and vote the shares of the undersigned, with all the powers which the undersigned would possess if personally present, at the Annual Meeting of Stockholders of Installed Building Products, Inc. to be held on May 25, 2023 or at any postponement or adjournment thereof.</w:t>
      </w:r>
    </w:p>
    <w:p>
      <w:pPr>
        <w:spacing w:after="0" w:line="61"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8"/>
          <w:szCs w:val="18"/>
          <w:color w:val="auto"/>
        </w:rPr>
        <w:t>This proxy, when properly executed, will be voted in the manner directed herein by the stockholder. If no direction is made, this proxy will be voted:</w:t>
      </w:r>
    </w:p>
    <w:p>
      <w:pPr>
        <w:ind w:left="220" w:hanging="104"/>
        <w:spacing w:after="0" w:line="235" w:lineRule="auto"/>
        <w:tabs>
          <w:tab w:leader="none" w:pos="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the election of Michael T. Miller, Marchelle E. Moore and Robert H. Schottenstein as directors to serve for three-year terms;</w:t>
      </w:r>
    </w:p>
    <w:p>
      <w:pPr>
        <w:ind w:left="220" w:hanging="104"/>
        <w:spacing w:after="0" w:line="234" w:lineRule="auto"/>
        <w:tabs>
          <w:tab w:leader="none" w:pos="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our independent registered public accounting firm for the fiscal year ending December 31, 2023;</w:t>
      </w:r>
    </w:p>
    <w:p>
      <w:pPr>
        <w:spacing w:after="0" w:line="1" w:lineRule="exact"/>
        <w:rPr>
          <w:rFonts w:ascii="Arial" w:cs="Arial" w:eastAsia="Arial" w:hAnsi="Arial"/>
          <w:sz w:val="18"/>
          <w:szCs w:val="18"/>
          <w:color w:val="auto"/>
        </w:rPr>
      </w:pPr>
    </w:p>
    <w:p>
      <w:pPr>
        <w:ind w:left="220" w:hanging="104"/>
        <w:spacing w:after="0" w:line="234" w:lineRule="auto"/>
        <w:tabs>
          <w:tab w:leader="none" w:pos="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the approval, on an advisory basis, of the compensation of our named executive officers;</w:t>
      </w:r>
    </w:p>
    <w:p>
      <w:pPr>
        <w:ind w:left="220" w:right="20" w:hanging="104"/>
        <w:spacing w:after="0" w:line="234" w:lineRule="auto"/>
        <w:tabs>
          <w:tab w:leader="none" w:pos="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a vote of ONE YEAR, on an advisory basis, on the frequency of the advisory vote on the compensation of our named executive officers; and</w:t>
      </w:r>
    </w:p>
    <w:p>
      <w:pPr>
        <w:spacing w:after="0" w:line="1" w:lineRule="exact"/>
        <w:rPr>
          <w:rFonts w:ascii="Arial" w:cs="Arial" w:eastAsia="Arial" w:hAnsi="Arial"/>
          <w:sz w:val="18"/>
          <w:szCs w:val="18"/>
          <w:color w:val="auto"/>
        </w:rPr>
      </w:pPr>
    </w:p>
    <w:p>
      <w:pPr>
        <w:ind w:left="220" w:hanging="104"/>
        <w:spacing w:after="0"/>
        <w:tabs>
          <w:tab w:leader="none" w:pos="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the approval of our 2023 Omnibus Incentive Plan.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14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(Items to be voted appear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223520</wp:posOffset>
            </wp:positionV>
            <wp:extent cx="6780530" cy="1974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780530" cy="197485"/>
                    </a:xfrm>
                    <a:prstGeom prst="rect">
                      <a:avLst/>
                    </a:prstGeom>
                    <a:noFill/>
                  </pic:spPr>
                </pic:pic>
              </a:graphicData>
            </a:graphic>
          </wp:anchor>
        </w:drawing>
      </w:r>
    </w:p>
    <w:p>
      <w:pPr>
        <w:spacing w:after="0" w:line="367" w:lineRule="exact"/>
        <w:rPr>
          <w:sz w:val="20"/>
          <w:szCs w:val="20"/>
          <w:color w:val="auto"/>
        </w:rPr>
      </w:pPr>
    </w:p>
    <w:p>
      <w:pPr>
        <w:ind w:left="560" w:hanging="344"/>
        <w:spacing w:after="0"/>
        <w:tabs>
          <w:tab w:leader="none" w:pos="560" w:val="left"/>
        </w:tabs>
        <w:numPr>
          <w:ilvl w:val="0"/>
          <w:numId w:val="116"/>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Non-Voting Items</w:t>
      </w:r>
    </w:p>
    <w:p>
      <w:pPr>
        <w:spacing w:after="0" w:line="127" w:lineRule="exact"/>
        <w:rPr>
          <w:sz w:val="20"/>
          <w:szCs w:val="20"/>
          <w:color w:val="auto"/>
        </w:rPr>
      </w:pPr>
    </w:p>
    <w:p>
      <w:pPr>
        <w:ind w:left="120"/>
        <w:spacing w:after="0"/>
        <w:tabs>
          <w:tab w:leader="none" w:pos="560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r>
        <w:rPr>
          <w:sz w:val="20"/>
          <w:szCs w:val="20"/>
          <w:color w:val="auto"/>
        </w:rPr>
        <w:tab/>
      </w:r>
      <w:r>
        <w:rPr>
          <w:rFonts w:ascii="Arial" w:cs="Arial" w:eastAsia="Arial" w:hAnsi="Arial"/>
          <w:sz w:val="14"/>
          <w:szCs w:val="14"/>
          <w:b w:val="1"/>
          <w:bCs w:val="1"/>
          <w:color w:val="auto"/>
        </w:rPr>
        <w:t xml:space="preserve">Comments </w:t>
      </w:r>
      <w:r>
        <w:rPr>
          <w:rFonts w:ascii="Arial" w:cs="Arial" w:eastAsia="Arial" w:hAnsi="Arial"/>
          <w:sz w:val="14"/>
          <w:szCs w:val="14"/>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40640</wp:posOffset>
            </wp:positionV>
            <wp:extent cx="6934835" cy="419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934835" cy="41973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598170</wp:posOffset>
            </wp:positionV>
            <wp:extent cx="205740" cy="1968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05740" cy="19685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598170</wp:posOffset>
            </wp:positionV>
            <wp:extent cx="214630" cy="2228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14630" cy="222885"/>
                    </a:xfrm>
                    <a:prstGeom prst="rect">
                      <a:avLst/>
                    </a:prstGeom>
                    <a:noFill/>
                  </pic:spPr>
                </pic:pic>
              </a:graphicData>
            </a:graphic>
          </wp:anchor>
        </w:drawing>
      </w:r>
    </w:p>
    <w:sectPr>
      <w:pgSz w:w="11900" w:h="16838" w:orient="portrait"/>
      <w:cols w:equalWidth="0" w:num="1">
        <w:col w:w="11140"/>
      </w:cols>
      <w:pgMar w:left="320" w:top="48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1."/>
      <w:numFmt w:val="decimal"/>
      <w:start w:val="1"/>
    </w:lvl>
  </w:abstractNum>
  <w:abstractNum w:abstractNumId="4">
    <w:nsid w:val="D34B6A8"/>
    <w:multiLevelType w:val="hybridMultilevel"/>
    <w:lvl w:ilvl="0">
      <w:lvlJc w:val="left"/>
      <w:lvlText w:val="%1."/>
      <w:numFmt w:val="decimal"/>
      <w:start w:val="2"/>
    </w:lvl>
  </w:abstractNum>
  <w:abstractNum w:abstractNumId="5">
    <w:nsid w:val="10233C99"/>
    <w:multiLevelType w:val="hybridMultilevel"/>
    <w:lvl w:ilvl="0">
      <w:lvlJc w:val="left"/>
      <w:lvlText w:val="%1."/>
      <w:numFmt w:val="decimal"/>
      <w:start w:val="4"/>
    </w:lvl>
  </w:abstractNum>
  <w:abstractNum w:abstractNumId="6">
    <w:nsid w:val="3F6AB60F"/>
    <w:multiLevelType w:val="hybridMultilevel"/>
    <w:lvl w:ilvl="0">
      <w:lvlJc w:val="left"/>
      <w:lvlText w:val=" "/>
      <w:numFmt w:val="bullet"/>
      <w:start w:val="1"/>
    </w:lvl>
  </w:abstractNum>
  <w:abstractNum w:abstractNumId="7">
    <w:nsid w:val="61574095"/>
    <w:multiLevelType w:val="hybridMultilevel"/>
    <w:lvl w:ilvl="0">
      <w:lvlJc w:val="left"/>
      <w:lvlText w:val=" "/>
      <w:numFmt w:val="bullet"/>
      <w:start w:val="1"/>
    </w:lvl>
  </w:abstractNum>
  <w:abstractNum w:abstractNumId="8">
    <w:nsid w:val="7E0C57B1"/>
    <w:multiLevelType w:val="hybridMultilevel"/>
    <w:lvl w:ilvl="0">
      <w:lvlJc w:val="left"/>
      <w:lvlText w:val=" "/>
      <w:numFmt w:val="bullet"/>
      <w:start w:val="1"/>
    </w:lvl>
    <w:lvl w:ilvl="1">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1)"/>
      <w:numFmt w:val="decimal"/>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
      <w:numFmt w:val="bullet"/>
      <w:start w:val="1"/>
    </w:lvl>
  </w:abstractNum>
  <w:abstractNum w:abstractNumId="25">
    <w:nsid w:val="799D0247"/>
    <w:multiLevelType w:val="hybridMultilevel"/>
    <w:lvl w:ilvl="0">
      <w:lvlJc w:val="left"/>
      <w:lvlText w:val=" "/>
      <w:numFmt w:val="bullet"/>
      <w:start w:val="1"/>
    </w:lvl>
  </w:abstractNum>
  <w:abstractNum w:abstractNumId="26">
    <w:nsid w:val="6B94764"/>
    <w:multiLevelType w:val="hybridMultilevel"/>
    <w:lvl w:ilvl="0">
      <w:lvlJc w:val="left"/>
      <w:lvlText w:val=" "/>
      <w:numFmt w:val="bullet"/>
      <w:start w:val="1"/>
    </w:lvl>
  </w:abstractNum>
  <w:abstractNum w:abstractNumId="27">
    <w:nsid w:val="42C296BD"/>
    <w:multiLevelType w:val="hybridMultilevel"/>
    <w:lvl w:ilvl="0">
      <w:lvlJc w:val="left"/>
      <w:lvlText w:val="(%1)"/>
      <w:numFmt w:val="decimal"/>
      <w:start w:val="1"/>
    </w:lvl>
  </w:abstractNum>
  <w:abstractNum w:abstractNumId="28">
    <w:nsid w:val="168E121F"/>
    <w:multiLevelType w:val="hybridMultilevel"/>
    <w:lvl w:ilvl="0">
      <w:lvlJc w:val="left"/>
      <w:lvlText w:val="(%1)"/>
      <w:numFmt w:val="decimal"/>
      <w:start w:val="1"/>
    </w:lvl>
  </w:abstractNum>
  <w:abstractNum w:abstractNumId="29">
    <w:nsid w:val="1EBA5D23"/>
    <w:multiLevelType w:val="hybridMultilevel"/>
    <w:lvl w:ilvl="0">
      <w:lvlJc w:val="left"/>
      <w:lvlText w:val=" "/>
      <w:numFmt w:val="bullet"/>
      <w:start w:val="1"/>
    </w:lvl>
  </w:abstractNum>
  <w:abstractNum w:abstractNumId="30">
    <w:nsid w:val="661E3F1E"/>
    <w:multiLevelType w:val="hybridMultilevel"/>
    <w:lvl w:ilvl="0">
      <w:lvlJc w:val="left"/>
      <w:lvlText w:val=" "/>
      <w:numFmt w:val="bullet"/>
      <w:start w:val="1"/>
    </w:lvl>
  </w:abstractNum>
  <w:abstractNum w:abstractNumId="31">
    <w:nsid w:val="5DC79EA8"/>
    <w:multiLevelType w:val="hybridMultilevel"/>
    <w:lvl w:ilvl="0">
      <w:lvlJc w:val="left"/>
      <w:lvlText w:val="(%1)"/>
      <w:numFmt w:val="decimal"/>
      <w:start w:val="1"/>
    </w:lvl>
  </w:abstractNum>
  <w:abstractNum w:abstractNumId="32">
    <w:nsid w:val="540A471C"/>
    <w:multiLevelType w:val="hybridMultilevel"/>
    <w:lvl w:ilvl="0">
      <w:lvlJc w:val="left"/>
      <w:lvlText w:val=" "/>
      <w:numFmt w:val="bullet"/>
      <w:start w:val="1"/>
    </w:lvl>
  </w:abstractNum>
  <w:abstractNum w:abstractNumId="33">
    <w:nsid w:val="7BD3EE7B"/>
    <w:multiLevelType w:val="hybridMultilevel"/>
    <w:lvl w:ilvl="0">
      <w:lvlJc w:val="left"/>
      <w:lvlText w:val=" "/>
      <w:numFmt w:val="bullet"/>
      <w:start w:val="1"/>
    </w:lvl>
  </w:abstractNum>
  <w:abstractNum w:abstractNumId="34">
    <w:nsid w:val="51D9C564"/>
    <w:multiLevelType w:val="hybridMultilevel"/>
    <w:lvl w:ilvl="0">
      <w:lvlJc w:val="left"/>
      <w:lvlText w:val="(%1)"/>
      <w:numFmt w:val="decimal"/>
      <w:start w:val="1"/>
    </w:lvl>
  </w:abstractNum>
  <w:abstractNum w:abstractNumId="35">
    <w:nsid w:val="613EFDC5"/>
    <w:multiLevelType w:val="hybridMultilevel"/>
    <w:lvl w:ilvl="0">
      <w:lvlJc w:val="left"/>
      <w:lvlText w:val="(%1)"/>
      <w:numFmt w:val="decimal"/>
      <w:start w:val="1"/>
    </w:lvl>
  </w:abstractNum>
  <w:abstractNum w:abstractNumId="36">
    <w:nsid w:val="BF72B14"/>
    <w:multiLevelType w:val="hybridMultilevel"/>
    <w:lvl w:ilvl="0">
      <w:lvlJc w:val="left"/>
      <w:lvlText w:val="(%1)"/>
      <w:numFmt w:val="lowerRoman"/>
      <w:start w:val="1"/>
    </w:lvl>
  </w:abstractNum>
  <w:abstractNum w:abstractNumId="37">
    <w:nsid w:val="11447B73"/>
    <w:multiLevelType w:val="hybridMultilevel"/>
    <w:lvl w:ilvl="0">
      <w:lvlJc w:val="left"/>
      <w:lvlText w:val="(%1)"/>
      <w:numFmt w:val="decimal"/>
      <w:start w:val="1"/>
    </w:lvl>
  </w:abstractNum>
  <w:abstractNum w:abstractNumId="38">
    <w:nsid w:val="42963E5A"/>
    <w:multiLevelType w:val="hybridMultilevel"/>
    <w:lvl w:ilvl="0">
      <w:lvlJc w:val="left"/>
      <w:lvlText w:val="(%1)"/>
      <w:numFmt w:val="decimal"/>
      <w:start w:val="3"/>
    </w:lvl>
  </w:abstractNum>
  <w:abstractNum w:abstractNumId="39">
    <w:nsid w:val="A0382C5"/>
    <w:multiLevelType w:val="hybridMultilevel"/>
    <w:lvl w:ilvl="0">
      <w:lvlJc w:val="left"/>
      <w:lvlText w:val="(%1)"/>
      <w:numFmt w:val="decimal"/>
      <w:start w:val="1"/>
    </w:lvl>
  </w:abstractNum>
  <w:abstractNum w:abstractNumId="40">
    <w:nsid w:val="8F2B15E"/>
    <w:multiLevelType w:val="hybridMultilevel"/>
    <w:lvl w:ilvl="0">
      <w:lvlJc w:val="left"/>
      <w:lvlText w:val="(%1)"/>
      <w:numFmt w:val="decimal"/>
      <w:start w:val="1"/>
    </w:lvl>
  </w:abstractNum>
  <w:abstractNum w:abstractNumId="41">
    <w:nsid w:val="1A32234B"/>
    <w:multiLevelType w:val="hybridMultilevel"/>
    <w:lvl w:ilvl="0">
      <w:lvlJc w:val="left"/>
      <w:lvlText w:val="(%1)"/>
      <w:numFmt w:val="decimal"/>
      <w:start w:val="1"/>
    </w:lvl>
  </w:abstractNum>
  <w:abstractNum w:abstractNumId="42">
    <w:nsid w:val="3B0FD379"/>
    <w:multiLevelType w:val="hybridMultilevel"/>
    <w:lvl w:ilvl="0">
      <w:lvlJc w:val="left"/>
      <w:lvlText w:val="(%1)"/>
      <w:numFmt w:val="lowerRoman"/>
      <w:start w:val="2"/>
    </w:lvl>
  </w:abstractNum>
  <w:abstractNum w:abstractNumId="43">
    <w:nsid w:val="68EB2F63"/>
    <w:multiLevelType w:val="hybridMultilevel"/>
    <w:lvl w:ilvl="0">
      <w:lvlJc w:val="left"/>
      <w:lvlText w:val="(%1)"/>
      <w:numFmt w:val="decimal"/>
      <w:start w:val="1"/>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1)"/>
      <w:numFmt w:val="decimal"/>
      <w:start w:val="1"/>
    </w:lvl>
  </w:abstractNum>
  <w:abstractNum w:abstractNumId="47">
    <w:nsid w:val="14330624"/>
    <w:multiLevelType w:val="hybridMultilevel"/>
    <w:lvl w:ilvl="0">
      <w:lvlJc w:val="left"/>
      <w:lvlText w:val="(%1)"/>
      <w:numFmt w:val="decimal"/>
      <w:start w:val="3"/>
    </w:lvl>
  </w:abstractNum>
  <w:abstractNum w:abstractNumId="48">
    <w:nsid w:val="7FFFCA11"/>
    <w:multiLevelType w:val="hybridMultilevel"/>
    <w:lvl w:ilvl="0">
      <w:lvlJc w:val="left"/>
      <w:lvlText w:val="(%1)"/>
      <w:numFmt w:val="decimal"/>
      <w:start w:val="5"/>
    </w:lvl>
  </w:abstractNum>
  <w:abstractNum w:abstractNumId="49">
    <w:nsid w:val="1A27709E"/>
    <w:multiLevelType w:val="hybridMultilevel"/>
    <w:lvl w:ilvl="0">
      <w:lvlJc w:val="left"/>
      <w:lvlText w:val="%1:"/>
      <w:numFmt w:val="decimal"/>
      <w:start w:val="4"/>
    </w:lvl>
  </w:abstractNum>
  <w:abstractNum w:abstractNumId="50">
    <w:nsid w:val="71EA1109"/>
    <w:multiLevelType w:val="hybridMultilevel"/>
    <w:lvl w:ilvl="0">
      <w:lvlJc w:val="left"/>
      <w:lvlText w:val="•"/>
      <w:numFmt w:val="bullet"/>
      <w:start w:val="1"/>
    </w:lvl>
  </w:abstractNum>
  <w:abstractNum w:abstractNumId="51">
    <w:nsid w:val="100F59DC"/>
    <w:multiLevelType w:val="hybridMultilevel"/>
    <w:lvl w:ilvl="0">
      <w:lvlJc w:val="left"/>
      <w:lvlText w:val="(%1)"/>
      <w:numFmt w:val="lowerRoman"/>
      <w:start w:val="3"/>
    </w:lvl>
  </w:abstractNum>
  <w:abstractNum w:abstractNumId="52">
    <w:nsid w:val="7FB7E0AA"/>
    <w:multiLevelType w:val="hybridMultilevel"/>
    <w:lvl w:ilvl="0">
      <w:lvlJc w:val="left"/>
      <w:lvlText w:val="(%1)"/>
      <w:numFmt w:val="lowerLetter"/>
      <w:start w:val="1"/>
    </w:lvl>
  </w:abstractNum>
  <w:abstractNum w:abstractNumId="53">
    <w:nsid w:val="6EB5BD4"/>
    <w:multiLevelType w:val="hybridMultilevel"/>
    <w:lvl w:ilvl="0">
      <w:lvlJc w:val="left"/>
      <w:lvlText w:val="(%1)"/>
      <w:numFmt w:val="lowerLetter"/>
      <w:start w:val="9"/>
    </w:lvl>
  </w:abstractNum>
  <w:abstractNum w:abstractNumId="54">
    <w:nsid w:val="6F6DD9AC"/>
    <w:multiLevelType w:val="hybridMultilevel"/>
    <w:lvl w:ilvl="0">
      <w:lvlJc w:val="left"/>
      <w:lvlText w:val="•"/>
      <w:numFmt w:val="bullet"/>
      <w:start w:val="1"/>
    </w:lvl>
  </w:abstractNum>
  <w:abstractNum w:abstractNumId="55">
    <w:nsid w:val="94211F2"/>
    <w:multiLevelType w:val="hybridMultilevel"/>
    <w:lvl w:ilvl="0">
      <w:lvlJc w:val="left"/>
      <w:lvlText w:val="(%1)"/>
      <w:numFmt w:val="decimal"/>
      <w:start w:val="1"/>
    </w:lvl>
  </w:abstractNum>
  <w:abstractNum w:abstractNumId="56">
    <w:nsid w:val="885E1B"/>
    <w:multiLevelType w:val="hybridMultilevel"/>
    <w:lvl w:ilvl="0">
      <w:lvlJc w:val="left"/>
      <w:lvlText w:val="(%1)"/>
      <w:numFmt w:val="decimal"/>
      <w:start w:val="11"/>
    </w:lvl>
  </w:abstractNum>
  <w:abstractNum w:abstractNumId="57">
    <w:nsid w:val="76272110"/>
    <w:multiLevelType w:val="hybridMultilevel"/>
    <w:lvl w:ilvl="0">
      <w:lvlJc w:val="left"/>
      <w:lvlText w:val="•"/>
      <w:numFmt w:val="bullet"/>
      <w:start w:val="1"/>
    </w:lvl>
  </w:abstractNum>
  <w:abstractNum w:abstractNumId="58">
    <w:nsid w:val="4C04A8AF"/>
    <w:multiLevelType w:val="hybridMultilevel"/>
    <w:lvl w:ilvl="0">
      <w:lvlJc w:val="left"/>
      <w:lvlText w:val=" "/>
      <w:numFmt w:val="bullet"/>
      <w:start w:val="1"/>
    </w:lvl>
  </w:abstractNum>
  <w:abstractNum w:abstractNumId="59">
    <w:nsid w:val="1716703B"/>
    <w:multiLevelType w:val="hybridMultilevel"/>
    <w:lvl w:ilvl="0">
      <w:lvlJc w:val="left"/>
      <w:lvlText w:val=" "/>
      <w:numFmt w:val="bullet"/>
      <w:start w:val="1"/>
    </w:lvl>
  </w:abstractNum>
  <w:abstractNum w:abstractNumId="60">
    <w:nsid w:val="14E17E33"/>
    <w:multiLevelType w:val="hybridMultilevel"/>
    <w:lvl w:ilvl="0">
      <w:lvlJc w:val="left"/>
      <w:lvlText w:val="(%1)"/>
      <w:numFmt w:val="decimal"/>
      <w:start w:val="1"/>
    </w:lvl>
  </w:abstractNum>
  <w:abstractNum w:abstractNumId="61">
    <w:nsid w:val="3222E7CD"/>
    <w:multiLevelType w:val="hybridMultilevel"/>
    <w:lvl w:ilvl="0">
      <w:lvlJc w:val="left"/>
      <w:lvlText w:val="%1:"/>
      <w:numFmt w:val="upperLetter"/>
      <w:start w:val="17"/>
    </w:lvl>
  </w:abstractNum>
  <w:abstractNum w:abstractNumId="62">
    <w:nsid w:val="74DE0EE3"/>
    <w:multiLevelType w:val="hybridMultilevel"/>
    <w:lvl w:ilvl="0">
      <w:lvlJc w:val="left"/>
      <w:lvlText w:val="%1:"/>
      <w:numFmt w:val="upperLetter"/>
      <w:start w:val="1"/>
    </w:lvl>
    <w:lvl w:ilvl="1">
      <w:lvlJc w:val="left"/>
      <w:lvlText w:val="•"/>
      <w:numFmt w:val="bullet"/>
      <w:start w:val="1"/>
    </w:lvl>
  </w:abstractNum>
  <w:abstractNum w:abstractNumId="63">
    <w:nsid w:val="68EBC550"/>
    <w:multiLevelType w:val="hybridMultilevel"/>
    <w:lvl w:ilvl="0">
      <w:lvlJc w:val="left"/>
      <w:lvlText w:val="%1:"/>
      <w:numFmt w:val="upperLetter"/>
      <w:start w:val="17"/>
    </w:lvl>
  </w:abstractNum>
  <w:abstractNum w:abstractNumId="64">
    <w:nsid w:val="2DF6D648"/>
    <w:multiLevelType w:val="hybridMultilevel"/>
    <w:lvl w:ilvl="0">
      <w:lvlJc w:val="left"/>
      <w:lvlText w:val="%1:"/>
      <w:numFmt w:val="upperLetter"/>
      <w:start w:val="1"/>
    </w:lvl>
  </w:abstractNum>
  <w:abstractNum w:abstractNumId="65">
    <w:nsid w:val="46B7D447"/>
    <w:multiLevelType w:val="hybridMultilevel"/>
    <w:lvl w:ilvl="0">
      <w:lvlJc w:val="left"/>
      <w:lvlText w:val="%1:"/>
      <w:numFmt w:val="upperLetter"/>
      <w:start w:val="17"/>
    </w:lvl>
  </w:abstractNum>
  <w:abstractNum w:abstractNumId="66">
    <w:nsid w:val="4A2AC315"/>
    <w:multiLevelType w:val="hybridMultilevel"/>
    <w:lvl w:ilvl="0">
      <w:lvlJc w:val="left"/>
      <w:lvlText w:val="%1:"/>
      <w:numFmt w:val="upperLetter"/>
      <w:start w:val="1"/>
    </w:lvl>
  </w:abstractNum>
  <w:abstractNum w:abstractNumId="67">
    <w:nsid w:val="39EE015C"/>
    <w:multiLevelType w:val="hybridMultilevel"/>
    <w:lvl w:ilvl="0">
      <w:lvlJc w:val="left"/>
      <w:lvlText w:val="%1:"/>
      <w:numFmt w:val="upperLetter"/>
      <w:start w:val="17"/>
    </w:lvl>
  </w:abstractNum>
  <w:abstractNum w:abstractNumId="68">
    <w:nsid w:val="57FC4FBB"/>
    <w:multiLevelType w:val="hybridMultilevel"/>
    <w:lvl w:ilvl="0">
      <w:lvlJc w:val="left"/>
      <w:lvlText w:val="%1."/>
      <w:numFmt w:val="upperLetter"/>
      <w:start w:val="1"/>
    </w:lvl>
  </w:abstractNum>
  <w:abstractNum w:abstractNumId="69">
    <w:nsid w:val="CC1016F"/>
    <w:multiLevelType w:val="hybridMultilevel"/>
    <w:lvl w:ilvl="0">
      <w:lvlJc w:val="left"/>
      <w:lvlText w:val="%1:"/>
      <w:numFmt w:val="upperLetter"/>
      <w:start w:val="17"/>
    </w:lvl>
  </w:abstractNum>
  <w:abstractNum w:abstractNumId="70">
    <w:nsid w:val="43F18422"/>
    <w:multiLevelType w:val="hybridMultilevel"/>
    <w:lvl w:ilvl="0">
      <w:lvlJc w:val="left"/>
      <w:lvlText w:val="%1:"/>
      <w:numFmt w:val="upperLetter"/>
      <w:start w:val="1"/>
    </w:lvl>
  </w:abstractNum>
  <w:abstractNum w:abstractNumId="71">
    <w:nsid w:val="60EF0119"/>
    <w:multiLevelType w:val="hybridMultilevel"/>
    <w:lvl w:ilvl="0">
      <w:lvlJc w:val="left"/>
      <w:lvlText w:val="%1:"/>
      <w:numFmt w:val="upperLetter"/>
      <w:start w:val="17"/>
    </w:lvl>
  </w:abstractNum>
  <w:abstractNum w:abstractNumId="72">
    <w:nsid w:val="26F324BA"/>
    <w:multiLevelType w:val="hybridMultilevel"/>
    <w:lvl w:ilvl="0">
      <w:lvlJc w:val="left"/>
      <w:lvlText w:val="%1:"/>
      <w:numFmt w:val="upperLetter"/>
      <w:start w:val="1"/>
    </w:lvl>
    <w:lvl w:ilvl="1">
      <w:lvlJc w:val="left"/>
      <w:lvlText w:val="•"/>
      <w:numFmt w:val="bullet"/>
      <w:start w:val="1"/>
    </w:lvl>
  </w:abstractNum>
  <w:abstractNum w:abstractNumId="73">
    <w:nsid w:val="7F01579B"/>
    <w:multiLevelType w:val="hybridMultilevel"/>
    <w:lvl w:ilvl="0">
      <w:lvlJc w:val="left"/>
      <w:lvlText w:val="%1:"/>
      <w:numFmt w:val="upperLetter"/>
      <w:start w:val="17"/>
    </w:lvl>
  </w:abstractNum>
  <w:abstractNum w:abstractNumId="74">
    <w:nsid w:val="49DA307D"/>
    <w:multiLevelType w:val="hybridMultilevel"/>
    <w:lvl w:ilvl="0">
      <w:lvlJc w:val="left"/>
      <w:lvlText w:val="%1."/>
      <w:numFmt w:val="upperLetter"/>
      <w:start w:val="1"/>
    </w:lvl>
  </w:abstractNum>
  <w:abstractNum w:abstractNumId="75">
    <w:nsid w:val="7055A5F5"/>
    <w:multiLevelType w:val="hybridMultilevel"/>
    <w:lvl w:ilvl="0">
      <w:lvlJc w:val="left"/>
      <w:lvlText w:val="%1:"/>
      <w:numFmt w:val="upperLetter"/>
      <w:start w:val="17"/>
    </w:lvl>
  </w:abstractNum>
  <w:abstractNum w:abstractNumId="76">
    <w:nsid w:val="5FB8370B"/>
    <w:multiLevelType w:val="hybridMultilevel"/>
    <w:lvl w:ilvl="0">
      <w:lvlJc w:val="left"/>
      <w:lvlText w:val="%1:"/>
      <w:numFmt w:val="upperLetter"/>
      <w:start w:val="1"/>
    </w:lvl>
  </w:abstractNum>
  <w:abstractNum w:abstractNumId="77">
    <w:nsid w:val="50801EE1"/>
    <w:multiLevelType w:val="hybridMultilevel"/>
    <w:lvl w:ilvl="0">
      <w:lvlJc w:val="left"/>
      <w:lvlText w:val="%1:"/>
      <w:numFmt w:val="upperLetter"/>
      <w:start w:val="17"/>
    </w:lvl>
  </w:abstractNum>
  <w:abstractNum w:abstractNumId="78">
    <w:nsid w:val="488AC1A"/>
    <w:multiLevelType w:val="hybridMultilevel"/>
    <w:lvl w:ilvl="0">
      <w:lvlJc w:val="left"/>
      <w:lvlText w:val="%1:"/>
      <w:numFmt w:val="upperLetter"/>
      <w:start w:val="17"/>
    </w:lvl>
  </w:abstractNum>
  <w:abstractNum w:abstractNumId="79">
    <w:nsid w:val="5FB8011C"/>
    <w:multiLevelType w:val="hybridMultilevel"/>
    <w:lvl w:ilvl="0">
      <w:lvlJc w:val="left"/>
      <w:lvlText w:val="%1:"/>
      <w:numFmt w:val="upperLetter"/>
      <w:start w:val="1"/>
    </w:lvl>
  </w:abstractNum>
  <w:abstractNum w:abstractNumId="80">
    <w:nsid w:val="6AA78F7F"/>
    <w:multiLevelType w:val="hybridMultilevel"/>
    <w:lvl w:ilvl="0">
      <w:lvlJc w:val="left"/>
      <w:lvlText w:val="%1:"/>
      <w:numFmt w:val="upperLetter"/>
      <w:start w:val="17"/>
    </w:lvl>
  </w:abstractNum>
  <w:abstractNum w:abstractNumId="81">
    <w:nsid w:val="7672BD23"/>
    <w:multiLevelType w:val="hybridMultilevel"/>
    <w:lvl w:ilvl="0">
      <w:lvlJc w:val="left"/>
      <w:lvlText w:val="%1:"/>
      <w:numFmt w:val="upperLetter"/>
      <w:start w:val="1"/>
    </w:lvl>
  </w:abstractNum>
  <w:abstractNum w:abstractNumId="82">
    <w:nsid w:val="6FC75AF8"/>
    <w:multiLevelType w:val="hybridMultilevel"/>
    <w:lvl w:ilvl="0">
      <w:lvlJc w:val="left"/>
      <w:lvlText w:val="%1"/>
      <w:numFmt w:val="lowerLetter"/>
      <w:start w:val="1"/>
    </w:lvl>
    <w:lvl w:ilvl="1">
      <w:lvlJc w:val="left"/>
      <w:lvlText w:val="(%2)"/>
      <w:numFmt w:val="lowerLetter"/>
      <w:start w:val="1"/>
    </w:lvl>
  </w:abstractNum>
  <w:abstractNum w:abstractNumId="83">
    <w:nsid w:val="6A5F7029"/>
    <w:multiLevelType w:val="hybridMultilevel"/>
    <w:lvl w:ilvl="0">
      <w:lvlJc w:val="left"/>
      <w:lvlText w:val="(%1)"/>
      <w:numFmt w:val="lowerLetter"/>
      <w:start w:val="9"/>
    </w:lvl>
    <w:lvl w:ilvl="1">
      <w:lvlJc w:val="left"/>
      <w:lvlText w:val="(%2)"/>
      <w:numFmt w:val="lowerLetter"/>
      <w:start w:val="3"/>
    </w:lvl>
  </w:abstractNum>
  <w:abstractNum w:abstractNumId="84">
    <w:nsid w:val="7D5E18F8"/>
    <w:multiLevelType w:val="hybridMultilevel"/>
    <w:lvl w:ilvl="0">
      <w:lvlJc w:val="left"/>
      <w:lvlText w:val="(%1)"/>
      <w:numFmt w:val="lowerLetter"/>
      <w:start w:val="1"/>
    </w:lvl>
  </w:abstractNum>
  <w:abstractNum w:abstractNumId="85">
    <w:nsid w:val="5F3534A4"/>
    <w:multiLevelType w:val="hybridMultilevel"/>
    <w:lvl w:ilvl="0">
      <w:lvlJc w:val="left"/>
      <w:lvlText w:val="(%1)"/>
      <w:numFmt w:val="lowerLetter"/>
      <w:start w:val="1"/>
    </w:lvl>
  </w:abstractNum>
  <w:abstractNum w:abstractNumId="86">
    <w:nsid w:val="73A1821B"/>
    <w:multiLevelType w:val="hybridMultilevel"/>
    <w:lvl w:ilvl="0">
      <w:lvlJc w:val="left"/>
      <w:lvlText w:val="(%1)"/>
      <w:numFmt w:val="lowerLetter"/>
      <w:start w:val="2"/>
    </w:lvl>
  </w:abstractNum>
  <w:abstractNum w:abstractNumId="87">
    <w:nsid w:val="7DE67713"/>
    <w:multiLevelType w:val="hybridMultilevel"/>
    <w:lvl w:ilvl="0">
      <w:lvlJc w:val="left"/>
      <w:lvlText w:val="(%1)"/>
      <w:numFmt w:val="lowerLetter"/>
      <w:start w:val="1"/>
    </w:lvl>
  </w:abstractNum>
  <w:abstractNum w:abstractNumId="88">
    <w:nsid w:val="555C55B5"/>
    <w:multiLevelType w:val="hybridMultilevel"/>
    <w:lvl w:ilvl="0">
      <w:lvlJc w:val="left"/>
      <w:lvlText w:val="(%1)"/>
      <w:numFmt w:val="lowerLetter"/>
      <w:start w:val="1"/>
    </w:lvl>
  </w:abstractNum>
  <w:abstractNum w:abstractNumId="89">
    <w:nsid w:val="3FA62ACA"/>
    <w:multiLevelType w:val="hybridMultilevel"/>
    <w:lvl w:ilvl="0">
      <w:lvlJc w:val="left"/>
      <w:lvlText w:val="(%1)"/>
      <w:numFmt w:val="lowerLetter"/>
      <w:start w:val="1"/>
    </w:lvl>
    <w:lvl w:ilvl="1">
      <w:lvlJc w:val="left"/>
      <w:lvlText w:val="(%2)"/>
      <w:numFmt w:val="lowerRoman"/>
      <w:start w:val="1"/>
    </w:lvl>
  </w:abstractNum>
  <w:abstractNum w:abstractNumId="90">
    <w:nsid w:val="14FCE74E"/>
    <w:multiLevelType w:val="hybridMultilevel"/>
    <w:lvl w:ilvl="0">
      <w:lvlJc w:val="left"/>
      <w:lvlText w:val="%1"/>
      <w:numFmt w:val="lowerLetter"/>
      <w:start w:val="1"/>
    </w:lvl>
    <w:lvl w:ilvl="1">
      <w:lvlJc w:val="left"/>
      <w:lvlText w:val="(%2)"/>
      <w:numFmt w:val="lowerLetter"/>
      <w:start w:val="1"/>
    </w:lvl>
  </w:abstractNum>
  <w:abstractNum w:abstractNumId="91">
    <w:nsid w:val="6A3DD3E8"/>
    <w:multiLevelType w:val="hybridMultilevel"/>
    <w:lvl w:ilvl="0">
      <w:lvlJc w:val="left"/>
      <w:lvlText w:val="(%1)"/>
      <w:numFmt w:val="lowerLetter"/>
      <w:start w:val="2"/>
    </w:lvl>
    <w:lvl w:ilvl="1">
      <w:lvlJc w:val="left"/>
      <w:lvlText w:val="(%2)"/>
      <w:numFmt w:val="lowerLetter"/>
      <w:start w:val="4"/>
    </w:lvl>
  </w:abstractNum>
  <w:abstractNum w:abstractNumId="92">
    <w:nsid w:val="71C91298"/>
    <w:multiLevelType w:val="hybridMultilevel"/>
    <w:lvl w:ilvl="0">
      <w:lvlJc w:val="left"/>
      <w:lvlText w:val="(%1)"/>
      <w:numFmt w:val="lowerLetter"/>
      <w:start w:val="1"/>
    </w:lvl>
    <w:lvl w:ilvl="1">
      <w:lvlJc w:val="left"/>
      <w:lvlText w:val="(%2)"/>
      <w:numFmt w:val="lowerRoman"/>
      <w:start w:val="1"/>
    </w:lvl>
  </w:abstractNum>
  <w:abstractNum w:abstractNumId="93">
    <w:nsid w:val="9DAF632"/>
    <w:multiLevelType w:val="hybridMultilevel"/>
    <w:lvl w:ilvl="0">
      <w:lvlJc w:val="left"/>
      <w:lvlText w:val="%1"/>
      <w:numFmt w:val="lowerLetter"/>
      <w:start w:val="1"/>
    </w:lvl>
    <w:lvl w:ilvl="1">
      <w:lvlJc w:val="left"/>
      <w:lvlText w:val="(%2)"/>
      <w:numFmt w:val="lowerLetter"/>
      <w:start w:val="4"/>
    </w:lvl>
  </w:abstractNum>
  <w:abstractNum w:abstractNumId="94">
    <w:nsid w:val="53299938"/>
    <w:multiLevelType w:val="hybridMultilevel"/>
    <w:lvl w:ilvl="0">
      <w:lvlJc w:val="left"/>
      <w:lvlText w:val="(%1)"/>
      <w:numFmt w:val="lowerLetter"/>
      <w:start w:val="35"/>
    </w:lvl>
    <w:lvl w:ilvl="1">
      <w:lvlJc w:val="left"/>
      <w:lvlText w:val="(%2)"/>
      <w:numFmt w:val="lowerLetter"/>
      <w:start w:val="6"/>
    </w:lvl>
  </w:abstractNum>
  <w:abstractNum w:abstractNumId="95">
    <w:nsid w:val="1FBFE8E0"/>
    <w:multiLevelType w:val="hybridMultilevel"/>
    <w:lvl w:ilvl="0">
      <w:lvlJc w:val="left"/>
      <w:lvlText w:val="(%1)"/>
      <w:numFmt w:val="lowerLetter"/>
      <w:start w:val="9"/>
    </w:lvl>
  </w:abstractNum>
  <w:abstractNum w:abstractNumId="96">
    <w:nsid w:val="5092CA79"/>
    <w:multiLevelType w:val="hybridMultilevel"/>
    <w:lvl w:ilvl="0">
      <w:lvlJc w:val="left"/>
      <w:lvlText w:val="(%1)"/>
      <w:numFmt w:val="lowerLetter"/>
      <w:start w:val="1"/>
    </w:lvl>
  </w:abstractNum>
  <w:abstractNum w:abstractNumId="97">
    <w:nsid w:val="1D545C4D"/>
    <w:multiLevelType w:val="hybridMultilevel"/>
    <w:lvl w:ilvl="0">
      <w:lvlJc w:val="left"/>
      <w:lvlText w:val="(%1)"/>
      <w:numFmt w:val="lowerLetter"/>
      <w:start w:val="3"/>
    </w:lvl>
  </w:abstractNum>
  <w:abstractNum w:abstractNumId="98">
    <w:nsid w:val="59ADEA3D"/>
    <w:multiLevelType w:val="hybridMultilevel"/>
    <w:lvl w:ilvl="0">
      <w:lvlJc w:val="left"/>
      <w:lvlText w:val="(%1)"/>
      <w:numFmt w:val="lowerLetter"/>
      <w:start w:val="1"/>
    </w:lvl>
    <w:lvl w:ilvl="1">
      <w:lvlJc w:val="left"/>
      <w:lvlText w:val="(%2)"/>
      <w:numFmt w:val="lowerRoman"/>
      <w:start w:val="1"/>
    </w:lvl>
  </w:abstractNum>
  <w:abstractNum w:abstractNumId="99">
    <w:nsid w:val="288F1A34"/>
    <w:multiLevelType w:val="hybridMultilevel"/>
    <w:lvl w:ilvl="0">
      <w:lvlJc w:val="left"/>
      <w:lvlText w:val="(%1)"/>
      <w:numFmt w:val="lowerLetter"/>
      <w:start w:val="1"/>
    </w:lvl>
  </w:abstractNum>
  <w:abstractNum w:abstractNumId="100">
    <w:nsid w:val="2A155DBC"/>
    <w:multiLevelType w:val="hybridMultilevel"/>
    <w:lvl w:ilvl="0">
      <w:lvlJc w:val="left"/>
      <w:lvlText w:val="(%1)"/>
      <w:numFmt w:val="lowerLetter"/>
      <w:start w:val="4"/>
    </w:lvl>
  </w:abstractNum>
  <w:abstractNum w:abstractNumId="101">
    <w:nsid w:val="1D9F6E5F"/>
    <w:multiLevelType w:val="hybridMultilevel"/>
    <w:lvl w:ilvl="0">
      <w:lvlJc w:val="left"/>
      <w:lvlText w:val="(%1)"/>
      <w:numFmt w:val="lowerLetter"/>
      <w:start w:val="1"/>
    </w:lvl>
  </w:abstractNum>
  <w:abstractNum w:abstractNumId="102">
    <w:nsid w:val="97E1B4E"/>
    <w:multiLevelType w:val="hybridMultilevel"/>
    <w:lvl w:ilvl="0">
      <w:lvlJc w:val="left"/>
      <w:lvlText w:val="(%1)"/>
      <w:numFmt w:val="lowerLetter"/>
      <w:start w:val="5"/>
    </w:lvl>
  </w:abstractNum>
  <w:abstractNum w:abstractNumId="103">
    <w:nsid w:val="51088277"/>
    <w:multiLevelType w:val="hybridMultilevel"/>
    <w:lvl w:ilvl="0">
      <w:lvlJc w:val="left"/>
      <w:lvlText w:val="(%1)"/>
      <w:numFmt w:val="lowerLetter"/>
      <w:start w:val="1"/>
    </w:lvl>
  </w:abstractNum>
  <w:abstractNum w:abstractNumId="104">
    <w:nsid w:val="1CA0C5FA"/>
    <w:multiLevelType w:val="hybridMultilevel"/>
    <w:lvl w:ilvl="0">
      <w:lvlJc w:val="left"/>
      <w:lvlText w:val="(%1)"/>
      <w:numFmt w:val="lowerLetter"/>
      <w:start w:val="1"/>
    </w:lvl>
  </w:abstractNum>
  <w:abstractNum w:abstractNumId="105">
    <w:nsid w:val="53584BCB"/>
    <w:multiLevelType w:val="hybridMultilevel"/>
    <w:lvl w:ilvl="0">
      <w:lvlJc w:val="left"/>
      <w:lvlText w:val="(%1)"/>
      <w:numFmt w:val="lowerLetter"/>
      <w:start w:val="6"/>
    </w:lvl>
  </w:abstractNum>
  <w:abstractNum w:abstractNumId="106">
    <w:nsid w:val="415E286C"/>
    <w:multiLevelType w:val="hybridMultilevel"/>
    <w:lvl w:ilvl="0">
      <w:lvlJc w:val="left"/>
      <w:lvlText w:val="(%1)"/>
      <w:numFmt w:val="lowerLetter"/>
      <w:start w:val="1"/>
    </w:lvl>
  </w:abstractNum>
  <w:abstractNum w:abstractNumId="107">
    <w:nsid w:val="7C58FD05"/>
    <w:multiLevelType w:val="hybridMultilevel"/>
    <w:lvl w:ilvl="0">
      <w:lvlJc w:val="left"/>
      <w:lvlText w:val="%1"/>
      <w:numFmt w:val="lowerLetter"/>
      <w:start w:val="1"/>
    </w:lvl>
    <w:lvl w:ilvl="1">
      <w:lvlJc w:val="left"/>
      <w:lvlText w:val="(%2)"/>
      <w:numFmt w:val="lowerLetter"/>
      <w:start w:val="2"/>
    </w:lvl>
  </w:abstractNum>
  <w:abstractNum w:abstractNumId="108">
    <w:nsid w:val="23D86AAC"/>
    <w:multiLevelType w:val="hybridMultilevel"/>
    <w:lvl w:ilvl="0">
      <w:lvlJc w:val="left"/>
      <w:lvlText w:val="(%1)"/>
      <w:numFmt w:val="lowerLetter"/>
      <w:start w:val="35"/>
    </w:lvl>
    <w:lvl w:ilvl="1">
      <w:lvlJc w:val="left"/>
      <w:lvlText w:val="(%2)"/>
      <w:numFmt w:val="lowerLetter"/>
      <w:start w:val="3"/>
    </w:lvl>
  </w:abstractNum>
  <w:abstractNum w:abstractNumId="109">
    <w:nsid w:val="45E6D486"/>
    <w:multiLevelType w:val="hybridMultilevel"/>
    <w:lvl w:ilvl="0">
      <w:lvlJc w:val="left"/>
      <w:lvlText w:val="%1."/>
      <w:numFmt w:val="decimal"/>
    </w:lvl>
    <w:lvl w:ilvl="1">
      <w:lvlJc w:val="left"/>
      <w:lvlText w:val="A"/>
      <w:numFmt w:val="bullet"/>
      <w:start w:val="1"/>
    </w:lvl>
  </w:abstractNum>
  <w:abstractNum w:abstractNumId="110">
    <w:nsid w:val="5C10FE21"/>
    <w:multiLevelType w:val="hybridMultilevel"/>
    <w:lvl w:ilvl="0">
      <w:lvlJc w:val="left"/>
      <w:lvlText w:val="B"/>
      <w:numFmt w:val="bullet"/>
      <w:start w:val="1"/>
    </w:lvl>
  </w:abstractNum>
  <w:abstractNum w:abstractNumId="111">
    <w:nsid w:val="E7FFA2B"/>
    <w:multiLevelType w:val="hybridMultilevel"/>
    <w:lvl w:ilvl="0">
      <w:lvlJc w:val="left"/>
      <w:lvlText w:val="•"/>
      <w:numFmt w:val="bullet"/>
      <w:start w:val="1"/>
    </w:lvl>
  </w:abstractNum>
  <w:abstractNum w:abstractNumId="112">
    <w:nsid w:val="3C5991AA"/>
    <w:multiLevelType w:val="hybridMultilevel"/>
    <w:lvl w:ilvl="0">
      <w:lvlJc w:val="left"/>
      <w:lvlText w:val="A"/>
      <w:numFmt w:val="bullet"/>
      <w:start w:val="1"/>
    </w:lvl>
  </w:abstractNum>
  <w:abstractNum w:abstractNumId="113">
    <w:nsid w:val="4BD8591A"/>
    <w:multiLevelType w:val="hybridMultilevel"/>
    <w:lvl w:ilvl="0">
      <w:lvlJc w:val="left"/>
      <w:lvlText w:val="B"/>
      <w:numFmt w:val="bullet"/>
      <w:start w:val="1"/>
    </w:lvl>
  </w:abstractNum>
  <w:abstractNum w:abstractNumId="114">
    <w:nsid w:val="78DF6A55"/>
    <w:multiLevelType w:val="hybridMultilevel"/>
    <w:lvl w:ilvl="0">
      <w:lvlJc w:val="left"/>
      <w:lvlText w:val="•"/>
      <w:numFmt w:val="bullet"/>
      <w:start w:val="1"/>
    </w:lvl>
  </w:abstractNum>
  <w:abstractNum w:abstractNumId="115">
    <w:nsid w:val="39B7AAA2"/>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jpe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2023-04-13T07:40:07Z</dcterms:created>
  <dcterms:modified xsi:type="dcterms:W3CDTF">2023-04-13T07:40:07Z</dcterms:modified>
</cp:coreProperties>
</file>