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213360</wp:posOffset>
            </wp:positionV>
            <wp:extent cx="6978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255905</wp:posOffset>
            </wp:positionV>
            <wp:extent cx="6978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217805</wp:posOffset>
            </wp:positionV>
            <wp:extent cx="147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245745</wp:posOffset>
            </wp:positionV>
            <wp:extent cx="147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560" w:right="960" w:hanging="431"/>
        <w:spacing w:after="0" w:line="255"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2" w:lineRule="exact"/>
        <w:rPr>
          <w:sz w:val="24"/>
          <w:szCs w:val="24"/>
          <w:color w:val="auto"/>
        </w:rPr>
      </w:pPr>
    </w:p>
    <w:p>
      <w:pPr>
        <w:ind w:left="560" w:right="940" w:hanging="431"/>
        <w:spacing w:after="0" w:line="255"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4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3696335</wp:posOffset>
            </wp:positionH>
            <wp:positionV relativeFrom="paragraph">
              <wp:posOffset>-8255</wp:posOffset>
            </wp:positionV>
            <wp:extent cx="1319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001-36307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239395</wp:posOffset>
            </wp:positionV>
            <wp:extent cx="147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Installed Building Products,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2835910</wp:posOffset>
            </wp:positionH>
            <wp:positionV relativeFrom="paragraph">
              <wp:posOffset>226695</wp:posOffset>
            </wp:positionV>
            <wp:extent cx="147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4340" w:type="dxa"/>
            <w:vAlign w:val="bottom"/>
            <w:gridSpan w:val="3"/>
          </w:tcPr>
          <w:p>
            <w:pPr>
              <w:jc w:val="center"/>
              <w:ind w:left="113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jc w:val="right"/>
              <w:ind w:right="2161"/>
              <w:spacing w:after="0"/>
              <w:rPr>
                <w:sz w:val="20"/>
                <w:szCs w:val="20"/>
                <w:color w:val="auto"/>
              </w:rPr>
            </w:pPr>
            <w:r>
              <w:rPr>
                <w:rFonts w:ascii="Arial" w:cs="Arial" w:eastAsia="Arial" w:hAnsi="Arial"/>
                <w:sz w:val="18"/>
                <w:szCs w:val="18"/>
                <w:b w:val="1"/>
                <w:bCs w:val="1"/>
                <w:color w:val="auto"/>
              </w:rPr>
              <w:t>45-3707650</w:t>
            </w:r>
          </w:p>
        </w:tc>
        <w:tc>
          <w:tcPr>
            <w:tcW w:w="0" w:type="dxa"/>
            <w:vAlign w:val="bottom"/>
          </w:tcPr>
          <w:p>
            <w:pPr>
              <w:spacing w:after="0"/>
              <w:rPr>
                <w:sz w:val="1"/>
                <w:szCs w:val="1"/>
                <w:color w:val="auto"/>
              </w:rPr>
            </w:pPr>
          </w:p>
        </w:tc>
      </w:tr>
      <w:tr>
        <w:trPr>
          <w:trHeight w:val="148"/>
        </w:trPr>
        <w:tc>
          <w:tcPr>
            <w:tcW w:w="4340" w:type="dxa"/>
            <w:vAlign w:val="bottom"/>
            <w:gridSpan w:val="3"/>
          </w:tcPr>
          <w:p>
            <w:pPr>
              <w:jc w:val="center"/>
              <w:ind w:left="1138"/>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jc w:val="center"/>
              <w:ind w:right="1721"/>
              <w:spacing w:after="0" w:line="148"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40" w:type="dxa"/>
            <w:vAlign w:val="bottom"/>
            <w:gridSpan w:val="3"/>
          </w:tcPr>
          <w:p>
            <w:pPr>
              <w:jc w:val="center"/>
              <w:ind w:left="1138"/>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jc w:val="center"/>
              <w:ind w:right="172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1"/>
        </w:trPr>
        <w:tc>
          <w:tcPr>
            <w:tcW w:w="4340" w:type="dxa"/>
            <w:vAlign w:val="bottom"/>
            <w:gridSpan w:val="3"/>
          </w:tcPr>
          <w:p>
            <w:pPr>
              <w:jc w:val="center"/>
              <w:ind w:left="1138"/>
              <w:spacing w:after="0"/>
              <w:rPr>
                <w:sz w:val="20"/>
                <w:szCs w:val="20"/>
                <w:color w:val="auto"/>
              </w:rPr>
            </w:pPr>
            <w:r>
              <w:rPr>
                <w:rFonts w:ascii="Arial" w:cs="Arial" w:eastAsia="Arial" w:hAnsi="Arial"/>
                <w:sz w:val="18"/>
                <w:szCs w:val="18"/>
                <w:b w:val="1"/>
                <w:bCs w:val="1"/>
                <w:color w:val="auto"/>
                <w:w w:val="90"/>
              </w:rPr>
              <w:t>495 South High Street, Suite 50</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40" w:type="dxa"/>
            <w:vAlign w:val="bottom"/>
            <w:gridSpan w:val="3"/>
          </w:tcPr>
          <w:p>
            <w:pPr>
              <w:jc w:val="center"/>
              <w:ind w:left="1158"/>
              <w:spacing w:after="0"/>
              <w:rPr>
                <w:sz w:val="20"/>
                <w:szCs w:val="20"/>
                <w:color w:val="auto"/>
              </w:rPr>
            </w:pPr>
            <w:r>
              <w:rPr>
                <w:rFonts w:ascii="Arial" w:cs="Arial" w:eastAsia="Arial" w:hAnsi="Arial"/>
                <w:sz w:val="18"/>
                <w:szCs w:val="18"/>
                <w:b w:val="1"/>
                <w:bCs w:val="1"/>
                <w:color w:val="auto"/>
                <w:w w:val="90"/>
              </w:rPr>
              <w:t>Columbus, Ohio</w:t>
            </w:r>
          </w:p>
        </w:tc>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jc w:val="right"/>
              <w:ind w:right="2361"/>
              <w:spacing w:after="0"/>
              <w:rPr>
                <w:sz w:val="20"/>
                <w:szCs w:val="20"/>
                <w:color w:val="auto"/>
              </w:rPr>
            </w:pPr>
            <w:r>
              <w:rPr>
                <w:rFonts w:ascii="Arial" w:cs="Arial" w:eastAsia="Arial" w:hAnsi="Arial"/>
                <w:sz w:val="18"/>
                <w:szCs w:val="18"/>
                <w:b w:val="1"/>
                <w:bCs w:val="1"/>
                <w:color w:val="auto"/>
              </w:rPr>
              <w:t>43215</w:t>
            </w:r>
          </w:p>
        </w:tc>
        <w:tc>
          <w:tcPr>
            <w:tcW w:w="0" w:type="dxa"/>
            <w:vAlign w:val="bottom"/>
          </w:tcPr>
          <w:p>
            <w:pPr>
              <w:spacing w:after="0"/>
              <w:rPr>
                <w:sz w:val="1"/>
                <w:szCs w:val="1"/>
                <w:color w:val="auto"/>
              </w:rPr>
            </w:pPr>
          </w:p>
        </w:tc>
      </w:tr>
      <w:tr>
        <w:trPr>
          <w:trHeight w:val="186"/>
        </w:trPr>
        <w:tc>
          <w:tcPr>
            <w:tcW w:w="4340" w:type="dxa"/>
            <w:vAlign w:val="bottom"/>
            <w:gridSpan w:val="3"/>
          </w:tcPr>
          <w:p>
            <w:pPr>
              <w:jc w:val="center"/>
              <w:ind w:left="11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jc w:val="center"/>
              <w:ind w:right="17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3"/>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jc w:val="right"/>
              <w:ind w:right="519"/>
              <w:spacing w:after="0"/>
              <w:rPr>
                <w:sz w:val="20"/>
                <w:szCs w:val="20"/>
                <w:color w:val="auto"/>
              </w:rPr>
            </w:pPr>
            <w:r>
              <w:rPr>
                <w:rFonts w:ascii="Arial" w:cs="Arial" w:eastAsia="Arial" w:hAnsi="Arial"/>
                <w:sz w:val="18"/>
                <w:szCs w:val="18"/>
                <w:b w:val="1"/>
                <w:bCs w:val="1"/>
                <w:color w:val="auto"/>
              </w:rPr>
              <w:t>(614) 221-3399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4340" w:type="dxa"/>
            <w:vAlign w:val="bottom"/>
            <w:gridSpan w:val="3"/>
            <w:vMerge w:val="restart"/>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3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340" w:type="dxa"/>
            <w:vAlign w:val="bottom"/>
            <w:gridSpan w:val="3"/>
            <w:vMerge w:val="restart"/>
          </w:tcPr>
          <w:p>
            <w:pPr>
              <w:jc w:val="center"/>
              <w:ind w:right="508"/>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4"/>
        </w:trPr>
        <w:tc>
          <w:tcPr>
            <w:tcW w:w="4340" w:type="dxa"/>
            <w:vAlign w:val="bottom"/>
            <w:gridSpan w:val="3"/>
            <w:vMerge w:val="continue"/>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7"/>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9"/>
              </w:rPr>
              <w:t>IBP</w:t>
            </w:r>
          </w:p>
        </w:tc>
        <w:tc>
          <w:tcPr>
            <w:tcW w:w="10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a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8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1" w:lineRule="exact"/>
        <w:rPr>
          <w:sz w:val="24"/>
          <w:szCs w:val="24"/>
          <w:color w:val="auto"/>
        </w:rPr>
      </w:pPr>
    </w:p>
    <w:p>
      <w:pPr>
        <w:ind w:left="120" w:right="3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120"/>
          </w:cols>
          <w:pgMar w:left="320" w:top="230" w:right="45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July 29, 2020, the registrant had 29,799,188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174625</wp:posOffset>
            </wp:positionV>
            <wp:extent cx="6978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6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217170</wp:posOffset>
            </wp:positionV>
            <wp:extent cx="6978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1380" w:type="dxa"/>
            <w:vAlign w:val="bottom"/>
          </w:tcPr>
          <w:p>
            <w:pPr>
              <w:spacing w:after="0"/>
              <w:rPr>
                <w:rFonts w:ascii="Arial" w:cs="Arial" w:eastAsia="Arial" w:hAnsi="Arial"/>
                <w:sz w:val="18"/>
                <w:szCs w:val="18"/>
                <w:b w:val="1"/>
                <w:bCs w:val="1"/>
                <w:u w:val="single" w:color="auto"/>
                <w:color w:val="0000EE"/>
                <w:w w:val="89"/>
              </w:rPr>
            </w:pPr>
            <w:hyperlink w:anchor="page3">
              <w:r>
                <w:rPr>
                  <w:rFonts w:ascii="Arial" w:cs="Arial" w:eastAsia="Arial" w:hAnsi="Arial"/>
                  <w:sz w:val="18"/>
                  <w:szCs w:val="18"/>
                  <w:b w:val="1"/>
                  <w:bCs w:val="1"/>
                  <w:u w:val="single" w:color="auto"/>
                  <w:color w:val="0000EE"/>
                  <w:w w:val="89"/>
                </w:rPr>
                <w:t>Table of Contents</w:t>
              </w:r>
            </w:hyperlink>
          </w:p>
        </w:tc>
        <w:tc>
          <w:tcPr>
            <w:tcW w:w="8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12"/>
        </w:trPr>
        <w:tc>
          <w:tcPr>
            <w:tcW w:w="1380" w:type="dxa"/>
            <w:vAlign w:val="bottom"/>
          </w:tcPr>
          <w:p>
            <w:pPr>
              <w:spacing w:after="0"/>
              <w:rPr>
                <w:sz w:val="24"/>
                <w:szCs w:val="24"/>
                <w:color w:val="auto"/>
              </w:rPr>
            </w:pPr>
          </w:p>
        </w:tc>
        <w:tc>
          <w:tcPr>
            <w:tcW w:w="8180" w:type="dxa"/>
            <w:vAlign w:val="bottom"/>
          </w:tcPr>
          <w:p>
            <w:pPr>
              <w:ind w:left="32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4"/>
                <w:szCs w:val="24"/>
                <w:color w:val="auto"/>
              </w:rPr>
            </w:pPr>
          </w:p>
        </w:tc>
      </w:tr>
      <w:tr>
        <w:trPr>
          <w:trHeight w:val="431"/>
        </w:trPr>
        <w:tc>
          <w:tcPr>
            <w:tcW w:w="9560" w:type="dxa"/>
            <w:vAlign w:val="bottom"/>
            <w:gridSpan w:val="2"/>
          </w:tcPr>
          <w:p>
            <w:pPr>
              <w:ind w:left="1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1.</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Statements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2.</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3.</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Quantitative and Qualitative Disclosures About Market Risk</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4.</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Controls and Procedures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3"/>
        </w:trPr>
        <w:tc>
          <w:tcPr>
            <w:tcW w:w="9560" w:type="dxa"/>
            <w:vAlign w:val="bottom"/>
            <w:gridSpan w:val="2"/>
          </w:tcPr>
          <w:p>
            <w:pPr>
              <w:ind w:left="12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II – OTHER INFORMATION</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1.</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Legal Proceedings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1A.</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Risk Factors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2.</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Unregistered Sales of Equity Securities and Use of Proceeds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3.</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Defaults Upon Senior Securities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4.</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Mine Safety Disclosures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5.</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Other Information</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3"/>
        </w:trPr>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Item 6.</w:t>
            </w:r>
          </w:p>
        </w:tc>
        <w:tc>
          <w:tcPr>
            <w:tcW w:w="8180" w:type="dxa"/>
            <w:vAlign w:val="bottom"/>
          </w:tcPr>
          <w:p>
            <w:pPr>
              <w:ind w:left="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Exhibits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3"/>
        </w:trPr>
        <w:tc>
          <w:tcPr>
            <w:tcW w:w="1380" w:type="dxa"/>
            <w:vAlign w:val="bottom"/>
          </w:tcPr>
          <w:p>
            <w:pPr>
              <w:ind w:left="120"/>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SIGNATURES</w:t>
              </w:r>
            </w:hyperlink>
          </w:p>
        </w:tc>
        <w:tc>
          <w:tcPr>
            <w:tcW w:w="8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4"/>
        </w:trPr>
        <w:tc>
          <w:tcPr>
            <w:tcW w:w="1380" w:type="dxa"/>
            <w:vAlign w:val="bottom"/>
          </w:tcPr>
          <w:p>
            <w:pPr>
              <w:spacing w:after="0"/>
              <w:rPr>
                <w:sz w:val="24"/>
                <w:szCs w:val="24"/>
                <w:color w:val="auto"/>
              </w:rPr>
            </w:pPr>
          </w:p>
        </w:tc>
        <w:tc>
          <w:tcPr>
            <w:tcW w:w="8180" w:type="dxa"/>
            <w:vAlign w:val="bottom"/>
          </w:tcPr>
          <w:p>
            <w:pPr>
              <w:ind w:left="4220"/>
              <w:spacing w:after="0"/>
              <w:rPr>
                <w:sz w:val="20"/>
                <w:szCs w:val="20"/>
                <w:color w:val="auto"/>
              </w:rPr>
            </w:pPr>
            <w:r>
              <w:rPr>
                <w:rFonts w:ascii="Arial" w:cs="Arial" w:eastAsia="Arial" w:hAnsi="Arial"/>
                <w:sz w:val="18"/>
                <w:szCs w:val="18"/>
                <w:color w:val="auto"/>
              </w:rPr>
              <w:t>i</w:t>
            </w:r>
          </w:p>
        </w:tc>
        <w:tc>
          <w:tcPr>
            <w:tcW w:w="1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85"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3"/>
        </w:trPr>
        <w:tc>
          <w:tcPr>
            <w:tcW w:w="876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00" w:type="dxa"/>
            <w:vAlign w:val="bottom"/>
          </w:tcPr>
          <w:p>
            <w:pPr>
              <w:jc w:val="center"/>
              <w:ind w:left="173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100" w:type="dxa"/>
            <w:vAlign w:val="bottom"/>
          </w:tcPr>
          <w:p>
            <w:pPr>
              <w:ind w:left="7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00" w:type="dxa"/>
            <w:vAlign w:val="bottom"/>
          </w:tcPr>
          <w:p>
            <w:pPr>
              <w:jc w:val="center"/>
              <w:ind w:left="1730"/>
              <w:spacing w:after="0"/>
              <w:rPr>
                <w:sz w:val="20"/>
                <w:szCs w:val="20"/>
                <w:color w:val="auto"/>
              </w:rPr>
            </w:pPr>
            <w:r>
              <w:rPr>
                <w:rFonts w:ascii="Arial" w:cs="Arial" w:eastAsia="Arial" w:hAnsi="Arial"/>
                <w:sz w:val="18"/>
                <w:szCs w:val="18"/>
                <w:color w:val="auto"/>
                <w:w w:val="97"/>
              </w:rPr>
              <w:t>INSTALLED BUILDING PRODUCTS, INC.</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tcPr>
          <w:p>
            <w:pPr>
              <w:jc w:val="center"/>
              <w:ind w:left="1730"/>
              <w:spacing w:after="0"/>
              <w:rPr>
                <w:sz w:val="20"/>
                <w:szCs w:val="20"/>
                <w:color w:val="auto"/>
              </w:rPr>
            </w:pPr>
            <w:r>
              <w:rPr>
                <w:rFonts w:ascii="Arial" w:cs="Arial" w:eastAsia="Arial" w:hAnsi="Arial"/>
                <w:sz w:val="18"/>
                <w:szCs w:val="18"/>
                <w:color w:val="auto"/>
                <w:w w:val="96"/>
              </w:rPr>
              <w:t>CONDENSED CONSOLIDATED BALANCE SHEETS (UNAUDITED)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00" w:type="dxa"/>
            <w:vAlign w:val="bottom"/>
          </w:tcPr>
          <w:p>
            <w:pPr>
              <w:jc w:val="center"/>
              <w:ind w:left="1750"/>
              <w:spacing w:after="0"/>
              <w:rPr>
                <w:sz w:val="20"/>
                <w:szCs w:val="20"/>
                <w:color w:val="auto"/>
              </w:rPr>
            </w:pPr>
            <w:r>
              <w:rPr>
                <w:rFonts w:ascii="Arial" w:cs="Arial" w:eastAsia="Arial" w:hAnsi="Arial"/>
                <w:sz w:val="18"/>
                <w:szCs w:val="18"/>
                <w:color w:val="auto"/>
                <w:w w:val="87"/>
              </w:rPr>
              <w:t>(in thousands, except share and per share amounts)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w w:val="96"/>
              </w:rPr>
              <w:t>June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8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252,488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177,889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16,688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37,961</w:t>
            </w: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86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Accounts receivable (less allowance for credit losses of $9,617 and $6,878 at June 30, 2020 and December 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2019,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247,627</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244,519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69,149</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74,606</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33,996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46,974</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619,948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581,949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103,422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106,410</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47,448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45,691</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195,652</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147,117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153,562</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1,131,050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1,099,479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Current maturities of operating lease obligations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16,209</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15,459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finance lease obligations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81,386</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98,871</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33,636</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53,371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39,272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214,149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544,976</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545,031</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29,785</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3,051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60,495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47,711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858,314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849,448</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86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0"/>
              </w:rPr>
              <w:t>Preferred Stock; $0.01 par value: 5,000,000 authorized and 0 shares issued and outstanding at June 30, 2020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December 31, 2019, respectively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86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stock; $0.01 par value: 100,000,000 authorized, 33,124,237 and 32,871,504 issued and 29,799,188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30,016,340 shares outstanding at June 30, 2020 and December 31, 2019,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195,288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190,230</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173,371</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w w:val="92"/>
              </w:rPr>
              <w:t>Treasury stock; at cost: 3,325,049 and 2,855,164 shares at June 30, 2020 and December 31, 2019, respectively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(123,488)</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(106,756)</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1,131,050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1,099,479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00" w:type="dxa"/>
            <w:vAlign w:val="bottom"/>
            <w:vMerge w:val="restart"/>
          </w:tcPr>
          <w:p>
            <w:pPr>
              <w:jc w:val="center"/>
              <w:ind w:left="1730"/>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00" w:type="dxa"/>
            <w:vAlign w:val="bottom"/>
          </w:tcPr>
          <w:p>
            <w:pPr>
              <w:jc w:val="center"/>
              <w:ind w:left="1750"/>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20"/>
          </w:cols>
          <w:pgMar w:left="320" w:top="485"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CONDENSED CONSOLIDATED STATEMENTS OF OPERATIONS AND COMPREHENSIVE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 and per share amounts)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4"/>
                <w:szCs w:val="14"/>
                <w:color w:val="auto"/>
                <w:w w:val="98"/>
              </w:rPr>
              <w:t>Three months ended June 30,</w:t>
            </w:r>
          </w:p>
        </w:tc>
        <w:tc>
          <w:tcPr>
            <w:tcW w:w="80" w:type="dxa"/>
            <w:vAlign w:val="bottom"/>
          </w:tcPr>
          <w:p>
            <w:pPr>
              <w:spacing w:after="0"/>
              <w:rPr>
                <w:sz w:val="14"/>
                <w:szCs w:val="1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2019</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371,814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264,557</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547,871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517,254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107,257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243,399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196,695</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17,903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35,033</w:t>
            </w:r>
          </w:p>
        </w:tc>
        <w:tc>
          <w:tcPr>
            <w:tcW w:w="0" w:type="dxa"/>
            <w:vAlign w:val="bottom"/>
          </w:tcPr>
          <w:p>
            <w:pPr>
              <w:spacing w:after="0"/>
              <w:rPr>
                <w:sz w:val="1"/>
                <w:szCs w:val="1"/>
                <w:color w:val="auto"/>
              </w:rPr>
            </w:pPr>
          </w:p>
        </w:tc>
      </w:tr>
      <w:tr>
        <w:trPr>
          <w:trHeight w:val="215"/>
        </w:trPr>
        <w:tc>
          <w:tcPr>
            <w:tcW w:w="5840" w:type="dxa"/>
            <w:vAlign w:val="bottom"/>
          </w:tcPr>
          <w:p>
            <w:pPr>
              <w:ind w:left="360"/>
              <w:spacing w:after="0"/>
              <w:rPr>
                <w:sz w:val="20"/>
                <w:szCs w:val="20"/>
                <w:color w:val="auto"/>
              </w:rPr>
            </w:pPr>
            <w:r>
              <w:rPr>
                <w:rFonts w:ascii="Arial" w:cs="Arial" w:eastAsia="Arial" w:hAnsi="Arial"/>
                <w:sz w:val="18"/>
                <w:szCs w:val="18"/>
                <w:color w:val="auto"/>
              </w:rPr>
              <w:t>Administrative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52,493</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119,255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100,924</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6,021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22"/>
        </w:trPr>
        <w:tc>
          <w:tcPr>
            <w:tcW w:w="584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30,840</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71,374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5,649</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15,115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2"/>
        </w:trPr>
        <w:tc>
          <w:tcPr>
            <w:tcW w:w="584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25,090</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56,130</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6,171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18,919</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40" w:type="dxa"/>
            <w:vAlign w:val="bottom"/>
          </w:tcPr>
          <w:p>
            <w:pPr>
              <w:ind w:left="360"/>
              <w:spacing w:after="0" w:line="201" w:lineRule="exact"/>
              <w:rPr>
                <w:sz w:val="20"/>
                <w:szCs w:val="20"/>
                <w:color w:val="auto"/>
              </w:rPr>
            </w:pPr>
            <w:r>
              <w:rPr>
                <w:rFonts w:ascii="Arial" w:cs="Arial" w:eastAsia="Arial" w:hAnsi="Arial"/>
                <w:sz w:val="18"/>
                <w:szCs w:val="18"/>
                <w:color w:val="auto"/>
                <w:w w:val="94"/>
              </w:rPr>
              <w:t>Unrealized loss on cash flow hedge, net of tax benefit of $51 and $1,180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540"/>
              <w:spacing w:after="0"/>
              <w:rPr>
                <w:sz w:val="20"/>
                <w:szCs w:val="20"/>
                <w:color w:val="auto"/>
              </w:rPr>
            </w:pPr>
            <w:r>
              <w:rPr>
                <w:rFonts w:ascii="Arial" w:cs="Arial" w:eastAsia="Arial" w:hAnsi="Arial"/>
                <w:sz w:val="18"/>
                <w:szCs w:val="18"/>
                <w:color w:val="auto"/>
                <w:w w:val="94"/>
              </w:rPr>
              <w:t>for the three months ended June 30, 2020 and 2019, respectively, and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540"/>
              <w:spacing w:after="0"/>
              <w:rPr>
                <w:sz w:val="20"/>
                <w:szCs w:val="20"/>
                <w:color w:val="auto"/>
              </w:rPr>
            </w:pPr>
            <w:r>
              <w:rPr>
                <w:rFonts w:ascii="Arial" w:cs="Arial" w:eastAsia="Arial" w:hAnsi="Arial"/>
                <w:sz w:val="18"/>
                <w:szCs w:val="18"/>
                <w:color w:val="auto"/>
                <w:w w:val="94"/>
              </w:rPr>
              <w:t>$1,990 and $2,101 for the six months ended June 30, 2020 and 2019,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(3,546)</w:t>
            </w: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(5,758)</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29,447,121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29,758,071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29,584,782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29,719,194</w:t>
            </w: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29,584,167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29,834,748</w:t>
            </w:r>
          </w:p>
        </w:tc>
        <w:tc>
          <w:tcPr>
            <w:tcW w:w="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29,757,560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29,820,917</w:t>
            </w:r>
          </w:p>
        </w:tc>
        <w:tc>
          <w:tcPr>
            <w:tcW w:w="0" w:type="dxa"/>
            <w:vAlign w:val="bottom"/>
          </w:tcPr>
          <w:p>
            <w:pPr>
              <w:spacing w:after="0"/>
              <w:rPr>
                <w:sz w:val="1"/>
                <w:szCs w:val="1"/>
                <w:color w:val="auto"/>
              </w:rPr>
            </w:pPr>
          </w:p>
        </w:tc>
      </w:tr>
      <w:tr>
        <w:trPr>
          <w:trHeight w:val="349"/>
        </w:trPr>
        <w:tc>
          <w:tcPr>
            <w:tcW w:w="5840" w:type="dxa"/>
            <w:vAlign w:val="bottom"/>
          </w:tcPr>
          <w:p>
            <w:pPr>
              <w:ind w:left="54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700" w:type="dxa"/>
            <w:vAlign w:val="bottom"/>
            <w:gridSpan w:val="9"/>
          </w:tcPr>
          <w:p>
            <w:pPr>
              <w:ind w:left="3320"/>
              <w:spacing w:after="0"/>
              <w:rPr>
                <w:sz w:val="20"/>
                <w:szCs w:val="20"/>
                <w:color w:val="auto"/>
              </w:rPr>
            </w:pPr>
            <w:r>
              <w:rPr>
                <w:rFonts w:ascii="Arial" w:cs="Arial" w:eastAsia="Arial" w:hAnsi="Arial"/>
                <w:sz w:val="18"/>
                <w:szCs w:val="18"/>
                <w:color w:val="auto"/>
              </w:rPr>
              <w:t>See accompanying notes to consolidated financial statements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THE THREE MONTHS ENDED JUNE 30, 2019 AND JUNE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vMerge w:val="restart"/>
          </w:tcPr>
          <w:p>
            <w:pPr>
              <w:jc w:val="right"/>
              <w:ind w:right="19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vMerge w:val="restart"/>
          </w:tcPr>
          <w:p>
            <w:pPr>
              <w:jc w:val="right"/>
              <w:ind w:right="381"/>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Borders>
              <w:bottom w:val="single" w:sz="8" w:color="auto"/>
            </w:tcBorders>
            <w:gridSpan w:val="6"/>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20" w:type="dxa"/>
            <w:vAlign w:val="bottom"/>
            <w:gridSpan w:val="2"/>
            <w:vMerge w:val="restart"/>
          </w:tcPr>
          <w:p>
            <w:pPr>
              <w:jc w:val="right"/>
              <w:ind w:right="340"/>
              <w:spacing w:after="0" w:line="148" w:lineRule="exact"/>
              <w:rPr>
                <w:sz w:val="20"/>
                <w:szCs w:val="20"/>
                <w:color w:val="auto"/>
              </w:rPr>
            </w:pPr>
            <w:r>
              <w:rPr>
                <w:rFonts w:ascii="Arial" w:cs="Arial" w:eastAsia="Arial" w:hAnsi="Arial"/>
                <w:sz w:val="14"/>
                <w:szCs w:val="14"/>
                <w:b w:val="1"/>
                <w:bCs w:val="1"/>
                <w:color w:val="auto"/>
              </w:rPr>
              <w:t>Paid In</w:t>
            </w:r>
          </w:p>
        </w:tc>
        <w:tc>
          <w:tcPr>
            <w:tcW w:w="880" w:type="dxa"/>
            <w:vAlign w:val="bottom"/>
            <w:gridSpan w:val="3"/>
            <w:vMerge w:val="restart"/>
          </w:tcPr>
          <w:p>
            <w:pPr>
              <w:ind w:left="100"/>
              <w:spacing w:after="0" w:line="148" w:lineRule="exact"/>
              <w:rPr>
                <w:sz w:val="20"/>
                <w:szCs w:val="20"/>
                <w:color w:val="auto"/>
              </w:rPr>
            </w:pPr>
            <w:r>
              <w:rPr>
                <w:rFonts w:ascii="Arial" w:cs="Arial" w:eastAsia="Arial" w:hAnsi="Arial"/>
                <w:sz w:val="14"/>
                <w:szCs w:val="14"/>
                <w:b w:val="1"/>
                <w:bCs w:val="1"/>
                <w:color w:val="auto"/>
              </w:rPr>
              <w:t>Retained</w:t>
            </w:r>
          </w:p>
        </w:tc>
        <w:tc>
          <w:tcPr>
            <w:tcW w:w="1840" w:type="dxa"/>
            <w:vAlign w:val="bottom"/>
            <w:tcBorders>
              <w:bottom w:val="single" w:sz="8" w:color="auto"/>
            </w:tcBorders>
            <w:gridSpan w:val="4"/>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restart"/>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3"/>
            <w:vMerge w:val="restart"/>
          </w:tcPr>
          <w:p>
            <w:pPr>
              <w:spacing w:after="0" w:line="14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040" w:type="dxa"/>
            <w:vAlign w:val="bottom"/>
            <w:gridSpan w:val="2"/>
            <w:vMerge w:val="restart"/>
          </w:tcPr>
          <w:p>
            <w:pPr>
              <w:jc w:val="right"/>
              <w:ind w:right="336"/>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04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1, 2019</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32,780,967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$ 183,836</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$ 114,046</w:t>
            </w:r>
          </w:p>
        </w:tc>
        <w:tc>
          <w:tcPr>
            <w:tcW w:w="1040" w:type="dxa"/>
            <w:vAlign w:val="bottom"/>
            <w:tcBorders>
              <w:right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95"/>
              </w:rPr>
              <w:t>(2,809,004)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(104,429)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(3,180)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190,601</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18,919</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 stock awards to</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w:t>
            </w:r>
          </w:p>
        </w:tc>
        <w:tc>
          <w:tcPr>
            <w:tcW w:w="10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82,867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Surrender of common stock awards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6"/>
              <w:spacing w:after="0"/>
              <w:rPr>
                <w:sz w:val="20"/>
                <w:szCs w:val="20"/>
                <w:color w:val="auto"/>
              </w:rPr>
            </w:pPr>
            <w:r>
              <w:rPr>
                <w:rFonts w:ascii="Arial" w:cs="Arial" w:eastAsia="Arial" w:hAnsi="Arial"/>
                <w:sz w:val="18"/>
                <w:szCs w:val="18"/>
                <w:color w:val="auto"/>
              </w:rPr>
              <w:t>(45,492)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Share-based compensation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1"/>
        </w:trPr>
        <w:tc>
          <w:tcPr>
            <w:tcW w:w="2940" w:type="dxa"/>
            <w:vAlign w:val="bottom"/>
          </w:tcPr>
          <w:p>
            <w:pPr>
              <w:spacing w:after="0" w:line="201" w:lineRule="exact"/>
              <w:rPr>
                <w:sz w:val="20"/>
                <w:szCs w:val="20"/>
                <w:color w:val="auto"/>
              </w:rPr>
            </w:pPr>
            <w:r>
              <w:rPr>
                <w:rFonts w:ascii="Arial" w:cs="Arial" w:eastAsia="Arial" w:hAnsi="Arial"/>
                <w:sz w:val="18"/>
                <w:szCs w:val="18"/>
                <w:color w:val="auto"/>
                <w:w w:val="98"/>
              </w:rPr>
              <w:t>Share-based compensation issued to</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directors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7,670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comprehensive loss, net of tax</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(3,546)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BALANCE - June 30, 2019</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32,871,504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$ 186,182</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$ 132,965</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(2,854,496</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(106,748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3"/>
              </w:rPr>
              <w:t>(6,726)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w w:val="93"/>
              </w:rPr>
              <w:t>Common Stock</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Additional</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vMerge w:val="restart"/>
          </w:tcPr>
          <w:p>
            <w:pPr>
              <w:jc w:val="right"/>
              <w:ind w:right="355"/>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gridSpan w:val="2"/>
            <w:vMerge w:val="restart"/>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5"/>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restart"/>
          </w:tcPr>
          <w:p>
            <w:pPr>
              <w:jc w:val="right"/>
              <w:ind w:right="360"/>
              <w:spacing w:after="0" w:line="157" w:lineRule="exact"/>
              <w:rPr>
                <w:sz w:val="20"/>
                <w:szCs w:val="20"/>
                <w:color w:val="auto"/>
              </w:rPr>
            </w:pPr>
            <w:r>
              <w:rPr>
                <w:rFonts w:ascii="Arial" w:cs="Arial" w:eastAsia="Arial" w:hAnsi="Arial"/>
                <w:sz w:val="14"/>
                <w:szCs w:val="14"/>
                <w:b w:val="1"/>
                <w:bCs w:val="1"/>
                <w:color w:val="auto"/>
              </w:rPr>
              <w:t>Paid In</w:t>
            </w:r>
          </w:p>
        </w:tc>
        <w:tc>
          <w:tcPr>
            <w:tcW w:w="880" w:type="dxa"/>
            <w:vAlign w:val="bottom"/>
            <w:gridSpan w:val="3"/>
            <w:vMerge w:val="restart"/>
          </w:tcPr>
          <w:p>
            <w:pPr>
              <w:ind w:left="40"/>
              <w:spacing w:after="0" w:line="157" w:lineRule="exact"/>
              <w:rPr>
                <w:sz w:val="20"/>
                <w:szCs w:val="20"/>
                <w:color w:val="auto"/>
              </w:rPr>
            </w:pPr>
            <w:r>
              <w:rPr>
                <w:rFonts w:ascii="Arial" w:cs="Arial" w:eastAsia="Arial" w:hAnsi="Arial"/>
                <w:sz w:val="14"/>
                <w:szCs w:val="14"/>
                <w:b w:val="1"/>
                <w:bCs w:val="1"/>
                <w:color w:val="auto"/>
              </w:rPr>
              <w:t>Retained</w:t>
            </w:r>
          </w:p>
        </w:tc>
        <w:tc>
          <w:tcPr>
            <w:tcW w:w="1760" w:type="dxa"/>
            <w:vAlign w:val="bottom"/>
            <w:tcBorders>
              <w:bottom w:val="single" w:sz="8" w:color="auto"/>
            </w:tcBorders>
            <w:gridSpan w:val="3"/>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3"/>
            <w:vMerge w:val="restart"/>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restart"/>
          </w:tcPr>
          <w:p>
            <w:pPr>
              <w:spacing w:after="0" w:line="157"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7"/>
        </w:trPr>
        <w:tc>
          <w:tcPr>
            <w:tcW w:w="2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8"/>
              </w:rPr>
              <w:t>Shares</w:t>
            </w: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040" w:type="dxa"/>
            <w:vAlign w:val="bottom"/>
            <w:gridSpan w:val="2"/>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040" w:type="dxa"/>
            <w:vAlign w:val="bottom"/>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April 1, 2020</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32,961,777</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330</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192,564</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188,169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(3,299,465</w:t>
            </w:r>
          </w:p>
        </w:tc>
        <w:tc>
          <w:tcPr>
            <w:tcW w:w="240" w:type="dxa"/>
            <w:vAlign w:val="bottom"/>
            <w:tcBorders>
              <w:left w:val="single" w:sz="8" w:color="CCEEFF"/>
              <w:bottom w:val="single" w:sz="8" w:color="CCEEFF"/>
              <w:right w:val="single" w:sz="8" w:color="CCEEFF"/>
            </w:tcBorders>
            <w:shd w:val="clear" w:color="auto" w:fill="CCEEFF"/>
          </w:tcPr>
          <w:p>
            <w:pPr>
              <w:jc w:val="right"/>
              <w:ind w:right="96"/>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(122,515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line="142" w:lineRule="exact"/>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6"/>
                <w:szCs w:val="16"/>
                <w:color w:val="auto"/>
              </w:rPr>
              <w:t>25,337</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6"/>
                <w:szCs w:val="16"/>
                <w:color w:val="auto"/>
              </w:rPr>
              <w:t>25,337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Issuance of common stock awards to</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156,405</w:t>
            </w: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Surrender of common stock awards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96"/>
              <w:spacing w:after="0"/>
              <w:rPr>
                <w:sz w:val="20"/>
                <w:szCs w:val="20"/>
                <w:color w:val="auto"/>
              </w:rPr>
            </w:pPr>
            <w:r>
              <w:rPr>
                <w:rFonts w:ascii="Arial" w:cs="Arial" w:eastAsia="Arial" w:hAnsi="Arial"/>
                <w:sz w:val="18"/>
                <w:szCs w:val="18"/>
                <w:color w:val="auto"/>
              </w:rPr>
              <w:t>(25,584)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Share-based compensation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rPr>
                <w:sz w:val="20"/>
                <w:szCs w:val="20"/>
                <w:color w:val="auto"/>
              </w:rPr>
            </w:pPr>
            <w:r>
              <w:rPr>
                <w:rFonts w:ascii="Arial" w:cs="Arial" w:eastAsia="Arial" w:hAnsi="Arial"/>
                <w:sz w:val="18"/>
                <w:szCs w:val="18"/>
                <w:color w:val="auto"/>
                <w:w w:val="97"/>
              </w:rPr>
              <w:t>Share-based compensation issued to</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0"/>
              <w:spacing w:after="0"/>
              <w:rPr>
                <w:sz w:val="20"/>
                <w:szCs w:val="20"/>
                <w:color w:val="auto"/>
              </w:rPr>
            </w:pPr>
            <w:r>
              <w:rPr>
                <w:rFonts w:ascii="Arial" w:cs="Arial" w:eastAsia="Arial" w:hAnsi="Arial"/>
                <w:sz w:val="18"/>
                <w:szCs w:val="18"/>
                <w:color w:val="auto"/>
              </w:rPr>
              <w:t>directors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6,055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Other comprehensive loss, net of tax</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BALANCE - June 30, 2020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33,124,237</w:t>
            </w: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331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195,288</w:t>
            </w: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213,506</w:t>
            </w:r>
          </w:p>
        </w:tc>
        <w:tc>
          <w:tcPr>
            <w:tcW w:w="140" w:type="dxa"/>
            <w:vAlign w:val="bottom"/>
          </w:tcPr>
          <w:p>
            <w:pPr>
              <w:spacing w:after="0"/>
              <w:rPr>
                <w:sz w:val="18"/>
                <w:szCs w:val="18"/>
                <w:color w:val="auto"/>
              </w:rPr>
            </w:pPr>
          </w:p>
        </w:tc>
        <w:tc>
          <w:tcPr>
            <w:tcW w:w="1040" w:type="dxa"/>
            <w:vAlign w:val="bottom"/>
            <w:gridSpan w:val="2"/>
          </w:tcPr>
          <w:p>
            <w:pPr>
              <w:jc w:val="right"/>
              <w:ind w:right="96"/>
              <w:spacing w:after="0"/>
              <w:rPr>
                <w:sz w:val="20"/>
                <w:szCs w:val="20"/>
                <w:color w:val="auto"/>
              </w:rPr>
            </w:pPr>
            <w:r>
              <w:rPr>
                <w:rFonts w:ascii="Arial" w:cs="Arial" w:eastAsia="Arial" w:hAnsi="Arial"/>
                <w:sz w:val="18"/>
                <w:szCs w:val="18"/>
                <w:color w:val="auto"/>
                <w:w w:val="91"/>
              </w:rPr>
              <w:t>(3,325,049)</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(123,488)</w:t>
            </w:r>
          </w:p>
        </w:tc>
        <w:tc>
          <w:tcPr>
            <w:tcW w:w="1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(12,901)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7"/>
          </w:tcPr>
          <w:p>
            <w:pPr>
              <w:jc w:val="right"/>
              <w:ind w:right="761"/>
              <w:spacing w:after="0"/>
              <w:rPr>
                <w:sz w:val="20"/>
                <w:szCs w:val="20"/>
                <w:color w:val="auto"/>
              </w:rPr>
            </w:pPr>
            <w:r>
              <w:rPr>
                <w:rFonts w:ascii="Arial" w:cs="Arial" w:eastAsia="Arial" w:hAnsi="Arial"/>
                <w:sz w:val="18"/>
                <w:szCs w:val="18"/>
                <w:color w:val="auto"/>
                <w:w w:val="93"/>
              </w:rPr>
              <w:t>See accompanying notes to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SIX MONTHS ENDED JUNE 30, 2019 AND JUNE 30, 2020</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Additional</w:t>
            </w:r>
          </w:p>
        </w:tc>
        <w:tc>
          <w:tcPr>
            <w:tcW w:w="94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2020" w:type="dxa"/>
            <w:vAlign w:val="bottom"/>
            <w:gridSpan w:val="7"/>
            <w:vMerge w:val="restart"/>
          </w:tcPr>
          <w:p>
            <w:pPr>
              <w:jc w:val="right"/>
              <w:ind w:right="720"/>
              <w:spacing w:after="0"/>
              <w:rPr>
                <w:sz w:val="20"/>
                <w:szCs w:val="20"/>
                <w:color w:val="auto"/>
              </w:rPr>
            </w:pPr>
            <w:r>
              <w:rPr>
                <w:rFonts w:ascii="Arial" w:cs="Arial" w:eastAsia="Arial" w:hAnsi="Arial"/>
                <w:sz w:val="14"/>
                <w:szCs w:val="14"/>
                <w:b w:val="1"/>
                <w:bCs w:val="1"/>
                <w:color w:val="auto"/>
              </w:rPr>
              <w:t>Treasury Stock</w:t>
            </w:r>
          </w:p>
        </w:tc>
        <w:tc>
          <w:tcPr>
            <w:tcW w:w="1540" w:type="dxa"/>
            <w:vAlign w:val="bottom"/>
            <w:gridSpan w:val="6"/>
          </w:tcPr>
          <w:p>
            <w:pPr>
              <w:ind w:left="20"/>
              <w:spacing w:after="0"/>
              <w:rPr>
                <w:sz w:val="20"/>
                <w:szCs w:val="20"/>
                <w:color w:val="auto"/>
              </w:rPr>
            </w:pPr>
            <w:r>
              <w:rPr>
                <w:rFonts w:ascii="Arial" w:cs="Arial" w:eastAsia="Arial" w:hAnsi="Arial"/>
                <w:sz w:val="14"/>
                <w:szCs w:val="14"/>
                <w:b w:val="1"/>
                <w:bCs w:val="1"/>
                <w:color w:val="auto"/>
              </w:rPr>
              <w:t>Accumulated Other</w:t>
            </w:r>
          </w:p>
        </w:tc>
        <w:tc>
          <w:tcPr>
            <w:tcW w:w="11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400"/>
              <w:spacing w:after="0" w:line="157" w:lineRule="exact"/>
              <w:rPr>
                <w:sz w:val="20"/>
                <w:szCs w:val="20"/>
                <w:color w:val="auto"/>
              </w:rPr>
            </w:pPr>
            <w:r>
              <w:rPr>
                <w:rFonts w:ascii="Arial" w:cs="Arial" w:eastAsia="Arial" w:hAnsi="Arial"/>
                <w:sz w:val="14"/>
                <w:szCs w:val="14"/>
                <w:b w:val="1"/>
                <w:bCs w:val="1"/>
                <w:color w:val="auto"/>
                <w:w w:val="91"/>
              </w:rPr>
              <w:t>Paid In</w:t>
            </w:r>
          </w:p>
        </w:tc>
        <w:tc>
          <w:tcPr>
            <w:tcW w:w="9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tcPr>
          <w:p>
            <w:pPr>
              <w:jc w:val="right"/>
              <w:ind w:right="440"/>
              <w:spacing w:after="0" w:line="157" w:lineRule="exact"/>
              <w:rPr>
                <w:sz w:val="20"/>
                <w:szCs w:val="20"/>
                <w:color w:val="auto"/>
              </w:rPr>
            </w:pPr>
            <w:r>
              <w:rPr>
                <w:rFonts w:ascii="Arial" w:cs="Arial" w:eastAsia="Arial" w:hAnsi="Arial"/>
                <w:sz w:val="14"/>
                <w:szCs w:val="14"/>
                <w:b w:val="1"/>
                <w:bCs w:val="1"/>
                <w:color w:val="auto"/>
                <w:w w:val="91"/>
              </w:rPr>
              <w:t>Comprehensive</w:t>
            </w:r>
          </w:p>
        </w:tc>
        <w:tc>
          <w:tcPr>
            <w:tcW w:w="11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4"/>
              </w:rPr>
              <w:t>Shares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w w:val="94"/>
              </w:rPr>
              <w:t>Capital</w:t>
            </w:r>
          </w:p>
        </w:tc>
        <w:tc>
          <w:tcPr>
            <w:tcW w:w="260" w:type="dxa"/>
            <w:vAlign w:val="bottom"/>
            <w:gridSpan w:val="2"/>
          </w:tcPr>
          <w:p>
            <w:pPr>
              <w:spacing w:after="0"/>
              <w:rPr>
                <w:sz w:val="12"/>
                <w:szCs w:val="12"/>
                <w:color w:val="auto"/>
              </w:rPr>
            </w:pPr>
          </w:p>
        </w:tc>
        <w:tc>
          <w:tcPr>
            <w:tcW w:w="780" w:type="dxa"/>
            <w:vAlign w:val="bottom"/>
            <w:tcBorders>
              <w:bottom w:val="single" w:sz="8" w:color="auto"/>
            </w:tcBorders>
            <w:gridSpan w:val="2"/>
          </w:tcPr>
          <w:p>
            <w:pPr>
              <w:jc w:val="right"/>
              <w:ind w:right="57"/>
              <w:spacing w:after="0" w:line="142" w:lineRule="exact"/>
              <w:rPr>
                <w:sz w:val="20"/>
                <w:szCs w:val="20"/>
                <w:color w:val="auto"/>
              </w:rPr>
            </w:pPr>
            <w:r>
              <w:rPr>
                <w:rFonts w:ascii="Arial" w:cs="Arial" w:eastAsia="Arial" w:hAnsi="Arial"/>
                <w:sz w:val="14"/>
                <w:szCs w:val="14"/>
                <w:b w:val="1"/>
                <w:bCs w:val="1"/>
                <w:color w:val="auto"/>
              </w:rPr>
              <w:t>Earnings</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Loss</w:t>
            </w:r>
          </w:p>
        </w:tc>
        <w:tc>
          <w:tcPr>
            <w:tcW w:w="300" w:type="dxa"/>
            <w:vAlign w:val="bottom"/>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Equity</w:t>
            </w:r>
          </w:p>
        </w:tc>
        <w:tc>
          <w:tcPr>
            <w:tcW w:w="3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0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3"/>
              </w:rPr>
              <w:t>32,723,972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327</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$ 181,815</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$ 105,212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(2,808,361)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 (104,425)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182,498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27,753</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27,753</w:t>
            </w:r>
          </w:p>
        </w:tc>
        <w:tc>
          <w:tcPr>
            <w:tcW w:w="10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 to employees</w:t>
            </w:r>
          </w:p>
        </w:tc>
        <w:tc>
          <w:tcPr>
            <w:tcW w:w="10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139,862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auto"/>
              </w:rPr>
              <w:t>Surrender of common stock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(46,135)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auto"/>
                <w:w w:val="93"/>
              </w:rPr>
              <w:t>Share-based compensation issued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to directors</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7,670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comprehensive loss, net of</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(6,295)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8"/>
                <w:szCs w:val="18"/>
                <w:color w:val="auto"/>
              </w:rPr>
              <w:t>BALANCE - June 30, 2019</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w w:val="93"/>
              </w:rPr>
              <w:t>32,871,504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329</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$ 186,182</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9"/>
              </w:rPr>
              <w:t>$ 132,965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(2,854,496)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 (106,748)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(6,726)</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206,002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24"/>
                <w:szCs w:val="24"/>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4"/>
                <w:szCs w:val="24"/>
                <w:color w:val="auto"/>
              </w:rPr>
            </w:pPr>
          </w:p>
        </w:tc>
        <w:tc>
          <w:tcPr>
            <w:tcW w:w="202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24"/>
                <w:szCs w:val="24"/>
                <w:color w:val="auto"/>
              </w:rPr>
            </w:pPr>
          </w:p>
        </w:tc>
        <w:tc>
          <w:tcPr>
            <w:tcW w:w="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240"/>
              <w:spacing w:after="0" w:line="157" w:lineRule="exact"/>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Borders>
              <w:bottom w:val="single" w:sz="8" w:color="auto"/>
            </w:tcBorders>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jc w:val="right"/>
              <w:ind w:right="220"/>
              <w:spacing w:after="0" w:line="157"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60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 2020</w:t>
            </w:r>
          </w:p>
        </w:tc>
        <w:tc>
          <w:tcPr>
            <w:tcW w:w="100" w:type="dxa"/>
            <w:vAlign w:val="bottom"/>
            <w:shd w:val="clear" w:color="auto" w:fill="CCEEFF"/>
          </w:tcPr>
          <w:p>
            <w:pPr>
              <w:spacing w:after="0"/>
              <w:rPr>
                <w:sz w:val="23"/>
                <w:szCs w:val="23"/>
                <w:color w:val="auto"/>
              </w:rPr>
            </w:pPr>
          </w:p>
        </w:tc>
        <w:tc>
          <w:tcPr>
            <w:tcW w:w="9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32,871,504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$ 190,230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$ 173,371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(2,855,164 )</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(106,756 )</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(7,143 )</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250,031</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6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41,325</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41,325</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Cumulative effect of accounting</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(1,190 )</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(1,190 )</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net of tax</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8"/>
                <w:szCs w:val="18"/>
                <w:color w:val="auto"/>
                <w:w w:val="93"/>
              </w:rPr>
              <w:t>Issuance of common stock awards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200"/>
              <w:spacing w:after="0"/>
              <w:rPr>
                <w:sz w:val="20"/>
                <w:szCs w:val="20"/>
                <w:color w:val="auto"/>
              </w:rPr>
            </w:pPr>
            <w:r>
              <w:rPr>
                <w:rFonts w:ascii="Arial" w:cs="Arial" w:eastAsia="Arial" w:hAnsi="Arial"/>
                <w:sz w:val="18"/>
                <w:szCs w:val="18"/>
                <w:color w:val="auto"/>
              </w:rPr>
              <w:t>to employees</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246,362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Surrender of common stock awards</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(27,343 )</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(973 )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(973 )</w:t>
            </w:r>
          </w:p>
        </w:tc>
        <w:tc>
          <w:tcPr>
            <w:tcW w:w="0" w:type="dxa"/>
            <w:vAlign w:val="bottom"/>
          </w:tcPr>
          <w:p>
            <w:pPr>
              <w:spacing w:after="0"/>
              <w:rPr>
                <w:sz w:val="1"/>
                <w:szCs w:val="1"/>
                <w:color w:val="auto"/>
              </w:rPr>
            </w:pPr>
          </w:p>
        </w:tc>
      </w:tr>
      <w:tr>
        <w:trPr>
          <w:trHeight w:val="236"/>
        </w:trPr>
        <w:tc>
          <w:tcPr>
            <w:tcW w:w="2620" w:type="dxa"/>
            <w:vAlign w:val="bottom"/>
          </w:tcPr>
          <w:p>
            <w:pPr>
              <w:ind w:left="20"/>
              <w:spacing w:after="0"/>
              <w:rPr>
                <w:sz w:val="20"/>
                <w:szCs w:val="20"/>
                <w:color w:val="auto"/>
              </w:rPr>
            </w:pPr>
            <w:r>
              <w:rPr>
                <w:rFonts w:ascii="Arial" w:cs="Arial" w:eastAsia="Arial" w:hAnsi="Arial"/>
                <w:sz w:val="18"/>
                <w:szCs w:val="18"/>
                <w:color w:val="auto"/>
                <w:w w:val="87"/>
              </w:rPr>
              <w:t>Share-based compensation expense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Share-based compensation issued</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directors</w:t>
            </w:r>
          </w:p>
        </w:tc>
        <w:tc>
          <w:tcPr>
            <w:tcW w:w="108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6,371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20" w:type="dxa"/>
            <w:vAlign w:val="bottom"/>
          </w:tcPr>
          <w:p>
            <w:pPr>
              <w:ind w:left="20"/>
              <w:spacing w:after="0"/>
              <w:rPr>
                <w:sz w:val="20"/>
                <w:szCs w:val="20"/>
                <w:color w:val="auto"/>
              </w:rPr>
            </w:pPr>
            <w:r>
              <w:rPr>
                <w:rFonts w:ascii="Arial" w:cs="Arial" w:eastAsia="Arial" w:hAnsi="Arial"/>
                <w:sz w:val="18"/>
                <w:szCs w:val="18"/>
                <w:color w:val="auto"/>
              </w:rPr>
              <w:t>Common stock repurchase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(442,542 )</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(15,759 )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(15,759 )</w:t>
            </w:r>
          </w:p>
        </w:tc>
        <w:tc>
          <w:tcPr>
            <w:tcW w:w="0" w:type="dxa"/>
            <w:vAlign w:val="bottom"/>
          </w:tcPr>
          <w:p>
            <w:pPr>
              <w:spacing w:after="0"/>
              <w:rPr>
                <w:sz w:val="1"/>
                <w:szCs w:val="1"/>
                <w:color w:val="auto"/>
              </w:rPr>
            </w:pPr>
          </w:p>
        </w:tc>
      </w:tr>
      <w:tr>
        <w:trPr>
          <w:trHeight w:val="22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Other comprehensive loss, net of</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(5,758 )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(5,758 )</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20" w:type="dxa"/>
            <w:vAlign w:val="bottom"/>
          </w:tcPr>
          <w:p>
            <w:pPr>
              <w:ind w:left="20"/>
              <w:spacing w:after="0"/>
              <w:rPr>
                <w:sz w:val="20"/>
                <w:szCs w:val="20"/>
                <w:color w:val="auto"/>
              </w:rPr>
            </w:pPr>
            <w:r>
              <w:rPr>
                <w:rFonts w:ascii="Arial" w:cs="Arial" w:eastAsia="Arial" w:hAnsi="Arial"/>
                <w:sz w:val="18"/>
                <w:szCs w:val="18"/>
                <w:color w:val="auto"/>
              </w:rPr>
              <w:t>BALANCE - June 30, 2020</w:t>
            </w:r>
          </w:p>
        </w:tc>
        <w:tc>
          <w:tcPr>
            <w:tcW w:w="180" w:type="dxa"/>
            <w:vAlign w:val="bottom"/>
            <w:gridSpan w:val="2"/>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33,124,237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$ 195,288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$ 213,506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(3,325,049 )</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(123,488 )</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(12,901 )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272,736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577"/>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22"/>
          </w:tcPr>
          <w:p>
            <w:pPr>
              <w:jc w:val="right"/>
              <w:ind w:right="800"/>
              <w:spacing w:after="0"/>
              <w:rPr>
                <w:sz w:val="20"/>
                <w:szCs w:val="20"/>
                <w:color w:val="auto"/>
              </w:rPr>
            </w:pPr>
            <w:r>
              <w:rPr>
                <w:rFonts w:ascii="Arial" w:cs="Arial" w:eastAsia="Arial" w:hAnsi="Arial"/>
                <w:sz w:val="18"/>
                <w:szCs w:val="18"/>
                <w:color w:val="auto"/>
                <w:w w:val="99"/>
              </w:rPr>
              <w:t>See accompanying notes to consolidated 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8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left="460" w:right="2320"/>
        <w:spacing w:after="0" w:line="270" w:lineRule="auto"/>
        <w:rPr>
          <w:sz w:val="20"/>
          <w:szCs w:val="20"/>
          <w:color w:val="auto"/>
        </w:rPr>
      </w:pPr>
      <w:r>
        <w:rPr>
          <w:rFonts w:ascii="Arial" w:cs="Arial" w:eastAsia="Arial" w:hAnsi="Arial"/>
          <w:sz w:val="18"/>
          <w:szCs w:val="18"/>
          <w:color w:val="auto"/>
        </w:rPr>
        <w:t>INSTALLED BUILDING PRODUCTS, INC. CONDENSED CONSOLIDATED STATEMENTS OF CASH FLOWS (UNAUDITED)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1720" w:type="dxa"/>
            <w:vAlign w:val="bottom"/>
            <w:gridSpan w:val="6"/>
          </w:tcPr>
          <w:p>
            <w:pPr>
              <w:jc w:val="right"/>
              <w:ind w:right="140"/>
              <w:spacing w:after="0"/>
              <w:rPr>
                <w:sz w:val="20"/>
                <w:szCs w:val="20"/>
                <w:color w:val="auto"/>
              </w:rPr>
            </w:pPr>
            <w:r>
              <w:rPr>
                <w:rFonts w:ascii="Arial" w:cs="Arial" w:eastAsia="Arial" w:hAnsi="Arial"/>
                <w:sz w:val="14"/>
                <w:szCs w:val="14"/>
                <w:color w:val="auto"/>
                <w:w w:val="91"/>
              </w:rPr>
              <w:t>Six months ended June 30,</w:t>
            </w:r>
          </w:p>
        </w:tc>
        <w:tc>
          <w:tcPr>
            <w:tcW w:w="0" w:type="dxa"/>
            <w:vAlign w:val="bottom"/>
          </w:tcPr>
          <w:p>
            <w:pPr>
              <w:spacing w:after="0"/>
              <w:rPr>
                <w:sz w:val="1"/>
                <w:szCs w:val="1"/>
                <w:color w:val="auto"/>
              </w:rPr>
            </w:pPr>
          </w:p>
        </w:tc>
      </w:tr>
      <w:tr>
        <w:trPr>
          <w:trHeight w:val="142"/>
        </w:trPr>
        <w:tc>
          <w:tcPr>
            <w:tcW w:w="9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41,325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27,753</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80" w:type="dxa"/>
            <w:vAlign w:val="bottom"/>
          </w:tcPr>
          <w:p>
            <w:pPr>
              <w:ind w:left="54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20,623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operating lease right-of-use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15"/>
        </w:trPr>
        <w:tc>
          <w:tcPr>
            <w:tcW w:w="9280" w:type="dxa"/>
            <w:vAlign w:val="bottom"/>
          </w:tcPr>
          <w:p>
            <w:pPr>
              <w:ind w:left="54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13,404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deferred financing costs and debt discount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5"/>
        </w:trPr>
        <w:tc>
          <w:tcPr>
            <w:tcW w:w="9280" w:type="dxa"/>
            <w:vAlign w:val="bottom"/>
          </w:tcPr>
          <w:p>
            <w:pPr>
              <w:ind w:left="540"/>
              <w:spacing w:after="0"/>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2,668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5"/>
        </w:trPr>
        <w:tc>
          <w:tcPr>
            <w:tcW w:w="9280" w:type="dxa"/>
            <w:vAlign w:val="bottom"/>
          </w:tcPr>
          <w:p>
            <w:pPr>
              <w:ind w:left="540"/>
              <w:spacing w:after="0"/>
              <w:rPr>
                <w:sz w:val="20"/>
                <w:szCs w:val="20"/>
                <w:color w:val="auto"/>
              </w:rPr>
            </w:pPr>
            <w:r>
              <w:rPr>
                <w:rFonts w:ascii="Arial" w:cs="Arial" w:eastAsia="Arial" w:hAnsi="Arial"/>
                <w:sz w:val="18"/>
                <w:szCs w:val="18"/>
                <w:color w:val="auto"/>
              </w:rPr>
              <w:t>Noncash stock compensation</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5,415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9280" w:type="dxa"/>
            <w:vAlign w:val="bottom"/>
          </w:tcPr>
          <w:p>
            <w:pPr>
              <w:ind w:left="540"/>
              <w:spacing w:after="0"/>
              <w:rPr>
                <w:sz w:val="20"/>
                <w:szCs w:val="20"/>
                <w:color w:val="auto"/>
              </w:rPr>
            </w:pPr>
            <w:r>
              <w:rPr>
                <w:rFonts w:ascii="Arial" w:cs="Arial" w:eastAsia="Arial" w:hAnsi="Arial"/>
                <w:sz w:val="18"/>
                <w:szCs w:val="18"/>
                <w:color w:val="auto"/>
              </w:rPr>
              <w:t>Changes in assets and liabilities, excluding effects of acquisitions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(17,876)</w:t>
            </w:r>
          </w:p>
        </w:tc>
        <w:tc>
          <w:tcPr>
            <w:tcW w:w="0" w:type="dxa"/>
            <w:vAlign w:val="bottom"/>
          </w:tcPr>
          <w:p>
            <w:pPr>
              <w:spacing w:after="0"/>
              <w:rPr>
                <w:sz w:val="1"/>
                <w:szCs w:val="1"/>
                <w:color w:val="auto"/>
              </w:rPr>
            </w:pPr>
          </w:p>
        </w:tc>
      </w:tr>
      <w:tr>
        <w:trPr>
          <w:trHeight w:val="215"/>
        </w:trPr>
        <w:tc>
          <w:tcPr>
            <w:tcW w:w="92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6,072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5"/>
        </w:trPr>
        <w:tc>
          <w:tcPr>
            <w:tcW w:w="92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(18,504)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receivable/payable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22"/>
        </w:trPr>
        <w:tc>
          <w:tcPr>
            <w:tcW w:w="928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105,525</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(17,352)</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Maturities of short term investments</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22,050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17,560</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(16,345)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(17,778)</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Acquisitions of businesses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(12,625)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(21,290)</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(39,284)</w:t>
            </w: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term loan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vehicle and equipment notes payable</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12,768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13,783</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(13,205)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finance lease obligations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Acquisition-related obligations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(3,486)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(15,759)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Surrender of common stock awards by employees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(22,204)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74,599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177,889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90,442</w:t>
            </w: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252,488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paid during the period for: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80" w:type="dxa"/>
            <w:vAlign w:val="bottom"/>
          </w:tcPr>
          <w:p>
            <w:pPr>
              <w:ind w:left="540"/>
              <w:spacing w:after="0"/>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 net of refunds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5"/>
        </w:trPr>
        <w:tc>
          <w:tcPr>
            <w:tcW w:w="92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8"/>
                <w:szCs w:val="18"/>
                <w:color w:val="auto"/>
              </w:rPr>
              <w:t>Property and equipment obtained in exchange for finance lease obligations</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5"/>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Seller obligations in connection with acquisition of businesses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0"/>
        </w:trPr>
        <w:tc>
          <w:tcPr>
            <w:tcW w:w="9280" w:type="dxa"/>
            <w:vAlign w:val="bottom"/>
          </w:tcPr>
          <w:p>
            <w:pPr>
              <w:ind w:left="360"/>
              <w:spacing w:after="0"/>
              <w:rPr>
                <w:sz w:val="20"/>
                <w:szCs w:val="20"/>
                <w:color w:val="auto"/>
              </w:rPr>
            </w:pPr>
            <w:r>
              <w:rPr>
                <w:rFonts w:ascii="Arial" w:cs="Arial" w:eastAsia="Arial" w:hAnsi="Arial"/>
                <w:sz w:val="18"/>
                <w:szCs w:val="18"/>
                <w:color w:val="auto"/>
              </w:rPr>
              <w:t>Unpaid purchases of property and equipment included in accounts payable</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349"/>
        </w:trPr>
        <w:tc>
          <w:tcPr>
            <w:tcW w:w="9280" w:type="dxa"/>
            <w:vAlign w:val="bottom"/>
          </w:tcPr>
          <w:p>
            <w:pPr>
              <w:ind w:left="5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280" w:type="dxa"/>
            <w:vAlign w:val="bottom"/>
          </w:tcPr>
          <w:p>
            <w:pPr>
              <w:ind w:left="3320"/>
              <w:spacing w:after="0"/>
              <w:rPr>
                <w:sz w:val="20"/>
                <w:szCs w:val="20"/>
                <w:color w:val="auto"/>
              </w:rPr>
            </w:pPr>
            <w:r>
              <w:rPr>
                <w:rFonts w:ascii="Arial" w:cs="Arial" w:eastAsia="Arial" w:hAnsi="Arial"/>
                <w:sz w:val="18"/>
                <w:szCs w:val="18"/>
                <w:color w:val="auto"/>
              </w:rPr>
              <w:t>See accompanying notes to consolidated financial statements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w:t>
      </w:r>
    </w:p>
    <w:p>
      <w:pPr>
        <w:spacing w:after="0" w:line="120" w:lineRule="exact"/>
        <w:rPr>
          <w:sz w:val="20"/>
          <w:szCs w:val="20"/>
          <w:color w:val="auto"/>
        </w:rPr>
      </w:pPr>
    </w:p>
    <w:p>
      <w:pPr>
        <w:ind w:left="120" w:right="80"/>
        <w:spacing w:after="0" w:line="278" w:lineRule="auto"/>
        <w:rPr>
          <w:sz w:val="20"/>
          <w:szCs w:val="20"/>
          <w:color w:val="auto"/>
        </w:rPr>
      </w:pPr>
      <w:r>
        <w:rPr>
          <w:rFonts w:ascii="Arial" w:cs="Arial" w:eastAsia="Arial" w:hAnsi="Arial"/>
          <w:sz w:val="17"/>
          <w:szCs w:val="17"/>
          <w:color w:val="auto"/>
        </w:rPr>
        <w:t>Installed Building Products (“IBP”), a Delaware corporation formed on October 28, 2011, and its wholly-owned subsidiaries (collectively referred to as the “Company,” and “we,” “us” and “our”) primarily install insulation, waterproofing, fire-stopping, fireproofing, garage doors, rain gutters, window blinds, shower doors, closet shelving and mirrors and other products for residential and commercial builders located in the continental United States. The Company operates in over 180 locations and its corporate office is located in Columbus, Ohio.</w:t>
      </w:r>
    </w:p>
    <w:p>
      <w:pPr>
        <w:spacing w:after="0" w:line="17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have one operating segment and a single reportable segment. Substantially all of our sales are derived from the service-based installation of various products in the residential new construction, repair and remodel and commercial construction end markets from our national network of branch locations.</w:t>
      </w:r>
    </w:p>
    <w:p>
      <w:pPr>
        <w:spacing w:after="0" w:line="182"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Each of our branches has the capacity to serve all of our end markets. See Note 3, Revenue Recognition, for information on our revenues by product and end market.</w:t>
      </w:r>
    </w:p>
    <w:p>
      <w:pPr>
        <w:spacing w:after="0" w:line="170"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The COVID-19 pandemic has caused significant volatility, uncertainty and economic disruption. Many public health organizations and international, federal, state and local governments implemented measures to combat the spread of COVID-19 during portions of the first and second quarters of 2020 with some of these restrictions still in place as of the date of filing of this Quarterly Report on Form 10-Q. Some of these measures include restrictions on movement such as quarantines, “stay-at-home” orders and social distancing ordinances and restricting or prohibiting outright some or all forms of commercial and business activity. While we estimate net revenue was reduced from these disruptions in the six months ended June 30, 2020 compared to the same period in 2019, we do not believe the various orders and restrictions or COVID-19 itself significantly impacted our business in the first or second quarters of 2020. However, the extent to which COVID-19 will impact our future operations, customers, suppliers, employees and financial results is uncertain. The future impact of COVID-19 on our financial results depends on numerous factors including government actions and the resulting impact on construction activity, the effect on our customers’ demand for our services, and the ability of our customers to pay for our services.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16"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The accompanying consolidated financial statements include all of our wholly-owned subsidiaries. All intercompany accounts and transactions have been eliminated.</w:t>
      </w:r>
    </w:p>
    <w:p>
      <w:pPr>
        <w:spacing w:after="0" w:line="17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information furnished in the Condensed Consolidated Financial Statements includes normal recurring adjustments and reflects all adjustments which are, in the opinion of management, necessary for a fair presentation of the results of operations and statements of financial position for the interim periods presented. Certain information and footnote disclosures normally included in the consolidated financial statements prepared in accordance with accounting principles generally accepted in the United States of America (“U.S. GAAP”) and the rules and regulations of the Securities and Exchange Commission (the “SEC”) have been omitted pursuant to such rules and regulations. We believe that the disclosures are adequate to prevent the information presented from being misleading when read in conjunction with our audited consolidated financial statements and the notes thereto included in Part II, Item 8, Financial Statements and Supplementary Data, of our Annual Report on Form 10-K for the fiscal year ended December 31, 2019 (the “2019 Form 10-K”), as filed with the SEC on February 27, 2020. The December 31, 2019 Condensed Consolidated Balance Sheet data herein was derived from the audited consolidated financial statements but does not include all disclosures required by U.S. GAAP.</w:t>
      </w:r>
    </w:p>
    <w:p>
      <w:pPr>
        <w:spacing w:after="0" w:line="168" w:lineRule="exact"/>
        <w:rPr>
          <w:sz w:val="20"/>
          <w:szCs w:val="20"/>
          <w:color w:val="auto"/>
        </w:rPr>
      </w:pPr>
    </w:p>
    <w:p>
      <w:pPr>
        <w:ind w:left="120" w:right="480"/>
        <w:spacing w:after="0" w:line="276" w:lineRule="auto"/>
        <w:rPr>
          <w:sz w:val="20"/>
          <w:szCs w:val="20"/>
          <w:color w:val="auto"/>
        </w:rPr>
      </w:pPr>
      <w:r>
        <w:rPr>
          <w:rFonts w:ascii="Arial" w:cs="Arial" w:eastAsia="Arial" w:hAnsi="Arial"/>
          <w:sz w:val="18"/>
          <w:szCs w:val="18"/>
          <w:color w:val="auto"/>
        </w:rPr>
        <w:t>Our interim operating results for the three and six months ended June 30, 2020 are not necessarily indicative of the results to be expected in future operating quarters.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Note 2 to the audited consolidated financial statements in our 2019 Form 10-K describes the significant accounting policies and estimates used in preparation of the audited consolidated financial statements. Other than the recently implemented accounting policies described below, there have been no changes to our significant accounting policies during the three or six months ended June 30, 2020.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85"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540" w:type="dxa"/>
            <w:vAlign w:val="bottom"/>
            <w:tcBorders>
              <w:bottom w:val="single" w:sz="8" w:color="auto"/>
            </w:tcBorders>
          </w:tcPr>
          <w:p>
            <w:pPr>
              <w:ind w:left="1520"/>
              <w:spacing w:after="0"/>
              <w:rPr>
                <w:sz w:val="20"/>
                <w:szCs w:val="20"/>
                <w:color w:val="auto"/>
              </w:rPr>
            </w:pPr>
            <w:r>
              <w:rPr>
                <w:rFonts w:ascii="Arial" w:cs="Arial" w:eastAsia="Arial" w:hAnsi="Arial"/>
                <w:sz w:val="14"/>
                <w:szCs w:val="14"/>
                <w:color w:val="auto"/>
              </w:rPr>
              <w:t>Standard</w:t>
            </w:r>
          </w:p>
        </w:tc>
        <w:tc>
          <w:tcPr>
            <w:tcW w:w="120" w:type="dxa"/>
            <w:vAlign w:val="bottom"/>
          </w:tcPr>
          <w:p>
            <w:pPr>
              <w:spacing w:after="0"/>
              <w:rPr>
                <w:sz w:val="15"/>
                <w:szCs w:val="15"/>
                <w:color w:val="auto"/>
              </w:rPr>
            </w:pPr>
          </w:p>
        </w:tc>
        <w:tc>
          <w:tcPr>
            <w:tcW w:w="1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Effective Date</w:t>
            </w:r>
          </w:p>
        </w:tc>
        <w:tc>
          <w:tcPr>
            <w:tcW w:w="100" w:type="dxa"/>
            <w:vAlign w:val="bottom"/>
          </w:tcPr>
          <w:p>
            <w:pPr>
              <w:spacing w:after="0"/>
              <w:rPr>
                <w:sz w:val="15"/>
                <w:szCs w:val="15"/>
                <w:color w:val="auto"/>
              </w:rPr>
            </w:pPr>
          </w:p>
        </w:tc>
        <w:tc>
          <w:tcPr>
            <w:tcW w:w="5380" w:type="dxa"/>
            <w:vAlign w:val="bottom"/>
            <w:tcBorders>
              <w:bottom w:val="single" w:sz="8" w:color="auto"/>
            </w:tcBorders>
          </w:tcPr>
          <w:p>
            <w:pPr>
              <w:ind w:left="2420"/>
              <w:spacing w:after="0"/>
              <w:rPr>
                <w:sz w:val="20"/>
                <w:szCs w:val="20"/>
                <w:color w:val="auto"/>
              </w:rPr>
            </w:pPr>
            <w:r>
              <w:rPr>
                <w:rFonts w:ascii="Arial" w:cs="Arial" w:eastAsia="Arial" w:hAnsi="Arial"/>
                <w:sz w:val="14"/>
                <w:szCs w:val="14"/>
                <w:color w:val="auto"/>
              </w:rPr>
              <w:t>Adoption</w:t>
            </w:r>
          </w:p>
        </w:tc>
      </w:tr>
      <w:tr>
        <w:trPr>
          <w:trHeight w:val="289"/>
        </w:trPr>
        <w:tc>
          <w:tcPr>
            <w:tcW w:w="3540" w:type="dxa"/>
            <w:vAlign w:val="bottom"/>
          </w:tcPr>
          <w:p>
            <w:pPr>
              <w:spacing w:after="0"/>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Instruments-Credit</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January 1, 2020</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w w:val="93"/>
              </w:rPr>
              <w:t>This pronouncement and subsequently-issued amendments change the</w:t>
            </w:r>
          </w:p>
        </w:tc>
      </w:tr>
      <w:tr>
        <w:trPr>
          <w:trHeight w:val="215"/>
        </w:trPr>
        <w:tc>
          <w:tcPr>
            <w:tcW w:w="3540" w:type="dxa"/>
            <w:vAlign w:val="bottom"/>
          </w:tcPr>
          <w:p>
            <w:pPr>
              <w:spacing w:after="0"/>
              <w:rPr>
                <w:sz w:val="20"/>
                <w:szCs w:val="20"/>
                <w:color w:val="auto"/>
              </w:rPr>
            </w:pPr>
            <w:r>
              <w:rPr>
                <w:rFonts w:ascii="Arial" w:cs="Arial" w:eastAsia="Arial" w:hAnsi="Arial"/>
                <w:sz w:val="18"/>
                <w:szCs w:val="18"/>
                <w:i w:val="1"/>
                <w:iCs w:val="1"/>
                <w:color w:val="auto"/>
              </w:rPr>
              <w:t>Losses (Topic 326)</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w w:val="99"/>
              </w:rPr>
              <w:t>accounting for credit losses on available-for-sale debt securities and</w:t>
            </w: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w w:val="97"/>
              </w:rPr>
              <w:t>purchased financial assets with credit deterioration. In addition, these</w:t>
            </w: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w w:val="95"/>
              </w:rPr>
              <w:t>amendments require the measurement of all expected credit losses for</w:t>
            </w: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w w:val="91"/>
              </w:rPr>
              <w:t>financial assets, including trade accounts receivable, held at the reporting</w:t>
            </w: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w w:val="89"/>
              </w:rPr>
              <w:t>date based on historical experience, current conditions and reasonable and</w:t>
            </w:r>
          </w:p>
        </w:tc>
      </w:tr>
      <w:tr>
        <w:trPr>
          <w:trHeight w:val="230"/>
        </w:trPr>
        <w:tc>
          <w:tcPr>
            <w:tcW w:w="3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supportable forecasts. See Note 4, Credit Losses, for further information.</w:t>
            </w:r>
          </w:p>
        </w:tc>
      </w:tr>
    </w:tbl>
    <w:p>
      <w:pPr>
        <w:spacing w:after="0" w:line="80" w:lineRule="exact"/>
        <w:rPr>
          <w:sz w:val="20"/>
          <w:szCs w:val="20"/>
          <w:color w:val="auto"/>
        </w:rPr>
      </w:pPr>
    </w:p>
    <w:p>
      <w:pPr>
        <w:sectPr>
          <w:pgSz w:w="11900" w:h="16838" w:orient="portrait"/>
          <w:cols w:equalWidth="0" w:num="1">
            <w:col w:w="11120"/>
          </w:cols>
          <w:pgMar w:left="320" w:top="485" w:right="459" w:bottom="1440" w:gutter="0" w:footer="0" w:header="0"/>
        </w:sectPr>
      </w:pPr>
    </w:p>
    <w:p>
      <w:pPr>
        <w:ind w:left="120" w:right="100"/>
        <w:spacing w:after="0" w:line="263" w:lineRule="auto"/>
        <w:rPr>
          <w:sz w:val="20"/>
          <w:szCs w:val="20"/>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January 1, 2020 </w:t>
      </w:r>
      <w:r>
        <w:rPr>
          <w:rFonts w:ascii="Arial" w:cs="Arial" w:eastAsia="Arial" w:hAnsi="Arial"/>
          <w:sz w:val="18"/>
          <w:szCs w:val="18"/>
          <w:i w:val="1"/>
          <w:iCs w:val="1"/>
          <w:color w:val="auto"/>
        </w:rPr>
        <w:t>(Topic 350): Simplifying the Test for Goodwill Impairment</w:t>
      </w:r>
    </w:p>
    <w:p>
      <w:pPr>
        <w:spacing w:after="0" w:line="20" w:lineRule="exact"/>
        <w:rPr>
          <w:sz w:val="20"/>
          <w:szCs w:val="20"/>
          <w:color w:val="auto"/>
        </w:rPr>
      </w:pPr>
      <w:r>
        <w:rPr>
          <w:sz w:val="20"/>
          <w:szCs w:val="20"/>
          <w:color w:val="auto"/>
        </w:rPr>
        <w:br w:type="column"/>
      </w:r>
    </w:p>
    <w:p>
      <w:pPr>
        <w:ind w:right="340"/>
        <w:spacing w:after="0" w:line="293" w:lineRule="auto"/>
        <w:rPr>
          <w:sz w:val="20"/>
          <w:szCs w:val="20"/>
          <w:color w:val="auto"/>
        </w:rPr>
      </w:pPr>
      <w:r>
        <w:rPr>
          <w:rFonts w:ascii="Arial" w:cs="Arial" w:eastAsia="Arial" w:hAnsi="Arial"/>
          <w:sz w:val="16"/>
          <w:szCs w:val="16"/>
          <w:color w:val="auto"/>
        </w:rPr>
        <w:t>This ASU addresses concerns over the cost and complexity of the two-step goodwill impairment test by removing the second step of the goodwill impairment test. Going forward, we will apply a one-step quantitative test and record the amount of goodwill impairment as the excess of a reporting unit’s carrying amount over its fair value, not to exceed the total amount of goodwill allocated to the reporting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69786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020" w:space="720"/>
            <w:col w:w="5380"/>
          </w:cols>
          <w:pgMar w:left="320" w:top="485" w:right="459" w:bottom="1440" w:gutter="0" w:footer="0" w:header="0"/>
          <w:type w:val="continuous"/>
        </w:sectPr>
      </w:pPr>
    </w:p>
    <w:tbl>
      <w:tblPr>
        <w:tblLayout w:type="fixed"/>
        <w:tblInd w:w="120" w:type="dxa"/>
        <w:tblCellMar>
          <w:top w:w="0" w:type="dxa"/>
          <w:left w:w="0" w:type="dxa"/>
          <w:bottom w:w="0" w:type="dxa"/>
          <w:right w:w="0" w:type="dxa"/>
        </w:tblCellMar>
      </w:tblPr>
      <w:tr>
        <w:trPr>
          <w:trHeight w:val="215"/>
        </w:trPr>
        <w:tc>
          <w:tcPr>
            <w:tcW w:w="3520" w:type="dxa"/>
            <w:vAlign w:val="bottom"/>
          </w:tcPr>
          <w:p>
            <w:pPr>
              <w:spacing w:after="0"/>
              <w:rPr>
                <w:sz w:val="20"/>
                <w:szCs w:val="20"/>
                <w:color w:val="auto"/>
              </w:rPr>
            </w:pPr>
            <w:r>
              <w:rPr>
                <w:rFonts w:ascii="Arial" w:cs="Arial" w:eastAsia="Arial" w:hAnsi="Arial"/>
                <w:sz w:val="18"/>
                <w:szCs w:val="18"/>
                <w:color w:val="auto"/>
                <w:w w:val="94"/>
              </w:rPr>
              <w:t xml:space="preserve">ASU 2018-13, </w:t>
            </w:r>
            <w:r>
              <w:rPr>
                <w:rFonts w:ascii="Arial" w:cs="Arial" w:eastAsia="Arial" w:hAnsi="Arial"/>
                <w:sz w:val="18"/>
                <w:szCs w:val="18"/>
                <w:i w:val="1"/>
                <w:iCs w:val="1"/>
                <w:color w:val="auto"/>
                <w:w w:val="94"/>
              </w:rPr>
              <w:t>Fair Value Measurement (Topic</w:t>
            </w:r>
          </w:p>
        </w:tc>
        <w:tc>
          <w:tcPr>
            <w:tcW w:w="1900" w:type="dxa"/>
            <w:vAlign w:val="bottom"/>
          </w:tcPr>
          <w:p>
            <w:pPr>
              <w:ind w:left="140"/>
              <w:spacing w:after="0"/>
              <w:rPr>
                <w:sz w:val="20"/>
                <w:szCs w:val="20"/>
                <w:color w:val="auto"/>
              </w:rPr>
            </w:pPr>
            <w:r>
              <w:rPr>
                <w:rFonts w:ascii="Arial" w:cs="Arial" w:eastAsia="Arial" w:hAnsi="Arial"/>
                <w:sz w:val="18"/>
                <w:szCs w:val="18"/>
                <w:color w:val="auto"/>
              </w:rPr>
              <w:t>January 1, 2020</w:t>
            </w:r>
          </w:p>
        </w:tc>
        <w:tc>
          <w:tcPr>
            <w:tcW w:w="5580" w:type="dxa"/>
            <w:vAlign w:val="bottom"/>
          </w:tcPr>
          <w:p>
            <w:pPr>
              <w:ind w:left="200"/>
              <w:spacing w:after="0"/>
              <w:rPr>
                <w:sz w:val="20"/>
                <w:szCs w:val="20"/>
                <w:color w:val="auto"/>
              </w:rPr>
            </w:pPr>
            <w:r>
              <w:rPr>
                <w:rFonts w:ascii="Arial" w:cs="Arial" w:eastAsia="Arial" w:hAnsi="Arial"/>
                <w:sz w:val="18"/>
                <w:szCs w:val="18"/>
                <w:color w:val="auto"/>
                <w:w w:val="97"/>
              </w:rPr>
              <w:t>This pronouncement amends Topic 820 to eliminate, add and modify</w:t>
            </w:r>
          </w:p>
        </w:tc>
      </w:tr>
      <w:tr>
        <w:trPr>
          <w:trHeight w:val="215"/>
        </w:trPr>
        <w:tc>
          <w:tcPr>
            <w:tcW w:w="3520" w:type="dxa"/>
            <w:vAlign w:val="bottom"/>
          </w:tcPr>
          <w:p>
            <w:pPr>
              <w:spacing w:after="0"/>
              <w:rPr>
                <w:sz w:val="20"/>
                <w:szCs w:val="20"/>
                <w:color w:val="auto"/>
              </w:rPr>
            </w:pPr>
            <w:r>
              <w:rPr>
                <w:rFonts w:ascii="Arial" w:cs="Arial" w:eastAsia="Arial" w:hAnsi="Arial"/>
                <w:sz w:val="18"/>
                <w:szCs w:val="18"/>
                <w:i w:val="1"/>
                <w:iCs w:val="1"/>
                <w:color w:val="auto"/>
                <w:w w:val="95"/>
              </w:rPr>
              <w:t>820): Disclosure Framework—Changes to the</w:t>
            </w: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0"/>
              </w:rPr>
              <w:t>certain disclosure requirements for fair value measurements. The adoption</w:t>
            </w:r>
          </w:p>
        </w:tc>
      </w:tr>
      <w:tr>
        <w:trPr>
          <w:trHeight w:val="215"/>
        </w:trPr>
        <w:tc>
          <w:tcPr>
            <w:tcW w:w="3520" w:type="dxa"/>
            <w:vAlign w:val="bottom"/>
          </w:tcPr>
          <w:p>
            <w:pPr>
              <w:spacing w:after="0"/>
              <w:rPr>
                <w:sz w:val="20"/>
                <w:szCs w:val="20"/>
                <w:color w:val="auto"/>
              </w:rPr>
            </w:pPr>
            <w:r>
              <w:rPr>
                <w:rFonts w:ascii="Arial" w:cs="Arial" w:eastAsia="Arial" w:hAnsi="Arial"/>
                <w:sz w:val="18"/>
                <w:szCs w:val="18"/>
                <w:i w:val="1"/>
                <w:iCs w:val="1"/>
                <w:color w:val="auto"/>
              </w:rPr>
              <w:t>Disclosure Requirements for Fair Value</w:t>
            </w: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of this standard did not impact our financial statements or have a material</w:t>
            </w:r>
          </w:p>
        </w:tc>
      </w:tr>
      <w:tr>
        <w:trPr>
          <w:trHeight w:val="23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Measurement</w:t>
            </w:r>
          </w:p>
        </w:tc>
        <w:tc>
          <w:tcPr>
            <w:tcW w:w="190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effect on our disclosures.</w:t>
            </w:r>
          </w:p>
        </w:tc>
      </w:tr>
      <w:tr>
        <w:trPr>
          <w:trHeight w:val="289"/>
        </w:trPr>
        <w:tc>
          <w:tcPr>
            <w:tcW w:w="3520" w:type="dxa"/>
            <w:vAlign w:val="bottom"/>
          </w:tcPr>
          <w:p>
            <w:pPr>
              <w:spacing w:after="0"/>
              <w:rPr>
                <w:sz w:val="20"/>
                <w:szCs w:val="20"/>
                <w:color w:val="auto"/>
              </w:rPr>
            </w:pPr>
            <w:r>
              <w:rPr>
                <w:rFonts w:ascii="Arial" w:cs="Arial" w:eastAsia="Arial" w:hAnsi="Arial"/>
                <w:sz w:val="18"/>
                <w:szCs w:val="18"/>
                <w:color w:val="auto"/>
              </w:rPr>
              <w:t xml:space="preserve">ASU 2020-04, </w:t>
            </w:r>
            <w:r>
              <w:rPr>
                <w:rFonts w:ascii="Arial" w:cs="Arial" w:eastAsia="Arial" w:hAnsi="Arial"/>
                <w:sz w:val="18"/>
                <w:szCs w:val="18"/>
                <w:i w:val="1"/>
                <w:iCs w:val="1"/>
                <w:color w:val="auto"/>
              </w:rPr>
              <w:t>Reference Rate Reform:</w:t>
            </w:r>
          </w:p>
        </w:tc>
        <w:tc>
          <w:tcPr>
            <w:tcW w:w="1900" w:type="dxa"/>
            <w:vAlign w:val="bottom"/>
          </w:tcPr>
          <w:p>
            <w:pPr>
              <w:ind w:left="140"/>
              <w:spacing w:after="0"/>
              <w:rPr>
                <w:sz w:val="20"/>
                <w:szCs w:val="20"/>
                <w:color w:val="auto"/>
              </w:rPr>
            </w:pPr>
            <w:r>
              <w:rPr>
                <w:rFonts w:ascii="Arial" w:cs="Arial" w:eastAsia="Arial" w:hAnsi="Arial"/>
                <w:sz w:val="18"/>
                <w:szCs w:val="18"/>
                <w:color w:val="auto"/>
                <w:w w:val="91"/>
              </w:rPr>
              <w:t>Effective upon issuance</w:t>
            </w:r>
          </w:p>
        </w:tc>
        <w:tc>
          <w:tcPr>
            <w:tcW w:w="5580" w:type="dxa"/>
            <w:vAlign w:val="bottom"/>
          </w:tcPr>
          <w:p>
            <w:pPr>
              <w:ind w:left="200"/>
              <w:spacing w:after="0"/>
              <w:rPr>
                <w:sz w:val="20"/>
                <w:szCs w:val="20"/>
                <w:color w:val="auto"/>
              </w:rPr>
            </w:pPr>
            <w:r>
              <w:rPr>
                <w:rFonts w:ascii="Arial" w:cs="Arial" w:eastAsia="Arial" w:hAnsi="Arial"/>
                <w:sz w:val="18"/>
                <w:szCs w:val="18"/>
                <w:color w:val="auto"/>
                <w:w w:val="97"/>
              </w:rPr>
              <w:t>This pronouncement contains optional expedients and exceptions for</w:t>
            </w:r>
          </w:p>
        </w:tc>
      </w:tr>
      <w:tr>
        <w:trPr>
          <w:trHeight w:val="215"/>
        </w:trPr>
        <w:tc>
          <w:tcPr>
            <w:tcW w:w="3520" w:type="dxa"/>
            <w:vAlign w:val="bottom"/>
          </w:tcPr>
          <w:p>
            <w:pPr>
              <w:spacing w:after="0"/>
              <w:rPr>
                <w:sz w:val="20"/>
                <w:szCs w:val="20"/>
                <w:color w:val="auto"/>
              </w:rPr>
            </w:pPr>
            <w:r>
              <w:rPr>
                <w:rFonts w:ascii="Arial" w:cs="Arial" w:eastAsia="Arial" w:hAnsi="Arial"/>
                <w:sz w:val="18"/>
                <w:szCs w:val="18"/>
                <w:i w:val="1"/>
                <w:iCs w:val="1"/>
                <w:color w:val="auto"/>
              </w:rPr>
              <w:t>Facilitation of the Effects of Reference Rate</w:t>
            </w: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applying GAAP to contracts, hedging relationships, and other transactions</w:t>
            </w:r>
          </w:p>
        </w:tc>
      </w:tr>
      <w:tr>
        <w:trPr>
          <w:trHeight w:val="215"/>
        </w:trPr>
        <w:tc>
          <w:tcPr>
            <w:tcW w:w="3520" w:type="dxa"/>
            <w:vAlign w:val="bottom"/>
          </w:tcPr>
          <w:p>
            <w:pPr>
              <w:spacing w:after="0"/>
              <w:rPr>
                <w:sz w:val="20"/>
                <w:szCs w:val="20"/>
                <w:color w:val="auto"/>
              </w:rPr>
            </w:pPr>
            <w:r>
              <w:rPr>
                <w:rFonts w:ascii="Arial" w:cs="Arial" w:eastAsia="Arial" w:hAnsi="Arial"/>
                <w:sz w:val="18"/>
                <w:szCs w:val="18"/>
                <w:i w:val="1"/>
                <w:iCs w:val="1"/>
                <w:color w:val="auto"/>
              </w:rPr>
              <w:t>Reform on Financial Reporting (Topic 848)</w:t>
            </w: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6"/>
              </w:rPr>
              <w:t>affected by reference rate reform. The provisions of ASC 848 must be</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applied at a Topic, Subtopic or Industry Subtopic for all transactions other</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6"/>
              </w:rPr>
              <w:t>than derivatives, which may be applied at a hedging relationship level.</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2"/>
              </w:rPr>
              <w:t>The relief granted in ASC 848 is applicable only to legacy contracts if the</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amendments made to the agreements are solely for reference rate reform</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activities. We elected to apply the hedge accounting expedients related to</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probability and the assessments of effectiveness for future LIBOR-</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4"/>
              </w:rPr>
              <w:t>indexed cash flows to assume that the index upon which future hedged</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transactions will be based matches the index on the corresponding</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derivatives. Application of these expedients preserves the presentation of</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derivatives consistent with past presentation. We continue to evaluate the</w:t>
            </w:r>
          </w:p>
        </w:tc>
      </w:tr>
      <w:tr>
        <w:trPr>
          <w:trHeight w:val="215"/>
        </w:trPr>
        <w:tc>
          <w:tcPr>
            <w:tcW w:w="3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5"/>
              </w:rPr>
              <w:t>impact of the guidance and may apply other elections as applicable as</w:t>
            </w:r>
          </w:p>
        </w:tc>
      </w:tr>
      <w:tr>
        <w:trPr>
          <w:trHeight w:val="230"/>
        </w:trPr>
        <w:tc>
          <w:tcPr>
            <w:tcW w:w="35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additional changes in the market occur.</w:t>
            </w:r>
          </w:p>
        </w:tc>
      </w:tr>
      <w:tr>
        <w:trPr>
          <w:trHeight w:val="357"/>
        </w:trPr>
        <w:tc>
          <w:tcPr>
            <w:tcW w:w="3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20"/>
          </w:cols>
          <w:pgMar w:left="320" w:top="485"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Recently Issued Accounting Pronouncements Not Yet Adopted</w:t>
      </w:r>
    </w:p>
    <w:p>
      <w:pPr>
        <w:spacing w:after="0" w:line="116" w:lineRule="exact"/>
        <w:rPr>
          <w:sz w:val="20"/>
          <w:szCs w:val="20"/>
          <w:color w:val="auto"/>
        </w:rPr>
      </w:pPr>
    </w:p>
    <w:p>
      <w:pPr>
        <w:ind w:left="120" w:right="400"/>
        <w:spacing w:after="0" w:line="276" w:lineRule="auto"/>
        <w:rPr>
          <w:sz w:val="20"/>
          <w:szCs w:val="20"/>
          <w:color w:val="auto"/>
        </w:rPr>
      </w:pPr>
      <w:r>
        <w:rPr>
          <w:rFonts w:ascii="Arial" w:cs="Arial" w:eastAsia="Arial" w:hAnsi="Arial"/>
          <w:sz w:val="18"/>
          <w:szCs w:val="18"/>
          <w:color w:val="auto"/>
        </w:rPr>
        <w:t>We are currently evaluating the impact of certain ASU’s on our Condensed Consolidated Financial Statements or Notes to Condensed Consolidated Financial Statements, which are described below:</w:t>
      </w:r>
    </w:p>
    <w:p>
      <w:pPr>
        <w:sectPr>
          <w:pgSz w:w="11900" w:h="16838" w:orient="portrait"/>
          <w:cols w:equalWidth="0" w:num="1">
            <w:col w:w="11120"/>
          </w:cols>
          <w:pgMar w:left="320" w:top="485" w:right="459" w:bottom="1440" w:gutter="0" w:footer="0" w:header="0"/>
        </w:sectPr>
      </w:pPr>
    </w:p>
    <w:p>
      <w:pPr>
        <w:spacing w:after="0" w:line="314" w:lineRule="exact"/>
        <w:rPr>
          <w:sz w:val="20"/>
          <w:szCs w:val="20"/>
          <w:color w:val="auto"/>
        </w:rPr>
      </w:pPr>
    </w:p>
    <w:p>
      <w:pPr>
        <w:jc w:val="center"/>
        <w:ind w:left="360"/>
        <w:spacing w:after="0"/>
        <w:rPr>
          <w:sz w:val="20"/>
          <w:szCs w:val="20"/>
          <w:color w:val="auto"/>
        </w:rPr>
      </w:pPr>
      <w:r>
        <w:rPr>
          <w:rFonts w:ascii="Arial" w:cs="Arial" w:eastAsia="Arial" w:hAnsi="Arial"/>
          <w:sz w:val="14"/>
          <w:szCs w:val="14"/>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14795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9550" cy="8255"/>
                    </a:xfrm>
                    <a:prstGeom prst="rect">
                      <a:avLst/>
                    </a:prstGeom>
                    <a:noFill/>
                  </pic:spPr>
                </pic:pic>
              </a:graphicData>
            </a:graphic>
          </wp:anchor>
        </w:drawing>
      </w:r>
    </w:p>
    <w:p>
      <w:pPr>
        <w:spacing w:after="0" w:line="12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 xml:space="preserve">ASU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 Simplifying the Accounting for Income Taxes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1906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pronouncement simplifies the accounting for income taxes by removing certain exceptions to the general principles of Topic 740 and improves the consistent application of GAAP by clarifying and amending existing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-6350</wp:posOffset>
            </wp:positionV>
            <wp:extent cx="69786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color w:val="auto"/>
                <w:w w:val="93"/>
              </w:rPr>
              <w:t>Effect on the financial statements or</w:t>
            </w:r>
          </w:p>
        </w:tc>
      </w:tr>
      <w:tr>
        <w:trPr>
          <w:trHeight w:val="188"/>
        </w:trPr>
        <w:tc>
          <w:tcPr>
            <w:tcW w:w="19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Effective Date</w:t>
            </w:r>
          </w:p>
        </w:tc>
        <w:tc>
          <w:tcPr>
            <w:tcW w:w="120" w:type="dxa"/>
            <w:vAlign w:val="bottom"/>
          </w:tcPr>
          <w:p>
            <w:pPr>
              <w:spacing w:after="0"/>
              <w:rPr>
                <w:sz w:val="16"/>
                <w:szCs w:val="16"/>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other significant matters</w:t>
            </w:r>
          </w:p>
        </w:tc>
      </w:tr>
      <w:tr>
        <w:trPr>
          <w:trHeight w:val="308"/>
        </w:trPr>
        <w:tc>
          <w:tcPr>
            <w:tcW w:w="1980" w:type="dxa"/>
            <w:vAlign w:val="bottom"/>
          </w:tcPr>
          <w:p>
            <w:pPr>
              <w:spacing w:after="0"/>
              <w:rPr>
                <w:sz w:val="20"/>
                <w:szCs w:val="20"/>
                <w:color w:val="auto"/>
              </w:rPr>
            </w:pPr>
            <w:r>
              <w:rPr>
                <w:rFonts w:ascii="Arial" w:cs="Arial" w:eastAsia="Arial" w:hAnsi="Arial"/>
                <w:sz w:val="18"/>
                <w:szCs w:val="18"/>
                <w:color w:val="auto"/>
                <w:w w:val="96"/>
              </w:rPr>
              <w:t>Annual periods beginning</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w w:val="95"/>
              </w:rPr>
              <w:t>We are currently assessing the impact of</w:t>
            </w:r>
          </w:p>
        </w:tc>
      </w:tr>
      <w:tr>
        <w:trPr>
          <w:trHeight w:val="215"/>
        </w:trPr>
        <w:tc>
          <w:tcPr>
            <w:tcW w:w="1980" w:type="dxa"/>
            <w:vAlign w:val="bottom"/>
          </w:tcPr>
          <w:p>
            <w:pPr>
              <w:spacing w:after="0"/>
              <w:rPr>
                <w:sz w:val="20"/>
                <w:szCs w:val="20"/>
                <w:color w:val="auto"/>
              </w:rPr>
            </w:pPr>
            <w:r>
              <w:rPr>
                <w:rFonts w:ascii="Arial" w:cs="Arial" w:eastAsia="Arial" w:hAnsi="Arial"/>
                <w:sz w:val="18"/>
                <w:szCs w:val="18"/>
                <w:color w:val="auto"/>
                <w:w w:val="96"/>
              </w:rPr>
              <w:t>after December 15, 2020,</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adoption on our consolidated financial</w:t>
            </w:r>
          </w:p>
        </w:tc>
      </w:tr>
      <w:tr>
        <w:trPr>
          <w:trHeight w:val="215"/>
        </w:trPr>
        <w:tc>
          <w:tcPr>
            <w:tcW w:w="1980" w:type="dxa"/>
            <w:vAlign w:val="bottom"/>
          </w:tcPr>
          <w:p>
            <w:pPr>
              <w:spacing w:after="0"/>
              <w:rPr>
                <w:sz w:val="20"/>
                <w:szCs w:val="20"/>
                <w:color w:val="auto"/>
              </w:rPr>
            </w:pPr>
            <w:r>
              <w:rPr>
                <w:rFonts w:ascii="Arial" w:cs="Arial" w:eastAsia="Arial" w:hAnsi="Arial"/>
                <w:sz w:val="18"/>
                <w:szCs w:val="18"/>
                <w:color w:val="auto"/>
              </w:rPr>
              <w:t>including interim periods</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statements.</w:t>
            </w:r>
          </w:p>
        </w:tc>
      </w:tr>
      <w:tr>
        <w:trPr>
          <w:trHeight w:val="215"/>
        </w:trPr>
        <w:tc>
          <w:tcPr>
            <w:tcW w:w="1980" w:type="dxa"/>
            <w:vAlign w:val="bottom"/>
          </w:tcPr>
          <w:p>
            <w:pPr>
              <w:spacing w:after="0"/>
              <w:rPr>
                <w:sz w:val="20"/>
                <w:szCs w:val="20"/>
                <w:color w:val="auto"/>
              </w:rPr>
            </w:pPr>
            <w:r>
              <w:rPr>
                <w:rFonts w:ascii="Arial" w:cs="Arial" w:eastAsia="Arial" w:hAnsi="Arial"/>
                <w:sz w:val="18"/>
                <w:szCs w:val="18"/>
                <w:color w:val="auto"/>
                <w:w w:val="98"/>
              </w:rPr>
              <w:t>therein. Early adoption is</w:t>
            </w: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permitted.</w:t>
            </w: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r>
    </w:tbl>
    <w:p>
      <w:pPr>
        <w:spacing w:after="0" w:line="641" w:lineRule="exact"/>
        <w:rPr>
          <w:sz w:val="20"/>
          <w:szCs w:val="20"/>
          <w:color w:val="auto"/>
        </w:rPr>
      </w:pPr>
    </w:p>
    <w:p>
      <w:pPr>
        <w:sectPr>
          <w:pgSz w:w="11900" w:h="16838" w:orient="portrait"/>
          <w:cols w:equalWidth="0" w:num="3">
            <w:col w:w="2220" w:space="460"/>
            <w:col w:w="2980" w:space="240"/>
            <w:col w:w="5220"/>
          </w:cols>
          <w:pgMar w:left="320" w:top="485" w:right="459" w:bottom="1440" w:gutter="0" w:footer="0" w:header="0"/>
          <w:type w:val="continuous"/>
        </w:sectPr>
      </w:pP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REVENUE RECOGNITION</w:t>
      </w:r>
    </w:p>
    <w:p>
      <w:pPr>
        <w:spacing w:after="0" w:line="120"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Our revenues are derived primarily through contracts with customers whereby we install insulation and other complementary building products and are recognized when control of the promised goods or services is transferred to our customers, in an amount that reflects the consideration we expect to be entitled to in exchange for those goods or services. We account for a contract when it has approval and commitment from both parties, the rights of the parties are identified, payment terms are identified, the contract has commercial substance and collectability of consideration is probable. An insignificant portion of our sales, primarily retail sales, is accounted for on a point-in-time basis when the sale occurs, adjusted accordingly for any return provisions. We do offer assurance-type warranties on certain of our installed products and services that do not represent a separate performance obligation and, as such, do not impact the timing or extent of revenue recognition.</w:t>
      </w:r>
    </w:p>
    <w:p>
      <w:pPr>
        <w:spacing w:after="0" w:line="17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For contracts that are not complete at the reporting date, we recognize revenue over time utilizing a cost-to-cost input method as we believe this represents the best measure of when goods and services are transferred to the customer. When this method is used, we estimate the costs to complete individual contracts and record as revenue that portion of the total contract price that is considered complete based on the relationship of costs incurred to date to total anticipated costs. Under the cost-to-cost method, the use of estimated costs to complete each contract is a significant variable in the process of determining recognized revenue, requires judgment and can change throughout the duration of a contract due to contract modifications and other factors impacting job completion. The costs of earned revenue include all direct material and labor costs and those indirect costs related to contract performance, such as indirect labor, supplies, tools and repairs. Provisions for estimated losses on uncompleted contracts are made in the period in which such losses are determined.</w:t>
      </w:r>
    </w:p>
    <w:p>
      <w:pPr>
        <w:spacing w:after="0" w:line="18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long-term contracts can be subject to modification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8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Payment terms typically do not exceed 30 days for short-term contracts and typically do not exceed 60 days for long-term contracts with customers. All contracts are billed either contractually or as work is performed. Billing on our long-term contracts occurs primarily on a monthly basis throughout the contract period whereby we submit invoices for customer payment based on actual or estimated costs incurred during the billing period. On certain of our long-term contracts the customer may withhold payment on an invoice equal to a percentage of the invoice amount, which will be subsequently paid after satisfactory completion of each installation project. This amount is referred to as retainage and is common practice in the construction industry, as it allows for customers to ensure the quality of the service performed prior to full payment. Retainage receivables are classified as current or long-term assets based on the expected time to project completion.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5"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disaggregate our revenue from contracts with customers by end market and product, as we believe it best depicts how the nature, amount, timing and uncertainty of our revenue and cash flows are affected by economic factors. The following tables present our revenues disaggregated by end market and product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232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color w:val="auto"/>
                <w:w w:val="96"/>
              </w:rPr>
              <w:t>Three months ended June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color w:val="auto"/>
              </w:rPr>
              <w:t>Six months ended June 30,</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new construction</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$298,321</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$282,494</w:t>
            </w:r>
          </w:p>
        </w:tc>
        <w:tc>
          <w:tcPr>
            <w:tcW w:w="5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$ 596,661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$543,804</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Repair and remodel</w:t>
            </w:r>
          </w:p>
        </w:tc>
        <w:tc>
          <w:tcPr>
            <w:tcW w:w="680" w:type="dxa"/>
            <w:vAlign w:val="bottom"/>
          </w:tcPr>
          <w:p>
            <w:pPr>
              <w:jc w:val="right"/>
              <w:spacing w:after="0"/>
              <w:rPr>
                <w:sz w:val="20"/>
                <w:szCs w:val="20"/>
                <w:color w:val="auto"/>
              </w:rPr>
            </w:pPr>
            <w:r>
              <w:rPr>
                <w:rFonts w:ascii="Arial" w:cs="Arial" w:eastAsia="Arial" w:hAnsi="Arial"/>
                <w:sz w:val="18"/>
                <w:szCs w:val="18"/>
                <w:color w:val="auto"/>
              </w:rPr>
              <w:t>23,034</w:t>
            </w: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24,705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47,077</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46,225</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72,584</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64,615</w:t>
            </w:r>
          </w:p>
        </w:tc>
        <w:tc>
          <w:tcPr>
            <w:tcW w:w="5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147,532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123,920</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60"/>
              <w:spacing w:after="0"/>
              <w:rPr>
                <w:sz w:val="20"/>
                <w:szCs w:val="20"/>
                <w:color w:val="auto"/>
              </w:rPr>
            </w:pPr>
            <w:r>
              <w:rPr>
                <w:rFonts w:ascii="Arial" w:cs="Arial" w:eastAsia="Arial" w:hAnsi="Arial"/>
                <w:sz w:val="18"/>
                <w:szCs w:val="18"/>
                <w:color w:val="auto"/>
              </w:rPr>
              <w:t>Net revenues</w:t>
            </w: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vMerge w:val="continue"/>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393,939</w:t>
            </w:r>
          </w:p>
        </w:tc>
        <w:tc>
          <w:tcPr>
            <w:tcW w:w="160" w:type="dxa"/>
            <w:vAlign w:val="bottom"/>
            <w:vMerge w:val="continue"/>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371,814</w:t>
            </w:r>
          </w:p>
        </w:tc>
        <w:tc>
          <w:tcPr>
            <w:tcW w:w="160" w:type="dxa"/>
            <w:vAlign w:val="bottom"/>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80" w:type="dxa"/>
            <w:vAlign w:val="bottom"/>
            <w:vMerge w:val="continue"/>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$ 791,270</w:t>
            </w:r>
          </w:p>
        </w:tc>
        <w:tc>
          <w:tcPr>
            <w:tcW w:w="160" w:type="dxa"/>
            <w:vAlign w:val="bottom"/>
            <w:vMerge w:val="continue"/>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100%</w:t>
            </w:r>
          </w:p>
        </w:tc>
        <w:tc>
          <w:tcPr>
            <w:tcW w:w="60" w:type="dxa"/>
            <w:vAlign w:val="bottom"/>
            <w:vMerge w:val="continue"/>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713,949</w:t>
            </w:r>
          </w:p>
        </w:tc>
        <w:tc>
          <w:tcPr>
            <w:tcW w:w="160" w:type="dxa"/>
            <w:vAlign w:val="bottom"/>
            <w:vMerge w:val="continue"/>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180" w:type="dxa"/>
            <w:vAlign w:val="bottom"/>
          </w:tcPr>
          <w:p>
            <w:pPr>
              <w:spacing w:after="0"/>
              <w:rPr>
                <w:sz w:val="24"/>
                <w:szCs w:val="24"/>
                <w:color w:val="auto"/>
              </w:rPr>
            </w:pPr>
          </w:p>
        </w:tc>
        <w:tc>
          <w:tcPr>
            <w:tcW w:w="23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color w:val="auto"/>
                <w:w w:val="97"/>
              </w:rPr>
              <w:t>Three months ended June 30,</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color w:val="auto"/>
              </w:rPr>
              <w:t>Six months ended June 30,</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840" w:type="dxa"/>
            <w:vAlign w:val="bottom"/>
            <w:tcBorders>
              <w:bottom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bottom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bottom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bottom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Insulation</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$251,052</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$235,473</w:t>
            </w:r>
          </w:p>
        </w:tc>
        <w:tc>
          <w:tcPr>
            <w:tcW w:w="160" w:type="dxa"/>
            <w:vAlign w:val="bottom"/>
            <w:shd w:val="clear" w:color="auto" w:fill="CCEEFF"/>
          </w:tcPr>
          <w:p>
            <w:pPr>
              <w:spacing w:after="0"/>
              <w:rPr>
                <w:sz w:val="18"/>
                <w:szCs w:val="18"/>
                <w:color w:val="auto"/>
              </w:rPr>
            </w:pPr>
          </w:p>
        </w:tc>
        <w:tc>
          <w:tcPr>
            <w:tcW w:w="5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$510,753</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$456,695</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Waterproofing</w:t>
            </w:r>
          </w:p>
        </w:tc>
        <w:tc>
          <w:tcPr>
            <w:tcW w:w="680" w:type="dxa"/>
            <w:vAlign w:val="bottom"/>
          </w:tcPr>
          <w:p>
            <w:pPr>
              <w:jc w:val="right"/>
              <w:spacing w:after="0"/>
              <w:rPr>
                <w:sz w:val="20"/>
                <w:szCs w:val="20"/>
                <w:color w:val="auto"/>
              </w:rPr>
            </w:pPr>
            <w:r>
              <w:rPr>
                <w:rFonts w:ascii="Arial" w:cs="Arial" w:eastAsia="Arial" w:hAnsi="Arial"/>
                <w:sz w:val="18"/>
                <w:szCs w:val="18"/>
                <w:color w:val="auto"/>
              </w:rPr>
              <w:t>28,078</w:t>
            </w: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700" w:type="dxa"/>
            <w:vAlign w:val="bottom"/>
          </w:tcPr>
          <w:p>
            <w:pPr>
              <w:jc w:val="right"/>
              <w:spacing w:after="0"/>
              <w:rPr>
                <w:sz w:val="20"/>
                <w:szCs w:val="20"/>
                <w:color w:val="auto"/>
              </w:rPr>
            </w:pPr>
            <w:r>
              <w:rPr>
                <w:rFonts w:ascii="Arial" w:cs="Arial" w:eastAsia="Arial" w:hAnsi="Arial"/>
                <w:sz w:val="18"/>
                <w:szCs w:val="18"/>
                <w:color w:val="auto"/>
              </w:rPr>
              <w:t>28,858</w:t>
            </w: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56,583</w:t>
            </w: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51,243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Shower doors, shelving and mirrors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28,902</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26,900</w:t>
            </w:r>
          </w:p>
        </w:tc>
        <w:tc>
          <w:tcPr>
            <w:tcW w:w="160" w:type="dxa"/>
            <w:vAlign w:val="bottom"/>
            <w:shd w:val="clear" w:color="auto" w:fill="CCEEFF"/>
          </w:tcPr>
          <w:p>
            <w:pPr>
              <w:spacing w:after="0"/>
              <w:rPr>
                <w:sz w:val="18"/>
                <w:szCs w:val="18"/>
                <w:color w:val="auto"/>
              </w:rPr>
            </w:pPr>
          </w:p>
        </w:tc>
        <w:tc>
          <w:tcPr>
            <w:tcW w:w="5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55,917</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50,817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Garage doors</w:t>
            </w:r>
          </w:p>
        </w:tc>
        <w:tc>
          <w:tcPr>
            <w:tcW w:w="680" w:type="dxa"/>
            <w:vAlign w:val="bottom"/>
          </w:tcPr>
          <w:p>
            <w:pPr>
              <w:jc w:val="right"/>
              <w:spacing w:after="0"/>
              <w:rPr>
                <w:sz w:val="20"/>
                <w:szCs w:val="20"/>
                <w:color w:val="auto"/>
              </w:rPr>
            </w:pPr>
            <w:r>
              <w:rPr>
                <w:rFonts w:ascii="Arial" w:cs="Arial" w:eastAsia="Arial" w:hAnsi="Arial"/>
                <w:sz w:val="18"/>
                <w:szCs w:val="18"/>
                <w:color w:val="auto"/>
              </w:rPr>
              <w:t>21,667</w:t>
            </w: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21,782</w:t>
            </w: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44,654</w:t>
            </w: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43,454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Rain gutters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60" w:type="dxa"/>
            <w:vAlign w:val="bottom"/>
            <w:shd w:val="clear" w:color="auto" w:fill="CCEEFF"/>
          </w:tcPr>
          <w:p>
            <w:pPr>
              <w:spacing w:after="0"/>
              <w:rPr>
                <w:sz w:val="18"/>
                <w:szCs w:val="18"/>
                <w:color w:val="auto"/>
              </w:rPr>
            </w:pPr>
          </w:p>
        </w:tc>
        <w:tc>
          <w:tcPr>
            <w:tcW w:w="5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24,647</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24,195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Window blinds</w:t>
            </w:r>
          </w:p>
        </w:tc>
        <w:tc>
          <w:tcPr>
            <w:tcW w:w="680" w:type="dxa"/>
            <w:vAlign w:val="bottom"/>
          </w:tcPr>
          <w:p>
            <w:pPr>
              <w:jc w:val="right"/>
              <w:spacing w:after="0"/>
              <w:rPr>
                <w:sz w:val="20"/>
                <w:szCs w:val="20"/>
                <w:color w:val="auto"/>
              </w:rPr>
            </w:pPr>
            <w:r>
              <w:rPr>
                <w:rFonts w:ascii="Arial" w:cs="Arial" w:eastAsia="Arial" w:hAnsi="Arial"/>
                <w:sz w:val="18"/>
                <w:szCs w:val="18"/>
                <w:color w:val="auto"/>
              </w:rPr>
              <w:t>11,554</w:t>
            </w: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700" w:type="dxa"/>
            <w:vAlign w:val="bottom"/>
          </w:tcPr>
          <w:p>
            <w:pPr>
              <w:jc w:val="right"/>
              <w:spacing w:after="0"/>
              <w:rPr>
                <w:sz w:val="20"/>
                <w:szCs w:val="20"/>
                <w:color w:val="auto"/>
              </w:rPr>
            </w:pPr>
            <w:r>
              <w:rPr>
                <w:rFonts w:ascii="Arial" w:cs="Arial" w:eastAsia="Arial" w:hAnsi="Arial"/>
                <w:sz w:val="18"/>
                <w:szCs w:val="18"/>
                <w:color w:val="auto"/>
              </w:rPr>
              <w:t>10,781</w:t>
            </w: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22,485</w:t>
            </w: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20,165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building products</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39,615</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35,024</w:t>
            </w:r>
          </w:p>
        </w:tc>
        <w:tc>
          <w:tcPr>
            <w:tcW w:w="160" w:type="dxa"/>
            <w:vAlign w:val="bottom"/>
            <w:shd w:val="clear" w:color="auto" w:fill="CCEEFF"/>
          </w:tcPr>
          <w:p>
            <w:pPr>
              <w:spacing w:after="0"/>
              <w:rPr>
                <w:sz w:val="18"/>
                <w:szCs w:val="18"/>
                <w:color w:val="auto"/>
              </w:rPr>
            </w:pPr>
          </w:p>
        </w:tc>
        <w:tc>
          <w:tcPr>
            <w:tcW w:w="5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76,231</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67,380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tcPr>
          <w:p>
            <w:pPr>
              <w:ind w:left="360"/>
              <w:spacing w:after="0"/>
              <w:rPr>
                <w:sz w:val="20"/>
                <w:szCs w:val="20"/>
                <w:color w:val="auto"/>
              </w:rPr>
            </w:pPr>
            <w:r>
              <w:rPr>
                <w:rFonts w:ascii="Arial" w:cs="Arial" w:eastAsia="Arial" w:hAnsi="Arial"/>
                <w:sz w:val="18"/>
                <w:szCs w:val="18"/>
                <w:color w:val="auto"/>
              </w:rPr>
              <w:t>Net revenues</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393,939</w:t>
            </w: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100%</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371,814</w:t>
            </w: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791,270</w:t>
            </w: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713,949</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 Assets and Liabilities</w:t>
      </w:r>
    </w:p>
    <w:p>
      <w:pPr>
        <w:spacing w:after="0" w:line="116"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Our contract assets consist of unbilled amounts typically resulting from sales under contracts when the cost-to-cost method of revenue recognition is utilized and revenue recognized, based on costs incurred, exceeds the amount billed to the customer. Our contract assets are recorded in other current assets in our Condensed Consolidated Balance Sheets. Our contract liabilities consist of customer deposits and billings in excess of revenue recognized, based on costs incurred and are included in other current liabilities in our Condensed Consolidated Balance Sheets.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Contract assets and liabilities related to our uncompleted contracts and customer deposits were as follows (in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color w:val="auto"/>
                <w:w w:val="89"/>
              </w:rPr>
              <w:t>June 30,</w:t>
            </w:r>
          </w:p>
        </w:tc>
        <w:tc>
          <w:tcPr>
            <w:tcW w:w="9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$ 21,871</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Contract liabilities</w:t>
            </w:r>
          </w:p>
        </w:tc>
        <w:tc>
          <w:tcPr>
            <w:tcW w:w="3580" w:type="dxa"/>
            <w:vAlign w:val="bottom"/>
            <w:gridSpan w:val="4"/>
          </w:tcPr>
          <w:p>
            <w:pPr>
              <w:jc w:val="right"/>
              <w:ind w:right="40"/>
              <w:spacing w:after="0"/>
              <w:rPr>
                <w:sz w:val="20"/>
                <w:szCs w:val="20"/>
                <w:color w:val="auto"/>
              </w:rPr>
            </w:pPr>
            <w:r>
              <w:rPr>
                <w:rFonts w:ascii="Arial" w:cs="Arial" w:eastAsia="Arial" w:hAnsi="Arial"/>
                <w:sz w:val="18"/>
                <w:szCs w:val="18"/>
                <w:color w:val="auto"/>
              </w:rPr>
              <w:t>(10,062)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417"/>
        </w:trPr>
        <w:tc>
          <w:tcPr>
            <w:tcW w:w="4860" w:type="dxa"/>
            <w:vAlign w:val="bottom"/>
            <w:gridSpan w:val="2"/>
          </w:tcPr>
          <w:p>
            <w:pPr>
              <w:spacing w:after="0"/>
              <w:rPr>
                <w:sz w:val="20"/>
                <w:szCs w:val="20"/>
                <w:color w:val="auto"/>
              </w:rPr>
            </w:pPr>
            <w:r>
              <w:rPr>
                <w:rFonts w:ascii="Arial" w:cs="Arial" w:eastAsia="Arial" w:hAnsi="Arial"/>
                <w:sz w:val="18"/>
                <w:szCs w:val="18"/>
                <w:color w:val="auto"/>
              </w:rPr>
              <w:t>Uncompleted contracts were as follows (in thousands):</w:t>
            </w: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color w:val="auto"/>
              </w:rPr>
              <w:t>June 30,</w:t>
            </w:r>
          </w:p>
        </w:tc>
        <w:tc>
          <w:tcPr>
            <w:tcW w:w="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900" w:type="dxa"/>
            <w:vAlign w:val="bottom"/>
            <w:gridSpan w:val="2"/>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on uncompleted contracts</w:t>
            </w:r>
          </w:p>
        </w:tc>
        <w:tc>
          <w:tcPr>
            <w:tcW w:w="39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$118,913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110,818</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Estimated earnings</w:t>
            </w:r>
          </w:p>
        </w:tc>
        <w:tc>
          <w:tcPr>
            <w:tcW w:w="2900" w:type="dxa"/>
            <w:vAlign w:val="bottom"/>
            <w:gridSpan w:val="2"/>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66,077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61,185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184,990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172,003</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Less: Billings to date</w:t>
            </w:r>
          </w:p>
        </w:tc>
        <w:tc>
          <w:tcPr>
            <w:tcW w:w="2900" w:type="dxa"/>
            <w:vAlign w:val="bottom"/>
            <w:gridSpan w:val="2"/>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169,462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155,599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under billings</w:t>
            </w:r>
          </w:p>
        </w:tc>
        <w:tc>
          <w:tcPr>
            <w:tcW w:w="39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$ 15,528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20" w:type="dxa"/>
            <w:vAlign w:val="bottom"/>
            <w:vMerge w:val="restart"/>
          </w:tcPr>
          <w:p>
            <w:pPr>
              <w:jc w:val="right"/>
              <w:ind w:right="20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under billings were as follows (in thousands):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June 30,</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4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r>
      <w:tr>
        <w:trPr>
          <w:trHeight w:val="181"/>
        </w:trPr>
        <w:tc>
          <w:tcPr>
            <w:tcW w:w="6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Costs and estimated earnings in excess of billings on uncompleted contracts</w:t>
            </w: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$21,871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22,138</w:t>
            </w:r>
          </w:p>
        </w:tc>
        <w:tc>
          <w:tcPr>
            <w:tcW w:w="100" w:type="dxa"/>
            <w:vAlign w:val="bottom"/>
            <w:shd w:val="clear" w:color="auto" w:fill="CCEEFF"/>
          </w:tcPr>
          <w:p>
            <w:pPr>
              <w:spacing w:after="0"/>
              <w:rPr>
                <w:sz w:val="19"/>
                <w:szCs w:val="19"/>
                <w:color w:val="auto"/>
              </w:rPr>
            </w:pPr>
          </w:p>
        </w:tc>
      </w:tr>
      <w:tr>
        <w:trPr>
          <w:trHeight w:val="201"/>
        </w:trPr>
        <w:tc>
          <w:tcPr>
            <w:tcW w:w="6440" w:type="dxa"/>
            <w:vAlign w:val="bottom"/>
          </w:tcPr>
          <w:p>
            <w:pPr>
              <w:spacing w:after="0" w:line="201" w:lineRule="exact"/>
              <w:rPr>
                <w:sz w:val="20"/>
                <w:szCs w:val="20"/>
                <w:color w:val="auto"/>
              </w:rPr>
            </w:pPr>
            <w:r>
              <w:rPr>
                <w:rFonts w:ascii="Arial" w:cs="Arial" w:eastAsia="Arial" w:hAnsi="Arial"/>
                <w:sz w:val="18"/>
                <w:szCs w:val="18"/>
                <w:color w:val="auto"/>
              </w:rPr>
              <w:t>Billings in excess of costs and estimated earnings on uncompleted contracts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(6,343)</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(5,734)</w:t>
            </w:r>
          </w:p>
        </w:tc>
      </w:tr>
      <w:tr>
        <w:trPr>
          <w:trHeight w:val="27"/>
        </w:trPr>
        <w:tc>
          <w:tcPr>
            <w:tcW w:w="6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under billings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15,528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16,404</w:t>
            </w:r>
          </w:p>
        </w:tc>
      </w:tr>
      <w:tr>
        <w:trPr>
          <w:trHeight w:val="20"/>
        </w:trPr>
        <w:tc>
          <w:tcPr>
            <w:tcW w:w="6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difference between contract assets and contract liabilities as of June 30, 2020 compared to December 31, 2019 is primarily the result of timing differences between our performance of obligations under contracts and customer payments. During the three and six months ended June 30, 2020, we recognized $0.6 million and $7.5 million of revenue that was included in the contract liability balance at December 31, 2019. We did not recognize any impairment losses on our receivables and contract assets during the three and six months ended June 30, 2020 or 2019.</w:t>
      </w:r>
    </w:p>
    <w:p>
      <w:pPr>
        <w:spacing w:after="0" w:line="154" w:lineRule="exact"/>
        <w:rPr>
          <w:sz w:val="20"/>
          <w:szCs w:val="20"/>
          <w:color w:val="auto"/>
        </w:rPr>
      </w:pPr>
    </w:p>
    <w:p>
      <w:pPr>
        <w:ind w:left="120" w:right="240"/>
        <w:spacing w:after="0" w:line="258" w:lineRule="auto"/>
        <w:rPr>
          <w:sz w:val="20"/>
          <w:szCs w:val="20"/>
          <w:color w:val="auto"/>
        </w:rPr>
      </w:pPr>
      <w:r>
        <w:rPr>
          <w:rFonts w:ascii="Arial" w:cs="Arial" w:eastAsia="Arial" w:hAnsi="Arial"/>
          <w:sz w:val="18"/>
          <w:szCs w:val="18"/>
          <w:color w:val="auto"/>
        </w:rPr>
        <w:t>Remaining performance obligations represent the transaction price of contracts for which work has not been performed and excludes unexercised contract options and potential modifications. As of June 30, 2020, the aggregate amount of the transaction price allocated to remaining uncompleted contracts was $84.3 million. We expect to satisfy remaining performance obligations and recognize revenue on substantially all of these uncompleted contracts over the next 18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11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generally expense sales commissions and other incremental costs of obtaining a contract when incurred because the amortization period is usually one year or less. Sales commissions are recorded within selling expenses on the Condensed Consolidated Statements of Operations and Comprehensive Income.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disclose the value of unsatisfied performance obligations for contracts with an original expected length of one year or less.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CREDIT LOSSES</w:t>
      </w:r>
    </w:p>
    <w:p>
      <w:pPr>
        <w:spacing w:after="0" w:line="12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January 1, 2020 we adopted ASU 2016-13, “Financial Instruments – Credit Losses (Topic 326): Measurement of Credit Losses on Financial Instruments” under the modified retrospective approach. Topic 326 replaces the incurred loss impairment model with an expected credit loss impairment model for financial instruments, including trade receivables, retainage receivables and contract assets (unbilled receivables). Results for reporting periods beginning after January 1, 2020 are presented under Topic 326, while prior period amounts are not adjusted. The amendment requires entities to consider forward-looking information to estimate expected credit losses, resulting in earlier recognition of losses for receivables that are current or not yet due, which were not considered under the previous accounting guidance.</w:t>
      </w:r>
    </w:p>
    <w:p>
      <w:pPr>
        <w:spacing w:after="0" w:line="17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Upon adoption of ASC 326, we recorded a cumulative effect adjustment to retained earnings of $1.2 million, net of $0.4 million of income taxes, on the opening consolidated balance sheet as of January 1, 2020. The adoption of the credit loss standard had no impact to cash from or used in operating, financing or investing activities on our consolidated cash flow statements.</w:t>
      </w:r>
    </w:p>
    <w:p>
      <w:pPr>
        <w:spacing w:after="0" w:line="182"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expected loss allowance methodology for accounts receivable is developed using historical losses, current economic conditions and future market forecasts. We also perform ongoing evaluations of our existing and potential customer’s creditworthiness. Our expected loss allowance methodology for held-to-maturity investments is developed using historical losses, investment grade ratings and liquidity and maturity assessments. Based on our assessment using these factors, we did not record any allowance for credit losses related to our held-to-maturity investments.</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5"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To date, the COVID-19 pandemic has not yet had a material impact on the collectability of our existing trade receivables. However, given the uncertainty of impacts to future collections as a result of the current health crisis, we increased our allowance for credit losses as of June 30, 2020 to reflect this increased risk.</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Changes in our allowance for credit losses were as follows (in thousands):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8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8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$ 6,878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Cumulative effect of change in accounting principle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period provision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Recoveries collected and other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written off</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22"/>
        </w:trPr>
        <w:tc>
          <w:tcPr>
            <w:tcW w:w="8580" w:type="dxa"/>
            <w:vAlign w:val="bottom"/>
            <w:gridSpan w:val="2"/>
          </w:tcPr>
          <w:p>
            <w:pPr>
              <w:ind w:left="1780"/>
              <w:spacing w:after="0"/>
              <w:rPr>
                <w:sz w:val="20"/>
                <w:szCs w:val="20"/>
                <w:color w:val="auto"/>
              </w:rPr>
            </w:pPr>
            <w:r>
              <w:rPr>
                <w:rFonts w:ascii="Arial" w:cs="Arial" w:eastAsia="Arial" w:hAnsi="Arial"/>
                <w:sz w:val="18"/>
                <w:szCs w:val="18"/>
                <w:color w:val="auto"/>
              </w:rPr>
              <w:t>Balance as of June 30,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$ 9,617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INVESTMENTS</w:t>
      </w:r>
    </w:p>
    <w:p>
      <w:pPr>
        <w:spacing w:after="0" w:line="120" w:lineRule="exact"/>
        <w:rPr>
          <w:sz w:val="20"/>
          <w:szCs w:val="20"/>
          <w:color w:val="auto"/>
        </w:rPr>
      </w:pPr>
    </w:p>
    <w:p>
      <w:pPr>
        <w:ind w:left="120" w:right="340"/>
        <w:spacing w:after="0" w:line="276" w:lineRule="auto"/>
        <w:rPr>
          <w:sz w:val="20"/>
          <w:szCs w:val="20"/>
          <w:color w:val="auto"/>
        </w:rPr>
      </w:pPr>
      <w:r>
        <w:rPr>
          <w:rFonts w:ascii="Arial" w:cs="Arial" w:eastAsia="Arial" w:hAnsi="Arial"/>
          <w:sz w:val="18"/>
          <w:szCs w:val="18"/>
          <w:color w:val="auto"/>
        </w:rPr>
        <w:t>Cash and cash equivalents includes investments in money market funds that are valued based on the net asset value of the funds. The investments in these funds were $112.2 million and $99.2 million as of June 30, 2020 and December 31, 2019, respectively.</w:t>
      </w:r>
    </w:p>
    <w:p>
      <w:pPr>
        <w:spacing w:after="0" w:line="170"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All other investments are classified as held-to-maturity and typically consist of highly liquid instruments, including corporate bonds and commercial paper. As of June 30, 2020 and December 31, 2019, the amortized cost of these investments equaled the net carrying value, which was $16.7 million and $38.0 million, respectively. All held-to-maturity securities as of June 30, 2020 mature in one year or less. See Note 9, Fair Value Measurements, for additional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GOODWILL AND INTANGIBLES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Goodwill</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carrying amount of goodwill was as follows (in thousands):</w:t>
      </w:r>
    </w:p>
    <w:p>
      <w:pPr>
        <w:spacing w:after="0" w:line="23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ind w:left="16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ind w:right="300"/>
              <w:spacing w:after="0" w:line="148"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980" w:type="dxa"/>
            <w:vAlign w:val="bottom"/>
            <w:gridSpan w:val="3"/>
          </w:tcPr>
          <w:p>
            <w:pPr>
              <w:ind w:left="40"/>
              <w:spacing w:after="0" w:line="148" w:lineRule="exact"/>
              <w:rPr>
                <w:sz w:val="20"/>
                <w:szCs w:val="20"/>
                <w:color w:val="auto"/>
              </w:rPr>
            </w:pPr>
            <w:r>
              <w:rPr>
                <w:rFonts w:ascii="Arial" w:cs="Arial" w:eastAsia="Arial" w:hAnsi="Arial"/>
                <w:sz w:val="14"/>
                <w:szCs w:val="14"/>
                <w:color w:val="auto"/>
              </w:rPr>
              <w:t>Impairment</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Goodwill</w:t>
            </w:r>
          </w:p>
        </w:tc>
      </w:tr>
      <w:tr>
        <w:trPr>
          <w:trHeight w:val="167"/>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(Net)</w:t>
            </w: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$265,656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0"/>
              </w:rPr>
              <w:t>(70,004)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220" w:type="dxa"/>
            <w:vAlign w:val="bottom"/>
          </w:tcPr>
          <w:p>
            <w:pPr>
              <w:ind w:left="360"/>
              <w:spacing w:after="0"/>
              <w:rPr>
                <w:sz w:val="20"/>
                <w:szCs w:val="20"/>
                <w:color w:val="auto"/>
              </w:rPr>
            </w:pPr>
            <w:r>
              <w:rPr>
                <w:rFonts w:ascii="Arial" w:cs="Arial" w:eastAsia="Arial" w:hAnsi="Arial"/>
                <w:sz w:val="18"/>
                <w:szCs w:val="18"/>
                <w:color w:val="auto"/>
              </w:rPr>
              <w:t>Business Combinations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8"/>
                <w:szCs w:val="18"/>
                <w:color w:val="auto"/>
              </w:rPr>
            </w:pPr>
          </w:p>
        </w:tc>
      </w:tr>
      <w:tr>
        <w:trPr>
          <w:trHeight w:val="215"/>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June 30, 2020</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270,268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(70,004</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200,264</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Other changes included in the above table include minor adjustments for the allocation of certain acquisitions still under measurement. For additional information regarding changes to goodwill resulting from acquisitions, see Note 16, Business Combinations.</w:t>
      </w:r>
    </w:p>
    <w:p>
      <w:pPr>
        <w:spacing w:after="0" w:line="170"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 test goodwill for impairment annually during the fourth quarter of our fiscal year or earlier if there is an impairment indicator. We anticipate that the COVID-19 pandemic could continue to have an impact on our customers and the homebuilding industry in general, as it could result in further business interruptions (government-mandated or otherwise) and could affect, among other factors, employment levels, consumer spending and consumer confidence, which could decrease demand for homes, adversely affecting our business. As such, we considered whether impairment indicators arose through the date of filing of this Quarterly Report on Form 10-Q for our goodwill, long-lived assets and other intangible assets and concluded that no such factors exist. While we ultimately concluded that our goodwill, long-lived assets and other intangibles assets were not impaired as of June 30, 2020, we will continue to assess impairment indicators related to the impact of the COVID-19 pandemic on our business. Accumulated impairment losses included within the above table were incurred over multiple periods, with the latest impairment charge being recorded during the year ended December 31, 2010.</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5"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Intangibles, net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the gross carrying amount, accumulated amortization and net book value for each major class of intangibles (in thousands):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As of 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95"/>
              </w:rPr>
              <w:t>As of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2020</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2019</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5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140"/>
              <w:spacing w:after="0" w:line="123"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91"/>
              </w:rPr>
              <w:t>Net</w:t>
            </w:r>
          </w:p>
        </w:tc>
        <w:tc>
          <w:tcPr>
            <w:tcW w:w="260" w:type="dxa"/>
            <w:vAlign w:val="bottom"/>
          </w:tcPr>
          <w:p>
            <w:pPr>
              <w:spacing w:after="0"/>
              <w:rPr>
                <w:sz w:val="10"/>
                <w:szCs w:val="10"/>
                <w:color w:val="auto"/>
              </w:rPr>
            </w:pPr>
          </w:p>
        </w:tc>
        <w:tc>
          <w:tcPr>
            <w:tcW w:w="700" w:type="dxa"/>
            <w:vAlign w:val="bottom"/>
            <w:gridSpan w:val="2"/>
          </w:tcPr>
          <w:p>
            <w:pPr>
              <w:jc w:val="center"/>
              <w:ind w:right="40"/>
              <w:spacing w:after="0" w:line="123" w:lineRule="exact"/>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91"/>
              </w:rPr>
              <w:t>Net</w:t>
            </w:r>
          </w:p>
        </w:tc>
        <w:tc>
          <w:tcPr>
            <w:tcW w:w="60" w:type="dxa"/>
            <w:vAlign w:val="bottom"/>
          </w:tcPr>
          <w:p>
            <w:pPr>
              <w:spacing w:after="0"/>
              <w:rPr>
                <w:sz w:val="10"/>
                <w:szCs w:val="10"/>
                <w:color w:val="auto"/>
              </w:rPr>
            </w:pPr>
          </w:p>
        </w:tc>
      </w:tr>
      <w:tr>
        <w:trPr>
          <w:trHeight w:val="14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40"/>
              <w:spacing w:after="0" w:line="148" w:lineRule="exact"/>
              <w:rPr>
                <w:sz w:val="20"/>
                <w:szCs w:val="20"/>
                <w:color w:val="auto"/>
              </w:rPr>
            </w:pPr>
            <w:r>
              <w:rPr>
                <w:rFonts w:ascii="Arial" w:cs="Arial" w:eastAsia="Arial" w:hAnsi="Arial"/>
                <w:sz w:val="14"/>
                <w:szCs w:val="14"/>
                <w:color w:val="auto"/>
                <w:w w:val="98"/>
              </w:rPr>
              <w:t>Carrying</w:t>
            </w:r>
          </w:p>
        </w:tc>
        <w:tc>
          <w:tcPr>
            <w:tcW w:w="140" w:type="dxa"/>
            <w:vAlign w:val="bottom"/>
          </w:tcPr>
          <w:p>
            <w:pPr>
              <w:spacing w:after="0"/>
              <w:rPr>
                <w:sz w:val="12"/>
                <w:szCs w:val="12"/>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8" w:lineRule="exact"/>
              <w:rPr>
                <w:sz w:val="20"/>
                <w:szCs w:val="20"/>
                <w:color w:val="auto"/>
              </w:rPr>
            </w:pPr>
            <w:r>
              <w:rPr>
                <w:rFonts w:ascii="Arial" w:cs="Arial" w:eastAsia="Arial" w:hAnsi="Arial"/>
                <w:sz w:val="14"/>
                <w:szCs w:val="14"/>
                <w:color w:val="auto"/>
              </w:rPr>
              <w:t>Book</w:t>
            </w:r>
          </w:p>
        </w:tc>
        <w:tc>
          <w:tcPr>
            <w:tcW w:w="70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8"/>
              </w:rPr>
              <w:t>Carrying</w:t>
            </w:r>
          </w:p>
        </w:tc>
        <w:tc>
          <w:tcPr>
            <w:tcW w:w="24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8" w:lineRule="exact"/>
              <w:rPr>
                <w:sz w:val="20"/>
                <w:szCs w:val="20"/>
                <w:color w:val="auto"/>
              </w:rPr>
            </w:pPr>
            <w:r>
              <w:rPr>
                <w:rFonts w:ascii="Arial" w:cs="Arial" w:eastAsia="Arial" w:hAnsi="Arial"/>
                <w:sz w:val="14"/>
                <w:szCs w:val="14"/>
                <w:color w:val="auto"/>
              </w:rPr>
              <w:t>Book</w:t>
            </w:r>
          </w:p>
        </w:tc>
      </w:tr>
      <w:tr>
        <w:trPr>
          <w:trHeight w:val="167"/>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540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$173,115</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78,784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94,331</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$169,334</w:t>
            </w:r>
          </w:p>
        </w:tc>
        <w:tc>
          <w:tcPr>
            <w:tcW w:w="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69,388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99,946</w:t>
            </w:r>
          </w:p>
        </w:tc>
      </w:tr>
      <w:tr>
        <w:trPr>
          <w:trHeight w:val="215"/>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Covenants not-to-compete</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17,389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6,342</w:t>
            </w:r>
          </w:p>
        </w:tc>
      </w:tr>
      <w:tr>
        <w:trPr>
          <w:trHeight w:val="215"/>
        </w:trPr>
        <w:tc>
          <w:tcPr>
            <w:tcW w:w="5400" w:type="dxa"/>
            <w:vAlign w:val="bottom"/>
          </w:tcPr>
          <w:p>
            <w:pPr>
              <w:ind w:left="360"/>
              <w:spacing w:after="0"/>
              <w:rPr>
                <w:sz w:val="20"/>
                <w:szCs w:val="20"/>
                <w:color w:val="auto"/>
              </w:rPr>
            </w:pPr>
            <w:r>
              <w:rPr>
                <w:rFonts w:ascii="Arial" w:cs="Arial" w:eastAsia="Arial" w:hAnsi="Arial"/>
                <w:sz w:val="18"/>
                <w:szCs w:val="18"/>
                <w:color w:val="auto"/>
              </w:rPr>
              <w:t>Trademarks and tradenames</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71,543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24,908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46,635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69,718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22,609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47,109</w:t>
            </w:r>
          </w:p>
        </w:tc>
      </w:tr>
      <w:tr>
        <w:trPr>
          <w:trHeight w:val="215"/>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15,004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r>
        <w:trPr>
          <w:trHeight w:val="222"/>
        </w:trPr>
        <w:tc>
          <w:tcPr>
            <w:tcW w:w="5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277,051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129,934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147,117</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270,091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116,529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153,562</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gross carrying amount of intangibles increased approximately $7.0 million during the six months ended June 30, 2020 primarily due to business combinations. For more information, see Note 16, Business Combinations. Remaining estimated aggregate annual amortization expense is as follows (amounts, in thousands, are for the fiscal year ended):</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45,127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4"/>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NOTE 7 - LONG-TERM DEBT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960" w:type="dxa"/>
            <w:vAlign w:val="bottom"/>
            <w:gridSpan w:val="3"/>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As of June 30,</w:t>
            </w:r>
          </w:p>
        </w:tc>
        <w:tc>
          <w:tcPr>
            <w:tcW w:w="1260" w:type="dxa"/>
            <w:vAlign w:val="bottom"/>
            <w:gridSpan w:val="4"/>
          </w:tcPr>
          <w:p>
            <w:pPr>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2020</w:t>
            </w:r>
          </w:p>
        </w:tc>
        <w:tc>
          <w:tcPr>
            <w:tcW w:w="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5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Senior Notes due 2028, net of unamortized debt issuance costs of</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$4,529 and $4,823,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295,471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17"/>
                <w:szCs w:val="17"/>
                <w:color w:val="auto"/>
              </w:rPr>
            </w:pPr>
          </w:p>
        </w:tc>
        <w:tc>
          <w:tcPr>
            <w:tcW w:w="5640" w:type="dxa"/>
            <w:vAlign w:val="bottom"/>
            <w:gridSpan w:val="2"/>
          </w:tcPr>
          <w:p>
            <w:pPr>
              <w:spacing w:after="0" w:line="201" w:lineRule="exact"/>
              <w:rPr>
                <w:sz w:val="20"/>
                <w:szCs w:val="20"/>
                <w:color w:val="auto"/>
              </w:rPr>
            </w:pPr>
            <w:r>
              <w:rPr>
                <w:rFonts w:ascii="Arial" w:cs="Arial" w:eastAsia="Arial" w:hAnsi="Arial"/>
                <w:sz w:val="18"/>
                <w:szCs w:val="18"/>
                <w:color w:val="auto"/>
              </w:rPr>
              <w:t>Term loan, net of unamortized debt issuance costs of $1,509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rPr>
              <w:t>$1,662, respectively</w:t>
            </w:r>
          </w:p>
        </w:tc>
        <w:tc>
          <w:tcPr>
            <w:tcW w:w="16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198,491</w:t>
            </w: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198,338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17"/>
                <w:szCs w:val="17"/>
                <w:color w:val="auto"/>
              </w:rPr>
            </w:pPr>
          </w:p>
        </w:tc>
        <w:tc>
          <w:tcPr>
            <w:tcW w:w="5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Vehicle and equipment notes, maturing through June 2025; payable in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various monthly installments, including interest rates ranging from</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2.1% to 4.8%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72,327</w:t>
            </w: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72,714</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17"/>
                <w:szCs w:val="17"/>
                <w:color w:val="auto"/>
              </w:rPr>
            </w:pPr>
          </w:p>
        </w:tc>
        <w:tc>
          <w:tcPr>
            <w:tcW w:w="5640" w:type="dxa"/>
            <w:vAlign w:val="bottom"/>
            <w:gridSpan w:val="2"/>
          </w:tcPr>
          <w:p>
            <w:pPr>
              <w:spacing w:after="0" w:line="201" w:lineRule="exact"/>
              <w:rPr>
                <w:sz w:val="20"/>
                <w:szCs w:val="20"/>
                <w:color w:val="auto"/>
              </w:rPr>
            </w:pPr>
            <w:r>
              <w:rPr>
                <w:rFonts w:ascii="Arial" w:cs="Arial" w:eastAsia="Arial" w:hAnsi="Arial"/>
                <w:sz w:val="18"/>
                <w:szCs w:val="18"/>
                <w:color w:val="auto"/>
              </w:rPr>
              <w:t>Various notes payable, maturing through March 2025; payable in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rPr>
              <w:t>various monthly installments, including interest rates ranging from</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rPr>
              <w:t>5% to 6%</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569,206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(24,230)</w:t>
            </w:r>
          </w:p>
        </w:tc>
        <w:tc>
          <w:tcPr>
            <w:tcW w:w="1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544,976</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jc w:val="right"/>
              <w:ind w:right="127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Remaining required repayments of debt principal, gross of unamortized debt issuance costs, as of June 30, 2020 are as follows (in thousands):</w:t>
      </w:r>
    </w:p>
    <w:p>
      <w:pPr>
        <w:spacing w:after="0" w:line="277" w:lineRule="exact"/>
        <w:rPr>
          <w:sz w:val="20"/>
          <w:szCs w:val="20"/>
          <w:color w:val="auto"/>
        </w:rPr>
      </w:pPr>
    </w:p>
    <w:tbl>
      <w:tblPr>
        <w:tblLayout w:type="fixed"/>
        <w:tblInd w:w="1900" w:type="dxa"/>
        <w:tblCellMar>
          <w:top w:w="0" w:type="dxa"/>
          <w:left w:w="0" w:type="dxa"/>
          <w:bottom w:w="0" w:type="dxa"/>
          <w:right w:w="0" w:type="dxa"/>
        </w:tblCellMar>
      </w:tblP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$ 12,916</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2021</w:t>
            </w:r>
          </w:p>
        </w:tc>
        <w:tc>
          <w:tcPr>
            <w:tcW w:w="3420" w:type="dxa"/>
            <w:vAlign w:val="bottom"/>
          </w:tcPr>
          <w:p>
            <w:pPr>
              <w:jc w:val="right"/>
              <w:spacing w:after="0"/>
              <w:rPr>
                <w:sz w:val="20"/>
                <w:szCs w:val="20"/>
                <w:color w:val="auto"/>
              </w:rPr>
            </w:pPr>
            <w:r>
              <w:rPr>
                <w:rFonts w:ascii="Arial" w:cs="Arial" w:eastAsia="Arial" w:hAnsi="Arial"/>
                <w:sz w:val="18"/>
                <w:szCs w:val="18"/>
                <w:color w:val="auto"/>
              </w:rPr>
              <w:t>21,592</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2023</w:t>
            </w:r>
          </w:p>
        </w:tc>
        <w:tc>
          <w:tcPr>
            <w:tcW w:w="3420" w:type="dxa"/>
            <w:vAlign w:val="bottom"/>
          </w:tcPr>
          <w:p>
            <w:pPr>
              <w:jc w:val="right"/>
              <w:spacing w:after="0"/>
              <w:rPr>
                <w:sz w:val="20"/>
                <w:szCs w:val="20"/>
                <w:color w:val="auto"/>
              </w:rPr>
            </w:pPr>
            <w:r>
              <w:rPr>
                <w:rFonts w:ascii="Arial" w:cs="Arial" w:eastAsia="Arial" w:hAnsi="Arial"/>
                <w:sz w:val="18"/>
                <w:szCs w:val="18"/>
                <w:color w:val="auto"/>
              </w:rPr>
              <w:t>12,581</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Thereafter</w:t>
            </w:r>
          </w:p>
        </w:tc>
        <w:tc>
          <w:tcPr>
            <w:tcW w:w="3420" w:type="dxa"/>
            <w:vAlign w:val="bottom"/>
          </w:tcPr>
          <w:p>
            <w:pPr>
              <w:jc w:val="right"/>
              <w:spacing w:after="0"/>
              <w:rPr>
                <w:sz w:val="20"/>
                <w:szCs w:val="20"/>
                <w:color w:val="auto"/>
              </w:rPr>
            </w:pPr>
            <w:r>
              <w:rPr>
                <w:rFonts w:ascii="Arial" w:cs="Arial" w:eastAsia="Arial" w:hAnsi="Arial"/>
                <w:sz w:val="18"/>
                <w:szCs w:val="18"/>
                <w:color w:val="auto"/>
              </w:rPr>
              <w:t>503,500</w:t>
            </w:r>
          </w:p>
        </w:tc>
      </w:tr>
    </w:tbl>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5.75% Senior Notes due 2028</w:t>
      </w:r>
    </w:p>
    <w:p>
      <w:pPr>
        <w:spacing w:after="0" w:line="116"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September 2019, we issued $300.0 million in aggregate principal amount of 5.75% senior unsecured notes (the “Senior Notes”). The Senior Notes will mature on February 1, 2028 and interest will be payable semi-annually in cash in arrears on February 1 and August 1, commencing on February 1, 2020. The net proceeds from the Senior Notes offering were $295.0 million after debt issuance costs. We used some of the net proceeds to repay a portion of our outstanding obligations (including accrued and unpaid interest) under our term loan credit agreement (as defined below) and to pay fees and expenses related to the entry into a new revolving credit facility described below.</w:t>
      </w:r>
    </w:p>
    <w:p>
      <w:pPr>
        <w:spacing w:after="0" w:line="173" w:lineRule="exact"/>
        <w:rPr>
          <w:sz w:val="20"/>
          <w:szCs w:val="20"/>
          <w:color w:val="auto"/>
        </w:rPr>
      </w:pPr>
    </w:p>
    <w:p>
      <w:pPr>
        <w:jc w:val="both"/>
        <w:ind w:left="120" w:right="340"/>
        <w:spacing w:after="0" w:line="290" w:lineRule="auto"/>
        <w:rPr>
          <w:sz w:val="20"/>
          <w:szCs w:val="20"/>
          <w:color w:val="auto"/>
        </w:rPr>
      </w:pPr>
      <w:r>
        <w:rPr>
          <w:rFonts w:ascii="Arial" w:cs="Arial" w:eastAsia="Arial" w:hAnsi="Arial"/>
          <w:sz w:val="16"/>
          <w:szCs w:val="16"/>
          <w:color w:val="auto"/>
        </w:rPr>
        <w:t>The indenture covering the Senior Notes contains restrictive covenants that, among other things, limit the ability of the Company and certain of our subsidiaries (subject to certain exceptions) to: (i) incur additional debt and issue preferred stock; (ii) pay dividends on, redeem or repurchase stock;</w:t>
      </w:r>
    </w:p>
    <w:p>
      <w:pPr>
        <w:spacing w:after="0" w:line="1" w:lineRule="exact"/>
        <w:rPr>
          <w:sz w:val="20"/>
          <w:szCs w:val="20"/>
          <w:color w:val="auto"/>
        </w:rPr>
      </w:pPr>
    </w:p>
    <w:p>
      <w:pPr>
        <w:ind w:left="120" w:right="40" w:firstLine="9"/>
        <w:spacing w:after="0" w:line="254" w:lineRule="auto"/>
        <w:tabs>
          <w:tab w:leader="none" w:pos="43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prepay subordinated debt; (iv) create liens; (v) make specified types of investments; (vi) apply net proceeds from certain asset sales; (vii) engage in transactions with affiliates; (viii) merge, consolidate or sell substantially all of our assets; and (ix) pay dividends and make other distributions from subsidiaries.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Credit Facilities</w:t>
      </w:r>
    </w:p>
    <w:p>
      <w:pPr>
        <w:spacing w:after="0" w:line="11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December 2019, we amended and restated our $400 million, seven-year term loan facility due April 2025 (the “Term Loan”) under our credit agreement (the “Term Loan Agreement”), dated as of April 13, 2017 (as previously amended by the First Amendment thereto dated November 30, 2017 and by the Second Amendment thereto dated June 19, 2018). The amended Term Loan (i) effects a repricing of the interest rate applicable to the term loans thereunder from LIBOR plus 2.50% to LIBOR plus 2.25% and (ii) replaces Royal Bank of Canada with Bank of America, N.A. as the administrative agent and collateral agent thereunder. As of June 30, 2020, we had $198.5 million, net of unamortized debt issuance costs, due on our Term Loan. The amended Term Loan also has a margin of 1.25% in the case of base rate loans.</w:t>
      </w:r>
    </w:p>
    <w:p>
      <w:pPr>
        <w:spacing w:after="0" w:line="174"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September 2019, we entered into a new asset-based lending credit agreement (the “ABL Credit Agreement”). The ABL Credit Agreement provides for an asset-based lending credit facility (the “ABL Revolver”) of up to $200.0 million with a five-year maturity, which replaced the Company’s previous revolving credit facility. Borrowing availability under the ABL Revolver is based on a percentage of the value of certain assets securing the Company’s obligations and those of the subsidiary guarantors thereunder. In connection with the Amended and Restated Term Loan, we entered into a Second Amendment (the “Second Amendment”) to the ABL/Term Loan Intercreditor Agreement with Bank of America, N.A., as ABL Agent for the lenders under the ABL Credit Agreement, and Bank of America, N.A., as Term Loan Agent for the lenders under the Amended and Restated Term Loan. Including outstanding letters of credit, our remaining availability under the ABL Revolver as of June 30, 2020 was $161.3 million.</w:t>
      </w:r>
    </w:p>
    <w:p>
      <w:pPr>
        <w:spacing w:after="0" w:line="16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All of the obligations under the Term Loan and ABL Revolver are guaranteed by all of the Company’s existing restricted subsidiaries and will be guaranteed by the Company’s future restricted subsidiaries. Additionally, all obligations under the Term Loan and ABL Revolver, and the guarantees of those obligations, are secured by substantially all of the assets of the Company and the guarantors, subject to certain exceptions and permitted liens, including a first-priority security interest in such assets that constitute ABL Priority Collateral, as defined in the ABL Credit Agreement, and a second-priority security interest in such assets that constitute Term Loan Priority Collateral, as defined in the Term Loan Agreement.</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85"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right="80"/>
        <w:spacing w:after="0" w:line="285" w:lineRule="auto"/>
        <w:rPr>
          <w:sz w:val="20"/>
          <w:szCs w:val="20"/>
          <w:color w:val="auto"/>
        </w:rPr>
      </w:pPr>
      <w:r>
        <w:rPr>
          <w:rFonts w:ascii="Arial" w:cs="Arial" w:eastAsia="Arial" w:hAnsi="Arial"/>
          <w:sz w:val="17"/>
          <w:szCs w:val="17"/>
          <w:color w:val="auto"/>
        </w:rPr>
        <w:t>The ABL Revolver bears interest at either the Eurodollar rate or the base rate (which approximated the prime rate), at the Company’s election, plus a margin of (A) 1.25% or 1.50% in the case of Eurodollar rate loans (based on a measure of availability under the ABL Credit Agreement) and (B) 0.25% or 0.50% in the case of base rate loans (based on a measure of availability under the ABL Credit Agreement).</w:t>
      </w:r>
    </w:p>
    <w:p>
      <w:pPr>
        <w:spacing w:after="0" w:line="166" w:lineRule="exact"/>
        <w:rPr>
          <w:sz w:val="20"/>
          <w:szCs w:val="20"/>
          <w:color w:val="auto"/>
        </w:rPr>
      </w:pPr>
    </w:p>
    <w:p>
      <w:pPr>
        <w:ind w:left="120" w:right="40"/>
        <w:spacing w:after="0" w:line="285" w:lineRule="auto"/>
        <w:rPr>
          <w:sz w:val="20"/>
          <w:szCs w:val="20"/>
          <w:color w:val="auto"/>
        </w:rPr>
      </w:pPr>
      <w:r>
        <w:rPr>
          <w:rFonts w:ascii="Arial" w:cs="Arial" w:eastAsia="Arial" w:hAnsi="Arial"/>
          <w:sz w:val="17"/>
          <w:szCs w:val="17"/>
          <w:color w:val="auto"/>
        </w:rPr>
        <w:t>The ABL Revolver also provides incremental revolving credit facility commitments of up to $50.0 million. The terms and conditions of any incremental revolving credit facility commitments must be no more favorable than the terms of the ABL Revolver. The ABL Revolver also allows for the issuance of letters of credit of up to $75.0 million in aggregate and borrowing of swingline loans of up to $20.0 million in aggregate.</w:t>
      </w:r>
    </w:p>
    <w:p>
      <w:pPr>
        <w:spacing w:after="0" w:line="166" w:lineRule="exact"/>
        <w:rPr>
          <w:sz w:val="20"/>
          <w:szCs w:val="20"/>
          <w:color w:val="auto"/>
        </w:rPr>
      </w:pPr>
    </w:p>
    <w:p>
      <w:pPr>
        <w:ind w:left="120" w:right="200"/>
        <w:spacing w:after="0" w:line="276" w:lineRule="auto"/>
        <w:rPr>
          <w:sz w:val="20"/>
          <w:szCs w:val="20"/>
          <w:color w:val="auto"/>
        </w:rPr>
      </w:pPr>
      <w:r>
        <w:rPr>
          <w:rFonts w:ascii="Arial" w:cs="Arial" w:eastAsia="Arial" w:hAnsi="Arial"/>
          <w:sz w:val="18"/>
          <w:szCs w:val="18"/>
          <w:color w:val="auto"/>
        </w:rPr>
        <w:t>The ABL Credit Agreement contains a financial covenant requiring the satisfaction of a minimum fixed charge coverage ratio of 1.0x in the event that we do not meet a minimum measure of availability under the ABL Revolver.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Vehicle and Equipment Notes</w:t>
      </w:r>
    </w:p>
    <w:p>
      <w:pPr>
        <w:spacing w:after="0" w:line="11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are party to a Master Loan and Security Agreement (“Master Loan and Security Agreement”), a Master Equipment Lease Agreement (“Master Equipment Agreement”) and one or more Master Loan Agreements (“Master Loan Agreements” and together with the Master Loan and Security Agreement and Master Equipment Agreement the “Master Loan Equipment Agreements”) with various lenders to provide financing for the purpose of purchasing or leasing vehicles and equipment used in the normal course of business. Each financing arrangement under these agreements constitutes a separate note and obligation. Vehicles and equipment purchased or leased under each financing arrangement serve as collateral for the note applicable to such financing arrangement. Regular payments are due under each note for a period of typically 60 consecutive months after the incurrence of the obligation. The specific terms of each note are based on specific criteria, including the type of vehicle or equipment and the market interest rates at the time. No termination date applies to these agreements. As of June 30, 2020, approximately $72.7 million of the various loan agreements was available for purchases of equipment.</w:t>
      </w:r>
    </w:p>
    <w:p>
      <w:pPr>
        <w:spacing w:after="0" w:line="183" w:lineRule="exact"/>
        <w:rPr>
          <w:sz w:val="20"/>
          <w:szCs w:val="20"/>
          <w:color w:val="auto"/>
        </w:rPr>
      </w:pPr>
    </w:p>
    <w:p>
      <w:pPr>
        <w:ind w:left="120" w:right="300"/>
        <w:spacing w:after="0" w:line="258" w:lineRule="auto"/>
        <w:rPr>
          <w:sz w:val="20"/>
          <w:szCs w:val="20"/>
          <w:color w:val="auto"/>
        </w:rPr>
      </w:pPr>
      <w:r>
        <w:rPr>
          <w:rFonts w:ascii="Arial" w:cs="Arial" w:eastAsia="Arial" w:hAnsi="Arial"/>
          <w:sz w:val="18"/>
          <w:szCs w:val="18"/>
          <w:color w:val="auto"/>
        </w:rPr>
        <w:t>Total gross assets relating to our Master Loan and Equipment Agreements were $133.5 million and $130.2 million as of June 30, 2020 and December 31, 2019, respectively. The net book value of assets under these agreements was $66.7 million and $68.2 million as of June 30, 2020 and December 31, 2019, respectively. Depreciation of assets held under these agreements is included within cost of sales on the Condensed Consolidated Statements of Operations and Comprehensive Income.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LEASES</w:t>
      </w:r>
    </w:p>
    <w:p>
      <w:pPr>
        <w:spacing w:after="0" w:line="12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lease various assets in the ordinary course of business as follows: warehouses to store our materials and perform staging activities for certain products we install; various office spaces for selling and administrative activities to support our business; and certain vehicles and equipment to facilitate our operations, including, but not limited to, trucks, forklifts and office equipment.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5"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presents the lease-related assets and liabilities recorded on the Condensed Consolidated Balance Sheet:</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360" w:type="dxa"/>
            <w:vAlign w:val="bottom"/>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4500" w:type="dxa"/>
            <w:vAlign w:val="bottom"/>
          </w:tcPr>
          <w:p>
            <w:pPr>
              <w:ind w:left="1860"/>
              <w:spacing w:after="0"/>
              <w:rPr>
                <w:sz w:val="20"/>
                <w:szCs w:val="20"/>
                <w:color w:val="auto"/>
              </w:rPr>
            </w:pPr>
            <w:r>
              <w:rPr>
                <w:rFonts w:ascii="Arial" w:cs="Arial" w:eastAsia="Arial" w:hAnsi="Arial"/>
                <w:sz w:val="14"/>
                <w:szCs w:val="14"/>
                <w:color w:val="auto"/>
              </w:rPr>
              <w:t>Classification</w:t>
            </w:r>
          </w:p>
        </w:tc>
        <w:tc>
          <w:tcPr>
            <w:tcW w:w="320" w:type="dxa"/>
            <w:vAlign w:val="bottom"/>
          </w:tcPr>
          <w:p>
            <w:pPr>
              <w:spacing w:after="0"/>
              <w:rPr>
                <w:sz w:val="16"/>
                <w:szCs w:val="16"/>
                <w:color w:val="auto"/>
              </w:rPr>
            </w:pPr>
          </w:p>
        </w:tc>
        <w:tc>
          <w:tcPr>
            <w:tcW w:w="1820" w:type="dxa"/>
            <w:vAlign w:val="bottom"/>
            <w:gridSpan w:val="2"/>
          </w:tcPr>
          <w:p>
            <w:pPr>
              <w:ind w:left="180"/>
              <w:spacing w:after="0"/>
              <w:rPr>
                <w:sz w:val="20"/>
                <w:szCs w:val="20"/>
                <w:color w:val="auto"/>
              </w:rPr>
            </w:pPr>
            <w:r>
              <w:rPr>
                <w:rFonts w:ascii="Arial" w:cs="Arial" w:eastAsia="Arial" w:hAnsi="Arial"/>
                <w:sz w:val="14"/>
                <w:szCs w:val="14"/>
                <w:color w:val="auto"/>
              </w:rPr>
              <w:t>As of June 30, 2020</w:t>
            </w:r>
          </w:p>
        </w:tc>
        <w:tc>
          <w:tcPr>
            <w:tcW w:w="1800" w:type="dxa"/>
            <w:vAlign w:val="bottom"/>
            <w:gridSpan w:val="3"/>
          </w:tcPr>
          <w:p>
            <w:pPr>
              <w:spacing w:after="0"/>
              <w:rPr>
                <w:sz w:val="20"/>
                <w:szCs w:val="20"/>
                <w:color w:val="auto"/>
              </w:rPr>
            </w:pPr>
            <w:r>
              <w:rPr>
                <w:rFonts w:ascii="Arial" w:cs="Arial" w:eastAsia="Arial" w:hAnsi="Arial"/>
                <w:sz w:val="14"/>
                <w:szCs w:val="14"/>
                <w:color w:val="auto"/>
              </w:rPr>
              <w:t>As of December 31, 2019</w:t>
            </w:r>
          </w:p>
        </w:tc>
        <w:tc>
          <w:tcPr>
            <w:tcW w:w="0" w:type="dxa"/>
            <w:vAlign w:val="bottom"/>
          </w:tcPr>
          <w:p>
            <w:pPr>
              <w:spacing w:after="0"/>
              <w:rPr>
                <w:sz w:val="1"/>
                <w:szCs w:val="1"/>
                <w:color w:val="auto"/>
              </w:rPr>
            </w:pPr>
          </w:p>
        </w:tc>
      </w:tr>
      <w:tr>
        <w:trPr>
          <w:trHeight w:val="47"/>
        </w:trPr>
        <w:tc>
          <w:tcPr>
            <w:tcW w:w="2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5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$ 47,448</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45,691</w:t>
            </w:r>
          </w:p>
        </w:tc>
        <w:tc>
          <w:tcPr>
            <w:tcW w:w="0" w:type="dxa"/>
            <w:vAlign w:val="bottom"/>
          </w:tcPr>
          <w:p>
            <w:pPr>
              <w:spacing w:after="0"/>
              <w:rPr>
                <w:sz w:val="1"/>
                <w:szCs w:val="1"/>
                <w:color w:val="auto"/>
              </w:rPr>
            </w:pPr>
          </w:p>
        </w:tc>
      </w:tr>
      <w:tr>
        <w:trPr>
          <w:trHeight w:val="215"/>
        </w:trPr>
        <w:tc>
          <w:tcPr>
            <w:tcW w:w="2360" w:type="dxa"/>
            <w:vAlign w:val="bottom"/>
          </w:tcPr>
          <w:p>
            <w:pPr>
              <w:ind w:left="360"/>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6,060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lease assets</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$ 53,508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52,839</w:t>
            </w:r>
          </w:p>
        </w:tc>
        <w:tc>
          <w:tcPr>
            <w:tcW w:w="0" w:type="dxa"/>
            <w:vAlign w:val="bottom"/>
          </w:tcPr>
          <w:p>
            <w:pPr>
              <w:spacing w:after="0"/>
              <w:rPr>
                <w:sz w:val="1"/>
                <w:szCs w:val="1"/>
                <w:color w:val="auto"/>
              </w:rPr>
            </w:pPr>
          </w:p>
        </w:tc>
      </w:tr>
      <w:tr>
        <w:trPr>
          <w:trHeight w:val="323"/>
        </w:trPr>
        <w:tc>
          <w:tcPr>
            <w:tcW w:w="2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Current maturities of operating lease obligations</w:t>
            </w:r>
          </w:p>
        </w:tc>
        <w:tc>
          <w:tcPr>
            <w:tcW w:w="2140" w:type="dxa"/>
            <w:vAlign w:val="bottom"/>
            <w:gridSpan w:val="3"/>
          </w:tcPr>
          <w:p>
            <w:pPr>
              <w:jc w:val="right"/>
              <w:ind w:right="300"/>
              <w:spacing w:after="0"/>
              <w:rPr>
                <w:sz w:val="20"/>
                <w:szCs w:val="20"/>
                <w:color w:val="auto"/>
              </w:rPr>
            </w:pPr>
            <w:r>
              <w:rPr>
                <w:rFonts w:ascii="Arial" w:cs="Arial" w:eastAsia="Arial" w:hAnsi="Arial"/>
                <w:sz w:val="18"/>
                <w:szCs w:val="18"/>
                <w:color w:val="auto"/>
              </w:rPr>
              <w:t>$ 16,209</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15,459</w:t>
            </w: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finance lease obligations</w:t>
            </w:r>
          </w:p>
        </w:tc>
        <w:tc>
          <w:tcPr>
            <w:tcW w:w="2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2,333</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30,721</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29,785</w:t>
            </w:r>
          </w:p>
        </w:tc>
        <w:tc>
          <w:tcPr>
            <w:tcW w:w="0" w:type="dxa"/>
            <w:vAlign w:val="bottom"/>
          </w:tcPr>
          <w:p>
            <w:pPr>
              <w:spacing w:after="0"/>
              <w:rPr>
                <w:sz w:val="1"/>
                <w:szCs w:val="1"/>
                <w:color w:val="auto"/>
              </w:rPr>
            </w:pPr>
          </w:p>
        </w:tc>
      </w:tr>
      <w:tr>
        <w:trPr>
          <w:trHeight w:val="215"/>
        </w:trPr>
        <w:tc>
          <w:tcPr>
            <w:tcW w:w="23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3,051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lease liabilities</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$ 52,314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51,588</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remaining lease term:</w:t>
            </w:r>
          </w:p>
        </w:tc>
        <w:tc>
          <w:tcPr>
            <w:tcW w:w="3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4.4 years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880"/>
              <w:spacing w:after="0"/>
              <w:rPr>
                <w:sz w:val="20"/>
                <w:szCs w:val="20"/>
                <w:color w:val="auto"/>
              </w:rPr>
            </w:pPr>
            <w:r>
              <w:rPr>
                <w:rFonts w:ascii="Arial" w:cs="Arial" w:eastAsia="Arial" w:hAnsi="Arial"/>
                <w:sz w:val="18"/>
                <w:szCs w:val="18"/>
                <w:color w:val="auto"/>
              </w:rPr>
              <w:t>2.7 years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discount rate:</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140" w:type="dxa"/>
            <w:vAlign w:val="bottom"/>
            <w:gridSpan w:val="3"/>
          </w:tcPr>
          <w:p>
            <w:pPr>
              <w:jc w:val="right"/>
              <w:ind w:right="300"/>
              <w:spacing w:after="0"/>
              <w:rPr>
                <w:sz w:val="20"/>
                <w:szCs w:val="20"/>
                <w:color w:val="auto"/>
              </w:rPr>
            </w:pPr>
            <w:r>
              <w:rPr>
                <w:rFonts w:ascii="Arial" w:cs="Arial" w:eastAsia="Arial" w:hAnsi="Arial"/>
                <w:sz w:val="18"/>
                <w:szCs w:val="18"/>
                <w:color w:val="auto"/>
              </w:rPr>
              <w:t>4.21%</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Lease Costs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presents certain information related to the lease costs for finance and operating leases: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2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180"/>
              <w:spacing w:after="0"/>
              <w:rPr>
                <w:sz w:val="20"/>
                <w:szCs w:val="20"/>
                <w:color w:val="auto"/>
              </w:rPr>
            </w:pPr>
            <w:r>
              <w:rPr>
                <w:rFonts w:ascii="Arial" w:cs="Arial" w:eastAsia="Arial" w:hAnsi="Arial"/>
                <w:sz w:val="14"/>
                <w:szCs w:val="14"/>
                <w:color w:val="auto"/>
                <w:w w:val="90"/>
              </w:rPr>
              <w:t>Three months ended June 30,</w:t>
            </w:r>
          </w:p>
        </w:tc>
        <w:tc>
          <w:tcPr>
            <w:tcW w:w="120" w:type="dxa"/>
            <w:vAlign w:val="bottom"/>
          </w:tcPr>
          <w:p>
            <w:pPr>
              <w:spacing w:after="0"/>
              <w:rPr>
                <w:sz w:val="14"/>
                <w:szCs w:val="14"/>
                <w:color w:val="auto"/>
              </w:rPr>
            </w:pPr>
          </w:p>
        </w:tc>
        <w:tc>
          <w:tcPr>
            <w:tcW w:w="1700" w:type="dxa"/>
            <w:vAlign w:val="bottom"/>
            <w:gridSpan w:val="7"/>
          </w:tcPr>
          <w:p>
            <w:pPr>
              <w:jc w:val="right"/>
              <w:ind w:right="100"/>
              <w:spacing w:after="0"/>
              <w:rPr>
                <w:sz w:val="20"/>
                <w:szCs w:val="20"/>
                <w:color w:val="auto"/>
              </w:rPr>
            </w:pPr>
            <w:r>
              <w:rPr>
                <w:rFonts w:ascii="Arial" w:cs="Arial" w:eastAsia="Arial" w:hAnsi="Arial"/>
                <w:sz w:val="14"/>
                <w:szCs w:val="14"/>
                <w:color w:val="auto"/>
                <w:w w:val="93"/>
              </w:rPr>
              <w:t>Six months ended June 30,</w:t>
            </w: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4680" w:type="dxa"/>
            <w:vAlign w:val="bottom"/>
            <w:tcBorders>
              <w:bottom w:val="single" w:sz="8" w:color="auto"/>
            </w:tcBorders>
          </w:tcPr>
          <w:p>
            <w:pPr>
              <w:ind w:left="1940"/>
              <w:spacing w:after="0"/>
              <w:rPr>
                <w:sz w:val="20"/>
                <w:szCs w:val="20"/>
                <w:color w:val="auto"/>
              </w:rPr>
            </w:pPr>
            <w:r>
              <w:rPr>
                <w:rFonts w:ascii="Arial" w:cs="Arial" w:eastAsia="Arial" w:hAnsi="Arial"/>
                <w:sz w:val="14"/>
                <w:szCs w:val="14"/>
                <w:color w:val="auto"/>
              </w:rPr>
              <w:t>Classification</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color w:val="auto"/>
              </w:rPr>
              <w:t>2020</w:t>
            </w: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color w:val="auto"/>
              </w:rPr>
              <w:t>2020</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 xml:space="preserve">Operating lease cost </w:t>
            </w:r>
            <w:r>
              <w:rPr>
                <w:rFonts w:ascii="Arial" w:cs="Arial" w:eastAsia="Arial" w:hAnsi="Arial"/>
                <w:sz w:val="24"/>
                <w:szCs w:val="24"/>
                <w:color w:val="auto"/>
                <w:vertAlign w:val="superscript"/>
              </w:rPr>
              <w:t>(1)</w:t>
            </w: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5,640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11,212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10,041</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Amortization of leased</w:t>
            </w:r>
          </w:p>
        </w:tc>
        <w:tc>
          <w:tcPr>
            <w:tcW w:w="20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20" w:type="dxa"/>
            <w:vAlign w:val="bottom"/>
            <w:shd w:val="clear" w:color="auto" w:fill="CCEEFF"/>
          </w:tcPr>
          <w:p>
            <w:pPr>
              <w:ind w:left="540"/>
              <w:spacing w:after="0" w:line="250"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6"/>
                <w:szCs w:val="26"/>
                <w:color w:val="auto"/>
                <w:vertAlign w:val="superscript"/>
              </w:rPr>
              <w:t>(2)</w:t>
            </w: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1"/>
        </w:trPr>
        <w:tc>
          <w:tcPr>
            <w:tcW w:w="2220" w:type="dxa"/>
            <w:vAlign w:val="bottom"/>
          </w:tcPr>
          <w:p>
            <w:pPr>
              <w:ind w:left="360"/>
              <w:spacing w:after="0" w:line="201" w:lineRule="exact"/>
              <w:rPr>
                <w:sz w:val="20"/>
                <w:szCs w:val="20"/>
                <w:color w:val="auto"/>
              </w:rPr>
            </w:pPr>
            <w:r>
              <w:rPr>
                <w:rFonts w:ascii="Arial" w:cs="Arial" w:eastAsia="Arial" w:hAnsi="Arial"/>
                <w:sz w:val="18"/>
                <w:szCs w:val="18"/>
                <w:color w:val="auto"/>
                <w:w w:val="93"/>
              </w:rPr>
              <w:t>Interest on finance lease</w:t>
            </w:r>
          </w:p>
        </w:tc>
        <w:tc>
          <w:tcPr>
            <w:tcW w:w="2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54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13,261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13,035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240" w:hanging="431"/>
        <w:spacing w:after="0" w:line="250" w:lineRule="auto"/>
        <w:tabs>
          <w:tab w:leader="none" w:pos="56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Includes variable lease costs of $0.6 million and $0.5 million for the three months ended June 30, 2020 and 2019, respectively, and $1.2 million and $1.0 million for the six months ended June 30, 2020 and 2019, respectively, and short-term lease costs of $0.2 million for each of the three months ended June 30, 2020 and 2019, respectively, and $0.4 million for each of the six months ended June 30, 2020 and 2019, respectively.</w:t>
      </w:r>
    </w:p>
    <w:p>
      <w:pPr>
        <w:spacing w:after="0" w:line="2" w:lineRule="exact"/>
        <w:rPr>
          <w:rFonts w:ascii="Arial" w:cs="Arial" w:eastAsia="Arial" w:hAnsi="Arial"/>
          <w:sz w:val="23"/>
          <w:szCs w:val="23"/>
          <w:color w:val="auto"/>
          <w:vertAlign w:val="superscript"/>
        </w:rPr>
      </w:pPr>
    </w:p>
    <w:p>
      <w:pPr>
        <w:ind w:left="560" w:right="600" w:hanging="431"/>
        <w:spacing w:after="0" w:line="199" w:lineRule="auto"/>
        <w:tabs>
          <w:tab w:leader="none" w:pos="56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Includes variable lease costs of $0.2 million for each of the three months ended June 30, 2020 and 2019, respectively, and $0.4 million and $0.5 million for the six months ended June 30, 2020 and 2019, respectively.</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5"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Information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presents supplemental cash flow information related to leases (in thousands):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color w:val="auto"/>
              </w:rPr>
              <w:t>Three months ended June 30,</w:t>
            </w:r>
          </w:p>
        </w:tc>
        <w:tc>
          <w:tcPr>
            <w:tcW w:w="1680" w:type="dxa"/>
            <w:vAlign w:val="bottom"/>
            <w:gridSpan w:val="5"/>
          </w:tcPr>
          <w:p>
            <w:pPr>
              <w:jc w:val="right"/>
              <w:ind w:right="100"/>
              <w:spacing w:after="0"/>
              <w:rPr>
                <w:sz w:val="20"/>
                <w:szCs w:val="20"/>
                <w:color w:val="auto"/>
              </w:rPr>
            </w:pPr>
            <w:r>
              <w:rPr>
                <w:rFonts w:ascii="Arial" w:cs="Arial" w:eastAsia="Arial" w:hAnsi="Arial"/>
                <w:sz w:val="14"/>
                <w:szCs w:val="14"/>
                <w:color w:val="auto"/>
                <w:w w:val="91"/>
              </w:rPr>
              <w:t>Six months ended June 30,</w:t>
            </w:r>
          </w:p>
        </w:tc>
      </w:tr>
      <w:tr>
        <w:trPr>
          <w:trHeight w:val="142"/>
        </w:trPr>
        <w:tc>
          <w:tcPr>
            <w:tcW w:w="6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2019</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2020</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2"/>
                <w:szCs w:val="12"/>
                <w:color w:val="auto"/>
              </w:rPr>
            </w:pPr>
          </w:p>
        </w:tc>
      </w:tr>
      <w:tr>
        <w:trPr>
          <w:trHeight w:val="195"/>
        </w:trPr>
        <w:tc>
          <w:tcPr>
            <w:tcW w:w="62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4,288</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  9,552</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  8,521</w:t>
            </w:r>
          </w:p>
        </w:tc>
      </w:tr>
      <w:tr>
        <w:trPr>
          <w:trHeight w:val="215"/>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for finance leases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Financing cash flows for finance leases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654</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1,116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1,392</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2,481</w:t>
            </w:r>
          </w:p>
        </w:tc>
      </w:tr>
    </w:tbl>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Undiscounted Cash Flows</w:t>
      </w:r>
    </w:p>
    <w:p>
      <w:pPr>
        <w:spacing w:after="0" w:line="116" w:lineRule="exact"/>
        <w:rPr>
          <w:sz w:val="20"/>
          <w:szCs w:val="20"/>
          <w:color w:val="auto"/>
        </w:rPr>
      </w:pPr>
    </w:p>
    <w:p>
      <w:pPr>
        <w:ind w:left="120" w:right="160"/>
        <w:spacing w:after="0" w:line="306" w:lineRule="auto"/>
        <w:rPr>
          <w:sz w:val="20"/>
          <w:szCs w:val="20"/>
          <w:color w:val="auto"/>
        </w:rPr>
      </w:pPr>
      <w:r>
        <w:rPr>
          <w:rFonts w:ascii="Arial" w:cs="Arial" w:eastAsia="Arial" w:hAnsi="Arial"/>
          <w:sz w:val="17"/>
          <w:szCs w:val="17"/>
          <w:color w:val="auto"/>
        </w:rPr>
        <w:t>The table below reconciles the undiscounted cash flows for each of the first five years and total of the remaining years for the finance lease obligations and operating lease obligations recorded on the Condensed Consolidated Balance Sheet as of June 30, 2020 (in thousands):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color w:val="auto"/>
              </w:rPr>
              <w:t>Finance Leases</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color w:val="auto"/>
              </w:rPr>
              <w:t>Operating Leases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Related Party</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color w:val="auto"/>
              </w:rPr>
              <w:t>Other</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Total Operating</w:t>
            </w:r>
          </w:p>
        </w:tc>
        <w:tc>
          <w:tcPr>
            <w:tcW w:w="100" w:type="dxa"/>
            <w:vAlign w:val="bottom"/>
          </w:tcPr>
          <w:p>
            <w:pPr>
              <w:spacing w:after="0"/>
              <w:rPr>
                <w:sz w:val="12"/>
                <w:szCs w:val="12"/>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1,482</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2,109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14,534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15,584</w:t>
            </w:r>
          </w:p>
        </w:tc>
      </w:tr>
      <w:tr>
        <w:trPr>
          <w:trHeight w:val="215"/>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10,224</w:t>
            </w: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5,808</w:t>
            </w:r>
          </w:p>
        </w:tc>
      </w:tr>
      <w:tr>
        <w:trPr>
          <w:trHeight w:val="215"/>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7,127</w:t>
            </w:r>
          </w:p>
        </w:tc>
      </w:tr>
      <w:tr>
        <w:trPr>
          <w:trHeight w:val="27"/>
        </w:trPr>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47,350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51,537</w:t>
            </w:r>
          </w:p>
        </w:tc>
      </w:tr>
      <w:tr>
        <w:trPr>
          <w:trHeight w:val="323"/>
        </w:trPr>
        <w:tc>
          <w:tcPr>
            <w:tcW w:w="6380" w:type="dxa"/>
            <w:vAlign w:val="bottom"/>
          </w:tcPr>
          <w:p>
            <w:pPr>
              <w:spacing w:after="0"/>
              <w:rPr>
                <w:sz w:val="20"/>
                <w:szCs w:val="20"/>
                <w:color w:val="auto"/>
              </w:rPr>
            </w:pPr>
            <w:r>
              <w:rPr>
                <w:rFonts w:ascii="Arial" w:cs="Arial" w:eastAsia="Arial" w:hAnsi="Arial"/>
                <w:sz w:val="18"/>
                <w:szCs w:val="18"/>
                <w:color w:val="auto"/>
              </w:rPr>
              <w:t>Less: Amounts representing executory costs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(4,607)</w:t>
            </w:r>
          </w:p>
        </w:tc>
      </w:tr>
      <w:tr>
        <w:trPr>
          <w:trHeight w:val="222"/>
        </w:trPr>
        <w:tc>
          <w:tcPr>
            <w:tcW w:w="6380" w:type="dxa"/>
            <w:vAlign w:val="bottom"/>
          </w:tcPr>
          <w:p>
            <w:pPr>
              <w:ind w:left="360"/>
              <w:spacing w:after="0"/>
              <w:rPr>
                <w:sz w:val="20"/>
                <w:szCs w:val="20"/>
                <w:color w:val="auto"/>
              </w:rPr>
            </w:pPr>
            <w:r>
              <w:rPr>
                <w:rFonts w:ascii="Arial" w:cs="Arial" w:eastAsia="Arial" w:hAnsi="Arial"/>
                <w:sz w:val="18"/>
                <w:szCs w:val="18"/>
                <w:color w:val="auto"/>
              </w:rPr>
              <w:t>Present value of future minimum lease payments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46,930</w:t>
            </w:r>
          </w:p>
        </w:tc>
        <w:tc>
          <w:tcPr>
            <w:tcW w:w="100" w:type="dxa"/>
            <w:vAlign w:val="bottom"/>
          </w:tcPr>
          <w:p>
            <w:pPr>
              <w:spacing w:after="0"/>
              <w:rPr>
                <w:sz w:val="19"/>
                <w:szCs w:val="19"/>
                <w:color w:val="auto"/>
              </w:rPr>
            </w:pPr>
          </w:p>
        </w:tc>
      </w:tr>
      <w:tr>
        <w:trPr>
          <w:trHeight w:val="215"/>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obligation under leases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(2,333)</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(16,209)</w:t>
            </w:r>
          </w:p>
        </w:tc>
      </w:tr>
      <w:tr>
        <w:trPr>
          <w:trHeight w:val="222"/>
        </w:trPr>
        <w:tc>
          <w:tcPr>
            <w:tcW w:w="6380" w:type="dxa"/>
            <w:vAlign w:val="bottom"/>
          </w:tcPr>
          <w:p>
            <w:pPr>
              <w:ind w:left="360"/>
              <w:spacing w:after="0"/>
              <w:rPr>
                <w:sz w:val="20"/>
                <w:szCs w:val="20"/>
                <w:color w:val="auto"/>
              </w:rPr>
            </w:pPr>
            <w:r>
              <w:rPr>
                <w:rFonts w:ascii="Arial" w:cs="Arial" w:eastAsia="Arial" w:hAnsi="Arial"/>
                <w:sz w:val="18"/>
                <w:szCs w:val="18"/>
                <w:color w:val="auto"/>
              </w:rPr>
              <w:t>Long-term lease obligations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30,721</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FAIR VALUE MEASUREMENTS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Assets and Liabilities Measured at Fair Value on a Recurring Basis</w:t>
      </w:r>
    </w:p>
    <w:p>
      <w:pPr>
        <w:spacing w:after="0" w:line="11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many cases, a valuation technique used to measure fair value includes inputs from multiple levels of the fair value hierarchy. The lowest level of significant input determines the placement of the entire fair value measurement in the hierarchy. During the periods presented, there were no transfers between fair value hierarchical levels.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Assets Measured at Fair Value on a Nonrecurring Basis</w:t>
      </w:r>
    </w:p>
    <w:p>
      <w:pPr>
        <w:spacing w:after="0" w:line="11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Certain assets, specifically other intangible and long-lived assets, are measured at fair value on a nonrecurring basis in periods subsequent to initial recognition. Assets measured at fair value on a nonrecurring basis as of June 30, 2020 and December 31, 2019 are categorized based on the lowest level of significant input to the valuation. The assets are measured at fair value when our impairment assessment indicates a carrying value for each of the assets in excess of the asset’s estimated fair value. Undiscounted cash flows, a Level 3 input, are utilized in determining estimated fair values. During each of the three and six months ended June 30, 2020 and 2019, we did not record any impairments on these assets required to be measured at fair value on a nonrecurring basis.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Estimated Fair Value of Financial Instruments</w:t>
      </w:r>
    </w:p>
    <w:p>
      <w:pPr>
        <w:spacing w:after="0" w:line="116"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Accounts receivable, accounts payable and accrued liabilities as of June 30, 2020 and December 31, 2019 approximate fair value due to the short-term maturities of these financial instruments. The carrying amounts of certain long-term debt, including the Term Loan and ABL Revolver as of June 30, 2020 and December 31, 2019, approximate fair value due to the variable rate nature of the agreements. The carrying amounts of our operating lease right-of-use assets and the obligations associated with our operating and finance leases as well as our vehicle and equipment notes approximate fair value as of June 30, 2020 and December 31, 2019. All debt classifications represent Level 2 fair value measurements.</w:t>
      </w:r>
    </w:p>
    <w:p>
      <w:pPr>
        <w:sectPr>
          <w:pgSz w:w="11900" w:h="16838" w:orient="portrait"/>
          <w:cols w:equalWidth="0" w:num="1">
            <w:col w:w="11120"/>
          </w:cols>
          <w:pgMar w:left="320" w:top="485" w:right="459" w:bottom="1440" w:gutter="0" w:footer="0" w:header="0"/>
        </w:sectPr>
      </w:pP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85"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Derivative financial instruments are measured at fair value based on observable market information and appropriate valuation methods. Contingent consideration liabilities arise from future earnout payments to the sellers associated with certain acquisitions and are based on predetermined calculations of certain future results. These future payments are estimated by considering various factors, including business risk and projections. The contingent consideration liabilities are measured at fair value by discounting estimated future payments to their net present value using the appropriate weighted average cost of capital (WACC). The fair values of financial assets and liabilities that are recorded at fair value in the Condensed Consolidated Balance Sheets and not described above were as follows (in thousands):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As of June 30, 2020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94"/>
              </w:rPr>
              <w:t>As of December 31, 2019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Level 2</w:t>
            </w: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97"/>
              </w:rPr>
              <w:t>Level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66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2"/>
                <w:szCs w:val="12"/>
                <w:color w:val="auto"/>
              </w:rPr>
            </w:pPr>
          </w:p>
        </w:tc>
        <w:tc>
          <w:tcPr>
            <w:tcW w:w="6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Level 2</w:t>
            </w:r>
          </w:p>
        </w:tc>
        <w:tc>
          <w:tcPr>
            <w:tcW w:w="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r>
      <w:tr>
        <w:trPr>
          <w:trHeight w:val="195"/>
        </w:trPr>
        <w:tc>
          <w:tcPr>
            <w:tcW w:w="52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112,237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112,237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99,242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w w:val="98"/>
              </w:rPr>
              <w:t>99,242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93"/>
        </w:trPr>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5200" w:type="dxa"/>
            <w:vAlign w:val="bottom"/>
          </w:tcPr>
          <w:p>
            <w:pPr>
              <w:ind w:left="360"/>
              <w:spacing w:after="0"/>
              <w:rPr>
                <w:sz w:val="20"/>
                <w:szCs w:val="20"/>
                <w:color w:val="auto"/>
              </w:rPr>
            </w:pPr>
            <w:r>
              <w:rPr>
                <w:rFonts w:ascii="Arial" w:cs="Arial" w:eastAsia="Arial" w:hAnsi="Arial"/>
                <w:sz w:val="18"/>
                <w:szCs w:val="18"/>
                <w:color w:val="auto"/>
              </w:rPr>
              <w:t>Derivative financial instruments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17,194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20"/>
                <w:szCs w:val="20"/>
                <w:color w:val="auto"/>
              </w:rPr>
            </w:pPr>
            <w:r>
              <w:rPr>
                <w:rFonts w:ascii="Arial" w:cs="Arial" w:eastAsia="Arial" w:hAnsi="Arial"/>
                <w:sz w:val="18"/>
                <w:szCs w:val="18"/>
                <w:color w:val="auto"/>
              </w:rPr>
              <w:t>17,194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9,446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2,221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3,854</w:t>
            </w:r>
          </w:p>
        </w:tc>
      </w:tr>
      <w:tr>
        <w:trPr>
          <w:trHeight w:val="222"/>
        </w:trPr>
        <w:tc>
          <w:tcPr>
            <w:tcW w:w="520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17,194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2,221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13,300</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9,446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3,854</w:t>
            </w:r>
          </w:p>
        </w:tc>
        <w:tc>
          <w:tcPr>
            <w:tcW w:w="6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See Note 5, Investments, for more information on cash equivalents included in the table above. Also see Note 10, Derivatives and Hedging Activities, for more information on derivative financial instruments.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The change in fair value of the contingent consideration (a Level 3 input) was as follows (in thousands):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80" w:type="dxa"/>
            <w:vAlign w:val="bottom"/>
            <w:vMerge w:val="restart"/>
          </w:tcPr>
          <w:p>
            <w:pPr>
              <w:spacing w:after="0"/>
              <w:rPr>
                <w:sz w:val="21"/>
                <w:szCs w:val="21"/>
                <w:color w:val="auto"/>
              </w:rPr>
            </w:pPr>
          </w:p>
        </w:tc>
        <w:tc>
          <w:tcPr>
            <w:tcW w:w="6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8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 - January 1, 2020</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$ 3,854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Preliminary purchase price</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Accretion in value</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Amounts paid to sellers</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Contingent consideration liability - June 30, 2020</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The accretion in value of contingent consideration liabilities is included within administrative expenses on the Condensed Consolidated Statements of Operations and Comprehensive Income.</w:t>
      </w:r>
    </w:p>
    <w:p>
      <w:pPr>
        <w:spacing w:after="0" w:line="170"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The carrying values and associated fair values of financial assets and liabilities that are not recorded at fair value in the Condensed Consolidated Balance Sheets and not described above include our Senior Notes and investments. To estimate fair values of these items, we utilized third-party quotes which are derived all or in part from model prices, external sources or market prices. Both represent a Level 2 fair value measurement and are as follows (in thousands):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ind w:left="240"/>
              <w:spacing w:after="0"/>
              <w:rPr>
                <w:sz w:val="20"/>
                <w:szCs w:val="20"/>
                <w:color w:val="auto"/>
              </w:rPr>
            </w:pPr>
            <w:r>
              <w:rPr>
                <w:rFonts w:ascii="Arial" w:cs="Arial" w:eastAsia="Arial" w:hAnsi="Arial"/>
                <w:sz w:val="14"/>
                <w:szCs w:val="14"/>
                <w:color w:val="auto"/>
              </w:rPr>
              <w:t>As of June 30, 2020</w:t>
            </w:r>
          </w:p>
        </w:tc>
        <w:tc>
          <w:tcPr>
            <w:tcW w:w="160" w:type="dxa"/>
            <w:vAlign w:val="bottom"/>
          </w:tcPr>
          <w:p>
            <w:pPr>
              <w:spacing w:after="0"/>
              <w:rPr>
                <w:sz w:val="14"/>
                <w:szCs w:val="14"/>
                <w:color w:val="auto"/>
              </w:rPr>
            </w:pPr>
          </w:p>
        </w:tc>
        <w:tc>
          <w:tcPr>
            <w:tcW w:w="1860" w:type="dxa"/>
            <w:vAlign w:val="bottom"/>
            <w:gridSpan w:val="4"/>
          </w:tcPr>
          <w:p>
            <w:pPr>
              <w:jc w:val="right"/>
              <w:ind w:right="300"/>
              <w:spacing w:after="0"/>
              <w:rPr>
                <w:sz w:val="20"/>
                <w:szCs w:val="20"/>
                <w:color w:val="auto"/>
              </w:rPr>
            </w:pPr>
            <w:r>
              <w:rPr>
                <w:rFonts w:ascii="Arial" w:cs="Arial" w:eastAsia="Arial" w:hAnsi="Arial"/>
                <w:sz w:val="14"/>
                <w:szCs w:val="14"/>
                <w:color w:val="auto"/>
                <w:w w:val="96"/>
              </w:rPr>
              <w:t>As of December 31, 2019</w:t>
            </w:r>
          </w:p>
        </w:tc>
      </w:tr>
      <w:tr>
        <w:trPr>
          <w:trHeight w:val="142"/>
        </w:trPr>
        <w:tc>
          <w:tcPr>
            <w:tcW w:w="568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Carrying Value</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Fair Value</w:t>
            </w:r>
          </w:p>
        </w:tc>
        <w:tc>
          <w:tcPr>
            <w:tcW w:w="42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Carrying Value</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Fair Value</w:t>
            </w:r>
          </w:p>
        </w:tc>
        <w:tc>
          <w:tcPr>
            <w:tcW w:w="60" w:type="dxa"/>
            <w:vAlign w:val="bottom"/>
          </w:tcPr>
          <w:p>
            <w:pPr>
              <w:spacing w:after="0"/>
              <w:rPr>
                <w:sz w:val="12"/>
                <w:szCs w:val="12"/>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$ 16,737</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37,961</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$ 37,958</w:t>
            </w:r>
          </w:p>
        </w:tc>
        <w:tc>
          <w:tcPr>
            <w:tcW w:w="60" w:type="dxa"/>
            <w:vAlign w:val="bottom"/>
            <w:tcBorders>
              <w:top w:val="single" w:sz="8" w:color="CCEEFF"/>
            </w:tcBorders>
            <w:shd w:val="clear" w:color="auto" w:fill="CCEEFF"/>
          </w:tcPr>
          <w:p>
            <w:pPr>
              <w:spacing w:after="0"/>
              <w:rPr>
                <w:sz w:val="18"/>
                <w:szCs w:val="18"/>
                <w:color w:val="auto"/>
              </w:rPr>
            </w:pPr>
          </w:p>
        </w:tc>
      </w:tr>
      <w:tr>
        <w:trPr>
          <w:trHeight w:val="313"/>
        </w:trPr>
        <w:tc>
          <w:tcPr>
            <w:tcW w:w="5680" w:type="dxa"/>
            <w:vAlign w:val="bottom"/>
          </w:tcPr>
          <w:p>
            <w:pPr>
              <w:spacing w:after="0"/>
              <w:rPr>
                <w:sz w:val="20"/>
                <w:szCs w:val="20"/>
                <w:color w:val="auto"/>
              </w:rPr>
            </w:pPr>
            <w:r>
              <w:rPr>
                <w:rFonts w:ascii="Arial" w:cs="Arial" w:eastAsia="Arial" w:hAnsi="Arial"/>
                <w:sz w:val="18"/>
                <w:szCs w:val="18"/>
                <w:color w:val="auto"/>
              </w:rPr>
              <w:t>Senior Notes</w:t>
            </w:r>
            <w:r>
              <w:rPr>
                <w:rFonts w:ascii="Arial" w:cs="Arial" w:eastAsia="Arial" w:hAnsi="Arial"/>
                <w:sz w:val="26"/>
                <w:szCs w:val="26"/>
                <w:color w:val="auto"/>
                <w:vertAlign w:val="superscript"/>
              </w:rPr>
              <w:t>(1)</w:t>
            </w:r>
          </w:p>
        </w:tc>
        <w:tc>
          <w:tcPr>
            <w:tcW w:w="18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300,000</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304,635</w:t>
            </w:r>
          </w:p>
        </w:tc>
        <w:tc>
          <w:tcPr>
            <w:tcW w:w="16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300,000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321,114</w:t>
            </w:r>
          </w:p>
        </w:tc>
      </w:tr>
    </w:tbl>
    <w:p>
      <w:pPr>
        <w:ind w:left="560" w:hanging="431"/>
        <w:spacing w:after="0" w:line="185" w:lineRule="auto"/>
        <w:tabs>
          <w:tab w:leader="none" w:pos="56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Excludes the impact of unamortized debt issuance costs.</w:t>
      </w:r>
    </w:p>
    <w:p>
      <w:pPr>
        <w:spacing w:after="0" w:line="201"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See Note 5, Investments, for more information on investments included in the table above. Also see Note 7, Debt, for more information on our Senior Notes.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5"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DERIVATIVES AND HEDGING ACTIVITIES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116"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Our purpose for using interest rate derivatives is to add stability to interest expense and to manage our exposure to interest rate movements. During the six months ended June 30, 2020, such derivatives were used to hedge the variable cash flows associated with existing variable-rate debt. To accomplish these objectives, we primarily use interest rate swaps as part of our interest rate risk management strategy. Interest rate swaps designated as cash flow hedges involve the receipt of variable amounts from a counterparty in exchange for making fixed-rate payments over the life of the agreements without exchange of the underlying notional amount. As of June 30, 2020, we had two interest rate swaps, each with an associated floor, with a total beginning notional of $200.0 million, one that amortizes quarterly to $95.3 million at a maturity date of May 31, 2022 and one that amortizes quarterly to $93.3 million at a maturity date of April 15, 2025. We also had a forward interest rate swap with an associated floor beginning May 31, 2022 with a beginning notional of $100.0 million that amortizes quarterly to $97.0 million at a maturity date of April 15, 2025. These three swaps serve to hedge substantially all of the variable cash flows on our Term Loan until maturity. On August 4, 2020, we terminated these existing swaps and simultaneously entered into a new forward interest rate swap. See Note 18, Subsequent Event, for further information. The assets and liabilities associated with these derivative instruments are included in other current liabilities and other long-term liabilities on the Condensed Consolidated Balance Sheets at their fair value amounts as described in Note 9, Fair Value Measurements.</w:t>
      </w:r>
    </w:p>
    <w:p>
      <w:pPr>
        <w:spacing w:after="0" w:line="182" w:lineRule="exact"/>
        <w:rPr>
          <w:sz w:val="20"/>
          <w:szCs w:val="20"/>
          <w:color w:val="auto"/>
        </w:rPr>
      </w:pPr>
    </w:p>
    <w:p>
      <w:pPr>
        <w:jc w:val="both"/>
        <w:ind w:left="120" w:right="20"/>
        <w:spacing w:after="0" w:line="258" w:lineRule="auto"/>
        <w:rPr>
          <w:sz w:val="20"/>
          <w:szCs w:val="20"/>
          <w:color w:val="auto"/>
        </w:rPr>
      </w:pPr>
      <w:r>
        <w:rPr>
          <w:rFonts w:ascii="Arial" w:cs="Arial" w:eastAsia="Arial" w:hAnsi="Arial"/>
          <w:sz w:val="18"/>
          <w:szCs w:val="18"/>
          <w:color w:val="auto"/>
        </w:rPr>
        <w:t>The changes in the fair value of derivatives designated and that qualify as cash flow hedges are recorded in other comprehensive income, net of tax on the Condensed Consolidated Statements of Operations and Comprehensive Income and in accumulated other comprehensive income on the Condensed Consolidated Balance Sheets and subsequently reclassified into earnings in the period that the hedged forecasted transaction affects earnings. We had no such changes during the six months ended June 30, 2020 or 2019.</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expense, net as interest payments are made on our variable-rate debt. Over the next twelve months, we estimate that an additional $3.3 million will be reclassified as an increase to interest expense, net.</w:t>
      </w:r>
    </w:p>
    <w:p>
      <w:pPr>
        <w:spacing w:after="0" w:line="182" w:lineRule="exact"/>
        <w:rPr>
          <w:sz w:val="20"/>
          <w:szCs w:val="20"/>
          <w:color w:val="auto"/>
        </w:rPr>
      </w:pPr>
    </w:p>
    <w:p>
      <w:pPr>
        <w:ind w:left="120" w:right="500"/>
        <w:spacing w:after="0" w:line="276" w:lineRule="auto"/>
        <w:rPr>
          <w:sz w:val="20"/>
          <w:szCs w:val="20"/>
          <w:color w:val="auto"/>
        </w:rPr>
      </w:pPr>
      <w:r>
        <w:rPr>
          <w:rFonts w:ascii="Arial" w:cs="Arial" w:eastAsia="Arial" w:hAnsi="Arial"/>
          <w:sz w:val="18"/>
          <w:szCs w:val="18"/>
          <w:color w:val="auto"/>
        </w:rPr>
        <w:t>Additionally, we do not use derivatives for trading or speculative purposes and we currently do not have any derivatives that are not designated as hedges. As of June 30, 2020, we have not posted any collateral related to these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LIBOR is used as a reference rate for our interest rate swap agreements we use to hedge our interest rate exposure. During the six months ended</w:t>
      </w:r>
    </w:p>
    <w:p>
      <w:pPr>
        <w:spacing w:after="0" w:line="46"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June 30, 2020, we adopted ASU 2020-04, Reference Rate Reform: Facilitation of the Effects of Reference Rate Reform on Financial Reporting (Topic 848). The purpose of this guidance is to provide relief for impacted areas as it relates to impending reference rate reform.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We continue to evaluate the impact of the guidance and may apply other elections as applicable as additional changes in the market occur.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STOCKHOLDERS’ EQUITY</w:t>
      </w:r>
    </w:p>
    <w:p>
      <w:pPr>
        <w:spacing w:after="0" w:line="12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of June 30, 2020 and December 31, 2019, we had losses of $12.9 million and $7.1 million, respectively, in accumulated other comprehensive income on our Condensed Consolidated Balance Sheets, which represents the effective portion of the unrealized loss on our derivative instruments. For additional information, see Note 10, Derivatives and Hedging Activities.</w:t>
      </w:r>
    </w:p>
    <w:p>
      <w:pPr>
        <w:spacing w:after="0" w:line="18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During the six months ended June 30, 2020, we repurchased approximately 443 thousand shares of our common stock with an aggregate price of approximately $15.8 million, or $35.59 average price per share. We did not repurchase any shares during the six months ended June 30, 2019. The stock repurchase plan is in effect through March 1, 2021 unless extended by our board of directors. The effect of these treasury shares reducing the number of common shares outstanding is reflected in our earnings per share calculation. As of June 30, 2020, we have $44.9 million remaining on our current stock repurchase program. In response to COVID-19, we have temporarily suspended our share repurchase program.</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5"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EMPLOYEE BENEFITS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Healthcare</w:t>
      </w:r>
    </w:p>
    <w:p>
      <w:pPr>
        <w:spacing w:after="0" w:line="11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participate in multiple healthcare plans, the largest of which is partially self-funded with an insurance company paying benefits in excess of stop loss limits per individual/family. Our healthcare benefit expense (net of employee contributions) was approximately $5.7 million and $5.3 million for the three months ended June 30, 2020 and 2019, respectively, and $12.7 million and $10.1 million for the six months ended June 30, 2020 and 2019, respectively, for all plans. An accrual for estimated healthcare claims incurred but not reported (“IBNR”) is included within accrued compensation on the Condensed Consolidated Balance Sheets and was $3.3 million and $2.6 million as of June 30, 2020 and December 31, 2019, respectively.</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Workers’ Compensation</w:t>
      </w:r>
    </w:p>
    <w:p>
      <w:pPr>
        <w:spacing w:after="0" w:line="11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Workers’ compensation expense totaled $2.9 million and $3.6 million for the three months ended June 30, 2020 and 2019, respectively, and $7.3 million and $7.8 million for the six months ended June 30, 2020 and 2019, respectively. Workers’ compensation known claims and IBNR reserves included on the Condensed Consolidated Balance Sheets were as follows (in thousands):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color w:val="auto"/>
              </w:rPr>
              <w:t>June 30,</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45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6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Included in other long-term liabilities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11,067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10,874</w:t>
            </w:r>
          </w:p>
        </w:tc>
      </w:tr>
      <w:tr>
        <w:trPr>
          <w:trHeight w:val="27"/>
        </w:trPr>
        <w:tc>
          <w:tcPr>
            <w:tcW w:w="4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4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18,161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17,651</w:t>
            </w:r>
          </w:p>
        </w:tc>
      </w:tr>
      <w:tr>
        <w:trPr>
          <w:trHeight w:val="20"/>
        </w:trPr>
        <w:tc>
          <w:tcPr>
            <w:tcW w:w="4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spacing w:after="0" w:line="341" w:lineRule="auto"/>
        <w:rPr>
          <w:sz w:val="20"/>
          <w:szCs w:val="20"/>
          <w:color w:val="auto"/>
        </w:rPr>
      </w:pPr>
      <w:r>
        <w:rPr>
          <w:rFonts w:ascii="Arial" w:cs="Arial" w:eastAsia="Arial" w:hAnsi="Arial"/>
          <w:sz w:val="16"/>
          <w:szCs w:val="16"/>
          <w:color w:val="auto"/>
        </w:rPr>
        <w:t>We also had an insurance receivable for claims that exceeded the stop loss limit for fully insured policies included on the Condensed Consolidated Balance Sheets. This receivable offsets an equal liability included within the reserve amounts noted above and was as follows (in thousands):</w:t>
      </w:r>
    </w:p>
    <w:p>
      <w:pPr>
        <w:spacing w:after="0" w:line="1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June 30,</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64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non-current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60" w:type="dxa"/>
            <w:vAlign w:val="bottom"/>
            <w:shd w:val="clear" w:color="auto" w:fill="CCEEFF"/>
          </w:tcPr>
          <w:p>
            <w:pPr>
              <w:spacing w:after="0"/>
              <w:rPr>
                <w:sz w:val="18"/>
                <w:szCs w:val="18"/>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Retirement Plans</w:t>
      </w:r>
    </w:p>
    <w:p>
      <w:pPr>
        <w:spacing w:after="0" w:line="116"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participate in multiple 401(k) plans, whereby we provide a matching contribution of wages deferred by employees and can also make discretionary contributions to each plan. Certain plans allow for discretionary employer contributions only. These plans cover substantially all our eligible employees. We recognized 401(k) plan expenses of $0.6 million and $0.4 million during the three months ended June 30, 2020 and 2019, respectively, and</w:t>
      </w:r>
    </w:p>
    <w:p>
      <w:pPr>
        <w:spacing w:after="0" w:line="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$1.2 million and $1.0 million during the six months ended June 30, 2020 and 2019, respectively. These expenses are included in administrative expenses on the accompanying Condensed Consolidated Statements of Operations and Comprehensive Income.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Share-Based Compensation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Awards</w:t>
      </w:r>
    </w:p>
    <w:p>
      <w:pPr>
        <w:spacing w:after="0" w:line="116" w:lineRule="exact"/>
        <w:rPr>
          <w:sz w:val="20"/>
          <w:szCs w:val="20"/>
          <w:color w:val="auto"/>
        </w:rPr>
      </w:pPr>
    </w:p>
    <w:p>
      <w:pPr>
        <w:ind w:left="120" w:right="360"/>
        <w:spacing w:after="0" w:line="276" w:lineRule="auto"/>
        <w:rPr>
          <w:sz w:val="20"/>
          <w:szCs w:val="20"/>
          <w:color w:val="auto"/>
        </w:rPr>
      </w:pPr>
      <w:r>
        <w:rPr>
          <w:rFonts w:ascii="Arial" w:cs="Arial" w:eastAsia="Arial" w:hAnsi="Arial"/>
          <w:sz w:val="18"/>
          <w:szCs w:val="18"/>
          <w:color w:val="auto"/>
        </w:rPr>
        <w:t>We periodically grant shares of our common stock to non-employee members of our board of directors and our employees. During the three and six months ended June 30, 2020 and 2019, we granted approximately six thousand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5"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and eight thousand shares of our common stock, respectively, under our 2014 Omnibus Incentive Plan to non-employee members of our board of directors. Substantially all of the stock will vest over a one year service period. Accordingly, we recorded $0.1 million in compensation expense during the three and six months ended June 30, 2020 and $0.1 million and $0.2 million for the three and six months ended June 30, 2019, respectively.</w:t>
      </w:r>
    </w:p>
    <w:p>
      <w:pPr>
        <w:spacing w:after="0" w:line="147"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In addition, we granted approximately 0.2 million and 0.1 million shares of our common stock to employees during the three and six months ended June 30, 2020 and 2019, respectively. We recorded $1.0 million and $2.0 million of compensation expense associated with non-performance-based awards issued to employees during the three and six months ended June 30, 2020 and $1.2 million and $2.3 million for the three and six months ended June 30, 2019, respectively.</w:t>
      </w:r>
    </w:p>
    <w:p>
      <w:pPr>
        <w:spacing w:after="0" w:line="187"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During the six months ended June 30, 2020 and 2019, our employees surrendered approximately 25 thousand and 45 thousand shares of our common stock, respectively, to satisfy tax withholding obligations arising in connection with the vesting of common stock awards issued under our 2014 Omnibus Incentive Plan. We recognized a tax shortfall of $0.3 million for the three and six months ended June 30, 2020 and we recognized windfall tax benefits of $0.3 million for the three and six months ended June 30, 2019 within the income tax provision in the Condensed Consolidated Statements of Operations and Comprehensive Income.</w:t>
      </w:r>
    </w:p>
    <w:p>
      <w:pPr>
        <w:spacing w:after="0" w:line="18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As of June 30, 2020, we had $8.1 million of unrecognized compensation expense related to these nonvested common stock awards issued to non-employee members of our board of directors and our employees. This expense is subject to future adjustments for forfeitures and is expected to be recognized on a straight-line basis over the remaining weighted-average period of 2.2 years. Shares forfeited are returned as treasury shares and available for future issuances. See the table below for changes in shares and related weighted average grant date fair value per share.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Employees – Performance-Based Stock Awards</w:t>
      </w:r>
    </w:p>
    <w:p>
      <w:pPr>
        <w:spacing w:after="0" w:line="116"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During the six months ended June 30, 2020, we issued under our 2014 Omnibus Incentive Plan approximately 0.1 million shares of our common stock to certain officers, which vest in two equal installments on each of April 20, 2021 and April 20, 2022. In addition, during the six months ended June 30, 2020, we established, and our Board of Directors approved, performance-based targets in connection with common stock awards to be issued to certain officers in 2021 contingent upon achievement of these targets. Share-based compensation expense associated with these performance-based awards and prior performance-based grants was $0.9 million and $1.9 million for the three and six months ended June 30, 2020, respectively, and $0.8 million and $1.5 million for the three and six months ended June 30, 2019, respectively.</w:t>
      </w:r>
    </w:p>
    <w:p>
      <w:pPr>
        <w:spacing w:after="0" w:line="174"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As of June 30, 2020, we had $6.0 million of unrecognized compensation expense related to nonvested performance-based common stock awards. This expense is subject to future adjustments for forfeitures and is expected to be recognized over the remaining weighted-average period of 1.9 years using the graded-vesting method. See the table below for changes in shares and related weighted average grant date fair value per share.</w:t>
      </w:r>
    </w:p>
    <w:p>
      <w:pPr>
        <w:spacing w:after="0" w:line="14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addition, there are long-term performance-based restricted stock awards to be issued to certain employees annually through 2022 contingent upon achievement of certain performance targets. These awards are accounted for as liability-based awards since they represent a predominantly-fixed monetary amount that will be settled with a variable number of common shares and as such are included in other long-term liabilities on the Consolidated Balance Sheets. During the three and six months ended June 30, 2020, we recorded $0.5 million and $0.7 million in compensation expense, respectively, associated with these performance-based awards, and we recorded $0.1 million in compensation expense during the three and six months ended June 30, 2019.</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Employees – Performance-Based Restricted Stock Units</w:t>
      </w:r>
    </w:p>
    <w:p>
      <w:pPr>
        <w:spacing w:after="0" w:line="116" w:lineRule="exact"/>
        <w:rPr>
          <w:sz w:val="20"/>
          <w:szCs w:val="20"/>
          <w:color w:val="auto"/>
        </w:rPr>
      </w:pPr>
    </w:p>
    <w:p>
      <w:pPr>
        <w:ind w:left="120" w:right="160"/>
        <w:spacing w:after="0" w:line="258" w:lineRule="auto"/>
        <w:rPr>
          <w:sz w:val="20"/>
          <w:szCs w:val="20"/>
          <w:color w:val="auto"/>
        </w:rPr>
      </w:pPr>
      <w:r>
        <w:rPr>
          <w:rFonts w:ascii="Arial" w:cs="Arial" w:eastAsia="Arial" w:hAnsi="Arial"/>
          <w:sz w:val="18"/>
          <w:szCs w:val="18"/>
          <w:color w:val="auto"/>
        </w:rPr>
        <w:t>During 2019, we established, and our board of directors approved, performance-based restricted stock units in connection with common stock awards which were issued to certain employees in 2020 based upon achievement of a performance target. In addition, during the six months ended June 30, 2020, we established, and our board of directors approved, performance-based restricted stock units in connection with common stock awards to be issued</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85"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to certain employees in 2021 based upon achievement of a performance target. These units will be accounted for as equity-based awards that will be settled with a fixed number of common shares. We recorded $0.1 million and $0.3 million in compensation expense associated with these performance-based units during the three and six months ended June 30, 2020, respectively, and $0.2 million and $0.3 million for the three and six months ended June 30, 2019, respectively.</w:t>
      </w:r>
    </w:p>
    <w:p>
      <w:pPr>
        <w:spacing w:after="0" w:line="187"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As of June 30, 2020, we had $0.4 million of unrecognized compensation expense related to nonvested performance-based common stock units. This expense is subject to future adjustments for forfeitures and is expected to be recognized on a straight-line basis over the remaining weighted-average period of 0.8 years. See the table below for changes in shares and related weighted average grant date fair value per share.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Compensation Summary</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and changes for each category of equity-based award were as follows: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6"/>
          </w:tcPr>
          <w:p>
            <w:pPr>
              <w:jc w:val="right"/>
              <w:ind w:right="140"/>
              <w:spacing w:after="0"/>
              <w:rPr>
                <w:sz w:val="20"/>
                <w:szCs w:val="20"/>
                <w:color w:val="auto"/>
              </w:rPr>
            </w:pPr>
            <w:r>
              <w:rPr>
                <w:rFonts w:ascii="Arial" w:cs="Arial" w:eastAsia="Arial" w:hAnsi="Arial"/>
                <w:sz w:val="14"/>
                <w:szCs w:val="14"/>
                <w:color w:val="auto"/>
                <w:w w:val="94"/>
              </w:rPr>
              <w:t>Performance-Based Restricted Stock</w:t>
            </w:r>
          </w:p>
        </w:tc>
      </w:tr>
      <w:tr>
        <w:trPr>
          <w:trHeight w:val="167"/>
        </w:trPr>
        <w:tc>
          <w:tcPr>
            <w:tcW w:w="4040" w:type="dxa"/>
            <w:vAlign w:val="bottom"/>
          </w:tcPr>
          <w:p>
            <w:pPr>
              <w:spacing w:after="0"/>
              <w:rPr>
                <w:sz w:val="14"/>
                <w:szCs w:val="14"/>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4"/>
                <w:szCs w:val="14"/>
                <w:color w:val="auto"/>
              </w:rPr>
              <w:t>Common Stock Awards</w:t>
            </w:r>
          </w:p>
        </w:tc>
        <w:tc>
          <w:tcPr>
            <w:tcW w:w="2440" w:type="dxa"/>
            <w:vAlign w:val="bottom"/>
            <w:gridSpan w:val="6"/>
          </w:tcPr>
          <w:p>
            <w:pPr>
              <w:jc w:val="right"/>
              <w:ind w:right="400"/>
              <w:spacing w:after="0"/>
              <w:rPr>
                <w:sz w:val="20"/>
                <w:szCs w:val="20"/>
                <w:color w:val="auto"/>
              </w:rPr>
            </w:pPr>
            <w:r>
              <w:rPr>
                <w:rFonts w:ascii="Arial" w:cs="Arial" w:eastAsia="Arial" w:hAnsi="Arial"/>
                <w:sz w:val="14"/>
                <w:szCs w:val="14"/>
                <w:color w:val="auto"/>
                <w:w w:val="94"/>
              </w:rPr>
              <w:t>Performance-Based Stock Awards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color w:val="auto"/>
              </w:rPr>
              <w:t>Units</w:t>
            </w:r>
          </w:p>
        </w:tc>
      </w:tr>
      <w:tr>
        <w:trPr>
          <w:trHeight w:val="123"/>
        </w:trPr>
        <w:tc>
          <w:tcPr>
            <w:tcW w:w="40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95"/>
              <w:spacing w:after="0" w:line="123" w:lineRule="exact"/>
              <w:rPr>
                <w:sz w:val="20"/>
                <w:szCs w:val="20"/>
                <w:color w:val="auto"/>
              </w:rPr>
            </w:pPr>
            <w:r>
              <w:rPr>
                <w:rFonts w:ascii="Arial" w:cs="Arial" w:eastAsia="Arial" w:hAnsi="Arial"/>
                <w:sz w:val="14"/>
                <w:szCs w:val="14"/>
                <w:color w:val="auto"/>
                <w:w w:val="94"/>
              </w:rPr>
              <w:t>Weighted</w:t>
            </w:r>
          </w:p>
        </w:tc>
        <w:tc>
          <w:tcPr>
            <w:tcW w:w="3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1"/>
              </w:rPr>
              <w:t>Weighted</w:t>
            </w: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57"/>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r>
      <w:tr>
        <w:trPr>
          <w:trHeight w:val="148"/>
        </w:trPr>
        <w:tc>
          <w:tcPr>
            <w:tcW w:w="4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right"/>
              <w:ind w:right="340"/>
              <w:spacing w:after="0" w:line="148" w:lineRule="exact"/>
              <w:rPr>
                <w:sz w:val="20"/>
                <w:szCs w:val="20"/>
                <w:color w:val="auto"/>
              </w:rPr>
            </w:pPr>
            <w:r>
              <w:rPr>
                <w:rFonts w:ascii="Arial" w:cs="Arial" w:eastAsia="Arial" w:hAnsi="Arial"/>
                <w:sz w:val="14"/>
                <w:szCs w:val="14"/>
                <w:color w:val="auto"/>
                <w:w w:val="92"/>
              </w:rPr>
              <w:t>Average Grant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20"/>
              <w:spacing w:after="0" w:line="148" w:lineRule="exact"/>
              <w:rPr>
                <w:sz w:val="20"/>
                <w:szCs w:val="20"/>
                <w:color w:val="auto"/>
              </w:rPr>
            </w:pPr>
            <w:r>
              <w:rPr>
                <w:rFonts w:ascii="Arial" w:cs="Arial" w:eastAsia="Arial" w:hAnsi="Arial"/>
                <w:sz w:val="14"/>
                <w:szCs w:val="14"/>
                <w:color w:val="auto"/>
                <w:w w:val="92"/>
              </w:rPr>
              <w:t>Average Grant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2"/>
              </w:rPr>
              <w:t>Average Grant</w:t>
            </w:r>
          </w:p>
        </w:tc>
      </w:tr>
      <w:tr>
        <w:trPr>
          <w:trHeight w:val="148"/>
        </w:trPr>
        <w:tc>
          <w:tcPr>
            <w:tcW w:w="4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right"/>
              <w:ind w:right="300"/>
              <w:spacing w:after="0" w:line="148" w:lineRule="exact"/>
              <w:rPr>
                <w:sz w:val="20"/>
                <w:szCs w:val="20"/>
                <w:color w:val="auto"/>
              </w:rPr>
            </w:pPr>
            <w:r>
              <w:rPr>
                <w:rFonts w:ascii="Arial" w:cs="Arial" w:eastAsia="Arial" w:hAnsi="Arial"/>
                <w:sz w:val="14"/>
                <w:szCs w:val="14"/>
                <w:color w:val="auto"/>
                <w:w w:val="90"/>
              </w:rPr>
              <w:t>Date Fair Value</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300"/>
              <w:spacing w:after="0" w:line="148" w:lineRule="exact"/>
              <w:rPr>
                <w:sz w:val="20"/>
                <w:szCs w:val="20"/>
                <w:color w:val="auto"/>
              </w:rPr>
            </w:pPr>
            <w:r>
              <w:rPr>
                <w:rFonts w:ascii="Arial" w:cs="Arial" w:eastAsia="Arial" w:hAnsi="Arial"/>
                <w:sz w:val="14"/>
                <w:szCs w:val="14"/>
                <w:color w:val="auto"/>
                <w:w w:val="92"/>
              </w:rPr>
              <w:t>Date Fair Value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60"/>
              <w:spacing w:after="0" w:line="148" w:lineRule="exact"/>
              <w:rPr>
                <w:sz w:val="20"/>
                <w:szCs w:val="20"/>
                <w:color w:val="auto"/>
              </w:rPr>
            </w:pPr>
            <w:r>
              <w:rPr>
                <w:rFonts w:ascii="Arial" w:cs="Arial" w:eastAsia="Arial" w:hAnsi="Arial"/>
                <w:sz w:val="14"/>
                <w:szCs w:val="14"/>
                <w:color w:val="auto"/>
                <w:w w:val="91"/>
              </w:rPr>
              <w:t>Date Fair Value Per</w:t>
            </w:r>
          </w:p>
        </w:tc>
      </w:tr>
      <w:tr>
        <w:trPr>
          <w:trHeight w:val="167"/>
        </w:trPr>
        <w:tc>
          <w:tcPr>
            <w:tcW w:w="404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Awards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88"/>
              </w:rPr>
              <w:t>Per Share</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Awards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5"/>
              </w:rPr>
              <w:t>Per Share</w:t>
            </w:r>
          </w:p>
        </w:tc>
        <w:tc>
          <w:tcPr>
            <w:tcW w:w="300" w:type="dxa"/>
            <w:vAlign w:val="bottom"/>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Units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85"/>
              </w:rPr>
              <w:t>Share</w:t>
            </w:r>
          </w:p>
        </w:tc>
        <w:tc>
          <w:tcPr>
            <w:tcW w:w="60" w:type="dxa"/>
            <w:vAlign w:val="bottom"/>
          </w:tcPr>
          <w:p>
            <w:pPr>
              <w:spacing w:after="0"/>
              <w:rPr>
                <w:sz w:val="14"/>
                <w:szCs w:val="14"/>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Nonvested awards/units at December 31, 2019</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152,882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51.62</w:t>
            </w:r>
          </w:p>
        </w:tc>
      </w:tr>
      <w:tr>
        <w:trPr>
          <w:trHeight w:val="215"/>
        </w:trPr>
        <w:tc>
          <w:tcPr>
            <w:tcW w:w="4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156,803</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39.21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77.19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13,655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36.51</w:t>
            </w:r>
          </w:p>
        </w:tc>
      </w:tr>
      <w:tr>
        <w:trPr>
          <w:trHeight w:val="215"/>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(90,870)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51.50</w:t>
            </w:r>
          </w:p>
        </w:tc>
      </w:tr>
      <w:tr>
        <w:trPr>
          <w:trHeight w:val="215"/>
        </w:trPr>
        <w:tc>
          <w:tcPr>
            <w:tcW w:w="404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50.41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48.04</w:t>
            </w:r>
          </w:p>
        </w:tc>
      </w:tr>
      <w:tr>
        <w:trPr>
          <w:trHeight w:val="27"/>
        </w:trPr>
        <w:tc>
          <w:tcPr>
            <w:tcW w:w="40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Nonvested awards/units at June 30, 2020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216,518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13,490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36.51</w:t>
            </w:r>
          </w:p>
        </w:tc>
      </w:tr>
      <w:tr>
        <w:trPr>
          <w:trHeight w:val="20"/>
        </w:trPr>
        <w:tc>
          <w:tcPr>
            <w:tcW w:w="4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recorded the following stock compensation expense by income statement category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2140" w:type="dxa"/>
            <w:vAlign w:val="bottom"/>
            <w:gridSpan w:val="6"/>
          </w:tcPr>
          <w:p>
            <w:pPr>
              <w:ind w:left="80"/>
              <w:spacing w:after="0"/>
              <w:rPr>
                <w:sz w:val="20"/>
                <w:szCs w:val="20"/>
                <w:color w:val="auto"/>
              </w:rPr>
            </w:pPr>
            <w:r>
              <w:rPr>
                <w:rFonts w:ascii="Arial" w:cs="Arial" w:eastAsia="Arial" w:hAnsi="Arial"/>
                <w:sz w:val="14"/>
                <w:szCs w:val="14"/>
                <w:color w:val="auto"/>
              </w:rPr>
              <w:t>Three months ended June 30,</w:t>
            </w:r>
          </w:p>
        </w:tc>
        <w:tc>
          <w:tcPr>
            <w:tcW w:w="1760" w:type="dxa"/>
            <w:vAlign w:val="bottom"/>
            <w:gridSpan w:val="5"/>
          </w:tcPr>
          <w:p>
            <w:pPr>
              <w:jc w:val="right"/>
              <w:ind w:right="54"/>
              <w:spacing w:after="0"/>
              <w:rPr>
                <w:sz w:val="20"/>
                <w:szCs w:val="20"/>
                <w:color w:val="auto"/>
              </w:rPr>
            </w:pPr>
            <w:r>
              <w:rPr>
                <w:rFonts w:ascii="Arial" w:cs="Arial" w:eastAsia="Arial" w:hAnsi="Arial"/>
                <w:sz w:val="14"/>
                <w:szCs w:val="14"/>
                <w:color w:val="auto"/>
                <w:w w:val="94"/>
              </w:rPr>
              <w:t>Six months ended June 30,</w:t>
            </w:r>
          </w:p>
        </w:tc>
      </w:tr>
      <w:tr>
        <w:trPr>
          <w:trHeight w:val="142"/>
        </w:trPr>
        <w:tc>
          <w:tcPr>
            <w:tcW w:w="6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2020</w:t>
            </w: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2019</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2020</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2019</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Selling</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r>
      <w:tr>
        <w:trPr>
          <w:trHeight w:val="20"/>
        </w:trPr>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6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2,733</w:t>
            </w:r>
          </w:p>
        </w:tc>
        <w:tc>
          <w:tcPr>
            <w:tcW w:w="3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2,404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5,415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4,342</w:t>
            </w: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Administrative stock compensation expense includes all stock compensation earned by our administrative personnel, while cost of sales and selling stock compensation represents all stock compensation earned by our installation and sales employees, respectively. The difference between the sum of the expenses described above and the amount in the table is comprised of expenses related to immaterial nonrecurring awards.</w:t>
      </w:r>
    </w:p>
    <w:p>
      <w:pPr>
        <w:spacing w:after="0" w:line="147" w:lineRule="exact"/>
        <w:rPr>
          <w:sz w:val="20"/>
          <w:szCs w:val="20"/>
          <w:color w:val="auto"/>
        </w:rPr>
      </w:pPr>
    </w:p>
    <w:p>
      <w:pPr>
        <w:ind w:left="120" w:right="100"/>
        <w:spacing w:after="0" w:line="276" w:lineRule="auto"/>
        <w:rPr>
          <w:sz w:val="20"/>
          <w:szCs w:val="20"/>
          <w:color w:val="auto"/>
        </w:rPr>
      </w:pPr>
      <w:r>
        <w:rPr>
          <w:rFonts w:ascii="Arial" w:cs="Arial" w:eastAsia="Arial" w:hAnsi="Arial"/>
          <w:sz w:val="18"/>
          <w:szCs w:val="18"/>
          <w:color w:val="auto"/>
        </w:rPr>
        <w:t>As of June 30, 2020, approximately 2.0 million of the 3.0 million shares of common stock authorized for issuance were available for issuance under the 2014 Omnibus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INCOME TAXES</w:t>
      </w:r>
    </w:p>
    <w:p>
      <w:pPr>
        <w:spacing w:after="0" w:line="120" w:lineRule="exact"/>
        <w:rPr>
          <w:sz w:val="20"/>
          <w:szCs w:val="20"/>
          <w:color w:val="auto"/>
        </w:rPr>
      </w:pPr>
    </w:p>
    <w:p>
      <w:pPr>
        <w:ind w:left="120" w:right="480"/>
        <w:spacing w:after="0" w:line="276" w:lineRule="auto"/>
        <w:rPr>
          <w:sz w:val="20"/>
          <w:szCs w:val="20"/>
          <w:color w:val="auto"/>
        </w:rPr>
      </w:pPr>
      <w:r>
        <w:rPr>
          <w:rFonts w:ascii="Arial" w:cs="Arial" w:eastAsia="Arial" w:hAnsi="Arial"/>
          <w:sz w:val="18"/>
          <w:szCs w:val="18"/>
          <w:color w:val="auto"/>
        </w:rPr>
        <w:t>Our provision for income taxes as a percentage of pretax earnings is based on a current estimate of the annual effective income tax rate adjusted to reflect the impact of discrete items.</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During the three and six months ended June 30, 2020, our effective tax rate was 26.5% and 26.4%, respectively. The rate was unfavorably impacted by separate tax filing entities in a loss position for which a full valuation allowance is required, resulting in no tax benefit for recognized losses and by recognition of a shortfall tax from equity vesting.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5"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RELATED PARTY TRANSACTIONS</w:t>
      </w:r>
    </w:p>
    <w:p>
      <w:pPr>
        <w:spacing w:after="0" w:line="120" w:lineRule="exact"/>
        <w:rPr>
          <w:sz w:val="20"/>
          <w:szCs w:val="20"/>
          <w:color w:val="auto"/>
        </w:rPr>
      </w:pPr>
    </w:p>
    <w:p>
      <w:pPr>
        <w:ind w:left="120" w:right="360"/>
        <w:spacing w:after="0" w:line="306" w:lineRule="auto"/>
        <w:rPr>
          <w:sz w:val="20"/>
          <w:szCs w:val="20"/>
          <w:color w:val="auto"/>
        </w:rPr>
      </w:pPr>
      <w:r>
        <w:rPr>
          <w:rFonts w:ascii="Arial" w:cs="Arial" w:eastAsia="Arial" w:hAnsi="Arial"/>
          <w:sz w:val="17"/>
          <w:szCs w:val="17"/>
          <w:color w:val="auto"/>
        </w:rPr>
        <w:t>We sell installation services to other companies related to us through common or affiliated ownership and/or board of directors and/or management relationships. We also purchase services and materials and pay rent to companies with common or affiliated ownership.</w:t>
      </w:r>
    </w:p>
    <w:p>
      <w:pPr>
        <w:spacing w:after="0" w:line="148"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We lease our headquarters and certain other facilities from related parties. See Note 8, Leases, for future minimum lease payments to be paid to these related parties.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amount of sales to related parties as well as the purchases from and rent expense paid to related parties were as follows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300" w:type="dxa"/>
            <w:vAlign w:val="bottom"/>
            <w:gridSpan w:val="6"/>
          </w:tcPr>
          <w:p>
            <w:pPr>
              <w:ind w:left="100"/>
              <w:spacing w:after="0"/>
              <w:rPr>
                <w:sz w:val="20"/>
                <w:szCs w:val="20"/>
                <w:color w:val="auto"/>
              </w:rPr>
            </w:pPr>
            <w:r>
              <w:rPr>
                <w:rFonts w:ascii="Arial" w:cs="Arial" w:eastAsia="Arial" w:hAnsi="Arial"/>
                <w:sz w:val="14"/>
                <w:szCs w:val="14"/>
                <w:color w:val="auto"/>
              </w:rPr>
              <w:t>Three months ended June 30,</w:t>
            </w:r>
          </w:p>
        </w:tc>
        <w:tc>
          <w:tcPr>
            <w:tcW w:w="1840" w:type="dxa"/>
            <w:vAlign w:val="bottom"/>
            <w:gridSpan w:val="4"/>
          </w:tcPr>
          <w:p>
            <w:pPr>
              <w:jc w:val="right"/>
              <w:ind w:right="180"/>
              <w:spacing w:after="0"/>
              <w:rPr>
                <w:sz w:val="20"/>
                <w:szCs w:val="20"/>
                <w:color w:val="auto"/>
              </w:rPr>
            </w:pPr>
            <w:r>
              <w:rPr>
                <w:rFonts w:ascii="Arial" w:cs="Arial" w:eastAsia="Arial" w:hAnsi="Arial"/>
                <w:sz w:val="14"/>
                <w:szCs w:val="14"/>
                <w:color w:val="auto"/>
                <w:w w:val="96"/>
              </w:rPr>
              <w:t>Six months ended June 30,</w:t>
            </w:r>
          </w:p>
        </w:tc>
      </w:tr>
      <w:tr>
        <w:trPr>
          <w:trHeight w:val="142"/>
        </w:trPr>
        <w:tc>
          <w:tcPr>
            <w:tcW w:w="3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color w:val="auto"/>
              </w:rPr>
              <w:t>2019</w:t>
            </w:r>
          </w:p>
        </w:tc>
        <w:tc>
          <w:tcPr>
            <w:tcW w:w="4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2020</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2"/>
                <w:szCs w:val="12"/>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  3,388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5,922</w:t>
            </w:r>
          </w:p>
        </w:tc>
      </w:tr>
      <w:tr>
        <w:trPr>
          <w:trHeight w:val="215"/>
        </w:trPr>
        <w:tc>
          <w:tcPr>
            <w:tcW w:w="3340" w:type="dxa"/>
            <w:vAlign w:val="bottom"/>
          </w:tcPr>
          <w:p>
            <w:pPr>
              <w:spacing w:after="0"/>
              <w:rPr>
                <w:sz w:val="20"/>
                <w:szCs w:val="20"/>
                <w:color w:val="auto"/>
              </w:rPr>
            </w:pPr>
            <w:r>
              <w:rPr>
                <w:rFonts w:ascii="Arial" w:cs="Arial" w:eastAsia="Arial" w:hAnsi="Arial"/>
                <w:sz w:val="18"/>
                <w:szCs w:val="18"/>
                <w:color w:val="auto"/>
              </w:rPr>
              <w:t>Purchases</w:t>
            </w:r>
          </w:p>
        </w:tc>
        <w:tc>
          <w:tcPr>
            <w:tcW w:w="3440" w:type="dxa"/>
            <w:vAlign w:val="bottom"/>
            <w:gridSpan w:val="3"/>
          </w:tcPr>
          <w:p>
            <w:pPr>
              <w:jc w:val="right"/>
              <w:ind w:right="22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470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1,126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858</w:t>
            </w:r>
          </w:p>
        </w:tc>
      </w:tr>
      <w:tr>
        <w:trPr>
          <w:trHeight w:val="215"/>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3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r>
    </w:tbl>
    <w:p>
      <w:pPr>
        <w:spacing w:after="0" w:line="20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had a related party balance of approximately $0.4 million and $1.7 million included in accounts receivable on our Condensed Consolidated Balance Sheets as of June 30, 2020 and December 31, 2019, respectively. These balances primarily represent trade accounts receivable arising during the normal course of business with various related parties. M/I Homes, Inc., a customer whose Chairman, President and Chief Executive Officer was a member of our board of directors until his resignation from our board effective March 18, 2020, accounted for $1.3 million of the related party accounts receivable balance as of December 31, 2019. Additionally, M/I Homes, Inc. accounted for a significant portion of the related party sales during the six months ended June 30, 2020, all of which occurred during the first quarter of the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Accrued General Liability and Auto Insurance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general liability and auto insurance reserves included on the Condensed Consolidated Balance Sheets were as follows (in thousands):</w:t>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color w:val="auto"/>
              </w:rPr>
              <w:t>June 30,</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3,538</w:t>
            </w: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Included in other long-term liabilities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18,445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18,184</w:t>
            </w: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22,912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21,722</w:t>
            </w: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6" w:lineRule="auto"/>
        <w:rPr>
          <w:sz w:val="20"/>
          <w:szCs w:val="20"/>
          <w:color w:val="auto"/>
        </w:rPr>
      </w:pPr>
      <w:r>
        <w:rPr>
          <w:rFonts w:ascii="Arial" w:cs="Arial" w:eastAsia="Arial" w:hAnsi="Arial"/>
          <w:sz w:val="18"/>
          <w:szCs w:val="18"/>
          <w:color w:val="auto"/>
        </w:rPr>
        <w:t>We also had insurance receivables and indemnification assets included on the Condensed Consolidated Balance Sheets that, in aggregate, offset equal liabilities included within the reserve amounts noted above. The amounts were as follows (in thousands):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June 30,</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w w:val="88"/>
              </w:rPr>
              <w:t>December 31,</w:t>
            </w:r>
          </w:p>
        </w:tc>
      </w:tr>
      <w:tr>
        <w:trPr>
          <w:trHeight w:val="167"/>
        </w:trPr>
        <w:tc>
          <w:tcPr>
            <w:tcW w:w="612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2020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r>
      <w:tr>
        <w:trPr>
          <w:trHeight w:val="195"/>
        </w:trPr>
        <w:tc>
          <w:tcPr>
            <w:tcW w:w="6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Insurance receivables and indemnification assets for claims under fully insured</w:t>
            </w:r>
          </w:p>
        </w:tc>
        <w:tc>
          <w:tcPr>
            <w:tcW w:w="4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policies</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$5,886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7,491</w:t>
            </w: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Insurance receivables for claims that exceeded the stop loss limit</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2,321</w:t>
            </w:r>
          </w:p>
        </w:tc>
      </w:tr>
      <w:tr>
        <w:trPr>
          <w:trHeight w:val="201"/>
        </w:trPr>
        <w:tc>
          <w:tcPr>
            <w:tcW w:w="61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insurance receivables and indemnification assets included in other</w:t>
            </w:r>
          </w:p>
        </w:tc>
        <w:tc>
          <w:tcPr>
            <w:tcW w:w="4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non-current assets</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9,812</w:t>
            </w:r>
          </w:p>
        </w:tc>
      </w:tr>
      <w:tr>
        <w:trPr>
          <w:trHeight w:val="20"/>
        </w:trPr>
        <w:tc>
          <w:tcPr>
            <w:tcW w:w="6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Leases</w:t>
      </w:r>
    </w:p>
    <w:p>
      <w:pPr>
        <w:spacing w:after="0" w:line="116" w:lineRule="exact"/>
        <w:rPr>
          <w:sz w:val="20"/>
          <w:szCs w:val="20"/>
          <w:color w:val="auto"/>
        </w:rPr>
      </w:pPr>
    </w:p>
    <w:p>
      <w:pPr>
        <w:jc w:val="right"/>
        <w:ind w:left="120" w:right="5340"/>
        <w:spacing w:after="0" w:line="448" w:lineRule="auto"/>
        <w:rPr>
          <w:sz w:val="20"/>
          <w:szCs w:val="20"/>
          <w:color w:val="auto"/>
        </w:rPr>
      </w:pPr>
      <w:r>
        <w:rPr>
          <w:rFonts w:ascii="Arial" w:cs="Arial" w:eastAsia="Arial" w:hAnsi="Arial"/>
          <w:sz w:val="18"/>
          <w:szCs w:val="18"/>
          <w:color w:val="auto"/>
        </w:rPr>
        <w:t>See Note 8, Leases, for further information regarding our lease commitments. 22</w:t>
      </w:r>
    </w:p>
    <w:p>
      <w:pPr>
        <w:sectPr>
          <w:pgSz w:w="11900" w:h="16838" w:orient="portrait"/>
          <w:cols w:equalWidth="0" w:num="1">
            <w:col w:w="11060"/>
          </w:cols>
          <w:pgMar w:left="320" w:top="485"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Commitments and Contingencies</w:t>
      </w:r>
    </w:p>
    <w:p>
      <w:pPr>
        <w:spacing w:after="0" w:line="11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From time to time, various claims and litigation are asserted or commenced against us principally arising from contractual matters and personnel and employment disputes. In determining loss contingencies, management considers the likelihood of loss as well as the ability to reasonably estimate the amount of such loss or liability. An estimated loss is recorded when it is considered probable that such a liability has been incurred and when the amount of loss can be reasonably estimated. As litigation is subject to inherent uncertainties, we cannot be certain that we will prevail in these matters. However, we do not believe that the ultimate outcome of any pending matters will have a material adverse effect on our consolidated financial position, results of operations or cash flows.</w:t>
      </w:r>
    </w:p>
    <w:p>
      <w:pPr>
        <w:spacing w:after="0" w:line="18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During the year ended December 31, 2018, we entered into an agreement with one of our suppliers to purchase a portion of the insulation materials we utilize across our business. This agreement is effective January 1, 2019 through December 31, 2021 with a purchase obligation of $22.6 million for 2020 and $15.0 million for 2021. For the six months ended June 30, 2020, we have satisfied $5.5 million of our purchase obligation under this agreement.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 BUSINESS COMBINATIONS</w:t>
      </w:r>
    </w:p>
    <w:p>
      <w:pPr>
        <w:spacing w:after="0" w:line="120" w:lineRule="exact"/>
        <w:rPr>
          <w:sz w:val="20"/>
          <w:szCs w:val="20"/>
          <w:color w:val="auto"/>
        </w:rPr>
      </w:pPr>
    </w:p>
    <w:p>
      <w:pPr>
        <w:ind w:left="120" w:right="300"/>
        <w:spacing w:after="0" w:line="285" w:lineRule="auto"/>
        <w:rPr>
          <w:sz w:val="20"/>
          <w:szCs w:val="20"/>
          <w:color w:val="auto"/>
        </w:rPr>
      </w:pPr>
      <w:r>
        <w:rPr>
          <w:rFonts w:ascii="Arial" w:cs="Arial" w:eastAsia="Arial" w:hAnsi="Arial"/>
          <w:sz w:val="17"/>
          <w:szCs w:val="17"/>
          <w:color w:val="auto"/>
        </w:rPr>
        <w:t>As part of our ongoing strategy to expand geographically and increase market share in certain markets, we completed three business combinations during the six months ended June 30, 2020 and two business combinations and two insignificant tuck-in acquisitions merged into existing operations during the six months ended June 30, 2019, in which we acquired 100% of the voting equity interests in each.</w:t>
      </w:r>
    </w:p>
    <w:p>
      <w:pPr>
        <w:spacing w:after="0" w:line="166"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color w:val="auto"/>
        </w:rPr>
        <w:t>The largest of these acquisitions were Royals Commercial Services, Inc. (“Royals”) in February 2020, 1st State Insulation, LLC (“1st State Insulation”) in March 2019 and Expert Insulation of Brainerd, Inc. (collectively “Expert Insulation”) in June 2019. Below is a summary of each significant acquisition by year, including revenue and net income/(loss) since date of acquisition, shown for the year of acquisition. Where noted, “Other” represents acquisitions that were individually immaterial in that year. Net income/(loss), as noted below, includes amortization, taxes and interest allocations when appropriate.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and six months ended June 30, 2020 (in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color w:val="auto"/>
                <w:w w:val="99"/>
              </w:rPr>
              <w:t>Three months ended</w:t>
            </w:r>
          </w:p>
        </w:tc>
        <w:tc>
          <w:tcPr>
            <w:tcW w:w="1540" w:type="dxa"/>
            <w:vAlign w:val="bottom"/>
            <w:gridSpan w:val="6"/>
          </w:tcPr>
          <w:p>
            <w:pPr>
              <w:jc w:val="right"/>
              <w:ind w:righ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7"/>
              </w:rPr>
              <w:t>Acquisition</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color w:val="auto"/>
              </w:rPr>
              <w:t>Seller</w:t>
            </w:r>
          </w:p>
        </w:tc>
        <w:tc>
          <w:tcPr>
            <w:tcW w:w="12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color w:val="auto"/>
              </w:rPr>
              <w:t>Total Purchase</w:t>
            </w:r>
          </w:p>
        </w:tc>
        <w:tc>
          <w:tcPr>
            <w:tcW w:w="1740" w:type="dxa"/>
            <w:vAlign w:val="bottom"/>
            <w:gridSpan w:val="6"/>
          </w:tcPr>
          <w:p>
            <w:pPr>
              <w:jc w:val="right"/>
              <w:ind w:right="620"/>
              <w:spacing w:after="0"/>
              <w:rPr>
                <w:sz w:val="20"/>
                <w:szCs w:val="20"/>
                <w:color w:val="auto"/>
              </w:rPr>
            </w:pPr>
            <w:r>
              <w:rPr>
                <w:rFonts w:ascii="Arial" w:cs="Arial" w:eastAsia="Arial" w:hAnsi="Arial"/>
                <w:sz w:val="14"/>
                <w:szCs w:val="14"/>
                <w:color w:val="auto"/>
              </w:rPr>
              <w:t>June 30, 2020</w:t>
            </w:r>
          </w:p>
        </w:tc>
        <w:tc>
          <w:tcPr>
            <w:tcW w:w="1540" w:type="dxa"/>
            <w:vAlign w:val="bottom"/>
            <w:gridSpan w:val="6"/>
          </w:tcPr>
          <w:p>
            <w:pPr>
              <w:jc w:val="right"/>
              <w:ind w:right="420"/>
              <w:spacing w:after="0"/>
              <w:rPr>
                <w:sz w:val="20"/>
                <w:szCs w:val="20"/>
                <w:color w:val="auto"/>
              </w:rPr>
            </w:pPr>
            <w:r>
              <w:rPr>
                <w:rFonts w:ascii="Arial" w:cs="Arial" w:eastAsia="Arial" w:hAnsi="Arial"/>
                <w:sz w:val="14"/>
                <w:szCs w:val="14"/>
                <w:color w:val="auto"/>
              </w:rPr>
              <w:t>June 30, 2020</w:t>
            </w:r>
          </w:p>
        </w:tc>
        <w:tc>
          <w:tcPr>
            <w:tcW w:w="0" w:type="dxa"/>
            <w:vAlign w:val="bottom"/>
          </w:tcPr>
          <w:p>
            <w:pPr>
              <w:spacing w:after="0"/>
              <w:rPr>
                <w:sz w:val="1"/>
                <w:szCs w:val="1"/>
                <w:color w:val="auto"/>
              </w:rPr>
            </w:pPr>
          </w:p>
        </w:tc>
      </w:tr>
      <w:tr>
        <w:trPr>
          <w:trHeight w:val="123"/>
        </w:trPr>
        <w:tc>
          <w:tcPr>
            <w:tcW w:w="2760" w:type="dxa"/>
            <w:vAlign w:val="bottom"/>
            <w:vMerge w:val="restart"/>
          </w:tcPr>
          <w:p>
            <w:pPr>
              <w:spacing w:after="0"/>
              <w:rPr>
                <w:sz w:val="20"/>
                <w:szCs w:val="20"/>
                <w:color w:val="auto"/>
              </w:rPr>
            </w:pPr>
            <w:r>
              <w:rPr>
                <w:rFonts w:ascii="Arial" w:cs="Arial" w:eastAsia="Arial" w:hAnsi="Arial"/>
                <w:sz w:val="14"/>
                <w:szCs w:val="14"/>
                <w:color w:val="auto"/>
              </w:rPr>
              <w:t>2020 Acquisitions</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2"/>
              </w:rPr>
              <w:t>Net Income</w:t>
            </w:r>
          </w:p>
        </w:tc>
        <w:tc>
          <w:tcPr>
            <w:tcW w:w="3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2"/>
              </w:rPr>
              <w:t>Net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Date</w:t>
            </w:r>
          </w:p>
        </w:tc>
        <w:tc>
          <w:tcPr>
            <w:tcW w:w="22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Type</w:t>
            </w:r>
          </w:p>
        </w:tc>
        <w:tc>
          <w:tcPr>
            <w:tcW w:w="24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6"/>
              </w:rPr>
              <w:t>Cash Paid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Obligations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Price</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Revenue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97"/>
              </w:rPr>
              <w:t>(Loss)</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Revenue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Royals</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2/29/2020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Asset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10,090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$3,023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$3,807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Various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Asset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6,572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12,625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3,561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4,571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and six months ended June 30, 2019 (in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4"/>
              </w:rPr>
              <w:t>Acquisition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Seller</w:t>
            </w:r>
          </w:p>
        </w:tc>
        <w:tc>
          <w:tcPr>
            <w:tcW w:w="16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color w:val="auto"/>
              </w:rPr>
              <w:t>Total Purchase</w:t>
            </w:r>
          </w:p>
        </w:tc>
        <w:tc>
          <w:tcPr>
            <w:tcW w:w="1680" w:type="dxa"/>
            <w:vAlign w:val="bottom"/>
            <w:gridSpan w:val="6"/>
          </w:tcPr>
          <w:p>
            <w:pPr>
              <w:jc w:val="right"/>
              <w:ind w:right="520"/>
              <w:spacing w:after="0"/>
              <w:rPr>
                <w:sz w:val="20"/>
                <w:szCs w:val="20"/>
                <w:color w:val="auto"/>
              </w:rPr>
            </w:pPr>
            <w:r>
              <w:rPr>
                <w:rFonts w:ascii="Arial" w:cs="Arial" w:eastAsia="Arial" w:hAnsi="Arial"/>
                <w:sz w:val="14"/>
                <w:szCs w:val="14"/>
                <w:color w:val="auto"/>
              </w:rPr>
              <w:t>June 30, 2019</w:t>
            </w:r>
          </w:p>
        </w:tc>
        <w:tc>
          <w:tcPr>
            <w:tcW w:w="12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color w:val="auto"/>
              </w:rPr>
              <w:t>June 30, 2019</w:t>
            </w:r>
          </w:p>
        </w:tc>
        <w:tc>
          <w:tcPr>
            <w:tcW w:w="0" w:type="dxa"/>
            <w:vAlign w:val="bottom"/>
          </w:tcPr>
          <w:p>
            <w:pPr>
              <w:spacing w:after="0"/>
              <w:rPr>
                <w:sz w:val="1"/>
                <w:szCs w:val="1"/>
                <w:color w:val="auto"/>
              </w:rPr>
            </w:pPr>
          </w:p>
        </w:tc>
      </w:tr>
      <w:tr>
        <w:trPr>
          <w:trHeight w:val="123"/>
        </w:trPr>
        <w:tc>
          <w:tcPr>
            <w:tcW w:w="2200" w:type="dxa"/>
            <w:vAlign w:val="bottom"/>
            <w:vMerge w:val="restart"/>
          </w:tcPr>
          <w:p>
            <w:pPr>
              <w:spacing w:after="0"/>
              <w:rPr>
                <w:sz w:val="20"/>
                <w:szCs w:val="20"/>
                <w:color w:val="auto"/>
              </w:rPr>
            </w:pPr>
            <w:r>
              <w:rPr>
                <w:rFonts w:ascii="Arial" w:cs="Arial" w:eastAsia="Arial" w:hAnsi="Arial"/>
                <w:sz w:val="14"/>
                <w:szCs w:val="14"/>
                <w:color w:val="auto"/>
              </w:rPr>
              <w:t>2019 Acquisitions</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2"/>
              </w:rPr>
              <w:t>Net 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2"/>
              </w:rPr>
              <w:t>Net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Arial" w:cs="Arial" w:eastAsia="Arial" w:hAnsi="Arial"/>
                <w:sz w:val="14"/>
                <w:szCs w:val="14"/>
                <w:color w:val="auto"/>
              </w:rPr>
              <w:t>Date</w:t>
            </w:r>
          </w:p>
        </w:tc>
        <w:tc>
          <w:tcPr>
            <w:tcW w:w="32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auto"/>
              </w:rPr>
              <w:t>Type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6"/>
              </w:rPr>
              <w:t>Cash Paid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1"/>
              </w:rPr>
              <w:t>Obligations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color w:val="auto"/>
              </w:rPr>
              <w:t>Price</w:t>
            </w:r>
          </w:p>
        </w:tc>
        <w:tc>
          <w:tcPr>
            <w:tcW w:w="3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Revenue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(Loss)</w:t>
            </w:r>
          </w:p>
        </w:tc>
        <w:tc>
          <w:tcPr>
            <w:tcW w:w="1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1st State Insulation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3/18/2019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Asset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$2,942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$3,430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Expert Insulation</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6/24/2019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Asset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16,165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18,158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21,290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24,638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3,134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color w:val="auto"/>
        </w:rPr>
        <w:t>Acquisition-related costs recorded within administrative expenses on the Condensed Consolidated Statements of Operations and Comprehensive Income amounted to $0.5 million and $1.2 million for the three and six months ended June 30, 2020 respectively, and $0.5 million and $1.1 million for the three and six months ended June 30, 2019, respectively. The goodwill recognized in conjunction with these business combinations represents the excess cost of the acquired entity over the net amount assigned to assets acquired and liabilities assumed. We expect to deduct approximately $4.5 million of goodwill for tax purposes as a result of 2020 acquisitions.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5"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Purchase Price Allocations</w:t>
      </w:r>
    </w:p>
    <w:p>
      <w:pPr>
        <w:spacing w:after="0" w:line="116"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The estimated fair values of the assets acquired and liabilities assumed for the acquisitions, as well as total purchase prices and cash paid, approximated the following (in thousands):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10"/>
          </w:tcPr>
          <w:p>
            <w:pPr>
              <w:jc w:val="right"/>
              <w:ind w:right="700"/>
              <w:spacing w:after="0"/>
              <w:rPr>
                <w:sz w:val="20"/>
                <w:szCs w:val="20"/>
                <w:color w:val="auto"/>
              </w:rPr>
            </w:pPr>
            <w:r>
              <w:rPr>
                <w:rFonts w:ascii="Arial" w:cs="Arial" w:eastAsia="Arial" w:hAnsi="Arial"/>
                <w:sz w:val="14"/>
                <w:szCs w:val="14"/>
                <w:color w:val="auto"/>
              </w:rPr>
              <w:t>As of June 30, 2020</w:t>
            </w:r>
          </w:p>
        </w:tc>
        <w:tc>
          <w:tcPr>
            <w:tcW w:w="80" w:type="dxa"/>
            <w:vAlign w:val="bottom"/>
          </w:tcPr>
          <w:p>
            <w:pPr>
              <w:spacing w:after="0"/>
              <w:rPr>
                <w:sz w:val="14"/>
                <w:szCs w:val="14"/>
                <w:color w:val="auto"/>
              </w:rPr>
            </w:pPr>
          </w:p>
        </w:tc>
        <w:tc>
          <w:tcPr>
            <w:tcW w:w="2140" w:type="dxa"/>
            <w:vAlign w:val="bottom"/>
            <w:gridSpan w:val="9"/>
          </w:tcPr>
          <w:p>
            <w:pPr>
              <w:jc w:val="right"/>
              <w:ind w:right="580"/>
              <w:spacing w:after="0"/>
              <w:rPr>
                <w:sz w:val="20"/>
                <w:szCs w:val="20"/>
                <w:color w:val="auto"/>
              </w:rPr>
            </w:pPr>
            <w:r>
              <w:rPr>
                <w:rFonts w:ascii="Arial" w:cs="Arial" w:eastAsia="Arial" w:hAnsi="Arial"/>
                <w:sz w:val="14"/>
                <w:szCs w:val="14"/>
                <w:color w:val="auto"/>
              </w:rPr>
              <w:t>As of June 30, 2019</w:t>
            </w: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w w:val="88"/>
              </w:rPr>
              <w:t>Royals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Other</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1st State</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w w:val="93"/>
              </w:rPr>
              <w:t>Expert</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r>
      <w:tr>
        <w:trPr>
          <w:trHeight w:val="195"/>
        </w:trPr>
        <w:tc>
          <w:tcPr>
            <w:tcW w:w="64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Estimated fair values: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$1,370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4,218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2,996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6,926</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3,382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10,122</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3,015</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1,857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10,402</w:t>
            </w: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(1,059)</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(1,262)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440" w:type="dxa"/>
            <w:vAlign w:val="bottom"/>
          </w:tcPr>
          <w:p>
            <w:pPr>
              <w:ind w:left="720"/>
              <w:spacing w:after="0"/>
              <w:rPr>
                <w:sz w:val="20"/>
                <w:szCs w:val="20"/>
                <w:color w:val="auto"/>
              </w:rPr>
            </w:pPr>
            <w:r>
              <w:rPr>
                <w:rFonts w:ascii="Arial" w:cs="Arial" w:eastAsia="Arial" w:hAnsi="Arial"/>
                <w:sz w:val="18"/>
                <w:szCs w:val="18"/>
                <w:color w:val="auto"/>
              </w:rPr>
              <w:t>Fair value of assets acquired and purchase price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10,090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16,662</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6,480</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18,158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24,638</w:t>
            </w:r>
          </w:p>
        </w:tc>
        <w:tc>
          <w:tcPr>
            <w:tcW w:w="100" w:type="dxa"/>
            <w:vAlign w:val="bottom"/>
          </w:tcPr>
          <w:p>
            <w:pPr>
              <w:spacing w:after="0"/>
              <w:rPr>
                <w:sz w:val="19"/>
                <w:szCs w:val="19"/>
                <w:color w:val="auto"/>
              </w:rPr>
            </w:pP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seller obligations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1,355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w:t>
            </w:r>
          </w:p>
        </w:tc>
      </w:tr>
      <w:tr>
        <w:trPr>
          <w:trHeight w:val="222"/>
        </w:trPr>
        <w:tc>
          <w:tcPr>
            <w:tcW w:w="6440" w:type="dxa"/>
            <w:vAlign w:val="bottom"/>
          </w:tcPr>
          <w:p>
            <w:pPr>
              <w:ind w:left="720"/>
              <w:spacing w:after="0"/>
              <w:rPr>
                <w:sz w:val="20"/>
                <w:szCs w:val="20"/>
                <w:color w:val="auto"/>
              </w:rPr>
            </w:pPr>
            <w:r>
              <w:rPr>
                <w:rFonts w:ascii="Arial" w:cs="Arial" w:eastAsia="Arial" w:hAnsi="Arial"/>
                <w:sz w:val="18"/>
                <w:szCs w:val="18"/>
                <w:color w:val="auto"/>
              </w:rPr>
              <w:t>Cash paid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12,625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5,125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16,165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21,290</w:t>
            </w: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color w:val="auto"/>
        </w:rPr>
        <w:t>Contingent consideration is included as “seller obligations” in the above table or within “fair value of assets acquired” if subsequently paid during the period presented. These contingent payments consist primarily of earnouts based on performance that are recorded at fair value at the time of acquisition, and/or non-complete agreements and amounts based on working capital calculations. When these payments are expected to be made over one year from the acquisition date, the contingent consideration is discounted to net present value using our weighted average cost of capital (WACC), when appropriate.</w:t>
      </w:r>
    </w:p>
    <w:p>
      <w:pPr>
        <w:spacing w:after="0" w:line="18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Further adjustments to the allocation for each acquisition still under its measurement period are expected as third-party or internal valuations are finalized, certain tax aspects of the transaction are completed, contingent consideration is settled and customary post-closing reviews are concluded during the measurement period attributable to each individual business combination. As a result, insignificant adjustments to the fair value of assets acquired, and in some cases total purchase price, have been made to certain business combinations since the date of acquisition and future adjustments may be made through the end of each measurement period. Goodwill and intangibles per the above table may not agree to the total gross increases of these assets as shown in Note 6, Goodwill and Intangibles, during each of the six months ended June 30, 2020 and 2019 due to minor adjustments to goodwill for the allocation of certain acquisitions still under measurement as well as other immaterial intangible assets added during the ordinary course of business. In addition, goodwill and intangibles increased during the six months ended June 30, 2019 due to small tuck-in acquisitions merged into existing operations that do not appear in the above table as discussed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5"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Estimates of acquired intangible assets related to the acquisitions are as follows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20" w:type="dxa"/>
            <w:vAlign w:val="bottom"/>
            <w:gridSpan w:val="8"/>
          </w:tcPr>
          <w:p>
            <w:pPr>
              <w:jc w:val="right"/>
              <w:ind w:right="102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2020</w:t>
            </w:r>
          </w:p>
        </w:tc>
        <w:tc>
          <w:tcPr>
            <w:tcW w:w="6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60"/>
              <w:spacing w:after="0" w:line="148" w:lineRule="exact"/>
              <w:rPr>
                <w:sz w:val="20"/>
                <w:szCs w:val="20"/>
                <w:color w:val="auto"/>
              </w:rPr>
            </w:pPr>
            <w:r>
              <w:rPr>
                <w:rFonts w:ascii="Arial" w:cs="Arial" w:eastAsia="Arial" w:hAnsi="Arial"/>
                <w:sz w:val="14"/>
                <w:szCs w:val="14"/>
                <w:color w:val="auto"/>
                <w:w w:val="91"/>
              </w:rPr>
              <w:t>Average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93"/>
              </w:rPr>
              <w:t>Estimated</w:t>
            </w:r>
          </w:p>
        </w:tc>
        <w:tc>
          <w:tcPr>
            <w:tcW w:w="400" w:type="dxa"/>
            <w:vAlign w:val="bottom"/>
          </w:tcPr>
          <w:p>
            <w:pPr>
              <w:spacing w:after="0"/>
              <w:rPr>
                <w:sz w:val="12"/>
                <w:szCs w:val="12"/>
                <w:color w:val="auto"/>
              </w:rPr>
            </w:pPr>
          </w:p>
        </w:tc>
        <w:tc>
          <w:tcPr>
            <w:tcW w:w="1140" w:type="dxa"/>
            <w:vAlign w:val="bottom"/>
            <w:gridSpan w:val="2"/>
          </w:tcPr>
          <w:p>
            <w:pPr>
              <w:jc w:val="center"/>
              <w:ind w:right="480"/>
              <w:spacing w:after="0" w:line="148" w:lineRule="exact"/>
              <w:rPr>
                <w:sz w:val="20"/>
                <w:szCs w:val="20"/>
                <w:color w:val="auto"/>
              </w:rPr>
            </w:pPr>
            <w:r>
              <w:rPr>
                <w:rFonts w:ascii="Arial" w:cs="Arial" w:eastAsia="Arial" w:hAnsi="Arial"/>
                <w:sz w:val="14"/>
                <w:szCs w:val="14"/>
                <w:color w:val="auto"/>
                <w:w w:val="93"/>
              </w:rPr>
              <w:t>Estimated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48"/>
        </w:trPr>
        <w:tc>
          <w:tcPr>
            <w:tcW w:w="6140" w:type="dxa"/>
            <w:vAlign w:val="bottom"/>
            <w:gridSpan w:val="2"/>
            <w:vMerge w:val="restart"/>
          </w:tcPr>
          <w:p>
            <w:pPr>
              <w:spacing w:after="0"/>
              <w:rPr>
                <w:sz w:val="20"/>
                <w:szCs w:val="20"/>
                <w:color w:val="auto"/>
              </w:rPr>
            </w:pPr>
            <w:r>
              <w:rPr>
                <w:rFonts w:ascii="Arial" w:cs="Arial" w:eastAsia="Arial" w:hAnsi="Arial"/>
                <w:sz w:val="14"/>
                <w:szCs w:val="14"/>
                <w:color w:val="auto"/>
              </w:rPr>
              <w:t>Acquired intangibles assets</w:t>
            </w:r>
          </w:p>
        </w:tc>
        <w:tc>
          <w:tcPr>
            <w:tcW w:w="640" w:type="dxa"/>
            <w:vAlign w:val="bottom"/>
            <w:gridSpan w:val="2"/>
          </w:tcPr>
          <w:p>
            <w:pPr>
              <w:jc w:val="center"/>
              <w:ind w:right="80"/>
              <w:spacing w:after="0" w:line="148" w:lineRule="exact"/>
              <w:rPr>
                <w:sz w:val="20"/>
                <w:szCs w:val="20"/>
                <w:color w:val="auto"/>
              </w:rPr>
            </w:pPr>
            <w:r>
              <w:rPr>
                <w:rFonts w:ascii="Arial" w:cs="Arial" w:eastAsia="Arial" w:hAnsi="Arial"/>
                <w:sz w:val="14"/>
                <w:szCs w:val="14"/>
                <w:color w:val="auto"/>
                <w:w w:val="99"/>
              </w:rPr>
              <w:t>Fair</w:t>
            </w:r>
          </w:p>
        </w:tc>
        <w:tc>
          <w:tcPr>
            <w:tcW w:w="400" w:type="dxa"/>
            <w:vAlign w:val="bottom"/>
          </w:tcPr>
          <w:p>
            <w:pPr>
              <w:spacing w:after="0"/>
              <w:rPr>
                <w:sz w:val="12"/>
                <w:szCs w:val="12"/>
                <w:color w:val="auto"/>
              </w:rPr>
            </w:pPr>
          </w:p>
        </w:tc>
        <w:tc>
          <w:tcPr>
            <w:tcW w:w="1140" w:type="dxa"/>
            <w:vAlign w:val="bottom"/>
            <w:gridSpan w:val="2"/>
          </w:tcPr>
          <w:p>
            <w:pPr>
              <w:jc w:val="center"/>
              <w:ind w:right="480"/>
              <w:spacing w:after="0" w:line="148" w:lineRule="exact"/>
              <w:rPr>
                <w:sz w:val="20"/>
                <w:szCs w:val="20"/>
                <w:color w:val="auto"/>
              </w:rPr>
            </w:pPr>
            <w:r>
              <w:rPr>
                <w:rFonts w:ascii="Arial" w:cs="Arial" w:eastAsia="Arial" w:hAnsi="Arial"/>
                <w:sz w:val="14"/>
                <w:szCs w:val="14"/>
                <w:color w:val="auto"/>
                <w:w w:val="99"/>
              </w:rPr>
              <w:t>Useful Life</w:t>
            </w:r>
          </w:p>
        </w:tc>
        <w:tc>
          <w:tcPr>
            <w:tcW w:w="66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w w:val="89"/>
              </w:rPr>
              <w:t>Estimated</w:t>
            </w:r>
          </w:p>
        </w:tc>
        <w:tc>
          <w:tcPr>
            <w:tcW w:w="400" w:type="dxa"/>
            <w:vAlign w:val="bottom"/>
          </w:tcPr>
          <w:p>
            <w:pPr>
              <w:spacing w:after="0"/>
              <w:rPr>
                <w:sz w:val="12"/>
                <w:szCs w:val="12"/>
                <w:color w:val="auto"/>
              </w:rPr>
            </w:pPr>
          </w:p>
        </w:tc>
        <w:tc>
          <w:tcPr>
            <w:tcW w:w="72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6140" w:type="dxa"/>
            <w:vAlign w:val="bottom"/>
            <w:gridSpan w:val="2"/>
            <w:vMerge w:val="continue"/>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Value</w:t>
            </w:r>
          </w:p>
        </w:tc>
        <w:tc>
          <w:tcPr>
            <w:tcW w:w="40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(yrs.)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7"/>
              </w:rPr>
              <w:t>Fair Value</w:t>
            </w:r>
          </w:p>
        </w:tc>
        <w:tc>
          <w:tcPr>
            <w:tcW w:w="4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(yrs.)</w:t>
            </w:r>
          </w:p>
        </w:tc>
        <w:tc>
          <w:tcPr>
            <w:tcW w:w="0" w:type="dxa"/>
            <w:vAlign w:val="bottom"/>
          </w:tcPr>
          <w:p>
            <w:pPr>
              <w:spacing w:after="0"/>
              <w:rPr>
                <w:sz w:val="1"/>
                <w:szCs w:val="1"/>
                <w:color w:val="auto"/>
              </w:rPr>
            </w:pPr>
          </w:p>
        </w:tc>
      </w:tr>
      <w:tr>
        <w:trPr>
          <w:trHeight w:val="209"/>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$ 3,781</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$ 7,100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40" w:type="dxa"/>
            <w:vAlign w:val="bottom"/>
            <w:gridSpan w:val="2"/>
          </w:tcPr>
          <w:p>
            <w:pPr>
              <w:spacing w:after="0"/>
              <w:rPr>
                <w:sz w:val="20"/>
                <w:szCs w:val="20"/>
                <w:color w:val="auto"/>
              </w:rPr>
            </w:pPr>
            <w:r>
              <w:rPr>
                <w:rFonts w:ascii="Arial" w:cs="Arial" w:eastAsia="Arial" w:hAnsi="Arial"/>
                <w:sz w:val="18"/>
                <w:szCs w:val="18"/>
                <w:color w:val="auto"/>
              </w:rPr>
              <w:t>Trademarks and trade names</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1,796</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15</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1,999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1.5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Pro Forma Information</w:t>
      </w:r>
    </w:p>
    <w:p>
      <w:pPr>
        <w:spacing w:after="0" w:line="116" w:lineRule="exact"/>
        <w:rPr>
          <w:sz w:val="20"/>
          <w:szCs w:val="20"/>
          <w:color w:val="auto"/>
        </w:rPr>
      </w:pPr>
    </w:p>
    <w:p>
      <w:pPr>
        <w:ind w:left="120" w:right="140"/>
        <w:spacing w:after="0" w:line="278" w:lineRule="auto"/>
        <w:rPr>
          <w:sz w:val="20"/>
          <w:szCs w:val="20"/>
          <w:color w:val="auto"/>
        </w:rPr>
      </w:pPr>
      <w:r>
        <w:rPr>
          <w:rFonts w:ascii="Arial" w:cs="Arial" w:eastAsia="Arial" w:hAnsi="Arial"/>
          <w:sz w:val="17"/>
          <w:szCs w:val="17"/>
          <w:color w:val="auto"/>
        </w:rPr>
        <w:t>The unaudited pro forma information for the combined results of the Company has been prepared as if the 2020 acquisitions had taken place on January 1, 2019 and the 2019 acquisitions had taken place on January 1, 2018. The unaudited pro forma information is not necessarily indicative of the results that we would have achieved had the transactions actually taken place on January 1, 2019 and 2018, respectively, and the unaudited pro forma information does not purport to be indicative of future financial operating results (in thousands, except per share data):</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60" w:type="dxa"/>
            <w:vAlign w:val="bottom"/>
            <w:gridSpan w:val="4"/>
          </w:tcPr>
          <w:p>
            <w:pPr>
              <w:jc w:val="right"/>
              <w:ind w:right="280"/>
              <w:spacing w:after="0"/>
              <w:rPr>
                <w:sz w:val="20"/>
                <w:szCs w:val="20"/>
                <w:color w:val="auto"/>
              </w:rPr>
            </w:pPr>
            <w:r>
              <w:rPr>
                <w:rFonts w:ascii="Arial" w:cs="Arial" w:eastAsia="Arial" w:hAnsi="Arial"/>
                <w:sz w:val="14"/>
                <w:szCs w:val="14"/>
                <w:color w:val="auto"/>
                <w:w w:val="94"/>
              </w:rPr>
              <w:t>Unaudited pro forma for the three</w:t>
            </w:r>
          </w:p>
        </w:tc>
        <w:tc>
          <w:tcPr>
            <w:tcW w:w="2400" w:type="dxa"/>
            <w:vAlign w:val="bottom"/>
            <w:gridSpan w:val="6"/>
          </w:tcPr>
          <w:p>
            <w:pPr>
              <w:jc w:val="center"/>
              <w:ind w:right="80"/>
              <w:spacing w:after="0"/>
              <w:rPr>
                <w:sz w:val="20"/>
                <w:szCs w:val="20"/>
                <w:color w:val="auto"/>
              </w:rPr>
            </w:pPr>
            <w:r>
              <w:rPr>
                <w:rFonts w:ascii="Arial" w:cs="Arial" w:eastAsia="Arial" w:hAnsi="Arial"/>
                <w:sz w:val="14"/>
                <w:szCs w:val="14"/>
                <w:color w:val="auto"/>
                <w:w w:val="94"/>
              </w:rPr>
              <w:t>Unaudited pro forma for the six months</w:t>
            </w:r>
          </w:p>
        </w:tc>
      </w:tr>
      <w:tr>
        <w:trPr>
          <w:trHeight w:val="167"/>
        </w:trPr>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60" w:type="dxa"/>
            <w:vAlign w:val="bottom"/>
            <w:gridSpan w:val="4"/>
          </w:tcPr>
          <w:p>
            <w:pPr>
              <w:jc w:val="right"/>
              <w:ind w:right="580"/>
              <w:spacing w:after="0"/>
              <w:rPr>
                <w:sz w:val="20"/>
                <w:szCs w:val="20"/>
                <w:color w:val="auto"/>
              </w:rPr>
            </w:pPr>
            <w:r>
              <w:rPr>
                <w:rFonts w:ascii="Arial" w:cs="Arial" w:eastAsia="Arial" w:hAnsi="Arial"/>
                <w:sz w:val="14"/>
                <w:szCs w:val="14"/>
                <w:color w:val="auto"/>
              </w:rPr>
              <w:t>months ended June 30,</w:t>
            </w:r>
          </w:p>
        </w:tc>
        <w:tc>
          <w:tcPr>
            <w:tcW w:w="220" w:type="dxa"/>
            <w:vAlign w:val="bottom"/>
          </w:tcPr>
          <w:p>
            <w:pPr>
              <w:spacing w:after="0"/>
              <w:rPr>
                <w:sz w:val="14"/>
                <w:szCs w:val="14"/>
                <w:color w:val="auto"/>
              </w:rPr>
            </w:pPr>
          </w:p>
        </w:tc>
        <w:tc>
          <w:tcPr>
            <w:tcW w:w="1420" w:type="dxa"/>
            <w:vAlign w:val="bottom"/>
            <w:gridSpan w:val="3"/>
          </w:tcPr>
          <w:p>
            <w:pPr>
              <w:jc w:val="center"/>
              <w:ind w:left="396"/>
              <w:spacing w:after="0"/>
              <w:rPr>
                <w:sz w:val="20"/>
                <w:szCs w:val="20"/>
                <w:color w:val="auto"/>
              </w:rPr>
            </w:pPr>
            <w:r>
              <w:rPr>
                <w:rFonts w:ascii="Arial" w:cs="Arial" w:eastAsia="Arial" w:hAnsi="Arial"/>
                <w:sz w:val="14"/>
                <w:szCs w:val="14"/>
                <w:color w:val="auto"/>
                <w:w w:val="89"/>
              </w:rPr>
              <w:t>ended June 30,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96"/>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395,437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386,953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796,021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747,502</w:t>
            </w:r>
          </w:p>
        </w:tc>
        <w:tc>
          <w:tcPr>
            <w:tcW w:w="60" w:type="dxa"/>
            <w:vAlign w:val="bottom"/>
            <w:shd w:val="clear" w:color="auto" w:fill="CCEEFF"/>
          </w:tcPr>
          <w:p>
            <w:pPr>
              <w:spacing w:after="0"/>
              <w:rPr>
                <w:sz w:val="18"/>
                <w:szCs w:val="18"/>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3"/>
          </w:tcPr>
          <w:p>
            <w:pPr>
              <w:jc w:val="right"/>
              <w:ind w:right="240"/>
              <w:spacing w:after="0"/>
              <w:rPr>
                <w:sz w:val="20"/>
                <w:szCs w:val="20"/>
                <w:color w:val="auto"/>
              </w:rPr>
            </w:pPr>
            <w:r>
              <w:rPr>
                <w:rFonts w:ascii="Arial" w:cs="Arial" w:eastAsia="Arial" w:hAnsi="Arial"/>
                <w:sz w:val="18"/>
                <w:szCs w:val="18"/>
                <w:color w:val="auto"/>
              </w:rPr>
              <w:t>25,434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19,781</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41,622</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29,416</w:t>
            </w:r>
          </w:p>
        </w:tc>
      </w:tr>
      <w:tr>
        <w:trPr>
          <w:trHeight w:val="215"/>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0.86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800" w:type="dxa"/>
            <w:vAlign w:val="bottom"/>
            <w:gridSpan w:val="3"/>
          </w:tcPr>
          <w:p>
            <w:pPr>
              <w:jc w:val="right"/>
              <w:ind w:right="240"/>
              <w:spacing w:after="0"/>
              <w:rPr>
                <w:sz w:val="20"/>
                <w:szCs w:val="20"/>
                <w:color w:val="auto"/>
              </w:rPr>
            </w:pPr>
            <w:r>
              <w:rPr>
                <w:rFonts w:ascii="Arial" w:cs="Arial" w:eastAsia="Arial" w:hAnsi="Arial"/>
                <w:sz w:val="18"/>
                <w:szCs w:val="18"/>
                <w:color w:val="auto"/>
              </w:rPr>
              <w:t>0.86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r>
    </w:tbl>
    <w:p>
      <w:pPr>
        <w:spacing w:after="0" w:line="187"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Unaudited pro forma net income reflects additional intangible asset amortization expense of $0.1 million and $0.3 million for the three and six months ended June 30, 2020, respectively, and $1.0 million and $2.1 million for the three and six months ended June 30, 2019, respectively, as well as additional income tax expense of $35 thousand and $0.1 million for the three and six months ended June 30, 2020 and $0.3 million and $0.6 million for the three and six months ended June 30, 2019, respectively, that would have been recorded had the 2020 acquisitions taken place on January 1, 2019 and the 2019 acquisitions taken place on January 1, 2018.</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 INCOME PER COMMON SHARE</w:t>
      </w:r>
    </w:p>
    <w:p>
      <w:pPr>
        <w:spacing w:after="0" w:line="120" w:lineRule="exact"/>
        <w:rPr>
          <w:sz w:val="20"/>
          <w:szCs w:val="20"/>
          <w:color w:val="auto"/>
        </w:rPr>
      </w:pPr>
    </w:p>
    <w:p>
      <w:pPr>
        <w:ind w:left="120" w:right="660"/>
        <w:spacing w:after="0" w:line="276" w:lineRule="auto"/>
        <w:rPr>
          <w:sz w:val="20"/>
          <w:szCs w:val="20"/>
          <w:color w:val="auto"/>
        </w:rPr>
      </w:pPr>
      <w:r>
        <w:rPr>
          <w:rFonts w:ascii="Arial" w:cs="Arial" w:eastAsia="Arial" w:hAnsi="Arial"/>
          <w:sz w:val="18"/>
          <w:szCs w:val="18"/>
          <w:color w:val="auto"/>
        </w:rPr>
        <w:t>Basic net income per common share is calculated by dividing net income by the weighted average shares outstanding during the period, without consideration for common stock equivalents.</w:t>
      </w:r>
    </w:p>
    <w:p>
      <w:pPr>
        <w:spacing w:after="0" w:line="170"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Diluted net income per common share is calculated by adjusting weighted average shares outstanding for the dilutive effect of common stock equivalents outstanding for the period, determined using the treasury stock method. Potential common stock is included in the diluted income per common share calculation when dilutive. The dilutive effect of outstanding restricted stock awards after application of the treasury stock method was 137 thousand and 173 thousand shares for the three and six months ended June 30, 2020, respectively, and 77 thousand and 102 thousand for the three and six months ended June 30, 2019, respectively. Approximately six thousand shares of potential common stock was not included in the calculation of diluted net income per common share for the six months ended June 30, 2020 because the effect would have been anti-dilutive.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 SUBSEQUENT EVENT</w:t>
      </w:r>
    </w:p>
    <w:p>
      <w:pPr>
        <w:spacing w:after="0" w:line="12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August 4, 2020, we terminated our existing three interest rate swaps and simultaneously entered into a new forward interest rate swap with a $200.0 million notional amount. This new derivative will be used to hedge the variable cash flows associated with existing variable-rate debt. The new forward interest rate swap begins July 30, 2021 with a fixed rate of 0.51% and a maturity date of April 15, 2030. The existing swaps were terminated for an aggregate cash payment of $17.8 million. The unrealized loss included in accumulated other comprehensive loss associated with the terminated swaps of $17.8 million will be amortized to interest expense over the course of the originally scheduled settlement dates of the terminated swaps.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5"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0" w:lineRule="exact"/>
        <w:rPr>
          <w:sz w:val="20"/>
          <w:szCs w:val="20"/>
          <w:color w:val="auto"/>
        </w:rPr>
      </w:pPr>
    </w:p>
    <w:p>
      <w:pPr>
        <w:ind w:left="120" w:right="380"/>
        <w:spacing w:after="0" w:line="306"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should be read in conjunction with our consolidated financial statements and related notes in “Item 1. Financial Statements” of this Form 10-Q, as well as our 2019 Form 10-K.</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We are one of the nation’s largest insulation installers for the residential new construction market and are also a diversified installer of complementary building products, including waterproofing, fire-stopping and fireproofing, garage doors, rain gutters, window blinds, shower doors, closet shelving, mirrors and other products throughout the United States. We offer our portfolio of services for new and existing single-family and multi-family residential and commercial building projects in all 48 continental states and the District of Columbia from our national network of over 180 branch locations. Substantially all of our net revenue comes from service-based installation of these products in the residential new construction, repair and remodel and commercial construction end markets. We believe our business is well positioned to continue to profitably grow over the long-term due to our strong balance sheet, liquidity and our continuing acquisition strategy. See “COVID-19 Impacts” within the Key Factors Affecting Our Operating Results section below for a discussion of short-term impacts to our business.</w:t>
      </w:r>
    </w:p>
    <w:p>
      <w:pPr>
        <w:spacing w:after="0" w:line="180"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color w:val="auto"/>
        </w:rPr>
        <w:t>A large portion of our net revenue comes from the U.S. residential new construction market, which depends upon a number of economic factors, including demographic trends, interest rates, consumer confidence, employment rates, housing inventory levels, foreclosure rates, the health of the economy and availability of mortgage financing. The strategic acquisitions of multiple companies over the last several years contributed meaningfully to our 6.0% increase in net revenue during the three months ended June 30, 2020 compared to 2019.</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Second Quarter Highlights</w:t>
      </w:r>
    </w:p>
    <w:p>
      <w:pPr>
        <w:spacing w:after="0" w:line="116"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Net revenue increased 6.0% to $393.9 million while gross profit increased 18.5% to $127.1 million during the three months ended June 30, 2020 compared to 2019. We also generated approximately $105.5 million of cash from operating activities, and at June 30, 2020 we had $269.2 million of cash and cash equivalents and investments. We have not drawn on our existing $200 million revolving line of credit. The increase in net revenue and gross profit was primarily driven by selling price increases, the contribution of our recent acquisitions and favorable product mix changes. We experienced sales growth year-over-year as reflected in the sales and relative performance metrics detailed below.</w:t>
      </w:r>
    </w:p>
    <w:p>
      <w:pPr>
        <w:spacing w:after="0" w:line="15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While we experienced a slight decline in single-family sales growth during the three months ended June 30, 2020 compared to the same period in 2019, we experienced significant growth in our multi-family and commercial end-markets to offset this decline. The decline in single-family sales growth was primarily attributable to the effects of temporary business interruptions due to federal, state and local requirements in response to COVID-19, as illustrated by our 2.1% decline in same-branch sales volume detailed in the table below. These declines were offset by favorable product mix changes and increased selling prices. These fluctuations are shown in further detail in the table below and impacts from COVID-19 are discussed further in the sections that follow.</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5"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key measures of performance we utilize to evaluate our results: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20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gridSpan w:val="4"/>
            <w:shd w:val="clear" w:color="auto" w:fill="CCEEFF"/>
          </w:tcPr>
          <w:p>
            <w:pPr>
              <w:spacing w:after="0" w:line="155" w:lineRule="exact"/>
              <w:rPr>
                <w:sz w:val="20"/>
                <w:szCs w:val="20"/>
                <w:color w:val="auto"/>
              </w:rPr>
            </w:pPr>
            <w:r>
              <w:rPr>
                <w:rFonts w:ascii="Arial" w:cs="Arial" w:eastAsia="Arial" w:hAnsi="Arial"/>
                <w:sz w:val="17"/>
                <w:szCs w:val="17"/>
                <w:color w:val="auto"/>
              </w:rPr>
              <w:t>Period-over-period Growth</w:t>
            </w:r>
          </w:p>
        </w:tc>
        <w:tc>
          <w:tcPr>
            <w:tcW w:w="6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Sales Growth</w:t>
            </w:r>
          </w:p>
        </w:tc>
        <w:tc>
          <w:tcPr>
            <w:tcW w:w="3180" w:type="dxa"/>
            <w:vAlign w:val="bottom"/>
            <w:tcBorders>
              <w:top w:val="single" w:sz="8" w:color="CCEEFF"/>
            </w:tcBorders>
            <w:gridSpan w:val="2"/>
          </w:tcPr>
          <w:p>
            <w:pPr>
              <w:spacing w:after="0"/>
              <w:rPr>
                <w:sz w:val="18"/>
                <w:szCs w:val="18"/>
                <w:color w:val="auto"/>
              </w:rPr>
            </w:pPr>
          </w:p>
        </w:tc>
        <w:tc>
          <w:tcPr>
            <w:tcW w:w="1440" w:type="dxa"/>
            <w:vAlign w:val="bottom"/>
            <w:tcBorders>
              <w:top w:val="single" w:sz="8" w:color="CCEEFF"/>
            </w:tcBorders>
            <w:gridSpan w:val="2"/>
          </w:tcPr>
          <w:p>
            <w:pPr>
              <w:jc w:val="right"/>
              <w:ind w:right="660"/>
              <w:spacing w:after="0"/>
              <w:rPr>
                <w:sz w:val="20"/>
                <w:szCs w:val="20"/>
                <w:color w:val="auto"/>
              </w:rPr>
            </w:pPr>
            <w:r>
              <w:rPr>
                <w:rFonts w:ascii="Arial" w:cs="Arial" w:eastAsia="Arial" w:hAnsi="Arial"/>
                <w:sz w:val="18"/>
                <w:szCs w:val="18"/>
                <w:color w:val="auto"/>
              </w:rPr>
              <w:t>6.0%</w:t>
            </w:r>
          </w:p>
        </w:tc>
        <w:tc>
          <w:tcPr>
            <w:tcW w:w="134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11.8%</w:t>
            </w:r>
          </w:p>
        </w:tc>
        <w:tc>
          <w:tcPr>
            <w:tcW w:w="1360" w:type="dxa"/>
            <w:vAlign w:val="bottom"/>
            <w:tcBorders>
              <w:top w:val="single" w:sz="8" w:color="CCEEFF"/>
            </w:tcBorders>
            <w:gridSpan w:val="2"/>
          </w:tcPr>
          <w:p>
            <w:pPr>
              <w:jc w:val="right"/>
              <w:ind w:right="600"/>
              <w:spacing w:after="0"/>
              <w:rPr>
                <w:sz w:val="20"/>
                <w:szCs w:val="20"/>
                <w:color w:val="auto"/>
              </w:rPr>
            </w:pPr>
            <w:r>
              <w:rPr>
                <w:rFonts w:ascii="Arial" w:cs="Arial" w:eastAsia="Arial" w:hAnsi="Arial"/>
                <w:sz w:val="18"/>
                <w:szCs w:val="18"/>
                <w:color w:val="auto"/>
              </w:rPr>
              <w:t>10.8%</w:t>
            </w:r>
          </w:p>
        </w:tc>
        <w:tc>
          <w:tcPr>
            <w:tcW w:w="8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 xml:space="preserve">Same Branch Sales Growth </w:t>
            </w:r>
            <w:r>
              <w:rPr>
                <w:rFonts w:ascii="Arial" w:cs="Arial" w:eastAsia="Arial" w:hAnsi="Arial"/>
                <w:sz w:val="24"/>
                <w:szCs w:val="24"/>
                <w:color w:val="auto"/>
                <w:vertAlign w:val="superscript"/>
              </w:rPr>
              <w:t>(1)</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3"/>
        </w:trPr>
        <w:tc>
          <w:tcPr>
            <w:tcW w:w="5120" w:type="dxa"/>
            <w:vAlign w:val="bottom"/>
            <w:gridSpan w:val="5"/>
          </w:tcPr>
          <w:p>
            <w:pPr>
              <w:spacing w:after="0"/>
              <w:rPr>
                <w:sz w:val="20"/>
                <w:szCs w:val="20"/>
                <w:color w:val="auto"/>
              </w:rPr>
            </w:pPr>
            <w:r>
              <w:rPr>
                <w:rFonts w:ascii="Arial" w:cs="Arial" w:eastAsia="Arial" w:hAnsi="Arial"/>
                <w:sz w:val="18"/>
                <w:szCs w:val="18"/>
                <w:color w:val="auto"/>
              </w:rPr>
              <w:t xml:space="preserve">Single-Family Sales Growth </w:t>
            </w:r>
            <w:r>
              <w:rPr>
                <w:rFonts w:ascii="Arial" w:cs="Arial" w:eastAsia="Arial" w:hAnsi="Arial"/>
                <w:sz w:val="26"/>
                <w:szCs w:val="26"/>
                <w:color w:val="auto"/>
                <w:vertAlign w:val="superscript"/>
              </w:rPr>
              <w:t>(2)</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 xml:space="preserve">Single-Family Same Branch Sales Growth </w:t>
            </w:r>
            <w:r>
              <w:rPr>
                <w:rFonts w:ascii="Arial" w:cs="Arial" w:eastAsia="Arial" w:hAnsi="Arial"/>
                <w:sz w:val="24"/>
                <w:szCs w:val="24"/>
                <w:color w:val="auto"/>
                <w:vertAlign w:val="superscript"/>
              </w:rPr>
              <w:t>(1)(2)</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3"/>
        </w:trPr>
        <w:tc>
          <w:tcPr>
            <w:tcW w:w="5120" w:type="dxa"/>
            <w:vAlign w:val="bottom"/>
            <w:gridSpan w:val="5"/>
          </w:tcPr>
          <w:p>
            <w:pPr>
              <w:spacing w:after="0"/>
              <w:rPr>
                <w:sz w:val="20"/>
                <w:szCs w:val="20"/>
                <w:color w:val="auto"/>
              </w:rPr>
            </w:pPr>
            <w:r>
              <w:rPr>
                <w:rFonts w:ascii="Arial" w:cs="Arial" w:eastAsia="Arial" w:hAnsi="Arial"/>
                <w:sz w:val="18"/>
                <w:szCs w:val="18"/>
                <w:color w:val="auto"/>
              </w:rPr>
              <w:t xml:space="preserve">Residential Sales Growth </w:t>
            </w:r>
            <w:r>
              <w:rPr>
                <w:rFonts w:ascii="Arial" w:cs="Arial" w:eastAsia="Arial" w:hAnsi="Arial"/>
                <w:sz w:val="26"/>
                <w:szCs w:val="26"/>
                <w:color w:val="auto"/>
                <w:vertAlign w:val="superscript"/>
              </w:rPr>
              <w:t>(3)</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9.7%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 xml:space="preserve">Residential Same Branch Sales Growth </w:t>
            </w:r>
            <w:r>
              <w:rPr>
                <w:rFonts w:ascii="Arial" w:cs="Arial" w:eastAsia="Arial" w:hAnsi="Arial"/>
                <w:sz w:val="24"/>
                <w:szCs w:val="24"/>
                <w:color w:val="auto"/>
                <w:vertAlign w:val="superscript"/>
              </w:rPr>
              <w:t>(1)(3)</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83"/>
        </w:trPr>
        <w:tc>
          <w:tcPr>
            <w:tcW w:w="5120" w:type="dxa"/>
            <w:vAlign w:val="bottom"/>
            <w:gridSpan w:val="5"/>
          </w:tcPr>
          <w:p>
            <w:pPr>
              <w:spacing w:after="0"/>
              <w:rPr>
                <w:sz w:val="20"/>
                <w:szCs w:val="20"/>
                <w:color w:val="auto"/>
              </w:rPr>
            </w:pPr>
            <w:r>
              <w:rPr>
                <w:rFonts w:ascii="Arial" w:cs="Arial" w:eastAsia="Arial" w:hAnsi="Arial"/>
                <w:sz w:val="18"/>
                <w:szCs w:val="18"/>
                <w:color w:val="auto"/>
              </w:rPr>
              <w:t>Same Branch Sales Growth</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0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 xml:space="preserve">Volume Growth </w:t>
            </w:r>
            <w:r>
              <w:rPr>
                <w:rFonts w:ascii="Arial" w:cs="Arial" w:eastAsia="Arial" w:hAnsi="Arial"/>
                <w:sz w:val="24"/>
                <w:szCs w:val="24"/>
                <w:color w:val="auto"/>
                <w:vertAlign w:val="superscript"/>
              </w:rPr>
              <w:t>(1)(4)</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4"/>
          </w:tcPr>
          <w:p>
            <w:pPr>
              <w:spacing w:after="0" w:line="216" w:lineRule="exact"/>
              <w:rPr>
                <w:sz w:val="20"/>
                <w:szCs w:val="20"/>
                <w:color w:val="auto"/>
              </w:rPr>
            </w:pPr>
            <w:r>
              <w:rPr>
                <w:rFonts w:ascii="Arial" w:cs="Arial" w:eastAsia="Arial" w:hAnsi="Arial"/>
                <w:sz w:val="17"/>
                <w:szCs w:val="17"/>
                <w:color w:val="auto"/>
              </w:rPr>
              <w:t xml:space="preserve">Price/Mix Growth </w:t>
            </w:r>
            <w:r>
              <w:rPr>
                <w:rFonts w:ascii="Arial" w:cs="Arial" w:eastAsia="Arial" w:hAnsi="Arial"/>
                <w:sz w:val="24"/>
                <w:szCs w:val="24"/>
                <w:color w:val="auto"/>
                <w:vertAlign w:val="superscript"/>
              </w:rPr>
              <w:t>(1)(5)</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4.8%</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5.7%</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gridSpan w:val="4"/>
            <w:shd w:val="clear" w:color="auto" w:fill="CCEEFF"/>
          </w:tcPr>
          <w:p>
            <w:pPr>
              <w:spacing w:after="0" w:line="216" w:lineRule="exact"/>
              <w:rPr>
                <w:sz w:val="20"/>
                <w:szCs w:val="20"/>
                <w:color w:val="auto"/>
              </w:rPr>
            </w:pPr>
            <w:r>
              <w:rPr>
                <w:rFonts w:ascii="Arial" w:cs="Arial" w:eastAsia="Arial" w:hAnsi="Arial"/>
                <w:sz w:val="17"/>
                <w:szCs w:val="17"/>
                <w:color w:val="auto"/>
              </w:rPr>
              <w:t xml:space="preserve">Large Commercial Sales Growth </w:t>
            </w:r>
            <w:r>
              <w:rPr>
                <w:rFonts w:ascii="Arial" w:cs="Arial" w:eastAsia="Arial" w:hAnsi="Arial"/>
                <w:sz w:val="24"/>
                <w:szCs w:val="24"/>
                <w:color w:val="auto"/>
                <w:vertAlign w:val="superscript"/>
              </w:rPr>
              <w:t>(1)</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83"/>
        </w:trPr>
        <w:tc>
          <w:tcPr>
            <w:tcW w:w="5120" w:type="dxa"/>
            <w:vAlign w:val="bottom"/>
            <w:gridSpan w:val="5"/>
          </w:tcPr>
          <w:p>
            <w:pPr>
              <w:spacing w:after="0" w:line="283" w:lineRule="exact"/>
              <w:rPr>
                <w:sz w:val="20"/>
                <w:szCs w:val="20"/>
                <w:color w:val="auto"/>
              </w:rPr>
            </w:pPr>
            <w:r>
              <w:rPr>
                <w:rFonts w:ascii="Arial" w:cs="Arial" w:eastAsia="Arial" w:hAnsi="Arial"/>
                <w:sz w:val="18"/>
                <w:szCs w:val="18"/>
                <w:color w:val="auto"/>
              </w:rPr>
              <w:t xml:space="preserve">U.S. Housing Market </w:t>
            </w:r>
            <w:r>
              <w:rPr>
                <w:rFonts w:ascii="Arial" w:cs="Arial" w:eastAsia="Arial" w:hAnsi="Arial"/>
                <w:sz w:val="26"/>
                <w:szCs w:val="26"/>
                <w:color w:val="auto"/>
                <w:vertAlign w:val="superscript"/>
              </w:rPr>
              <w:t>(6)</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Completions Growth</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100" w:type="dxa"/>
            <w:vAlign w:val="bottom"/>
            <w:gridSpan w:val="4"/>
          </w:tcPr>
          <w:p>
            <w:pPr>
              <w:spacing w:after="0"/>
              <w:rPr>
                <w:sz w:val="20"/>
                <w:szCs w:val="20"/>
                <w:color w:val="auto"/>
              </w:rPr>
            </w:pPr>
            <w:r>
              <w:rPr>
                <w:rFonts w:ascii="Arial" w:cs="Arial" w:eastAsia="Arial" w:hAnsi="Arial"/>
                <w:sz w:val="18"/>
                <w:szCs w:val="18"/>
                <w:color w:val="auto"/>
              </w:rPr>
              <w:t xml:space="preserve">Single-Family Completions Growth </w:t>
            </w:r>
            <w:r>
              <w:rPr>
                <w:rFonts w:ascii="Arial" w:cs="Arial" w:eastAsia="Arial" w:hAnsi="Arial"/>
                <w:sz w:val="26"/>
                <w:szCs w:val="26"/>
                <w:color w:val="auto"/>
                <w:vertAlign w:val="superscript"/>
              </w:rPr>
              <w:t>(2)</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60" w:hanging="431"/>
        <w:spacing w:after="0"/>
        <w:tabs>
          <w:tab w:leader="none" w:pos="56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Same-branch basis represents period-over-period growth for branch locations owned greater than 12 months as of each financial statement date.</w:t>
      </w:r>
    </w:p>
    <w:p>
      <w:pPr>
        <w:spacing w:after="0" w:line="1" w:lineRule="exact"/>
        <w:rPr>
          <w:rFonts w:ascii="Arial" w:cs="Arial" w:eastAsia="Arial" w:hAnsi="Arial"/>
          <w:sz w:val="23"/>
          <w:szCs w:val="23"/>
          <w:color w:val="auto"/>
          <w:vertAlign w:val="superscript"/>
        </w:rPr>
      </w:pPr>
    </w:p>
    <w:p>
      <w:pPr>
        <w:ind w:left="560" w:hanging="431"/>
        <w:spacing w:after="0" w:line="194" w:lineRule="auto"/>
        <w:tabs>
          <w:tab w:leader="none" w:pos="56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Calculated based on period-over-period growth in the single-family subset of the residential new construction end market.</w:t>
      </w:r>
    </w:p>
    <w:p>
      <w:pPr>
        <w:spacing w:after="0" w:line="1" w:lineRule="exact"/>
        <w:rPr>
          <w:rFonts w:ascii="Arial" w:cs="Arial" w:eastAsia="Arial" w:hAnsi="Arial"/>
          <w:sz w:val="23"/>
          <w:szCs w:val="23"/>
          <w:color w:val="auto"/>
          <w:vertAlign w:val="superscript"/>
        </w:rPr>
      </w:pPr>
    </w:p>
    <w:p>
      <w:pPr>
        <w:ind w:left="560" w:hanging="431"/>
        <w:spacing w:after="0" w:line="194" w:lineRule="auto"/>
        <w:tabs>
          <w:tab w:leader="none" w:pos="56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Calculated based on period-over-period growth in the residential new construction end market.</w:t>
      </w:r>
    </w:p>
    <w:p>
      <w:pPr>
        <w:spacing w:after="0" w:line="1" w:lineRule="exact"/>
        <w:rPr>
          <w:rFonts w:ascii="Arial" w:cs="Arial" w:eastAsia="Arial" w:hAnsi="Arial"/>
          <w:sz w:val="23"/>
          <w:szCs w:val="23"/>
          <w:color w:val="auto"/>
          <w:vertAlign w:val="superscript"/>
        </w:rPr>
      </w:pPr>
    </w:p>
    <w:p>
      <w:pPr>
        <w:ind w:left="560" w:right="400" w:hanging="431"/>
        <w:spacing w:after="0" w:line="199" w:lineRule="auto"/>
        <w:tabs>
          <w:tab w:leader="none" w:pos="56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Excludes the large commercial end market; calculated as period-over-period change in the number of completed same-branch residential new construction and repair and remodel jobs.</w:t>
      </w:r>
    </w:p>
    <w:p>
      <w:pPr>
        <w:ind w:left="560" w:right="40" w:hanging="431"/>
        <w:spacing w:after="0" w:line="224" w:lineRule="auto"/>
        <w:tabs>
          <w:tab w:leader="none" w:pos="56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Excludes the large commercial end market; defined as change in the mix of products sold and related pricing changes and calculated as the change in period-over-period average selling price per same-branch residential new construction and repair and remodel jobs multiplied by total current year jobs. The mix of end customer and product would have an impact on the year-over-year price per job.</w:t>
      </w:r>
    </w:p>
    <w:p>
      <w:pPr>
        <w:spacing w:after="0" w:line="2" w:lineRule="exact"/>
        <w:rPr>
          <w:rFonts w:ascii="Arial" w:cs="Arial" w:eastAsia="Arial" w:hAnsi="Arial"/>
          <w:sz w:val="26"/>
          <w:szCs w:val="26"/>
          <w:color w:val="auto"/>
          <w:vertAlign w:val="superscript"/>
        </w:rPr>
      </w:pPr>
    </w:p>
    <w:p>
      <w:pPr>
        <w:ind w:left="560" w:hanging="431"/>
        <w:spacing w:after="0" w:line="195" w:lineRule="auto"/>
        <w:tabs>
          <w:tab w:leader="none" w:pos="56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U.S. Census Bureau data, as revised.</w:t>
      </w:r>
    </w:p>
    <w:p>
      <w:pPr>
        <w:spacing w:after="0" w:line="20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We feel the revenue growth measures are important indicators of how our business is performing, however, we may rely on different metrics in the future. We also utilize gross profit percentage as shown in the following section to monitor our most significant variable costs and to evaluate labor efficiency and success at passing increasing costs of materials to customers.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 cost of sales and gross profit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gross profit were as follows (in thousands):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40" w:type="dxa"/>
            <w:vAlign w:val="bottom"/>
            <w:gridSpan w:val="6"/>
          </w:tcPr>
          <w:p>
            <w:pPr>
              <w:jc w:val="right"/>
              <w:ind w:right="820"/>
              <w:spacing w:after="0"/>
              <w:rPr>
                <w:sz w:val="20"/>
                <w:szCs w:val="20"/>
                <w:color w:val="auto"/>
              </w:rPr>
            </w:pPr>
            <w:r>
              <w:rPr>
                <w:rFonts w:ascii="Arial" w:cs="Arial" w:eastAsia="Arial" w:hAnsi="Arial"/>
                <w:sz w:val="14"/>
                <w:szCs w:val="14"/>
                <w:color w:val="auto"/>
              </w:rPr>
              <w:t>Three months ended June 30,</w:t>
            </w:r>
          </w:p>
        </w:tc>
        <w:tc>
          <w:tcPr>
            <w:tcW w:w="2780" w:type="dxa"/>
            <w:vAlign w:val="bottom"/>
            <w:gridSpan w:val="6"/>
          </w:tcPr>
          <w:p>
            <w:pPr>
              <w:jc w:val="right"/>
              <w:ind w:right="72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2020</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color w:val="auto"/>
                <w:w w:val="85"/>
              </w:rPr>
              <w:t>Change</w:t>
            </w: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2019</w:t>
            </w:r>
          </w:p>
        </w:tc>
        <w:tc>
          <w:tcPr>
            <w:tcW w:w="38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2020</w:t>
            </w: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color w:val="auto"/>
                <w:w w:val="89"/>
              </w:rPr>
              <w:t>Change</w:t>
            </w: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revenue</w:t>
            </w:r>
          </w:p>
        </w:tc>
        <w:tc>
          <w:tcPr>
            <w:tcW w:w="1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$393,939</w:t>
            </w:r>
          </w:p>
        </w:tc>
        <w:tc>
          <w:tcPr>
            <w:tcW w:w="3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$371,814</w:t>
            </w:r>
          </w:p>
        </w:tc>
        <w:tc>
          <w:tcPr>
            <w:tcW w:w="3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$791,270</w:t>
            </w:r>
          </w:p>
        </w:tc>
        <w:tc>
          <w:tcPr>
            <w:tcW w:w="3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$713,949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6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266,800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264,557</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547,871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680" w:type="dxa"/>
            <w:vAlign w:val="bottom"/>
          </w:tcPr>
          <w:p>
            <w:pPr>
              <w:jc w:val="right"/>
              <w:spacing w:after="0"/>
              <w:rPr>
                <w:sz w:val="20"/>
                <w:szCs w:val="20"/>
                <w:color w:val="auto"/>
              </w:rPr>
            </w:pPr>
            <w:r>
              <w:rPr>
                <w:rFonts w:ascii="Arial" w:cs="Arial" w:eastAsia="Arial" w:hAnsi="Arial"/>
                <w:sz w:val="18"/>
                <w:szCs w:val="18"/>
                <w:color w:val="auto"/>
              </w:rPr>
              <w:t>517,254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127,139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107,257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243,399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196,695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360"/>
              <w:spacing w:after="0"/>
              <w:rPr>
                <w:sz w:val="20"/>
                <w:szCs w:val="20"/>
                <w:color w:val="auto"/>
              </w:rPr>
            </w:pPr>
            <w:r>
              <w:rPr>
                <w:rFonts w:ascii="Arial" w:cs="Arial" w:eastAsia="Arial" w:hAnsi="Arial"/>
                <w:sz w:val="18"/>
                <w:szCs w:val="18"/>
                <w:color w:val="auto"/>
              </w:rPr>
              <w:t>Gross profit percentage</w:t>
            </w:r>
          </w:p>
        </w:tc>
        <w:tc>
          <w:tcPr>
            <w:tcW w:w="1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363"/>
        </w:trPr>
        <w:tc>
          <w:tcPr>
            <w:tcW w:w="3660" w:type="dxa"/>
            <w:vAlign w:val="bottom"/>
          </w:tcPr>
          <w:p>
            <w:pPr>
              <w:spacing w:after="0"/>
              <w:rPr>
                <w:sz w:val="24"/>
                <w:szCs w:val="24"/>
                <w:color w:val="auto"/>
              </w:rPr>
            </w:pPr>
          </w:p>
        </w:tc>
        <w:tc>
          <w:tcPr>
            <w:tcW w:w="2300" w:type="dxa"/>
            <w:vAlign w:val="bottom"/>
            <w:gridSpan w:val="2"/>
          </w:tcPr>
          <w:p>
            <w:pPr>
              <w:jc w:val="right"/>
              <w:ind w:right="277"/>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Net revenue increased during the three and six months ended June 30, 2020 compared to 2019 due primarily to acquisitions, favorable product mix changes and increased selling prices. These increases were offset by operating disruptions caused by the COVID-19 health crisis. We estimate net revenue during the three months ended June 30, 2020 was reduced from these disruptions by a range of approximately $10.0 million to $12.0 million and net revenue during the six months ended June 30, 2020 was reduced by a range of approximately $12.0 million to $14.5 million. As a percentage of net revenue, gross profit increased during the three and six months ended June 30, 2020 compared to 2019 attributable primarily to lower fuel costs and to achieving higher selling prices on relatively stable material costs, as evidenced by our 4.8% and 8.4% improvement, respectively, in pricing and customer and product mix calculated based on all our combined markets excluding the large commercial end market. Labor utilization improved, in part, as a result of lower installer turnover due to investments in our financial wellness plan, our longevity stock compensation plan for installers and assistance from our Installed Building Products Foundation. However, restrictions limiting the number of laborers on a jobsite and our internal standards for social distancing practices impacted the number of completed jobs and operational efficiencies across our end markets during portions of the first and second quarters of 2020. This resulted in a reduction in volume from comparable periods in 2019. See “COVID-19 Impacts” within the Key Factors Affecting Our Operating Results section below for further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expenses were as follows (in thousands):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8"/>
          </w:tcPr>
          <w:p>
            <w:pPr>
              <w:jc w:val="center"/>
              <w:ind w:right="460"/>
              <w:spacing w:after="0"/>
              <w:rPr>
                <w:sz w:val="20"/>
                <w:szCs w:val="20"/>
                <w:color w:val="auto"/>
              </w:rPr>
            </w:pPr>
            <w:r>
              <w:rPr>
                <w:rFonts w:ascii="Arial" w:cs="Arial" w:eastAsia="Arial" w:hAnsi="Arial"/>
                <w:sz w:val="14"/>
                <w:szCs w:val="14"/>
                <w:color w:val="auto"/>
                <w:w w:val="89"/>
              </w:rPr>
              <w:t>Three months ended June 30,</w:t>
            </w:r>
          </w:p>
        </w:tc>
        <w:tc>
          <w:tcPr>
            <w:tcW w:w="100" w:type="dxa"/>
            <w:vAlign w:val="bottom"/>
          </w:tcPr>
          <w:p>
            <w:pPr>
              <w:spacing w:after="0"/>
              <w:rPr>
                <w:sz w:val="14"/>
                <w:szCs w:val="14"/>
                <w:color w:val="auto"/>
              </w:rPr>
            </w:pPr>
          </w:p>
        </w:tc>
        <w:tc>
          <w:tcPr>
            <w:tcW w:w="2680" w:type="dxa"/>
            <w:vAlign w:val="bottom"/>
            <w:gridSpan w:val="7"/>
          </w:tcPr>
          <w:p>
            <w:pPr>
              <w:jc w:val="center"/>
              <w:ind w:right="300"/>
              <w:spacing w:after="0"/>
              <w:rPr>
                <w:sz w:val="20"/>
                <w:szCs w:val="20"/>
                <w:color w:val="auto"/>
              </w:rPr>
            </w:pPr>
            <w:r>
              <w:rPr>
                <w:rFonts w:ascii="Arial" w:cs="Arial" w:eastAsia="Arial" w:hAnsi="Arial"/>
                <w:sz w:val="14"/>
                <w:szCs w:val="14"/>
                <w:color w:val="auto"/>
                <w:w w:val="90"/>
              </w:rPr>
              <w:t>Six months ended June 30,</w:t>
            </w:r>
          </w:p>
        </w:tc>
      </w:tr>
      <w:tr>
        <w:trPr>
          <w:trHeight w:val="142"/>
        </w:trPr>
        <w:tc>
          <w:tcPr>
            <w:tcW w:w="5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Change</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2019</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Change</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19,011</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35,033</w:t>
            </w:r>
          </w:p>
        </w:tc>
        <w:tc>
          <w:tcPr>
            <w:tcW w:w="200" w:type="dxa"/>
            <w:vAlign w:val="bottom"/>
            <w:shd w:val="clear" w:color="auto" w:fill="CCEEFF"/>
          </w:tcPr>
          <w:p>
            <w:pPr>
              <w:spacing w:after="0"/>
              <w:rPr>
                <w:sz w:val="18"/>
                <w:szCs w:val="18"/>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8"/>
                <w:szCs w:val="18"/>
                <w:color w:val="auto"/>
              </w:rPr>
              <w:t>Percentage of total net revenue</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5"/>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59,060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52,493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119,255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100,924</w:t>
            </w:r>
          </w:p>
        </w:tc>
        <w:tc>
          <w:tcPr>
            <w:tcW w:w="200" w:type="dxa"/>
            <w:vAlign w:val="bottom"/>
            <w:shd w:val="clear" w:color="auto" w:fill="CCEEFF"/>
          </w:tcPr>
          <w:p>
            <w:pPr>
              <w:spacing w:after="0"/>
              <w:rPr>
                <w:sz w:val="18"/>
                <w:szCs w:val="18"/>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8"/>
                <w:szCs w:val="18"/>
                <w:color w:val="auto"/>
              </w:rPr>
              <w:t>Percentage of total net revenue</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r>
      <w:tr>
        <w:trPr>
          <w:trHeight w:val="215"/>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13,404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200" w:type="dxa"/>
            <w:vAlign w:val="bottom"/>
            <w:shd w:val="clear" w:color="auto" w:fill="CCEEFF"/>
          </w:tcPr>
          <w:p>
            <w:pPr>
              <w:spacing w:after="0"/>
              <w:rPr>
                <w:sz w:val="18"/>
                <w:szCs w:val="18"/>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Percentage of total net revenue</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Selling</w:t>
      </w:r>
    </w:p>
    <w:p>
      <w:pPr>
        <w:spacing w:after="0" w:line="116" w:lineRule="exact"/>
        <w:rPr>
          <w:sz w:val="20"/>
          <w:szCs w:val="20"/>
          <w:color w:val="auto"/>
        </w:rPr>
      </w:pPr>
    </w:p>
    <w:p>
      <w:pPr>
        <w:ind w:left="120" w:right="60"/>
        <w:spacing w:after="0" w:line="278" w:lineRule="auto"/>
        <w:rPr>
          <w:sz w:val="20"/>
          <w:szCs w:val="20"/>
          <w:color w:val="auto"/>
        </w:rPr>
      </w:pPr>
      <w:r>
        <w:rPr>
          <w:rFonts w:ascii="Arial" w:cs="Arial" w:eastAsia="Arial" w:hAnsi="Arial"/>
          <w:sz w:val="17"/>
          <w:szCs w:val="17"/>
          <w:color w:val="auto"/>
        </w:rPr>
        <w:t>The dollar increases in selling expenses for the three and six months ended June 30, 2020 were primarily driven by an increase in selling wages and commissions to support our increased net revenue of 6.0%. Selling expense as a percentage of sales slightly increased for the six months ended June 30, 2020 compared to 2019 primarily due to timing of credit losses and collections as well as additional loss reserves recorded as a result of adoption of ASU 2016-13, Financial Instruments – Credit Losses (Topic 326). See Note 4, Credit Losses, for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Administrative</w:t>
      </w:r>
    </w:p>
    <w:p>
      <w:pPr>
        <w:spacing w:after="0" w:line="116"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The dollar increases in administrative expenses for the three and six months ended June 30, 2020 were primarily due to an increase in wages, benefits and facility costs attributable to both acquisitions and organic growth. Administrative expense increased as a percentage of sales for the three and six months ended June 30, 2020 compared to 2019 primarily due to increases to variable employee expenses as a result of improved company performance as well as higher insurance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net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 net was as follows (in thousands):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60" w:type="dxa"/>
            <w:vAlign w:val="bottom"/>
            <w:gridSpan w:val="6"/>
          </w:tcPr>
          <w:p>
            <w:pPr>
              <w:ind w:left="200"/>
              <w:spacing w:after="0"/>
              <w:rPr>
                <w:sz w:val="20"/>
                <w:szCs w:val="20"/>
                <w:color w:val="auto"/>
              </w:rPr>
            </w:pPr>
            <w:r>
              <w:rPr>
                <w:rFonts w:ascii="Arial" w:cs="Arial" w:eastAsia="Arial" w:hAnsi="Arial"/>
                <w:sz w:val="14"/>
                <w:szCs w:val="14"/>
                <w:color w:val="auto"/>
              </w:rPr>
              <w:t>Three months ended June 30,</w:t>
            </w:r>
          </w:p>
        </w:tc>
        <w:tc>
          <w:tcPr>
            <w:tcW w:w="2340" w:type="dxa"/>
            <w:vAlign w:val="bottom"/>
            <w:gridSpan w:val="6"/>
          </w:tcPr>
          <w:p>
            <w:pPr>
              <w:jc w:val="right"/>
              <w:ind w:right="42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2020</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85"/>
              </w:rPr>
              <w:t>Change</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2019</w:t>
            </w:r>
          </w:p>
        </w:tc>
        <w:tc>
          <w:tcPr>
            <w:tcW w:w="26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2020</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color w:val="auto"/>
                <w:w w:val="85"/>
              </w:rPr>
              <w:t>Change</w:t>
            </w: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5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25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$7,757</w:t>
            </w:r>
          </w:p>
        </w:tc>
        <w:tc>
          <w:tcPr>
            <w:tcW w:w="2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$5,649</w:t>
            </w:r>
          </w:p>
        </w:tc>
        <w:tc>
          <w:tcPr>
            <w:tcW w:w="2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$15,115</w:t>
            </w:r>
          </w:p>
        </w:tc>
        <w:tc>
          <w:tcPr>
            <w:tcW w:w="2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$11,325</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3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7,886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5,750</w:t>
            </w: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15,244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11,551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560" w:type="dxa"/>
            <w:vAlign w:val="bottom"/>
            <w:vMerge w:val="restart"/>
          </w:tcPr>
          <w:p>
            <w:pPr>
              <w:jc w:val="right"/>
              <w:ind w:right="610"/>
              <w:spacing w:after="0"/>
              <w:rPr>
                <w:sz w:val="20"/>
                <w:szCs w:val="20"/>
                <w:color w:val="auto"/>
              </w:rPr>
            </w:pPr>
            <w:r>
              <w:rPr>
                <w:rFonts w:ascii="Arial" w:cs="Arial" w:eastAsia="Arial" w:hAnsi="Arial"/>
                <w:sz w:val="18"/>
                <w:szCs w:val="18"/>
                <w:color w:val="auto"/>
              </w:rPr>
              <w:t>28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680"/>
        <w:spacing w:after="0" w:line="276" w:lineRule="auto"/>
        <w:rPr>
          <w:sz w:val="20"/>
          <w:szCs w:val="20"/>
          <w:color w:val="auto"/>
        </w:rPr>
      </w:pPr>
      <w:r>
        <w:rPr>
          <w:rFonts w:ascii="Arial" w:cs="Arial" w:eastAsia="Arial" w:hAnsi="Arial"/>
          <w:sz w:val="18"/>
          <w:szCs w:val="18"/>
          <w:color w:val="auto"/>
        </w:rPr>
        <w:t>The increase in interest expense, net during the three months ended June 30, 2020 compared to 2019 was primarily due to increased debt levels associated with financing transactions that occurred in the second half of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provision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provision and effective tax rates were as follows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4"/>
                <w:szCs w:val="14"/>
                <w:color w:val="auto"/>
                <w:w w:val="94"/>
              </w:rPr>
              <w:t>Three months ended June 30,</w:t>
            </w:r>
          </w:p>
        </w:tc>
        <w:tc>
          <w:tcPr>
            <w:tcW w:w="1940" w:type="dxa"/>
            <w:vAlign w:val="bottom"/>
            <w:gridSpan w:val="4"/>
          </w:tcPr>
          <w:p>
            <w:pPr>
              <w:jc w:val="right"/>
              <w:ind w:right="300"/>
              <w:spacing w:after="0"/>
              <w:rPr>
                <w:sz w:val="20"/>
                <w:szCs w:val="20"/>
                <w:color w:val="auto"/>
              </w:rPr>
            </w:pPr>
            <w:r>
              <w:rPr>
                <w:rFonts w:ascii="Arial" w:cs="Arial" w:eastAsia="Arial" w:hAnsi="Arial"/>
                <w:sz w:val="14"/>
                <w:szCs w:val="14"/>
                <w:color w:val="auto"/>
                <w:w w:val="95"/>
              </w:rPr>
              <w:t>Six months ended June 30,</w:t>
            </w:r>
          </w:p>
        </w:tc>
      </w:tr>
      <w:tr>
        <w:trPr>
          <w:trHeight w:val="142"/>
        </w:trPr>
        <w:tc>
          <w:tcPr>
            <w:tcW w:w="37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2020</w:t>
            </w:r>
          </w:p>
        </w:tc>
        <w:tc>
          <w:tcPr>
            <w:tcW w:w="4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9,121</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6,171</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$ 14,805</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$ 9,525</w:t>
            </w:r>
          </w:p>
        </w:tc>
        <w:tc>
          <w:tcPr>
            <w:tcW w:w="200" w:type="dxa"/>
            <w:vAlign w:val="bottom"/>
            <w:shd w:val="clear" w:color="auto" w:fill="CCEEFF"/>
          </w:tcPr>
          <w:p>
            <w:pPr>
              <w:spacing w:after="0"/>
              <w:rPr>
                <w:sz w:val="18"/>
                <w:szCs w:val="18"/>
                <w:color w:val="auto"/>
              </w:rPr>
            </w:pP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Effective tax rate</w:t>
            </w:r>
          </w:p>
        </w:tc>
        <w:tc>
          <w:tcPr>
            <w:tcW w:w="3300" w:type="dxa"/>
            <w:vAlign w:val="bottom"/>
            <w:gridSpan w:val="3"/>
          </w:tcPr>
          <w:p>
            <w:pPr>
              <w:jc w:val="right"/>
              <w:ind w:right="380"/>
              <w:spacing w:after="0"/>
              <w:rPr>
                <w:sz w:val="20"/>
                <w:szCs w:val="20"/>
                <w:color w:val="auto"/>
              </w:rPr>
            </w:pPr>
            <w:r>
              <w:rPr>
                <w:rFonts w:ascii="Arial" w:cs="Arial" w:eastAsia="Arial" w:hAnsi="Arial"/>
                <w:sz w:val="18"/>
                <w:szCs w:val="18"/>
                <w:color w:val="auto"/>
              </w:rPr>
              <w:t>26.5%</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r>
    </w:tbl>
    <w:p>
      <w:pPr>
        <w:spacing w:after="0" w:line="187"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During the three and six months ended June 30, 2020, our effective tax rate was 26.5% and 26.4%, respectively. The rates for both periods were unfavorably impacted by separate tax filing entities in a loss position for which a full valuation allowance is required, resulting in no tax benefit for recognized losses. The rate for the three months ended June 30, 2020 was also unfavorably impacted by a tax shortfall due to equity vesting.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comprehensive loss, net of tax</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comprehensive loss, net of tax was as follows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6260" w:type="dxa"/>
            <w:vAlign w:val="bottom"/>
          </w:tcPr>
          <w:p>
            <w:pPr>
              <w:spacing w:after="0"/>
              <w:rPr>
                <w:sz w:val="14"/>
                <w:szCs w:val="14"/>
                <w:color w:val="auto"/>
              </w:rPr>
            </w:pPr>
          </w:p>
        </w:tc>
        <w:tc>
          <w:tcPr>
            <w:tcW w:w="2100" w:type="dxa"/>
            <w:vAlign w:val="bottom"/>
            <w:gridSpan w:val="4"/>
          </w:tcPr>
          <w:p>
            <w:pPr>
              <w:ind w:left="40"/>
              <w:spacing w:after="0"/>
              <w:rPr>
                <w:sz w:val="20"/>
                <w:szCs w:val="20"/>
                <w:color w:val="auto"/>
              </w:rPr>
            </w:pPr>
            <w:r>
              <w:rPr>
                <w:rFonts w:ascii="Arial" w:cs="Arial" w:eastAsia="Arial" w:hAnsi="Arial"/>
                <w:sz w:val="14"/>
                <w:szCs w:val="14"/>
                <w:color w:val="auto"/>
              </w:rPr>
              <w:t>Three months ended June 30,</w:t>
            </w:r>
          </w:p>
        </w:tc>
        <w:tc>
          <w:tcPr>
            <w:tcW w:w="1740" w:type="dxa"/>
            <w:vAlign w:val="bottom"/>
            <w:gridSpan w:val="4"/>
          </w:tcPr>
          <w:p>
            <w:pPr>
              <w:ind w:left="40"/>
              <w:spacing w:after="0"/>
              <w:rPr>
                <w:sz w:val="20"/>
                <w:szCs w:val="20"/>
                <w:color w:val="auto"/>
              </w:rPr>
            </w:pPr>
            <w:r>
              <w:rPr>
                <w:rFonts w:ascii="Arial" w:cs="Arial" w:eastAsia="Arial" w:hAnsi="Arial"/>
                <w:sz w:val="14"/>
                <w:szCs w:val="14"/>
                <w:color w:val="auto"/>
                <w:w w:val="98"/>
              </w:rPr>
              <w:t>Six months ended June 30,</w:t>
            </w:r>
          </w:p>
        </w:tc>
      </w:tr>
      <w:tr>
        <w:trPr>
          <w:trHeight w:val="142"/>
        </w:trPr>
        <w:tc>
          <w:tcPr>
            <w:tcW w:w="626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2020</w:t>
            </w: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color w:val="auto"/>
              </w:rPr>
              <w:t>2019</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2020</w:t>
            </w:r>
          </w:p>
        </w:tc>
        <w:tc>
          <w:tcPr>
            <w:tcW w:w="9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 on cash flow hedge, net of taxes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(150)</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(5,758)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(6,295)</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1" w:lineRule="exact"/>
        <w:rPr>
          <w:sz w:val="20"/>
          <w:szCs w:val="20"/>
          <w:color w:val="auto"/>
        </w:rPr>
      </w:pPr>
    </w:p>
    <w:p>
      <w:pPr>
        <w:ind w:left="120" w:right="260"/>
        <w:spacing w:after="0" w:line="306" w:lineRule="auto"/>
        <w:rPr>
          <w:sz w:val="20"/>
          <w:szCs w:val="20"/>
          <w:color w:val="auto"/>
        </w:rPr>
      </w:pPr>
      <w:r>
        <w:rPr>
          <w:rFonts w:ascii="Arial" w:cs="Arial" w:eastAsia="Arial" w:hAnsi="Arial"/>
          <w:sz w:val="17"/>
          <w:szCs w:val="17"/>
          <w:color w:val="auto"/>
        </w:rPr>
        <w:t>During the three and six months ended June 30, 2020 and 2019, we recorded an unrealized loss on our cash flow hedges primarily due to interest rate declines. The unrealized losses recorded during 2020 were partially driven by market responses to the COVID-19 pandemic.</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Materials</w:t>
      </w:r>
    </w:p>
    <w:p>
      <w:pPr>
        <w:spacing w:after="0" w:line="11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purchase the materials that we install primarily direct from manufacturers. The industry supply of materials we install has experienced disruptions in the past but has stabilized since the beginning of 2019. Increased market pricing, regardless of the catalyst, has and could continue to impact our results of operations in 2020, to the extent that price increases cannot be passed on to our customers. We began to see improvement in our selling prices in the second quarter of 2019, and this continued into 2020 as evidenced by our 3.5% and 3.2% improvement in gross profit as a percentage of sales during the three and six months ended June 30, 2020 compared to the three and six months ended June 30, 2019, respectively. We will continue to work with our customers to adjust selling prices to offset higher costs as they occur. See “COVID-19 Impacts” below for a discussion of the short-term impacts of the current economic climate on the availability of the materials we install.</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Labor</w:t>
      </w:r>
    </w:p>
    <w:p>
      <w:pPr>
        <w:spacing w:after="0" w:line="116"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Our business is labor intensive and the majority of our employees work as installers on local construction sites. We offer a comprehensive benefits package, which many of our local competitors are not able to provide, which will increase costs as we hire additional personnel. Our workers’ compensation costs also continue to increase as we employ additional personnel.</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5"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Despite temporary layoffs and furloughs driven by branch closures as a response to the effects of COVID-19, we experienced strong employee retention, turnover and labor efficiency rates in the six months ended June 30, 2020. We believe this is partially a result of various programs meant to benefit our employees, including our financial wellness plan, longevity stock compensation plan for employees and assistance from the Installed Building Products Foundation meant to benefit our employees, their families and their communities. While improved retention drives lower costs to recruit and train new employees, resulting in greater installer productivity, these improvements are somewhat offset by the additional costs of these incentives. See “COVID-19 Impacts” below for a discussion of the short-term impacts of the current economic climate on our workforce.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Impacts</w:t>
      </w:r>
    </w:p>
    <w:p>
      <w:pPr>
        <w:spacing w:after="0" w:line="11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December 2019, a novel strain of coronavirus (COVID-19) surfaced in Wuhan, China. Since then, the virus has spread globally, including to the United States. In response, the World Health Organization declared the situation a pandemic and the U.S. Secretary of Health and Human Services has declared a public health emergency. The COVID-19 pandemic has caused significant volatility, uncertainty and economic disruption. Many public health organizations and international, federal, state and local governments implemented measures to combat the spread of COVID-19 during portions of the first and second quarters of 2020 with some of these restrictions still in place as of the date of filing of this Quarterly Report on Form 10-Q. Some of these measures include restrictions on movement such as quarantines, “stay-at-home” orders and social distancing ordinances and restricting or prohibiting outright some or all forms of commercial and business activity. While portions of the economy have begun to reopen, there is still significant uncertainty surrounding the duration and scope of the pandemic, as well as its impact on the economy. We cannot predict if federal, state and local governments will implement additional restrictions, when restrictions currently in place will expire or whether restrictions currently in place will become more limiting.</w:t>
      </w:r>
    </w:p>
    <w:p>
      <w:pPr>
        <w:spacing w:after="0" w:line="17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Due to these limitations, we saw a temporary but significant reduction in activity during portions of March, April and May of 2020 in our branches located in seven states and the Bay Area of California, which collectively accounted for 10% of our net revenue during the year ended December 31, 2019. The reduced activity in these areas was attributable to construction being temporarily deemed non-essential during that time period. While we estimate net revenue for the six months ended June 30, 2020 compared to the same period in 2019 was reduced as a result of these interruptions, we do not believe the various orders and restrictions, or COVID-19 itself, significantly impacted our business in the first half of 2020 as construction was deemed “essential” in other states.</w:t>
      </w:r>
    </w:p>
    <w:p>
      <w:pPr>
        <w:spacing w:after="0" w:line="18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While we expect the COVID-19 pandemic and related events will have a negative effect on us in the latter half of 2020, the full extent and scope of the impact on our business and industry, as well as national, regional and global markets and economies, depends on numerous evolving factors that we may not be able to accurately predict, including the duration and scope of the pandemic, additional government actions taken in response to the pandemic, the impact on construction activity and demand for homes (based on employment levels, consumer spending and consumer confidence). The U.S. housing market was robust in the latter months of 2019 and experienced a strong start in 2020. However, U.S. housing starts declined 17.1% in the second quarter of 2020 compared to 2019. At the end of June 2020, there were approximately seven months of single-family housing units under construction, based on U.S. Census Bureau data. We believe this sizable industry backlog will provide us short-term relief from the volatility in industry housing starts experienced in the second quarter of 2020. However, due to the normal lag between housing starts and completions, we expect to see an impact from this decline in housing starts, and other market disruptions that occurred in the early stages of the pandemic, during the third and fourth quarters of 2020 offset somewhat by the strong industry backlog and the quick recovery in housing demand seen through date of filing of this Quarterly Report on Form 10-Q. Specifically, we anticipate revenue, net income and cash from operations to fall below normal levels during these periods. Given the considerable uncertainty created by the COVID-19 pandemic and its potential effects, it is not possible to estimate the full, adverse impact to our full year 2020 sales or other financial results at this time.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5"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expect any future branch closures, as well as broader impacts to the housing industry due to an anticipated reduction in housing starts, to negatively impact our business. Industry information has indicated that new home orders at some of the nation’s larger builders slowed dramatically during the second quarter of 2020 but have rebounded quickly. Industry experts currently forecast 2020 housing starts will continue to improve throughout the year, with full year starts flat or increasing slightly compared to 2019. In the commercial sector, our backlog remains strong and we have not yet seen a meaningful decrease in operations. In the future, certain large-scale infrastructure programs may be at risk if the need for such structures decline, project funding declines or as consumer behaviors change in the wake of COVID-19 disruptions to the economy and changes to our general ways of life. For example, reduced demand for office buildings and/or educational facilities, decreased airport traffic, or decreased usage of sports arenas or similar large commercial structures could impact our commercial end market.</w:t>
      </w:r>
    </w:p>
    <w:p>
      <w:pPr>
        <w:spacing w:after="0" w:line="18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management remains focused on mitigating the impact of COVID-19 on our business and the risk to our employees and customers. We have taken a number of precautionary measures intended to mitigate these risks, including implementing detailed cleaning and disinfecting processes at our facilities, adhering to social distancing protocols, limiting the number of workers on our jobsites, suspending non-essential air travel and encouraging employees to work remotely when possible. As is common practice in our industry, installers are required to wear protective equipment in the process of completing their work and this practice has been extended to employees at our facilities and within general office spaces. We are prepared to take additional actions if necessary as suggested or required by various health agencies.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continue to evaluate the nature and extent of the COVID-19 pandemic’s impact on our financial condition, results of operations and cash flows.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impacts of branch closures to date, as well as potential future impacts include, but are not limited to, the following:</w:t>
      </w:r>
    </w:p>
    <w:p>
      <w:pPr>
        <w:spacing w:after="0" w:line="115" w:lineRule="exact"/>
        <w:rPr>
          <w:sz w:val="20"/>
          <w:szCs w:val="20"/>
          <w:color w:val="auto"/>
        </w:rPr>
      </w:pPr>
    </w:p>
    <w:p>
      <w:pPr>
        <w:ind w:left="1100" w:right="160" w:hanging="432"/>
        <w:spacing w:after="0" w:line="25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branches that serve states where construction was not deemed “essential” during portions of the first and second quarters of 2020, we have experienced limited business disruptions to date and therefore have not needed to implement significant continuity measures and have not incurred significant expenditures to do so. Assuming a significant number of additional states or markets in which we operate do not reverse their current positions about construction being an “essential” business, we do not anticipate having to implement any additional measures in the future.</w:t>
      </w:r>
    </w:p>
    <w:p>
      <w:pPr>
        <w:spacing w:after="0" w:line="94" w:lineRule="exact"/>
        <w:rPr>
          <w:rFonts w:ascii="Arial" w:cs="Arial" w:eastAsia="Arial" w:hAnsi="Arial"/>
          <w:sz w:val="18"/>
          <w:szCs w:val="18"/>
          <w:color w:val="auto"/>
        </w:rPr>
      </w:pPr>
    </w:p>
    <w:p>
      <w:pPr>
        <w:ind w:left="1100" w:right="20" w:hanging="432"/>
        <w:spacing w:after="0" w:line="258"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date, we have not experienced a disruption in the supply of the various insulation products we install. All insulation manufacturers from which we purchase operate facilities in the continental U.S. and continue to timely ship material. We are monitoring suppliers of our other products and have had no issues to date acquiring the inventory we need to operate our business. We currently do not anticipate any significant issues with securing these other products in the future.</w:t>
      </w:r>
    </w:p>
    <w:p>
      <w:pPr>
        <w:spacing w:after="0" w:line="93" w:lineRule="exact"/>
        <w:rPr>
          <w:rFonts w:ascii="Arial" w:cs="Arial" w:eastAsia="Arial" w:hAnsi="Arial"/>
          <w:sz w:val="18"/>
          <w:szCs w:val="18"/>
          <w:color w:val="auto"/>
        </w:rPr>
      </w:pPr>
    </w:p>
    <w:p>
      <w:pPr>
        <w:ind w:left="1100" w:right="680" w:hanging="432"/>
        <w:spacing w:after="0" w:line="27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half of 2020, we laid off or furloughed approximately 600 employees in areas where construction was not deemed “essential.” We are pleased to report we have rehired substantially all of those employees.</w:t>
      </w:r>
    </w:p>
    <w:p>
      <w:pPr>
        <w:spacing w:after="0" w:line="76" w:lineRule="exact"/>
        <w:rPr>
          <w:rFonts w:ascii="Arial" w:cs="Arial" w:eastAsia="Arial" w:hAnsi="Arial"/>
          <w:sz w:val="18"/>
          <w:szCs w:val="18"/>
          <w:color w:val="auto"/>
        </w:rPr>
      </w:pPr>
    </w:p>
    <w:p>
      <w:pPr>
        <w:ind w:left="1100" w:right="40" w:hanging="432"/>
        <w:spacing w:after="0" w:line="301" w:lineRule="auto"/>
        <w:tabs>
          <w:tab w:leader="none" w:pos="11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corporate office is fully operational, even though many employees are working remotely. As such, we have made no modifications to internal controls over financial reporting and have confidence controls are operating as designed. We have enhanced our efforts to mitigate cyber threats and phishing, given the number of employees working remotely. We are continually monitoring and assessing the COVID-19 situation on our internal controls to minimize the impact of their design and operating effectiveness.</w:t>
      </w:r>
    </w:p>
    <w:p>
      <w:pPr>
        <w:spacing w:after="0" w:line="60" w:lineRule="exact"/>
        <w:rPr>
          <w:rFonts w:ascii="Arial" w:cs="Arial" w:eastAsia="Arial" w:hAnsi="Arial"/>
          <w:sz w:val="16"/>
          <w:szCs w:val="16"/>
          <w:color w:val="auto"/>
        </w:rPr>
      </w:pPr>
    </w:p>
    <w:p>
      <w:pPr>
        <w:ind w:left="1100" w:right="200" w:hanging="432"/>
        <w:spacing w:after="0" w:line="275"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continue to expect some impact to our earnings, financial position and cash flows in the remainder of 2020, however there is much uncertainty surrounding the estimated magnitude of these impacts. We estimate limited impact to our Condensed Consolidated Balance Sheets other than a potential reduction in working capital due to the possibility of reduced net revenue and net income, although this will be mitigated somewhat by actions taken by management to limit spending during 2020. Trade accounts receivable may also be reduced somewhat by lower net revenue and a higher allowance for credit losses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5"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right="120"/>
        <w:spacing w:after="0" w:line="301" w:lineRule="auto"/>
        <w:rPr>
          <w:sz w:val="20"/>
          <w:szCs w:val="20"/>
          <w:color w:val="auto"/>
        </w:rPr>
      </w:pPr>
      <w:r>
        <w:rPr>
          <w:rFonts w:ascii="Arial" w:cs="Arial" w:eastAsia="Arial" w:hAnsi="Arial"/>
          <w:sz w:val="16"/>
          <w:szCs w:val="16"/>
          <w:color w:val="auto"/>
        </w:rPr>
        <w:t>due to enhanced risk of uncollectibility from some customers. We anticipate revenue and net income will be negatively impacted in the remainder of 2020. While our cash from operations may decline over recent performance due to a decrease in expected net income driven by lower net revenue, we do not anticipate any issues meeting debt obligations or paying vendors timely given our strong liquidity and large cash reserves. See discussion of impacts to our liquidity within the Liquidity and Capital Resources section below.</w:t>
      </w:r>
    </w:p>
    <w:p>
      <w:pPr>
        <w:spacing w:after="0" w:line="15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March 27, 2020, the Coronavirus Aid, Relief, and Economic Security (CARES Act) was signed into law. The CARES Act provides numerous tax provision and other stimulus measures. We expect to benefit from the temporary suspension of certain payment requirements for the employer portion of Social Security taxes. We estimate that this will defer approximately $15 million to $20 million of payments, depending on the number of employees, that would have been paid during 2020, such that under the CARES Act, 50% of the amount will now be paid on December 31, 2021 and the remaining 50% will be paid on December 31, 2022. It is important to note that this does not impact the timing of the expense, only the timing of the payment. We also expect to benefit from the creation of certain refundable employee retention credits and the technical correction for qualified leasehold improvements, which provides for tax bonus depreciation.</w:t>
      </w:r>
    </w:p>
    <w:p>
      <w:pPr>
        <w:spacing w:after="0" w:line="17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addition, we are adhering to the Families First Coronavirus Response Act (FFCRA) which requires employers to provide their employees with paid sick leave and extended family and medical leave for specified reasons related to COVID-19. Qualifying reasons for leave related to COVID-19 include when an employee is quarantined, is experiencing COVID-19 systems and is seeking a medical diagnosis, is being advised by a healthcare provider to self-quarantine, is caring for an individual subject to a quarantine order or self-quarantine situation, is caring for a child whose school or place of care is closed, or is experiencing any other substantially-similar condition specified by the U.S. Department of Health and Human Services. These provisions are in effect until December 31, 2020.</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Our capital resources primarily consist of cash from operations and borrowings under our various debt agreements and capital equipment leases and loans. Our primary capital requirements are to fund working capital needs, operating expenses, acquisitions and capital expenditures and to meet required principal and interest payments. As discussed above, our cash reserves may also be used to fund payroll and other short-term requirements if our business is affected significantly by COVID-19. From time to time, we may also use our resources to fund our optional stock repurchase program in effect through March 1, 2021; however, we have temporarily suspended our share repurchase program in response to COVID-19. Our investments typically consist of highly liquid instruments, including corporate bonds and commercial paper. As of June 30, 2020, we had no outstanding borrowings under our asset-based lending credit facility (as defined below).</w:t>
      </w:r>
    </w:p>
    <w:p>
      <w:pPr>
        <w:spacing w:after="0" w:line="17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believe that our cash flows from operations, combined with our current cash levels, highly liquid investments and available borrowing capacity, will be adequate to support our ongoing operations and to fund our debt service requirements, capital expenditures and working capital for at least the next 12 months as evidenced by our net positive cash flows from operations for each of the six months ended June 30, 2020 and 2019.</w:t>
      </w:r>
    </w:p>
    <w:p>
      <w:pPr>
        <w:spacing w:after="0" w:line="14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While the general economic environment within the United States and most markets around the world have been significantly impacted by the spread of COVID-19, prompting governmental and health agencies to issue unprecedented orders to close businesses not deemed “essential” during portions of the first and second quarters of 2020, we believe we have robust capital resources at our immediate disposal to meet our needs. We have cash reserves and short-term investments of $269.2 million as of June 30, 2020 as well as access to $200.0 million under our ABL Revolver, net of $38.7 million of outstanding letters of credit. This amount available to us is based on eligible collateral, which may be reduced over time. While our cash from operations may decline later in the year due to factors described above, we believe it will remain at a level to fund our operations and not require us to draw on our ABL Revolver. However, as necessary or desirable, we may adjust or amend the terms of our credit facilities. With the uncertainty surrounding COVID-19, our ability to engage in such transactions may be constrained by volatile credit market conditions.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5"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In response to COVID-19, we have taken a number of proactive steps to preserve cash and maximize our financial flexibility in order to efficiently manage through the COVID-19 pandemic. These actions include:</w:t>
      </w:r>
    </w:p>
    <w:p>
      <w:pPr>
        <w:spacing w:after="0" w:line="76" w:lineRule="exact"/>
        <w:rPr>
          <w:sz w:val="20"/>
          <w:szCs w:val="20"/>
          <w:color w:val="auto"/>
        </w:rPr>
      </w:pPr>
    </w:p>
    <w:p>
      <w:pPr>
        <w:ind w:left="1540" w:hanging="320"/>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temporarily suspending stock repurchases under our share repurchase program;</w:t>
      </w:r>
    </w:p>
    <w:p>
      <w:pPr>
        <w:spacing w:after="0" w:line="129" w:lineRule="exact"/>
        <w:rPr>
          <w:rFonts w:ascii="Arial" w:cs="Arial" w:eastAsia="Arial" w:hAnsi="Arial"/>
          <w:sz w:val="18"/>
          <w:szCs w:val="18"/>
          <w:color w:val="auto"/>
        </w:rPr>
      </w:pPr>
    </w:p>
    <w:p>
      <w:pPr>
        <w:ind w:left="1540" w:hanging="320"/>
        <w:spacing w:after="0"/>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delaying acquisition closings during portions of the first and second quarters until late June 2020 after our industry stabilized;</w:t>
      </w:r>
    </w:p>
    <w:p>
      <w:pPr>
        <w:spacing w:after="0" w:line="141" w:lineRule="exact"/>
        <w:rPr>
          <w:rFonts w:ascii="Arial" w:cs="Arial" w:eastAsia="Arial" w:hAnsi="Arial"/>
          <w:sz w:val="17"/>
          <w:szCs w:val="17"/>
          <w:color w:val="auto"/>
        </w:rPr>
      </w:pPr>
    </w:p>
    <w:p>
      <w:pPr>
        <w:ind w:left="1540" w:hanging="320"/>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temporarily suspending pay increases for our executive officers through the second quarter of 2020; and</w:t>
      </w:r>
    </w:p>
    <w:p>
      <w:pPr>
        <w:spacing w:after="0" w:line="129" w:lineRule="exact"/>
        <w:rPr>
          <w:rFonts w:ascii="Arial" w:cs="Arial" w:eastAsia="Arial" w:hAnsi="Arial"/>
          <w:sz w:val="18"/>
          <w:szCs w:val="18"/>
          <w:color w:val="auto"/>
        </w:rPr>
      </w:pPr>
    </w:p>
    <w:p>
      <w:pPr>
        <w:ind w:left="1540" w:hanging="320"/>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eliminating non-essential travel.</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Part II, Item 1A, Risk Factors, for more information on the potential impacts from the COVID-19 pandemic and resulting economic strain.</w:t>
      </w:r>
    </w:p>
    <w:p>
      <w:pPr>
        <w:spacing w:after="0" w:line="236"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LIBOR is used as a reference rate for our Term Loan and our interest rate swap agreements we use to hedge our interest rate exposure. In 2017, the Financial Conduct Authority (“FCA”), the authority that regulates LIBOR, announced that it intends to stop compelling banks to submit rates for the calculation of LIBOR after 2021, and it is unclear whether new methods of calculating LIBOR will be established. Our Term Loan Agreement, as hereinafter defined, was amended on November 30, 2017 to include a mechanism to establish an alternative Eurodollar rate if certain circumstances arise such that LIBOR may no longer be used. Additionally, our ABL Credit Agreement includes a provision related to the potential discontinuance of LIBOR to be replaced with one or more Secured Overnight Financing Rate (SOFR) values or another alternate benchmark rate. However, if LIBOR ceases to exist after 2021, the interest rates under the alternative rate could be higher than LIBOR. In addition, LIBOR is used as a reference rate for our interest rate swap agreements we use to hedge our interest rate exposure. During the six months ended June 30, 2020, we adopted ASU 2020-04, Reference Rate Reform: Facilitation of the Effects of Reference Rate Reform on Financial Reporting (Topic 848). The purpose of this guidance is to provide relief for impacted areas as it relates to impending reference rate reform.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We continue to evaluate the impact of the guidance and may apply other elections as applicable as additional changes in the market occur.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liquidity (in thousands):</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color w:val="auto"/>
              </w:rPr>
              <w:t>As of June 30, 2020</w:t>
            </w:r>
          </w:p>
        </w:tc>
        <w:tc>
          <w:tcPr>
            <w:tcW w:w="1600" w:type="dxa"/>
            <w:vAlign w:val="bottom"/>
            <w:gridSpan w:val="3"/>
          </w:tcPr>
          <w:p>
            <w:pPr>
              <w:ind w:left="20"/>
              <w:spacing w:after="0"/>
              <w:rPr>
                <w:sz w:val="20"/>
                <w:szCs w:val="20"/>
                <w:color w:val="auto"/>
              </w:rPr>
            </w:pPr>
            <w:r>
              <w:rPr>
                <w:rFonts w:ascii="Arial" w:cs="Arial" w:eastAsia="Arial" w:hAnsi="Arial"/>
                <w:sz w:val="14"/>
                <w:szCs w:val="14"/>
                <w:color w:val="auto"/>
                <w:w w:val="98"/>
              </w:rPr>
              <w:t>As of December 31, 2019</w:t>
            </w: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252,488</w:t>
            </w:r>
          </w:p>
        </w:tc>
        <w:tc>
          <w:tcPr>
            <w:tcW w:w="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16,688</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37,961</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ABL Revolver</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Less: outstanding letters of credit</w:t>
            </w:r>
          </w:p>
        </w:tc>
        <w:tc>
          <w:tcPr>
            <w:tcW w:w="340" w:type="dxa"/>
            <w:vAlign w:val="bottom"/>
          </w:tcPr>
          <w:p>
            <w:pPr>
              <w:spacing w:after="0"/>
              <w:rPr>
                <w:sz w:val="19"/>
                <w:szCs w:val="19"/>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(38,672)</w:t>
            </w:r>
          </w:p>
        </w:tc>
        <w:tc>
          <w:tcPr>
            <w:tcW w:w="5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(38,672)</w:t>
            </w:r>
          </w:p>
        </w:tc>
      </w:tr>
      <w:tr>
        <w:trPr>
          <w:trHeight w:val="215"/>
        </w:trPr>
        <w:tc>
          <w:tcPr>
            <w:tcW w:w="480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Total liquidity</w:t>
            </w:r>
            <w:r>
              <w:rPr>
                <w:rFonts w:ascii="Arial" w:cs="Arial" w:eastAsia="Arial" w:hAnsi="Arial"/>
                <w:sz w:val="24"/>
                <w:szCs w:val="24"/>
                <w:color w:val="auto"/>
                <w:vertAlign w:val="superscript"/>
              </w:rPr>
              <w:t>(1)</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430,504</w:t>
            </w:r>
          </w:p>
        </w:tc>
        <w:tc>
          <w:tcPr>
            <w:tcW w:w="8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377,178</w:t>
            </w:r>
          </w:p>
        </w:tc>
        <w:tc>
          <w:tcPr>
            <w:tcW w:w="10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hanging="431"/>
        <w:spacing w:after="0" w:line="250" w:lineRule="auto"/>
        <w:tabs>
          <w:tab w:leader="none" w:pos="56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Total liquidity reflects full borrowing base capacity under our asset-based lending credit facility (as defined below) and may be limited by certain cash collateral limitations depending upon the status of our borrowing base availability. These potential deductions would lower our available cash and cash equivalents balance shown in the table above. As of June 30, 2020 and December 31, 2019, total liquidity would be reduced by</w:t>
      </w:r>
    </w:p>
    <w:p>
      <w:pPr>
        <w:spacing w:after="0" w:line="2" w:lineRule="exact"/>
        <w:rPr>
          <w:rFonts w:ascii="Arial" w:cs="Arial" w:eastAsia="Arial" w:hAnsi="Arial"/>
          <w:sz w:val="23"/>
          <w:szCs w:val="23"/>
          <w:color w:val="auto"/>
          <w:vertAlign w:val="superscript"/>
        </w:rPr>
      </w:pPr>
    </w:p>
    <w:p>
      <w:pPr>
        <w:ind w:left="560"/>
        <w:spacing w:after="0" w:line="253" w:lineRule="auto"/>
        <w:rPr>
          <w:rFonts w:ascii="Arial" w:cs="Arial" w:eastAsia="Arial" w:hAnsi="Arial"/>
          <w:sz w:val="23"/>
          <w:szCs w:val="23"/>
          <w:color w:val="auto"/>
          <w:vertAlign w:val="superscript"/>
        </w:rPr>
      </w:pPr>
      <w:r>
        <w:rPr>
          <w:rFonts w:ascii="Arial" w:cs="Arial" w:eastAsia="Arial" w:hAnsi="Arial"/>
          <w:sz w:val="18"/>
          <w:szCs w:val="18"/>
          <w:color w:val="auto"/>
        </w:rPr>
        <w:t>$29.0 million and $31.9 million, respectively, due to these cash collateral limitations. In addition, total liquidity is further reduced by $10.0 million within cash and cash equivalents above which was deposited into a trust to serve as additional collateral for our workers’ compensation and general liability policies. This amount can be converted to a letter of credit at our discretion and would reduce the availability on our asset-based lending credit facility (as defined below) included in the table above.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5"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5.75% Senior Notes due 2028</w:t>
      </w:r>
    </w:p>
    <w:p>
      <w:pPr>
        <w:spacing w:after="0" w:line="11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September 2019, we issued $300.0 million in aggregate principal amount of 5.75% senior unsecured notes (the “Senior Notes”). The Senior Notes will mature on February 1, 2028 and interest will be payable semi-annually in cash in arrears on February 1 and August 1, commencing on February 1, 2020. The net proceeds from the Senior Notes offering were $295.0 million after debt issuance costs. We used some of the net proceeds to repay a portion of our outstanding obligations (including accrued and unpaid interest) under our term loan credit agreement (as defined below) and to pay fees and expenses related to the entry into a new revolving credit facility described below.</w:t>
      </w:r>
    </w:p>
    <w:p>
      <w:pPr>
        <w:spacing w:after="0" w:line="173" w:lineRule="exact"/>
        <w:rPr>
          <w:sz w:val="20"/>
          <w:szCs w:val="20"/>
          <w:color w:val="auto"/>
        </w:rPr>
      </w:pPr>
    </w:p>
    <w:p>
      <w:pPr>
        <w:jc w:val="both"/>
        <w:ind w:left="120" w:right="360"/>
        <w:spacing w:after="0" w:line="290" w:lineRule="auto"/>
        <w:rPr>
          <w:sz w:val="20"/>
          <w:szCs w:val="20"/>
          <w:color w:val="auto"/>
        </w:rPr>
      </w:pPr>
      <w:r>
        <w:rPr>
          <w:rFonts w:ascii="Arial" w:cs="Arial" w:eastAsia="Arial" w:hAnsi="Arial"/>
          <w:sz w:val="16"/>
          <w:szCs w:val="16"/>
          <w:color w:val="auto"/>
        </w:rPr>
        <w:t>The indenture covering the Senior Notes contains restrictive covenants that, among other things, limit the ability of the Company and certain of our subsidiaries (subject to certain exceptions) to: (i) incur additional debt and issue preferred stock; (ii) pay dividends on, redeem or repurchase stock;</w:t>
      </w:r>
    </w:p>
    <w:p>
      <w:pPr>
        <w:spacing w:after="0" w:line="1" w:lineRule="exact"/>
        <w:rPr>
          <w:sz w:val="20"/>
          <w:szCs w:val="20"/>
          <w:color w:val="auto"/>
        </w:rPr>
      </w:pPr>
    </w:p>
    <w:p>
      <w:pPr>
        <w:ind w:left="120" w:right="60" w:firstLine="9"/>
        <w:spacing w:after="0" w:line="254" w:lineRule="auto"/>
        <w:tabs>
          <w:tab w:leader="none" w:pos="4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subordinated debt; (iv) create liens; (v) make specified types of investments; (vi) apply net proceeds from certain asset sales; (vii) engage in transactions with affiliates; (viii) merge, consolidate or sell substantially all of our assets; and (ix) pay dividends and make other distributions from subsidiaries.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Facilities</w:t>
      </w:r>
    </w:p>
    <w:p>
      <w:pPr>
        <w:spacing w:after="0" w:line="11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December 2019, we amended and restated our $400 million, seven-year term loan facility due April 2025 (the “Term Loan”) under our credit agreement (the “Term Loan Agreement”), dated as of April 13, 2017 (as previously amended by the First Amendment thereto dated November 30, 2017 and by the Second Amendment thereto dated June 19, 2018). The amended Term Loan (i) effects a repricing of the interest rate applicable to the term loans thereunder from LIBOR plus 2.50% to LIBOR plus 2.25% and (ii) replaces Royal Bank of Canada with Bank of America, N.A. as the administrative agent and collateral agent thereunder. As of June 30, 2020, we had $198.5 million, net of unamortized debt issuance costs, due on our Term Loan. The amended Term Loan also has a margin of 1.25% in the case of base rate loans.</w:t>
      </w:r>
    </w:p>
    <w:p>
      <w:pPr>
        <w:spacing w:after="0" w:line="17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 September 2019, we entered into a new asset-based lending credit agreement (the “ABL Credit Agreement”). The ABL Credit Agreement provides for an asset-based lending credit facility (the “ABL Revolver”) of up to $200.0 million with a five-year maturity, which replaced the Company’s previous revolving credit facility. Borrowing availability under the ABL Revolver is based on a percentage of the value of certain assets securing the Company’s obligations and those of the subsidiary guarantors thereunder. In connection with the Amended and Restated Term Loan, we entered into a Second Amendment (the “Second Amendment”) to the ABL/Term Loan Intercreditor Agreement with Bank of America, N.A., as ABL Agent for the lenders under the ABL Credit Agreement, and Bank of America, N.A., as Term Loan Agent for the lenders under the Term Loan. Including outstanding letters of credit, our remaining availability under the ABL Revolver as of June 30, 2020 was $161.3 million.</w:t>
      </w:r>
    </w:p>
    <w:p>
      <w:pPr>
        <w:spacing w:after="0" w:line="162" w:lineRule="exact"/>
        <w:rPr>
          <w:sz w:val="20"/>
          <w:szCs w:val="20"/>
          <w:color w:val="auto"/>
        </w:rPr>
      </w:pPr>
    </w:p>
    <w:p>
      <w:pPr>
        <w:ind w:left="120" w:right="40"/>
        <w:spacing w:after="0" w:line="285" w:lineRule="auto"/>
        <w:rPr>
          <w:sz w:val="20"/>
          <w:szCs w:val="20"/>
          <w:color w:val="auto"/>
        </w:rPr>
      </w:pPr>
      <w:r>
        <w:rPr>
          <w:rFonts w:ascii="Arial" w:cs="Arial" w:eastAsia="Arial" w:hAnsi="Arial"/>
          <w:sz w:val="17"/>
          <w:szCs w:val="17"/>
          <w:color w:val="auto"/>
        </w:rPr>
        <w:t>The ABL Revolver bears interest at either the Eurodollar rate or the base rate (which approximated the prime rate), at the Company’s election, plus a margin of (A) 1.25% or 1.50% in the case of Eurodollar rate loans (based on a measure of availability under the ABL Credit Agreement) and (B) 0.25% or 0.50% in the case of base rate loans (based on a measure of availability under the ABL Credit Agreement).</w:t>
      </w:r>
    </w:p>
    <w:p>
      <w:pPr>
        <w:spacing w:after="0" w:line="166" w:lineRule="exact"/>
        <w:rPr>
          <w:sz w:val="20"/>
          <w:szCs w:val="20"/>
          <w:color w:val="auto"/>
        </w:rPr>
      </w:pPr>
    </w:p>
    <w:p>
      <w:pPr>
        <w:ind w:left="120"/>
        <w:spacing w:after="0" w:line="285" w:lineRule="auto"/>
        <w:rPr>
          <w:sz w:val="20"/>
          <w:szCs w:val="20"/>
          <w:color w:val="auto"/>
        </w:rPr>
      </w:pPr>
      <w:r>
        <w:rPr>
          <w:rFonts w:ascii="Arial" w:cs="Arial" w:eastAsia="Arial" w:hAnsi="Arial"/>
          <w:sz w:val="17"/>
          <w:szCs w:val="17"/>
          <w:color w:val="auto"/>
        </w:rPr>
        <w:t>The ABL Revolver also provides incremental revolving credit facility commitments of up to $50.0 million. The terms and conditions of any incremental revolving credit facility commitments must be no more favorable than the terms of the ABL Revolver. The ABL Revolver also allows for the issuance of letters of credit of up to $75.0 million in aggregate and borrowing of swingline loans of up to $20.0 million in aggregate.</w:t>
      </w:r>
    </w:p>
    <w:p>
      <w:pPr>
        <w:spacing w:after="0" w:line="166"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The ABL Credit Agreement contains a financial covenant requiring the satisfaction of a minimum fixed charge coverage ratio of 1.0x in the event that we do not meet a minimum measure of availability under the ABL Revolver.</w:t>
      </w:r>
    </w:p>
    <w:p>
      <w:pPr>
        <w:spacing w:after="0" w:line="170"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All of the obligations under the Term Loan and ABL Revolver are guaranteed by all of the Company’s existing restricted subsidiaries and will be guaranteed by the Company’s future restricted subsidiaries. Additionally, all obligations under the Term Loan and ABL Revolver, and the guarantees of those obligations, are secured by substantially all of the assets of the Company and the guarantors, subject to certain exceptions and permitted liens, including a first-priority security interest in such assets that constitute ABL Priority Collateral, as defined in the ABL Credit Agreement, and a second-priority security interest in such assets that constitute Term Loan Priority Collateral, as defined in the Term Loan Agreement.</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85"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At June 30, 2020, we were in compliance with all applicable covenants under the Term Loan Agreement, ABL Credit Agreement and the Senior Notes and we currently do not expect any covenant violations due to the impacts of COVID-19.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Instruments</w:t>
      </w:r>
    </w:p>
    <w:p>
      <w:pPr>
        <w:spacing w:after="0" w:line="11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As of June 30, 2020, we had two interest rate swaps, each with an associated floor, with a total beginning notional of $200.0 million, one that amortizes quarterly to $95.3 million at a maturity date of May 31, 2022 and one that amortizes quarterly to $93.3 million at a maturity date of April 15, 2025. These two swaps combined serve to hedge $195.5 million of the variable cash flows on our Term Loan as of June 30, 2020. We also had a forward interest rate swap with an associated floor beginning May 31, 2022 with a beginning notional of $100.0 million that amortizes quarterly to $97.0 million at a maturity date of April 15, 2025. These three swaps serve to hedge substantially all of the variable cash flows on our Term Loan until maturity. On August 4, 2020, we terminated our existing three interest rate swaps and simultaneously entered into a new forward interest rate swap with a $200.0 million notional amount. This new derivative will be used to hedge the variable cash flows associated with existing variable-rate debt. The new forward interest rate swap begins July 30, 2021 with a fixed rate of 0.51% and a maturity date of April 15, 2030. The existing swaps were terminated for an aggregate cash payment of $17.8 million. The unrealized loss included in accumulated other comprehensive loss associated with the terminated swaps of $17.8 million will be amortized to interest expense over the course of the originally scheduled settlement dates of the terminated swaps.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Vehicle and Equipment Notes</w:t>
      </w:r>
    </w:p>
    <w:p>
      <w:pPr>
        <w:spacing w:after="0" w:line="116"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We have financing loan agreements with various lenders to provide financing for the purpose of purchasing or leasing vehicles and equipment used in the normal course of business. Vehicles and equipment purchased or leased under each financing arrangement serve as collateral for the note applicable to such financing arrangement. Regular payments are due under each note for a period of typically 60 consecutive months after the incurrence of the obligation.</w:t>
      </w:r>
    </w:p>
    <w:p>
      <w:pPr>
        <w:spacing w:after="0" w:line="187" w:lineRule="exact"/>
        <w:rPr>
          <w:sz w:val="20"/>
          <w:szCs w:val="20"/>
          <w:color w:val="auto"/>
        </w:rPr>
      </w:pPr>
    </w:p>
    <w:p>
      <w:pPr>
        <w:ind w:left="120" w:right="380"/>
        <w:spacing w:after="0" w:line="258" w:lineRule="auto"/>
        <w:rPr>
          <w:sz w:val="20"/>
          <w:szCs w:val="20"/>
          <w:color w:val="auto"/>
        </w:rPr>
      </w:pPr>
      <w:r>
        <w:rPr>
          <w:rFonts w:ascii="Arial" w:cs="Arial" w:eastAsia="Arial" w:hAnsi="Arial"/>
          <w:sz w:val="18"/>
          <w:szCs w:val="18"/>
          <w:color w:val="auto"/>
        </w:rPr>
        <w:t>Total gross assets relating to our Master Loan and Equipment Agreements were $133.5 million and $130.2 million as of June 30, 2020 and December 31, 2019, respectively. The net book value of assets under these agreements was $66.7 million and $68.2 million as of June 30, 2020 and December 31, 2019, respectively. See Note 7, Long-term Debt, for more information regarding our Master Loan and Security Agreement, Master Equipment Lease Agreement and Master Loan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Letters of Credit and Bonds</w:t>
      </w:r>
    </w:p>
    <w:p>
      <w:pPr>
        <w:spacing w:after="0" w:line="11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We may use performance bonds to ensure completion of our work on certain larger customer contracts that can span multiple accounting periods. Performance bonds generally do not have stated expiration dates; rather, we are released from the bonds as the contractual performance is completed. In addition, we occasionally use letters of credit and cash to secure our performance under our general liability and workers’ compensation insurance programs. Permit and license bonds are typically issued for one year and are required by certain municipalities when we obtain licenses and permits to perform work in their jurisdictions. The following table summarizes our outstanding bonds, letters of credit and cash-collateral (in thousands):</w:t>
      </w:r>
    </w:p>
    <w:p>
      <w:pPr>
        <w:spacing w:after="0" w:line="181" w:lineRule="exact"/>
        <w:rPr>
          <w:sz w:val="20"/>
          <w:szCs w:val="20"/>
          <w:color w:val="auto"/>
        </w:rPr>
      </w:pPr>
    </w:p>
    <w:tbl>
      <w:tblPr>
        <w:tblLayout w:type="fixed"/>
        <w:tblInd w:w="190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w w:val="96"/>
              </w:rPr>
              <w:t>As of June 30, 2020</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Insurance letters of credit and cash collateral</w:t>
            </w:r>
          </w:p>
        </w:tc>
        <w:tc>
          <w:tcPr>
            <w:tcW w:w="3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49,898</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Permit and license bonds</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6240" w:type="dxa"/>
            <w:vAlign w:val="bottom"/>
          </w:tcPr>
          <w:p>
            <w:pPr>
              <w:ind w:left="360"/>
              <w:spacing w:after="0"/>
              <w:rPr>
                <w:sz w:val="20"/>
                <w:szCs w:val="20"/>
                <w:color w:val="auto"/>
              </w:rPr>
            </w:pPr>
            <w:r>
              <w:rPr>
                <w:rFonts w:ascii="Arial" w:cs="Arial" w:eastAsia="Arial" w:hAnsi="Arial"/>
                <w:sz w:val="18"/>
                <w:szCs w:val="18"/>
                <w:color w:val="auto"/>
              </w:rPr>
              <w:t>Total bonds and letters of credit</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In January 2018, we posted $10.0 million into a trust to serve as additional collateral for our workers’ compensation and general liability policies. This collateral can be converted to a letter of credit at our discretion and is therefore not considered to be restricted cash.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5"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Historical cash flow information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6"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Net cash provided by operating activities was $105.5 million and $52.4 million for the six months ended June 30, 2020 and 2019, respectively. Generally, the primary driver of our cash flows from operating activities is operating income adjusted for certain noncash items, offset by cash payments for taxes and interest on our outstanding debt. Our cash flows from operations can be impacted by the timing of our cash collections on sales and collection of retainage amounts. During the six months ended June 30, 2020, we saw a significant increase in cash from operations primarily due to higher net income from improved results as described above, as well as payroll tax deferrals and estimated income tax payment extensions during the second quarter of 2020. Historically, cash flows tend to be seasonally stronger in the third and fourth quarters as a result of increased construction activity. However, we expect cash from operating activities to be negatively impacted by COVID-19 in these quarters of this year. See “COVID-19 Impacts” with the Key Factors Affecting our Operating Results section above for further information on short-term impacts to our cash from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6" w:lineRule="exact"/>
        <w:rPr>
          <w:sz w:val="20"/>
          <w:szCs w:val="20"/>
          <w:color w:val="auto"/>
        </w:rPr>
      </w:pPr>
    </w:p>
    <w:p>
      <w:pPr>
        <w:ind w:left="120" w:right="40"/>
        <w:spacing w:after="0" w:line="278" w:lineRule="auto"/>
        <w:rPr>
          <w:sz w:val="20"/>
          <w:szCs w:val="20"/>
          <w:color w:val="auto"/>
        </w:rPr>
      </w:pPr>
      <w:r>
        <w:rPr>
          <w:rFonts w:ascii="Arial" w:cs="Arial" w:eastAsia="Arial" w:hAnsi="Arial"/>
          <w:sz w:val="17"/>
          <w:szCs w:val="17"/>
          <w:u w:val="single" w:color="auto"/>
          <w:color w:val="auto"/>
        </w:rPr>
        <w:t>Business Combinations</w:t>
      </w:r>
      <w:r>
        <w:rPr>
          <w:rFonts w:ascii="Arial" w:cs="Arial" w:eastAsia="Arial" w:hAnsi="Arial"/>
          <w:sz w:val="17"/>
          <w:szCs w:val="17"/>
          <w:i w:val="1"/>
          <w:iCs w:val="1"/>
          <w:color w:val="auto"/>
        </w:rPr>
        <w:t>.</w:t>
      </w:r>
      <w:r>
        <w:rPr>
          <w:rFonts w:ascii="Arial" w:cs="Arial" w:eastAsia="Arial" w:hAnsi="Arial"/>
          <w:sz w:val="17"/>
          <w:szCs w:val="17"/>
          <w:color w:val="auto"/>
        </w:rPr>
        <w:t xml:space="preserve"> During the six months ended June 30, 2020 and 2019, we made cash payments of $12.6 million and $21.3 million, respectively, on various business combinations. The amount of cash paid is dependent on various factors, including the size and determined value of the business being acquired. Due to the potential impacts of COVID-19, we temporarily delayed acquisition closings for the majority of the second quarter. See Note 16, Business Combinations, for more information regarding our acquisitions in 2020 and 2019.</w:t>
      </w:r>
    </w:p>
    <w:p>
      <w:pPr>
        <w:spacing w:after="0" w:line="172" w:lineRule="exact"/>
        <w:rPr>
          <w:sz w:val="20"/>
          <w:szCs w:val="20"/>
          <w:color w:val="auto"/>
        </w:rPr>
      </w:pPr>
    </w:p>
    <w:p>
      <w:pPr>
        <w:ind w:left="120" w:right="20"/>
        <w:spacing w:after="0" w:line="278" w:lineRule="auto"/>
        <w:rPr>
          <w:sz w:val="20"/>
          <w:szCs w:val="20"/>
          <w:color w:val="auto"/>
        </w:rPr>
      </w:pPr>
      <w:r>
        <w:rPr>
          <w:rFonts w:ascii="Arial" w:cs="Arial" w:eastAsia="Arial" w:hAnsi="Arial"/>
          <w:sz w:val="17"/>
          <w:szCs w:val="17"/>
          <w:u w:val="single" w:color="auto"/>
          <w:color w:val="auto"/>
        </w:rPr>
        <w:t>Capital Expenditures</w:t>
      </w:r>
      <w:r>
        <w:rPr>
          <w:rFonts w:ascii="Arial" w:cs="Arial" w:eastAsia="Arial" w:hAnsi="Arial"/>
          <w:sz w:val="17"/>
          <w:szCs w:val="17"/>
          <w:i w:val="1"/>
          <w:iCs w:val="1"/>
          <w:color w:val="auto"/>
        </w:rPr>
        <w:t>.</w:t>
      </w:r>
      <w:r>
        <w:rPr>
          <w:rFonts w:ascii="Arial" w:cs="Arial" w:eastAsia="Arial" w:hAnsi="Arial"/>
          <w:sz w:val="17"/>
          <w:szCs w:val="17"/>
          <w:color w:val="auto"/>
        </w:rPr>
        <w:t xml:space="preserve"> Total cash paid for property and equipment was $16.3 million and $17.8 million for the six months ended June 30, 2020 and 2019, respectively, and was primarily related to purchases of vehicles and various equipment to support our growing operations. We expect to continue to support any increases in future net revenue through further capital expenditures. A majority of these capital expenditures were subsequently reimbursed via various vehicle and equipment notes payable, with related cash inflows shown in cash flows from financing activities.</w:t>
      </w:r>
    </w:p>
    <w:p>
      <w:pPr>
        <w:spacing w:after="0" w:line="17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During the six months ended June 30, 2020 and 2019, we invested $0.8 million and $17.4 million, respectively, in short-term investments consisting primarily of corporate bonds and commercial paper and had $22.1 million and $17.6 million in short-term investments mature during the six months ended June 30, 2020 and 2019,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utilize our credit facilities and Senior Notes to support our operations and continuing acquisitions as well as fund our discretionary stock repurchase program. During the six months ended June 30, 2020 and 2019, we also received proceeds of $12.8 million and $13.8 million, respectively, from our fixed asset loans which serve to offset a significant portion of the capital expenditures included in cash outflows from investing activities as described above. We made payments on these fixed asset loans and various other notes payable of $13.2 million and $9.8 million during the six months ended June 30, 2020 and 2019, respectively. We also made $1.4 million and $2.5 million in principal payments on our finance leases and paid $3.5 million and $5.0 million of acquisition-related obligations during the six months ended June 30, 2020 and 2019, respectively. Lastly, we paid $15.8 million to repurchase 443 thousand shares of our common stock during the six months ended June 30, 2020. In response to COVID-19, we have temporarily suspended our share repurchase program and also temporarily delayed closing acquisitions during portions of the first and second quarters until late June 2020 after our industry stabilized.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significant changes to our obligations during the six months ended June 30, 2020.</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5"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the six months ended June 30, 2020, we changed our accounting policy regarding allowances for credit losses and the testing of goodwill impairment. See Note 2, Significant Accounting Policies, for more information. There have been no other changes to our critical accounting policies and estimates from those previously disclosed in our 2019 Form 10-K.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7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Standard</w:t>
            </w:r>
          </w:p>
        </w:tc>
        <w:tc>
          <w:tcPr>
            <w:tcW w:w="120" w:type="dxa"/>
            <w:vAlign w:val="bottom"/>
          </w:tcPr>
          <w:p>
            <w:pPr>
              <w:spacing w:after="0"/>
              <w:rPr>
                <w:sz w:val="15"/>
                <w:szCs w:val="15"/>
                <w:color w:val="auto"/>
              </w:rPr>
            </w:pPr>
          </w:p>
        </w:tc>
        <w:tc>
          <w:tcPr>
            <w:tcW w:w="8120" w:type="dxa"/>
            <w:vAlign w:val="bottom"/>
            <w:tcBorders>
              <w:bottom w:val="single" w:sz="8" w:color="auto"/>
            </w:tcBorders>
          </w:tcPr>
          <w:p>
            <w:pPr>
              <w:ind w:left="3780"/>
              <w:spacing w:after="0"/>
              <w:rPr>
                <w:sz w:val="20"/>
                <w:szCs w:val="20"/>
                <w:color w:val="auto"/>
              </w:rPr>
            </w:pPr>
            <w:r>
              <w:rPr>
                <w:rFonts w:ascii="Arial" w:cs="Arial" w:eastAsia="Arial" w:hAnsi="Arial"/>
                <w:sz w:val="14"/>
                <w:szCs w:val="14"/>
                <w:color w:val="auto"/>
              </w:rPr>
              <w:t>Adoption</w:t>
            </w:r>
          </w:p>
        </w:tc>
      </w:tr>
      <w:tr>
        <w:trPr>
          <w:trHeight w:val="235"/>
        </w:trPr>
        <w:tc>
          <w:tcPr>
            <w:tcW w:w="2760" w:type="dxa"/>
            <w:vAlign w:val="bottom"/>
          </w:tcPr>
          <w:p>
            <w:pPr>
              <w:spacing w:after="0"/>
              <w:rPr>
                <w:sz w:val="20"/>
                <w:szCs w:val="20"/>
                <w:color w:val="auto"/>
              </w:rPr>
            </w:pPr>
            <w:r>
              <w:rPr>
                <w:rFonts w:ascii="Arial" w:cs="Arial" w:eastAsia="Arial" w:hAnsi="Arial"/>
                <w:sz w:val="18"/>
                <w:szCs w:val="18"/>
                <w:color w:val="auto"/>
                <w:w w:val="92"/>
              </w:rPr>
              <w:t xml:space="preserve">ASU 2016-13, </w:t>
            </w:r>
            <w:r>
              <w:rPr>
                <w:rFonts w:ascii="Arial" w:cs="Arial" w:eastAsia="Arial" w:hAnsi="Arial"/>
                <w:sz w:val="18"/>
                <w:szCs w:val="18"/>
                <w:i w:val="1"/>
                <w:iCs w:val="1"/>
                <w:color w:val="auto"/>
                <w:w w:val="92"/>
              </w:rPr>
              <w:t>Financial Instruments-</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8"/>
              </w:rPr>
              <w:t>This pronouncement and subsequently-issued amendments change the accounting for credit losses on</w:t>
            </w:r>
          </w:p>
        </w:tc>
      </w:tr>
      <w:tr>
        <w:trPr>
          <w:trHeight w:val="215"/>
        </w:trPr>
        <w:tc>
          <w:tcPr>
            <w:tcW w:w="2760" w:type="dxa"/>
            <w:vAlign w:val="bottom"/>
          </w:tcPr>
          <w:p>
            <w:pPr>
              <w:spacing w:after="0"/>
              <w:rPr>
                <w:sz w:val="20"/>
                <w:szCs w:val="20"/>
                <w:color w:val="auto"/>
              </w:rPr>
            </w:pPr>
            <w:r>
              <w:rPr>
                <w:rFonts w:ascii="Arial" w:cs="Arial" w:eastAsia="Arial" w:hAnsi="Arial"/>
                <w:sz w:val="18"/>
                <w:szCs w:val="18"/>
                <w:i w:val="1"/>
                <w:iCs w:val="1"/>
                <w:color w:val="auto"/>
              </w:rPr>
              <w:t>Credit Losses (Topic 326)</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5"/>
              </w:rPr>
              <w:t>available-for-sale debt securities and purchased financial assets with credit deterioration. In addition, these</w:t>
            </w:r>
          </w:p>
        </w:tc>
      </w:tr>
      <w:tr>
        <w:trPr>
          <w:trHeight w:val="215"/>
        </w:trPr>
        <w:tc>
          <w:tcPr>
            <w:tcW w:w="2760" w:type="dxa"/>
            <w:vAlign w:val="bottom"/>
          </w:tcPr>
          <w:p>
            <w:pPr>
              <w:spacing w:after="0"/>
              <w:rPr>
                <w:sz w:val="18"/>
                <w:szCs w:val="18"/>
                <w:color w:val="auto"/>
              </w:rPr>
            </w:pP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0"/>
              </w:rPr>
              <w:t>amendments require the measurement of all expected credit losses for financial assets, including trade accounts</w:t>
            </w:r>
          </w:p>
        </w:tc>
      </w:tr>
      <w:tr>
        <w:trPr>
          <w:trHeight w:val="215"/>
        </w:trPr>
        <w:tc>
          <w:tcPr>
            <w:tcW w:w="2760" w:type="dxa"/>
            <w:vAlign w:val="bottom"/>
          </w:tcPr>
          <w:p>
            <w:pPr>
              <w:spacing w:after="0"/>
              <w:rPr>
                <w:sz w:val="18"/>
                <w:szCs w:val="18"/>
                <w:color w:val="auto"/>
              </w:rPr>
            </w:pP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4"/>
              </w:rPr>
              <w:t>receivable, held at the reporting date based on historical experience, current conditions and reasonable and</w:t>
            </w:r>
          </w:p>
        </w:tc>
      </w:tr>
      <w:tr>
        <w:trPr>
          <w:trHeight w:val="230"/>
        </w:trPr>
        <w:tc>
          <w:tcPr>
            <w:tcW w:w="276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supportable forecasts. See Note 4, Credit Losses, for further information.</w:t>
            </w:r>
          </w:p>
        </w:tc>
      </w:tr>
      <w:tr>
        <w:trPr>
          <w:trHeight w:val="235"/>
        </w:trPr>
        <w:tc>
          <w:tcPr>
            <w:tcW w:w="2760" w:type="dxa"/>
            <w:vAlign w:val="bottom"/>
          </w:tcPr>
          <w:p>
            <w:pPr>
              <w:spacing w:after="0"/>
              <w:rPr>
                <w:sz w:val="20"/>
                <w:szCs w:val="20"/>
                <w:color w:val="auto"/>
              </w:rPr>
            </w:pPr>
            <w:r>
              <w:rPr>
                <w:rFonts w:ascii="Arial" w:cs="Arial" w:eastAsia="Arial" w:hAnsi="Arial"/>
                <w:sz w:val="18"/>
                <w:szCs w:val="18"/>
                <w:color w:val="auto"/>
                <w:w w:val="93"/>
              </w:rPr>
              <w:t xml:space="preserve">ASU 2017-04, </w:t>
            </w:r>
            <w:r>
              <w:rPr>
                <w:rFonts w:ascii="Arial" w:cs="Arial" w:eastAsia="Arial" w:hAnsi="Arial"/>
                <w:sz w:val="18"/>
                <w:szCs w:val="18"/>
                <w:i w:val="1"/>
                <w:iCs w:val="1"/>
                <w:color w:val="auto"/>
                <w:w w:val="93"/>
              </w:rPr>
              <w:t>Intangibles—Goodwill</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7"/>
              </w:rPr>
              <w:t>This ASU addresses concerns over the cost and complexity of the two-step goodwill impairment test; this</w:t>
            </w:r>
          </w:p>
        </w:tc>
      </w:tr>
      <w:tr>
        <w:trPr>
          <w:trHeight w:val="215"/>
        </w:trPr>
        <w:tc>
          <w:tcPr>
            <w:tcW w:w="2760" w:type="dxa"/>
            <w:vAlign w:val="bottom"/>
          </w:tcPr>
          <w:p>
            <w:pPr>
              <w:spacing w:after="0"/>
              <w:rPr>
                <w:sz w:val="20"/>
                <w:szCs w:val="20"/>
                <w:color w:val="auto"/>
              </w:rPr>
            </w:pPr>
            <w:r>
              <w:rPr>
                <w:rFonts w:ascii="Arial" w:cs="Arial" w:eastAsia="Arial" w:hAnsi="Arial"/>
                <w:sz w:val="18"/>
                <w:szCs w:val="18"/>
                <w:i w:val="1"/>
                <w:iCs w:val="1"/>
                <w:color w:val="auto"/>
              </w:rPr>
              <w:t>and Other (Topic 350): Simplifying</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2"/>
              </w:rPr>
              <w:t>pronouncement removes the second step of the goodwill impairment test. Going forward, an entity will apply a</w:t>
            </w:r>
          </w:p>
        </w:tc>
      </w:tr>
      <w:tr>
        <w:trPr>
          <w:trHeight w:val="215"/>
        </w:trPr>
        <w:tc>
          <w:tcPr>
            <w:tcW w:w="2760" w:type="dxa"/>
            <w:vAlign w:val="bottom"/>
          </w:tcPr>
          <w:p>
            <w:pPr>
              <w:spacing w:after="0"/>
              <w:rPr>
                <w:sz w:val="20"/>
                <w:szCs w:val="20"/>
                <w:color w:val="auto"/>
              </w:rPr>
            </w:pPr>
            <w:r>
              <w:rPr>
                <w:rFonts w:ascii="Arial" w:cs="Arial" w:eastAsia="Arial" w:hAnsi="Arial"/>
                <w:sz w:val="18"/>
                <w:szCs w:val="18"/>
                <w:i w:val="1"/>
                <w:iCs w:val="1"/>
                <w:color w:val="auto"/>
              </w:rPr>
              <w:t>the Test for Goodwill Impairment</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5"/>
              </w:rPr>
              <w:t>one-step quantitative test and record the amount of goodwill impairment as the excess of a reporting unit’s</w:t>
            </w:r>
          </w:p>
        </w:tc>
      </w:tr>
      <w:tr>
        <w:trPr>
          <w:trHeight w:val="230"/>
        </w:trPr>
        <w:tc>
          <w:tcPr>
            <w:tcW w:w="2760" w:type="dxa"/>
            <w:vAlign w:val="bottom"/>
            <w:tcBorders>
              <w:bottom w:val="single" w:sz="8" w:color="auto"/>
            </w:tcBorders>
          </w:tcPr>
          <w:p>
            <w:pPr>
              <w:spacing w:after="0"/>
              <w:rPr>
                <w:sz w:val="19"/>
                <w:szCs w:val="19"/>
                <w:color w:val="auto"/>
              </w:rPr>
            </w:pPr>
          </w:p>
        </w:tc>
        <w:tc>
          <w:tcPr>
            <w:tcW w:w="8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4"/>
              </w:rPr>
              <w:t>carrying amount over its fair value, not to exceed the total amount of goodwill allocated to the reporting unit.</w:t>
            </w:r>
          </w:p>
        </w:tc>
      </w:tr>
      <w:tr>
        <w:trPr>
          <w:trHeight w:val="235"/>
        </w:trPr>
        <w:tc>
          <w:tcPr>
            <w:tcW w:w="2760" w:type="dxa"/>
            <w:vAlign w:val="bottom"/>
          </w:tcPr>
          <w:p>
            <w:pPr>
              <w:spacing w:after="0"/>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4"/>
              </w:rPr>
              <w:t>This pronouncement amends Topic 820 to eliminate, add and modify certain disclosure requirements for fair</w:t>
            </w:r>
          </w:p>
        </w:tc>
      </w:tr>
      <w:tr>
        <w:trPr>
          <w:trHeight w:val="215"/>
        </w:trPr>
        <w:tc>
          <w:tcPr>
            <w:tcW w:w="2760" w:type="dxa"/>
            <w:vAlign w:val="bottom"/>
          </w:tcPr>
          <w:p>
            <w:pPr>
              <w:spacing w:after="0"/>
              <w:rPr>
                <w:sz w:val="20"/>
                <w:szCs w:val="20"/>
                <w:color w:val="auto"/>
              </w:rPr>
            </w:pPr>
            <w:r>
              <w:rPr>
                <w:rFonts w:ascii="Arial" w:cs="Arial" w:eastAsia="Arial" w:hAnsi="Arial"/>
                <w:sz w:val="18"/>
                <w:szCs w:val="18"/>
                <w:i w:val="1"/>
                <w:iCs w:val="1"/>
                <w:color w:val="auto"/>
                <w:w w:val="91"/>
              </w:rPr>
              <w:t>Measurement (Topic 820): Disclosure</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w w:val="92"/>
              </w:rPr>
              <w:t>value measurements. The adoption of this standard did not impact our financial statements or have a material</w:t>
            </w:r>
          </w:p>
        </w:tc>
      </w:tr>
      <w:tr>
        <w:trPr>
          <w:trHeight w:val="215"/>
        </w:trPr>
        <w:tc>
          <w:tcPr>
            <w:tcW w:w="2760" w:type="dxa"/>
            <w:vAlign w:val="bottom"/>
          </w:tcPr>
          <w:p>
            <w:pPr>
              <w:spacing w:after="0"/>
              <w:rPr>
                <w:sz w:val="20"/>
                <w:szCs w:val="20"/>
                <w:color w:val="auto"/>
              </w:rPr>
            </w:pPr>
            <w:r>
              <w:rPr>
                <w:rFonts w:ascii="Arial" w:cs="Arial" w:eastAsia="Arial" w:hAnsi="Arial"/>
                <w:sz w:val="18"/>
                <w:szCs w:val="18"/>
                <w:i w:val="1"/>
                <w:iCs w:val="1"/>
                <w:color w:val="auto"/>
              </w:rPr>
              <w:t>Framework—Changes to the</w:t>
            </w:r>
          </w:p>
        </w:tc>
        <w:tc>
          <w:tcPr>
            <w:tcW w:w="8240" w:type="dxa"/>
            <w:vAlign w:val="bottom"/>
            <w:gridSpan w:val="2"/>
          </w:tcPr>
          <w:p>
            <w:pPr>
              <w:ind w:left="120"/>
              <w:spacing w:after="0"/>
              <w:rPr>
                <w:sz w:val="20"/>
                <w:szCs w:val="20"/>
                <w:color w:val="auto"/>
              </w:rPr>
            </w:pPr>
            <w:r>
              <w:rPr>
                <w:rFonts w:ascii="Arial" w:cs="Arial" w:eastAsia="Arial" w:hAnsi="Arial"/>
                <w:sz w:val="18"/>
                <w:szCs w:val="18"/>
                <w:color w:val="auto"/>
              </w:rPr>
              <w:t>effect on our disclosures.</w:t>
            </w:r>
          </w:p>
        </w:tc>
      </w:tr>
      <w:tr>
        <w:trPr>
          <w:trHeight w:val="215"/>
        </w:trPr>
        <w:tc>
          <w:tcPr>
            <w:tcW w:w="2760" w:type="dxa"/>
            <w:vAlign w:val="bottom"/>
          </w:tcPr>
          <w:p>
            <w:pPr>
              <w:spacing w:after="0"/>
              <w:rPr>
                <w:sz w:val="20"/>
                <w:szCs w:val="20"/>
                <w:color w:val="auto"/>
              </w:rPr>
            </w:pPr>
            <w:r>
              <w:rPr>
                <w:rFonts w:ascii="Arial" w:cs="Arial" w:eastAsia="Arial" w:hAnsi="Arial"/>
                <w:sz w:val="18"/>
                <w:szCs w:val="18"/>
                <w:i w:val="1"/>
                <w:iCs w:val="1"/>
                <w:color w:val="auto"/>
              </w:rPr>
              <w:t>Disclosure Requirements for Fair</w:t>
            </w:r>
          </w:p>
        </w:tc>
        <w:tc>
          <w:tcPr>
            <w:tcW w:w="120" w:type="dxa"/>
            <w:vAlign w:val="bottom"/>
          </w:tcPr>
          <w:p>
            <w:pPr>
              <w:spacing w:after="0"/>
              <w:rPr>
                <w:sz w:val="18"/>
                <w:szCs w:val="18"/>
                <w:color w:val="auto"/>
              </w:rPr>
            </w:pPr>
          </w:p>
        </w:tc>
        <w:tc>
          <w:tcPr>
            <w:tcW w:w="8120" w:type="dxa"/>
            <w:vAlign w:val="bottom"/>
          </w:tcPr>
          <w:p>
            <w:pPr>
              <w:spacing w:after="0"/>
              <w:rPr>
                <w:sz w:val="18"/>
                <w:szCs w:val="18"/>
                <w:color w:val="auto"/>
              </w:rPr>
            </w:pPr>
          </w:p>
        </w:tc>
      </w:tr>
      <w:tr>
        <w:trPr>
          <w:trHeight w:val="230"/>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Value Measurement</w:t>
            </w:r>
          </w:p>
        </w:tc>
        <w:tc>
          <w:tcPr>
            <w:tcW w:w="1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r>
    </w:tbl>
    <w:p>
      <w:pPr>
        <w:spacing w:after="0" w:line="26" w:lineRule="exact"/>
        <w:rPr>
          <w:sz w:val="20"/>
          <w:szCs w:val="20"/>
          <w:color w:val="auto"/>
        </w:rPr>
      </w:pPr>
    </w:p>
    <w:p>
      <w:pPr>
        <w:sectPr>
          <w:pgSz w:w="11900" w:h="16838" w:orient="portrait"/>
          <w:cols w:equalWidth="0" w:num="1">
            <w:col w:w="11120"/>
          </w:cols>
          <w:pgMar w:left="320" w:top="485" w:right="459" w:bottom="1440" w:gutter="0" w:footer="0" w:header="0"/>
        </w:sectPr>
      </w:pPr>
    </w:p>
    <w:p>
      <w:pPr>
        <w:ind w:left="120"/>
        <w:spacing w:after="0" w:line="258" w:lineRule="auto"/>
        <w:rPr>
          <w:sz w:val="20"/>
          <w:szCs w:val="20"/>
          <w:color w:val="auto"/>
        </w:rPr>
      </w:pPr>
      <w:r>
        <w:rPr>
          <w:rFonts w:ascii="Arial" w:cs="Arial" w:eastAsia="Arial" w:hAnsi="Arial"/>
          <w:sz w:val="18"/>
          <w:szCs w:val="18"/>
          <w:color w:val="auto"/>
        </w:rPr>
        <w:t xml:space="preserve">ASU 2020-04, </w:t>
      </w:r>
      <w:r>
        <w:rPr>
          <w:rFonts w:ascii="Arial" w:cs="Arial" w:eastAsia="Arial" w:hAnsi="Arial"/>
          <w:sz w:val="18"/>
          <w:szCs w:val="18"/>
          <w:i w:val="1"/>
          <w:iCs w:val="1"/>
          <w:color w:val="auto"/>
        </w:rPr>
        <w:t>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Facilitation of the Effects of Reference Rate Reform on Financial Reporting (Topic 848)</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Arial" w:cs="Arial" w:eastAsia="Arial" w:hAnsi="Arial"/>
          <w:sz w:val="17"/>
          <w:szCs w:val="17"/>
          <w:color w:val="auto"/>
        </w:rPr>
        <w:t>This pronouncement contains optional expedients and exceptions for applying GAAP to contracts, hedging relationships, and other transactions affected by reference rate reform. The provisions of ASC 848 must be applied at a Topic, Subtopic or Industry Subtopic for all transactions other than derivatives, which may be applied at a hedging relationship level. The relief granted in ASC 848 is applicable only to legacy contracts if the amendments made to the agreements are solely for reference rate reform activities.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We continue to evaluate the impact of the guidance and may apply other elections as applicable as additional changes in the market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-13335</wp:posOffset>
            </wp:positionV>
            <wp:extent cx="69786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78650" cy="82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780" w:space="220"/>
            <w:col w:w="8120"/>
          </w:cols>
          <w:pgMar w:left="320" w:top="485"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85"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0"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with respect to the housing market and industry conditions, our financial and business model, the impact of COVID-19 on our business and the economy, our efforts to navigate the material pricing environment, our ability to increase selling prices, our material and labor costs, demand for our services and product offerings, expansion of our national footprint and diversification, our ability to capitalize on the new home and commercial construction recovery, our ability to grow and strengthen our market position, our ability to pursue and integrate value-enhancing acquisitions, our ability to improve sales and profitability, the impact of COVID-19 on our financial results and expectations for demand for our services and our earnings in 2020. Forward-looking statements may generally be identified by the use of words such as “anticipate,” “believe,” “estimate,” “project,” “predict,” “possible,” “forecast,” “may,” “could,” “would,” “should,” “expect,” “intends,” “plan,” and “will” or, in each case, their negative, or other variations or comparable terminology. These forward-looking statements include all matters that are not historical facts. By their nature, forward-looking statements involve risks and 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the duration, effect and severity of the COVID-19 crisis; the adverse impact of the COVID-19 crisis on our business and financial results, the economy and the markets we serve; general economic and industry conditions; the material price environment; the timing of increases in our selling prices and the factors discussed in the “Risk Factors” section of our 2019 Annual Report on Form 10-K and this Quarterly Report on Form 10-Q, as the same may be updated from time to time in our subsequent filings with the SEC. Any forward-looking statement made by the Company in this report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spacing w:after="0" w:line="320"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0"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are exposed to market risks related to fluctuations in interest rates on our outstanding variable rate debt. As of June 30, 2020, we had $198.5 million outstanding on the Term Loan, net of unamortized debt issuance costs, no outstanding borrowings on the ABL Revolver and no outstanding borrowings under finance leases subject to variable interest rates. Our two interest rate swaps, each with an associated floor, combine to reduce exposure to market risks on our Term Loan by $195.0 million as of June 30, 2020. As a result, total variable rate debt of $5.0 million was exposed to market risks as of June 30, 2020. A hypothetical one percentage point increase (decrease) in interest rates on our variable rate debt would increase (decrease) our annual interest expense by approximately $50 thousand. Our Senior Notes accrued interest at a fixed rate of 5.75%. On August 4, 2020, we terminated our existing three interest rate swaps and simultaneously entered into a new forward interest rate swap with a $200.0 million notional amount. The new forward interest rate swap results in an increased exposure to market risks to $200.0 million of variable rate debt until July 30, 2021. A hypothetical one percentage point increase (decrease) in interest rates on our variable rate debt would increase (decrease) our 2020 interest expense by approximately $0.8 million.</w:t>
      </w:r>
    </w:p>
    <w:p>
      <w:pPr>
        <w:spacing w:after="0" w:line="179" w:lineRule="exact"/>
        <w:rPr>
          <w:sz w:val="20"/>
          <w:szCs w:val="20"/>
          <w:color w:val="auto"/>
        </w:rPr>
      </w:pPr>
    </w:p>
    <w:p>
      <w:pPr>
        <w:ind w:left="120" w:right="260"/>
        <w:spacing w:after="0" w:line="341"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pacing w:after="0" w:line="12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LIBOR is used as a reference rate for our Term Loan and our interest rate swap agreements we use to hedge our interest rate exposure. In 2017, the FCA announced that it intends to stop compelling banks to submit rates for the calculation of LIBOR after 2021, and it is unclear whether new methods of calculating LIBOR will be established. Our Term Loan Agreement was amended on November 30, 2017 to include a mechanism to establish an alternative Eurodollar rate if certain circumstances arise such that LIBOR may no longer be used. Additionally, our ABL Credit Agreement includes a provision related to the potential discontinuance of LIBOR to be replaced with one or more Secured Overnight Financing Rate (SOFR) values or another alternate benchmark rate. However, if LIBOR ceases to exist after 2021, the interest rates under the alternative rate could be higher than LIBOR. In addition, LIBOR is used as a reference rate for our interest rate swap agreements we use to hedge our interest rate exposure. During the six months ended June 30, 2020, we adopted ASU 2020-04, Reference Rate Reform: Facilitation of the Effects of Reference Rate Reform on Financial Reporting (Topic 848). The purpose of this guidance is to provide relief for impacted areas as it relates to impending reference rate reform. We elected to apply the hedge accounting expedients related to probability and the assessments of effectiveness for future LIBOR-indexed cash flows to assume that the index upon which future hedged transactions will be based matches the index on the corresponding derivatives.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5"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Application of these expedients preserves the presentation of derivatives consistent with past presentation. We continue to evaluate the impact of the guidance and may apply other elections as applicable as additional changes in the market occur.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0" w:lineRule="exact"/>
        <w:rPr>
          <w:sz w:val="20"/>
          <w:szCs w:val="20"/>
          <w:color w:val="auto"/>
        </w:rPr>
      </w:pPr>
    </w:p>
    <w:p>
      <w:pPr>
        <w:ind w:left="120" w:right="40"/>
        <w:spacing w:after="0" w:line="285" w:lineRule="auto"/>
        <w:rPr>
          <w:sz w:val="20"/>
          <w:szCs w:val="20"/>
          <w:color w:val="auto"/>
        </w:rPr>
      </w:pPr>
      <w:r>
        <w:rPr>
          <w:rFonts w:ascii="Arial" w:cs="Arial" w:eastAsia="Arial" w:hAnsi="Arial"/>
          <w:sz w:val="17"/>
          <w:szCs w:val="17"/>
          <w:color w:val="auto"/>
        </w:rPr>
        <w:t>We have evaluated the effectiveness of our disclosure controls and procedures as of the end of the period covered by this report with the participation of our Chief Executive Officer (“CEO”) and Chief Financial Officer (“CFO”) as required by Exchange Act Rules 13a-15(e) and 15d-15(e). Based on that evaluation, our CEO and CFO concluded that our disclosure controls and procedures were effective as of June 30, 2020.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0"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2020 that materially affected, or are reasonably likely to materially affect, our internal control over financial reporting. We have not experienced any material impact to our internal controls over financial reporting despite the fact that many of the employees at our corporate office are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0"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See Part I, Item 1. Financial Statements, Note 15, Commitments and Contingencies – Other Commitments and Contingencies, for information about existing legal proceedings.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0" w:lineRule="exact"/>
        <w:rPr>
          <w:sz w:val="20"/>
          <w:szCs w:val="20"/>
          <w:color w:val="auto"/>
        </w:rPr>
      </w:pPr>
    </w:p>
    <w:p>
      <w:pPr>
        <w:ind w:left="120" w:right="500"/>
        <w:spacing w:after="0" w:line="276" w:lineRule="auto"/>
        <w:rPr>
          <w:sz w:val="20"/>
          <w:szCs w:val="20"/>
          <w:color w:val="auto"/>
        </w:rPr>
      </w:pPr>
      <w:r>
        <w:rPr>
          <w:rFonts w:ascii="Arial" w:cs="Arial" w:eastAsia="Arial" w:hAnsi="Arial"/>
          <w:sz w:val="18"/>
          <w:szCs w:val="18"/>
          <w:color w:val="auto"/>
        </w:rPr>
        <w:t>Except as set forth below and in our Quarterly Report on Form 10-Q for March 31, 2020, as of the date of this report, there have been no material changes for the six months ended June 30, 2020 from the risk factors as disclosed in our 2019 Form 10-K.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COVID-19 pandemic could have a material adverse effect on our business, financial condition, operating results and cash flows.</w:t>
      </w:r>
    </w:p>
    <w:p>
      <w:pPr>
        <w:spacing w:after="0" w:line="13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According to the World Health Organization (“WHO”), in December 2019 China reported a cluster of cases of pneumonia in Wuhan, Hubei Province later identified as a novel strain of coronavirus (COVID-19). In response, the WHO declared the situation a pandemic and the U.S. Secretary of Health and Human Services has declared a public health emergency. The COVID-19 pandemic has caused significant volatility, uncertainty and economic disruption. Many public health organizations and international, federal, state and local governments implemented measures to combat the spread of COVID-19 during portions of the first and second quarters of 2020 with some of these restrictions still in place as of the date of filing of this Quarterly Report on Form 10-Q. Some of these measures included restrictions on movement such as quarantines, “stay-at-home” orders and social distancing ordinances and restricting or prohibiting outright some or all forms of commercial and business activity. While portions of the economy have begun to reopen, there is still significant uncertainty surrounding the duration and scope of the pandemic, as well as its impact on the economy. We cannot predict if federal, state and local governments will implement additional restrictions, when restrictions currently in place will expire or whether restrictions currently in place will become more restrictive.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85"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continued spread of COVID-19 has adversely affected many industries as well as the economies and financial markets of many countries, including the United States, causing a significant deceleration of economic activity. This slowdown has reduced production, decreased the level of trade, and led to widespread corporate downsizing, causing a sharp increase in unemployment. There has also been significant disruption of and extreme volatility in the global capital markets, which could increase the cost of, or entirely restrict access to, capital. The impact of this pandemic on the U.S. and world economies is uncertain and, unless the pandemic is contained, these adverse impacts could worsen, impacting all segments of the global economy, and result in a significant recession or worse.</w:t>
      </w:r>
    </w:p>
    <w:p>
      <w:pPr>
        <w:spacing w:after="0" w:line="18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business could be materially adversely affected by the COVID-19 pandemic and the global response. The Company and its customers’ businesses have generally been classified as “essential” businesses in most of the jurisdictions in which we operate, permitting us to continue operations in most of our markets. However, there can be no assurance that our operations will continue to be classified as “essential” in the future, or that we will not voluntarily limit or cease operations in one or more of our markets if we believe it is in our best interest. For example, during portions of March, April and May of 2020, we saw a temporary but significant reduction in activity in our branches located in seven states and the Bay Area of California, which collectively accounted for 10% of our net revenue during the year ended December 31, 2019. The reduced activity in these areas was attributable to construction being temporarily deemed non-essential during that time period. While operations have resumed to normal levels in almost all of these areas as of the date of filing of this Quarterly Report on Form 10-Q, future mandatory shutdowns or reductions in operations could have a material adverse affect on our business. During the first half of 2020, we laid off or furloughed approximately 600 employees in areas where construction was not deemed “essential.” We have since rehired substantially all of those employees, but we may need to layoff or furlough other employees in the future. Any employee layoffs or furloughs associated with future branch closures or slowdowns are assumed to be temporary in nature but could result in long-term labor shortages in certain markets if we cannot rehire these employees once operations resume.</w:t>
      </w:r>
    </w:p>
    <w:p>
      <w:pPr>
        <w:spacing w:after="0" w:line="170"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Further, the COVID-19 pandemic may have a material adverse impact on our customers and the homebuilding industry in general, as it has reduced employments levels and may adversely affect consumer spending or consumer confidence, which would decrease demand for homes. Based on the normal lag between starts and completions within the home building industry, we anticipate that a market decline could have an adverse impact on our business and financial results later this year. In the commercial sector, certain large-scale infrastructure programs may be at risk if the need for such structures decline, project funding declines or as consumer behaviors change in the wake of COVID-19 disruptions to the economy and changes to our general ways of life. For example, reduced demand for office buildings, decreased airport traffic or decreased usage of sports arenas could impact our commercial end market.</w:t>
      </w:r>
    </w:p>
    <w:p>
      <w:pPr>
        <w:spacing w:after="0" w:line="191" w:lineRule="exact"/>
        <w:rPr>
          <w:sz w:val="20"/>
          <w:szCs w:val="20"/>
          <w:color w:val="auto"/>
        </w:rPr>
      </w:pPr>
    </w:p>
    <w:p>
      <w:pPr>
        <w:ind w:left="120" w:right="160"/>
        <w:spacing w:after="0" w:line="306" w:lineRule="auto"/>
        <w:rPr>
          <w:sz w:val="20"/>
          <w:szCs w:val="20"/>
          <w:color w:val="auto"/>
        </w:rPr>
      </w:pPr>
      <w:r>
        <w:rPr>
          <w:rFonts w:ascii="Arial" w:cs="Arial" w:eastAsia="Arial" w:hAnsi="Arial"/>
          <w:sz w:val="17"/>
          <w:szCs w:val="17"/>
          <w:color w:val="auto"/>
        </w:rPr>
        <w:t>We are monitoring suppliers of our other products and have had no issues to date acquiring the inventory we need to operate our business. However, to the extent our suppliers are negatively impacted by the COVID-19 pandemic, there could be disruptions in our supply chain.</w:t>
      </w:r>
    </w:p>
    <w:p>
      <w:pPr>
        <w:spacing w:after="0" w:line="148"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Our management is focused on mitigating the impact of COVID-19 on our business and the risk to our employees, which has partially diverted management’s attention away from normal business operations. Additionally, we have taken a number of precautionary measures intended to mitigate the impact of COVID-19 on our business and the risk to our employees, including implementing detailed cleaning and disinfecting processes at our facilities, adhering to social distancing protocols, limiting the number of workers on jobsites, suspending non-essential air travel and encouraging employees to work remotely when possible, which could adversely affect our business. Despite these measures, our key management personnel and/or a portion of our installer base could become temporarily or permanently incapacitated by COVID-19 or related complications. This could result in a material adverse impact on our business, financial condition, operating results and cash flows. While these and other measures we may take are believed to be temporary, they may continue until the pandemic is contained or indefinitely and could increase costs and amplify existing risks or introduce new risks that could adversely affect our business, including, but not limited to, internal controls and cybersecurity risks.</w:t>
      </w:r>
    </w:p>
    <w:p>
      <w:pPr>
        <w:spacing w:after="0" w:line="168" w:lineRule="exact"/>
        <w:rPr>
          <w:sz w:val="20"/>
          <w:szCs w:val="20"/>
          <w:color w:val="auto"/>
        </w:rPr>
      </w:pPr>
    </w:p>
    <w:p>
      <w:pPr>
        <w:ind w:left="120" w:right="520"/>
        <w:spacing w:after="0" w:line="258" w:lineRule="auto"/>
        <w:rPr>
          <w:sz w:val="20"/>
          <w:szCs w:val="20"/>
          <w:color w:val="auto"/>
        </w:rPr>
      </w:pPr>
      <w:r>
        <w:rPr>
          <w:rFonts w:ascii="Arial" w:cs="Arial" w:eastAsia="Arial" w:hAnsi="Arial"/>
          <w:sz w:val="18"/>
          <w:szCs w:val="18"/>
          <w:color w:val="auto"/>
        </w:rPr>
        <w:t>Considerable uncertainty still surrounds COVID-19 and its potential effects, and the extent of and effectiveness of any responses taken on a local, national and global level. To date, no fully effective vaccines or treatments have been developed and effective vaccines or treatments may not be discovered soon enough to protect against a worsening of the pandemic or to prevent COVID-19 from becoming endemic. While we expect the COVID-19</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5"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pandemic and related events will have a negative effect on us, the full extent and scope of the impact on our business and industry, as well as national, regional and global markets and economies, depends on numerous evolving factors that we may not be able to accurately predict, including the duration and scope of the pandemic, additional government actions taken in response to the pandemic, the impact on construction activity and demand for homes (based on employment levels, consumer spending and consumer confidence). Accordingly, our ability to conduct our business in the manner previously or currently expected could be materially and negatively affected, any of which could have a material adverse impact on our business, financial condition, operating results and cash flows.</w:t>
      </w:r>
    </w:p>
    <w:p>
      <w:pPr>
        <w:spacing w:after="0" w:line="293" w:lineRule="exact"/>
        <w:rPr>
          <w:sz w:val="20"/>
          <w:szCs w:val="20"/>
          <w:color w:val="auto"/>
        </w:rPr>
      </w:pPr>
    </w:p>
    <w:p>
      <w:pPr>
        <w:ind w:left="120" w:right="360"/>
        <w:spacing w:after="0" w:line="281" w:lineRule="auto"/>
        <w:rPr>
          <w:sz w:val="20"/>
          <w:szCs w:val="20"/>
          <w:color w:val="auto"/>
        </w:rPr>
      </w:pPr>
      <w:r>
        <w:rPr>
          <w:rFonts w:ascii="Arial" w:cs="Arial" w:eastAsia="Arial" w:hAnsi="Arial"/>
          <w:sz w:val="18"/>
          <w:szCs w:val="18"/>
          <w:b w:val="1"/>
          <w:bCs w:val="1"/>
          <w:color w:val="auto"/>
        </w:rPr>
        <w:t>Our use of interest rate hedging instruments could expose us to risks and financial losses that may adversely affect our financial condition, liquidity and results of operations.</w:t>
      </w:r>
    </w:p>
    <w:p>
      <w:pPr>
        <w:spacing w:after="0" w:line="5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From time to time, we utilize interest rate derivatives to hedge the cash flows associated with existing variable-rate debt. The purpose of these instruments is to substantially reduce exposure to market risks on our Term Loan. We designated our derivative contracts existing at June 30, 2020, and our forward interest rate swap in existence at the time of filing this Quarterly Report on Form 10-Q, as cash flow hedges in accordance with Accounting Standards Codification (“ASC”) 815, Derivatives and Hedging. However, in the future, we may fail to qualify for hedge accounting treatment under these standards for a number of reasons, including if we fail to satisfy hedge documentation and hedge effectiveness assessment requirements or if our derivative instruments are not highly effective. If we fail to qualify for hedge accounting treatment, losses on the swaps caused by the change in their fair value would be recognized as part of net income, rather than being recognized as part of other comprehensive income. Any such adverse developments could result in material liabilities and expense and could have a material adverse effect on our business.</w:t>
      </w:r>
    </w:p>
    <w:p>
      <w:pPr>
        <w:spacing w:after="0" w:line="167" w:lineRule="exact"/>
        <w:rPr>
          <w:sz w:val="20"/>
          <w:szCs w:val="20"/>
          <w:color w:val="auto"/>
        </w:rPr>
      </w:pPr>
    </w:p>
    <w:p>
      <w:pPr>
        <w:ind w:left="120" w:right="140"/>
        <w:spacing w:after="0" w:line="258" w:lineRule="auto"/>
        <w:rPr>
          <w:sz w:val="20"/>
          <w:szCs w:val="20"/>
          <w:color w:val="auto"/>
        </w:rPr>
      </w:pPr>
      <w:r>
        <w:rPr>
          <w:rFonts w:ascii="Arial" w:cs="Arial" w:eastAsia="Arial" w:hAnsi="Arial"/>
          <w:sz w:val="18"/>
          <w:szCs w:val="18"/>
          <w:color w:val="auto"/>
        </w:rPr>
        <w:t>Interest rate derivative instruments can be expensive and we could incur significant costs associated with the settlement or early termination of the agreements. For example, on August 4, 2020, we terminated our existing three interest swaps for an aggregate cash payment of $17.8 million and simultaneously entered into a new forward interest rate swap. In addition, our hedging transactions may expose us to certain risks and financial losses, including, among other things:</w:t>
      </w:r>
    </w:p>
    <w:p>
      <w:pPr>
        <w:spacing w:after="0" w:line="93" w:lineRule="exact"/>
        <w:rPr>
          <w:sz w:val="20"/>
          <w:szCs w:val="20"/>
          <w:color w:val="auto"/>
        </w:rPr>
      </w:pPr>
    </w:p>
    <w:p>
      <w:pPr>
        <w:ind w:left="1100" w:hanging="43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the other parties to the agreements would not perform;</w:t>
      </w:r>
    </w:p>
    <w:p>
      <w:pPr>
        <w:spacing w:after="0" w:line="129" w:lineRule="exact"/>
        <w:rPr>
          <w:rFonts w:ascii="Arial" w:cs="Arial" w:eastAsia="Arial" w:hAnsi="Arial"/>
          <w:sz w:val="18"/>
          <w:szCs w:val="18"/>
          <w:color w:val="auto"/>
        </w:rPr>
      </w:pPr>
    </w:p>
    <w:p>
      <w:pPr>
        <w:ind w:left="1100" w:hanging="43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the duration or amount of the hedge may not match the duration or amount of the related liability;</w:t>
      </w:r>
    </w:p>
    <w:p>
      <w:pPr>
        <w:spacing w:after="0" w:line="129" w:lineRule="exact"/>
        <w:rPr>
          <w:rFonts w:ascii="Arial" w:cs="Arial" w:eastAsia="Arial" w:hAnsi="Arial"/>
          <w:sz w:val="18"/>
          <w:szCs w:val="18"/>
          <w:color w:val="auto"/>
        </w:rPr>
      </w:pPr>
    </w:p>
    <w:p>
      <w:pPr>
        <w:ind w:left="1100" w:right="160" w:hanging="432"/>
        <w:spacing w:after="0" w:line="276"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hedging transactions may be adjusted from time to time in accordance with accounting rules to reflect changes in fair values including downward adjustments which would affect our stockholders’ equity; and</w:t>
      </w:r>
    </w:p>
    <w:p>
      <w:pPr>
        <w:spacing w:after="0" w:line="76" w:lineRule="exact"/>
        <w:rPr>
          <w:rFonts w:ascii="Arial" w:cs="Arial" w:eastAsia="Arial" w:hAnsi="Arial"/>
          <w:sz w:val="18"/>
          <w:szCs w:val="18"/>
          <w:color w:val="auto"/>
        </w:rPr>
      </w:pPr>
    </w:p>
    <w:p>
      <w:pPr>
        <w:ind w:left="1100" w:right="180" w:hanging="432"/>
        <w:spacing w:after="0" w:line="276"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we may not be able to meet the terms and conditions of the hedging instruments, in which case we may be required to settle the instruments prior to maturity with cash payments that could significantly affect our liquidity.</w:t>
      </w:r>
    </w:p>
    <w:p>
      <w:pPr>
        <w:spacing w:after="0" w:line="315"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stock repurchase activity for the three months ended June 30, 2020:</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Total Number of</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color w:val="auto"/>
                <w:w w:val="86"/>
              </w:rPr>
              <w:t>Shares Purchased</w:t>
            </w:r>
          </w:p>
        </w:tc>
        <w:tc>
          <w:tcPr>
            <w:tcW w:w="800" w:type="dxa"/>
            <w:vAlign w:val="bottom"/>
          </w:tcPr>
          <w:p>
            <w:pPr>
              <w:spacing w:after="0"/>
              <w:rPr>
                <w:sz w:val="12"/>
                <w:szCs w:val="12"/>
                <w:color w:val="auto"/>
              </w:rPr>
            </w:pPr>
          </w:p>
        </w:tc>
        <w:tc>
          <w:tcPr>
            <w:tcW w:w="1280" w:type="dxa"/>
            <w:vAlign w:val="bottom"/>
            <w:gridSpan w:val="3"/>
          </w:tcPr>
          <w:p>
            <w:pPr>
              <w:jc w:val="center"/>
              <w:ind w:right="40"/>
              <w:spacing w:after="0" w:line="148" w:lineRule="exact"/>
              <w:rPr>
                <w:sz w:val="20"/>
                <w:szCs w:val="20"/>
                <w:color w:val="auto"/>
              </w:rPr>
            </w:pPr>
            <w:r>
              <w:rPr>
                <w:rFonts w:ascii="Arial" w:cs="Arial" w:eastAsia="Arial" w:hAnsi="Arial"/>
                <w:sz w:val="14"/>
                <w:szCs w:val="14"/>
                <w:color w:val="auto"/>
                <w:w w:val="97"/>
              </w:rPr>
              <w:t>Approximate Dollar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color w:val="auto"/>
                <w:w w:val="90"/>
              </w:rPr>
              <w:t>as Part of</w:t>
            </w:r>
          </w:p>
        </w:tc>
        <w:tc>
          <w:tcPr>
            <w:tcW w:w="800" w:type="dxa"/>
            <w:vAlign w:val="bottom"/>
          </w:tcPr>
          <w:p>
            <w:pPr>
              <w:spacing w:after="0"/>
              <w:rPr>
                <w:sz w:val="12"/>
                <w:szCs w:val="12"/>
                <w:color w:val="auto"/>
              </w:rPr>
            </w:pPr>
          </w:p>
        </w:tc>
        <w:tc>
          <w:tcPr>
            <w:tcW w:w="1280" w:type="dxa"/>
            <w:vAlign w:val="bottom"/>
            <w:gridSpan w:val="3"/>
          </w:tcPr>
          <w:p>
            <w:pPr>
              <w:jc w:val="center"/>
              <w:ind w:right="40"/>
              <w:spacing w:after="0" w:line="148" w:lineRule="exact"/>
              <w:rPr>
                <w:sz w:val="20"/>
                <w:szCs w:val="20"/>
                <w:color w:val="auto"/>
              </w:rPr>
            </w:pPr>
            <w:r>
              <w:rPr>
                <w:rFonts w:ascii="Arial" w:cs="Arial" w:eastAsia="Arial" w:hAnsi="Arial"/>
                <w:sz w:val="14"/>
                <w:szCs w:val="14"/>
                <w:color w:val="auto"/>
                <w:w w:val="91"/>
              </w:rPr>
              <w:t>Value of Shares that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color w:val="auto"/>
                <w:w w:val="94"/>
              </w:rPr>
              <w:t>Total Number</w:t>
            </w:r>
          </w:p>
        </w:tc>
        <w:tc>
          <w:tcPr>
            <w:tcW w:w="560" w:type="dxa"/>
            <w:vAlign w:val="bottom"/>
          </w:tcPr>
          <w:p>
            <w:pPr>
              <w:spacing w:after="0"/>
              <w:rPr>
                <w:sz w:val="12"/>
                <w:szCs w:val="12"/>
                <w:color w:val="auto"/>
              </w:rPr>
            </w:pPr>
          </w:p>
        </w:tc>
        <w:tc>
          <w:tcPr>
            <w:tcW w:w="1600" w:type="dxa"/>
            <w:vAlign w:val="bottom"/>
            <w:gridSpan w:val="3"/>
          </w:tcPr>
          <w:p>
            <w:pPr>
              <w:jc w:val="right"/>
              <w:ind w:right="800"/>
              <w:spacing w:after="0" w:line="148" w:lineRule="exact"/>
              <w:rPr>
                <w:sz w:val="20"/>
                <w:szCs w:val="20"/>
                <w:color w:val="auto"/>
              </w:rPr>
            </w:pPr>
            <w:r>
              <w:rPr>
                <w:rFonts w:ascii="Arial" w:cs="Arial" w:eastAsia="Arial" w:hAnsi="Arial"/>
                <w:sz w:val="14"/>
                <w:szCs w:val="14"/>
                <w:color w:val="auto"/>
                <w:w w:val="88"/>
              </w:rPr>
              <w:t>Average Price</w:t>
            </w:r>
          </w:p>
        </w:tc>
        <w:tc>
          <w:tcPr>
            <w:tcW w:w="1180" w:type="dxa"/>
            <w:vAlign w:val="bottom"/>
          </w:tcPr>
          <w:p>
            <w:pPr>
              <w:jc w:val="center"/>
              <w:spacing w:after="0" w:line="148" w:lineRule="exact"/>
              <w:rPr>
                <w:sz w:val="20"/>
                <w:szCs w:val="20"/>
                <w:color w:val="auto"/>
              </w:rPr>
            </w:pPr>
            <w:r>
              <w:rPr>
                <w:rFonts w:ascii="Arial" w:cs="Arial" w:eastAsia="Arial" w:hAnsi="Arial"/>
                <w:sz w:val="14"/>
                <w:szCs w:val="14"/>
                <w:color w:val="auto"/>
                <w:w w:val="99"/>
              </w:rPr>
              <w:t>Publicly</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0"/>
        </w:trPr>
        <w:tc>
          <w:tcPr>
            <w:tcW w:w="3620" w:type="dxa"/>
            <w:vAlign w:val="bottom"/>
          </w:tcPr>
          <w:p>
            <w:pPr>
              <w:spacing w:after="0"/>
              <w:rPr>
                <w:sz w:val="12"/>
                <w:szCs w:val="12"/>
                <w:color w:val="auto"/>
              </w:rPr>
            </w:pPr>
          </w:p>
        </w:tc>
        <w:tc>
          <w:tcPr>
            <w:tcW w:w="1060" w:type="dxa"/>
            <w:vAlign w:val="bottom"/>
            <w:gridSpan w:val="2"/>
          </w:tcPr>
          <w:p>
            <w:pPr>
              <w:jc w:val="center"/>
              <w:ind w:right="260"/>
              <w:spacing w:after="0" w:line="140" w:lineRule="exact"/>
              <w:rPr>
                <w:sz w:val="20"/>
                <w:szCs w:val="20"/>
                <w:color w:val="auto"/>
              </w:rPr>
            </w:pPr>
            <w:r>
              <w:rPr>
                <w:rFonts w:ascii="Arial" w:cs="Arial" w:eastAsia="Arial" w:hAnsi="Arial"/>
                <w:sz w:val="14"/>
                <w:szCs w:val="14"/>
                <w:color w:val="auto"/>
                <w:w w:val="86"/>
              </w:rPr>
              <w:t>of 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960"/>
              <w:spacing w:after="0" w:line="140" w:lineRule="exact"/>
              <w:rPr>
                <w:sz w:val="20"/>
                <w:szCs w:val="20"/>
                <w:color w:val="auto"/>
              </w:rPr>
            </w:pPr>
            <w:r>
              <w:rPr>
                <w:rFonts w:ascii="Arial" w:cs="Arial" w:eastAsia="Arial" w:hAnsi="Arial"/>
                <w:sz w:val="14"/>
                <w:szCs w:val="14"/>
                <w:color w:val="auto"/>
                <w:w w:val="93"/>
              </w:rPr>
              <w:t>Paid Per</w:t>
            </w:r>
          </w:p>
        </w:tc>
        <w:tc>
          <w:tcPr>
            <w:tcW w:w="1180" w:type="dxa"/>
            <w:vAlign w:val="bottom"/>
          </w:tcPr>
          <w:p>
            <w:pPr>
              <w:jc w:val="center"/>
              <w:spacing w:after="0" w:line="140" w:lineRule="exact"/>
              <w:rPr>
                <w:sz w:val="20"/>
                <w:szCs w:val="20"/>
                <w:color w:val="auto"/>
              </w:rPr>
            </w:pPr>
            <w:r>
              <w:rPr>
                <w:rFonts w:ascii="Arial" w:cs="Arial" w:eastAsia="Arial" w:hAnsi="Arial"/>
                <w:sz w:val="14"/>
                <w:szCs w:val="14"/>
                <w:color w:val="auto"/>
                <w:w w:val="91"/>
              </w:rPr>
              <w:t>Announced Plans or</w:t>
            </w:r>
          </w:p>
        </w:tc>
        <w:tc>
          <w:tcPr>
            <w:tcW w:w="800" w:type="dxa"/>
            <w:vAlign w:val="bottom"/>
          </w:tcPr>
          <w:p>
            <w:pPr>
              <w:spacing w:after="0"/>
              <w:rPr>
                <w:sz w:val="12"/>
                <w:szCs w:val="12"/>
                <w:color w:val="auto"/>
              </w:rPr>
            </w:pPr>
          </w:p>
        </w:tc>
        <w:tc>
          <w:tcPr>
            <w:tcW w:w="1280" w:type="dxa"/>
            <w:vAlign w:val="bottom"/>
            <w:gridSpan w:val="3"/>
          </w:tcPr>
          <w:p>
            <w:pPr>
              <w:jc w:val="center"/>
              <w:ind w:right="40"/>
              <w:spacing w:after="0" w:line="140" w:lineRule="exact"/>
              <w:rPr>
                <w:sz w:val="20"/>
                <w:szCs w:val="20"/>
                <w:color w:val="auto"/>
              </w:rPr>
            </w:pPr>
            <w:r>
              <w:rPr>
                <w:rFonts w:ascii="Arial" w:cs="Arial" w:eastAsia="Arial" w:hAnsi="Arial"/>
                <w:sz w:val="14"/>
                <w:szCs w:val="14"/>
                <w:color w:val="auto"/>
                <w:w w:val="89"/>
              </w:rPr>
              <w:t>Purchased under the</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060" w:type="dxa"/>
            <w:vAlign w:val="bottom"/>
            <w:gridSpan w:val="2"/>
          </w:tcPr>
          <w:p>
            <w:pPr>
              <w:jc w:val="center"/>
              <w:ind w:right="260"/>
              <w:spacing w:after="0" w:line="175" w:lineRule="exact"/>
              <w:rPr>
                <w:sz w:val="20"/>
                <w:szCs w:val="20"/>
                <w:color w:val="auto"/>
              </w:rPr>
            </w:pPr>
            <w:r>
              <w:rPr>
                <w:rFonts w:ascii="Arial" w:cs="Arial" w:eastAsia="Arial" w:hAnsi="Arial"/>
                <w:sz w:val="14"/>
                <w:szCs w:val="14"/>
                <w:color w:val="auto"/>
                <w:w w:val="87"/>
              </w:rPr>
              <w:t xml:space="preserve">Purchased </w:t>
            </w:r>
            <w:r>
              <w:rPr>
                <w:rFonts w:ascii="Arial" w:cs="Arial" w:eastAsia="Arial" w:hAnsi="Arial"/>
                <w:sz w:val="20"/>
                <w:szCs w:val="20"/>
                <w:color w:val="auto"/>
                <w:w w:val="87"/>
                <w:vertAlign w:val="superscript"/>
              </w:rPr>
              <w:t>(1)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040"/>
              <w:spacing w:after="0"/>
              <w:rPr>
                <w:sz w:val="20"/>
                <w:szCs w:val="20"/>
                <w:color w:val="auto"/>
              </w:rPr>
            </w:pPr>
            <w:r>
              <w:rPr>
                <w:rFonts w:ascii="Arial" w:cs="Arial" w:eastAsia="Arial" w:hAnsi="Arial"/>
                <w:sz w:val="14"/>
                <w:szCs w:val="14"/>
                <w:color w:val="auto"/>
              </w:rPr>
              <w:t>Share</w:t>
            </w:r>
          </w:p>
        </w:tc>
        <w:tc>
          <w:tcPr>
            <w:tcW w:w="118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800" w:type="dxa"/>
            <w:vAlign w:val="bottom"/>
          </w:tcPr>
          <w:p>
            <w:pPr>
              <w:spacing w:after="0"/>
              <w:rPr>
                <w:sz w:val="15"/>
                <w:szCs w:val="15"/>
                <w:color w:val="auto"/>
              </w:rPr>
            </w:pPr>
          </w:p>
        </w:tc>
        <w:tc>
          <w:tcPr>
            <w:tcW w:w="1280" w:type="dxa"/>
            <w:vAlign w:val="bottom"/>
            <w:gridSpan w:val="3"/>
          </w:tcPr>
          <w:p>
            <w:pPr>
              <w:jc w:val="center"/>
              <w:ind w:right="40"/>
              <w:spacing w:after="0" w:line="175" w:lineRule="exact"/>
              <w:rPr>
                <w:sz w:val="20"/>
                <w:szCs w:val="20"/>
                <w:color w:val="auto"/>
              </w:rPr>
            </w:pPr>
            <w:r>
              <w:rPr>
                <w:rFonts w:ascii="Arial" w:cs="Arial" w:eastAsia="Arial" w:hAnsi="Arial"/>
                <w:sz w:val="14"/>
                <w:szCs w:val="14"/>
                <w:color w:val="auto"/>
                <w:w w:val="88"/>
              </w:rPr>
              <w:t xml:space="preserve">Plans or Programs </w:t>
            </w:r>
            <w:r>
              <w:rPr>
                <w:rFonts w:ascii="Arial" w:cs="Arial" w:eastAsia="Arial" w:hAnsi="Arial"/>
                <w:sz w:val="20"/>
                <w:szCs w:val="20"/>
                <w:color w:val="auto"/>
                <w:w w:val="88"/>
                <w:vertAlign w:val="superscript"/>
              </w:rPr>
              <w:t>(2)</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1 - 30,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May 1 - 31, 2020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June 1 - 30, 2020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68.78</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25,046</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85</w:t>
            </w:r>
          </w:p>
        </w:tc>
        <w:tc>
          <w:tcPr>
            <w:tcW w:w="80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4"/>
              </w:rPr>
              <w:t>44.9 million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5"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60" w:right="420" w:hanging="431"/>
        <w:spacing w:after="0" w:line="206" w:lineRule="auto"/>
        <w:tabs>
          <w:tab w:leader="none" w:pos="56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Represents shares surrendered to the Company by employees to satisfy tax withholding obligations arising in connection with the vesting of 157,881 shares of restricted stock awarded under our 2014 Omnibus Incentive Plan.</w:t>
      </w:r>
    </w:p>
    <w:p>
      <w:pPr>
        <w:spacing w:after="0" w:line="1" w:lineRule="exact"/>
        <w:rPr>
          <w:rFonts w:ascii="Arial" w:cs="Arial" w:eastAsia="Arial" w:hAnsi="Arial"/>
          <w:sz w:val="27"/>
          <w:szCs w:val="27"/>
          <w:color w:val="auto"/>
          <w:vertAlign w:val="superscript"/>
        </w:rPr>
      </w:pPr>
    </w:p>
    <w:p>
      <w:pPr>
        <w:ind w:left="560" w:right="100" w:hanging="431"/>
        <w:spacing w:after="0" w:line="268" w:lineRule="auto"/>
        <w:tabs>
          <w:tab w:leader="none" w:pos="56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On February 26, 2018, our board of directors authorized a $50 million stock repurchase program effective March 2, 2018 and on October 31, 2018, our board of directors approved an additional stock repurchase program, effective November 6, 2018, pursuant to which we may purchase up to an additional $100 million of our outstanding common stock. On February 20, 2020, our board of directors approved extending the current stock repurchase program to March 1, 2021. During the six months ended June 30, 2020, we repurchased approximately 443 thousand shares of our common stock with an aggregate price of approximately $15.8 million, or $35.59 average price per share. We did not repurchase any shares under our stock repurchase program during the six months ended June 30, 2019. In response to COVID-19, we have temporarily suspended our share repurchase program and accordingly we did not repurchase any shares during the three months ended June 30, 2020.</w:t>
      </w:r>
    </w:p>
    <w:p>
      <w:pPr>
        <w:spacing w:after="0" w:line="326"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material defaults in senior securities.</w:t>
      </w:r>
    </w:p>
    <w:p>
      <w:pPr>
        <w:spacing w:after="0" w:line="368"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68"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Given the second quarter results and the current state of our business, on August 4, 2020, the Compensation Committee of our Board of Directors approved 2020 base salary increases for our named executive officers, effective July 27, 2020. The 2020 base salary increases are as follows: Jeffrey W. Edwards ($680,000 to $714,000), Michael T. Miller ($340,000 to $357,000), Jay P. Elliott ($400,000 to $420,000), W. Jeffrey Hire ($310,000 to $341,000), and Jason R. Niswonger ($290,000 to $319,000). These increases had been previously approved by the Compensation Committee to take effect on April 1, 2020. However, due to the COVID-19 pandemic, the named executive officers had voluntarily waived the increases earlier this year.</w:t>
      </w:r>
    </w:p>
    <w:p>
      <w:pPr>
        <w:spacing w:after="0" w:line="303"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(a)(3) Exhibits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14"/>
                <w:szCs w:val="14"/>
                <w:color w:val="auto"/>
              </w:rPr>
            </w:pPr>
          </w:p>
        </w:tc>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100" w:type="dxa"/>
            <w:vAlign w:val="bottom"/>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00"/>
          </w:tcPr>
          <w:p>
            <w:pPr>
              <w:spacing w:after="0"/>
              <w:rPr>
                <w:sz w:val="2"/>
                <w:szCs w:val="2"/>
                <w:color w:val="auto"/>
              </w:rPr>
            </w:pPr>
          </w:p>
        </w:tc>
        <w:tc>
          <w:tcPr>
            <w:tcW w:w="5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9960" w:type="dxa"/>
            <w:vAlign w:val="bottom"/>
            <w:gridSpan w:val="3"/>
          </w:tcPr>
          <w:p>
            <w:pPr>
              <w:ind w:left="420"/>
              <w:spacing w:after="0"/>
              <w:rPr>
                <w:rFonts w:ascii="Arial" w:cs="Arial" w:eastAsia="Arial" w:hAnsi="Arial"/>
                <w:sz w:val="18"/>
                <w:szCs w:val="18"/>
                <w:u w:val="single" w:color="auto"/>
                <w:color w:val="0000EE"/>
                <w:w w:val="90"/>
              </w:rPr>
            </w:pPr>
            <w:hyperlink w:anchor="page48">
              <w:r>
                <w:rPr>
                  <w:rFonts w:ascii="Arial" w:cs="Arial" w:eastAsia="Arial" w:hAnsi="Arial"/>
                  <w:sz w:val="18"/>
                  <w:szCs w:val="18"/>
                  <w:u w:val="single" w:color="auto"/>
                  <w:color w:val="0000EE"/>
                  <w:w w:val="90"/>
                </w:rPr>
                <w:t>CEO Certification pursuant to Exchange Act Rule 13a-14(a), as adopted pursuant to Section 302 of the Sarbanes-Oxley Act of 2002.</w:t>
              </w:r>
            </w:hyperlink>
          </w:p>
        </w:tc>
        <w:tc>
          <w:tcPr>
            <w:tcW w:w="0" w:type="dxa"/>
            <w:vAlign w:val="bottom"/>
          </w:tcPr>
          <w:p>
            <w:pPr>
              <w:spacing w:after="0"/>
              <w:rPr>
                <w:sz w:val="1"/>
                <w:szCs w:val="1"/>
                <w:color w:val="auto"/>
              </w:rPr>
            </w:pPr>
          </w:p>
        </w:tc>
      </w:tr>
      <w:tr>
        <w:trPr>
          <w:trHeight w:val="323"/>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9960" w:type="dxa"/>
            <w:vAlign w:val="bottom"/>
            <w:gridSpan w:val="3"/>
          </w:tcPr>
          <w:p>
            <w:pPr>
              <w:ind w:left="420"/>
              <w:spacing w:after="0"/>
              <w:rPr>
                <w:rFonts w:ascii="Arial" w:cs="Arial" w:eastAsia="Arial" w:hAnsi="Arial"/>
                <w:sz w:val="18"/>
                <w:szCs w:val="18"/>
                <w:u w:val="single" w:color="auto"/>
                <w:color w:val="0000EE"/>
                <w:w w:val="90"/>
              </w:rPr>
            </w:pPr>
            <w:hyperlink w:anchor="page49">
              <w:r>
                <w:rPr>
                  <w:rFonts w:ascii="Arial" w:cs="Arial" w:eastAsia="Arial" w:hAnsi="Arial"/>
                  <w:sz w:val="18"/>
                  <w:szCs w:val="18"/>
                  <w:u w:val="single" w:color="auto"/>
                  <w:color w:val="0000EE"/>
                  <w:w w:val="90"/>
                </w:rPr>
                <w:t>CFO Certification pursuant to Exchange Act Rule 13a-14(a), as adopted pursuant to Section 302 of the Sarbanes-Oxley Act of 2002.</w:t>
              </w:r>
            </w:hyperlink>
          </w:p>
        </w:tc>
        <w:tc>
          <w:tcPr>
            <w:tcW w:w="0" w:type="dxa"/>
            <w:vAlign w:val="bottom"/>
          </w:tcPr>
          <w:p>
            <w:pPr>
              <w:spacing w:after="0"/>
              <w:rPr>
                <w:sz w:val="1"/>
                <w:szCs w:val="1"/>
                <w:color w:val="auto"/>
              </w:rPr>
            </w:pPr>
          </w:p>
        </w:tc>
      </w:tr>
      <w:tr>
        <w:trPr>
          <w:trHeight w:val="323"/>
        </w:trPr>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9960" w:type="dxa"/>
            <w:vAlign w:val="bottom"/>
            <w:gridSpan w:val="3"/>
          </w:tcPr>
          <w:p>
            <w:pPr>
              <w:ind w:left="420"/>
              <w:spacing w:after="0"/>
              <w:rPr>
                <w:rFonts w:ascii="Arial" w:cs="Arial" w:eastAsia="Arial" w:hAnsi="Arial"/>
                <w:sz w:val="18"/>
                <w:szCs w:val="18"/>
                <w:u w:val="single" w:color="auto"/>
                <w:color w:val="0000EE"/>
                <w:w w:val="94"/>
              </w:rPr>
            </w:pPr>
            <w:hyperlink w:anchor="page50">
              <w:r>
                <w:rPr>
                  <w:rFonts w:ascii="Arial" w:cs="Arial" w:eastAsia="Arial" w:hAnsi="Arial"/>
                  <w:sz w:val="18"/>
                  <w:szCs w:val="18"/>
                  <w:u w:val="single" w:color="auto"/>
                  <w:color w:val="0000EE"/>
                  <w:w w:val="94"/>
                </w:rPr>
                <w:t>CEO 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5100" w:type="dxa"/>
            <w:vAlign w:val="bottom"/>
          </w:tcPr>
          <w:p>
            <w:pPr>
              <w:jc w:val="right"/>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5"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320" w:type="dxa"/>
            <w:vAlign w:val="bottom"/>
            <w:gridSpan w:val="3"/>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9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95"/>
              </w:rPr>
              <w:t>32.2*</w:t>
            </w:r>
          </w:p>
        </w:tc>
        <w:tc>
          <w:tcPr>
            <w:tcW w:w="540" w:type="dxa"/>
            <w:vAlign w:val="bottom"/>
          </w:tcPr>
          <w:p>
            <w:pPr>
              <w:spacing w:after="0"/>
              <w:rPr>
                <w:sz w:val="24"/>
                <w:szCs w:val="24"/>
                <w:color w:val="auto"/>
              </w:rPr>
            </w:pPr>
          </w:p>
        </w:tc>
        <w:tc>
          <w:tcPr>
            <w:tcW w:w="9320" w:type="dxa"/>
            <w:vAlign w:val="bottom"/>
            <w:gridSpan w:val="3"/>
          </w:tcPr>
          <w:p>
            <w:pPr>
              <w:ind w:left="160"/>
              <w:spacing w:after="0"/>
              <w:rPr>
                <w:rFonts w:ascii="Arial" w:cs="Arial" w:eastAsia="Arial" w:hAnsi="Arial"/>
                <w:sz w:val="18"/>
                <w:szCs w:val="18"/>
                <w:color w:val="0000EE"/>
                <w:w w:val="90"/>
              </w:rPr>
            </w:pPr>
            <w:hyperlink w:anchor="page51">
              <w:r>
                <w:rPr>
                  <w:rFonts w:ascii="Arial" w:cs="Arial" w:eastAsia="Arial" w:hAnsi="Arial"/>
                  <w:sz w:val="18"/>
                  <w:szCs w:val="18"/>
                  <w:u w:val="single" w:color="auto"/>
                  <w:color w:val="0000EE"/>
                  <w:w w:val="90"/>
                </w:rPr>
                <w:t>CFO Certification pursuant to 18 U.S.C. Section 1350, as adopted pursuant to Section 906 of the Sarbanes-Oxley Act of 2002</w:t>
              </w:r>
              <w:r>
                <w:rPr>
                  <w:rFonts w:ascii="Arial" w:cs="Arial" w:eastAsia="Arial" w:hAnsi="Arial"/>
                  <w:sz w:val="18"/>
                  <w:szCs w:val="18"/>
                  <w:color w:val="0000EE"/>
                  <w:w w:val="90"/>
                </w:rPr>
                <w:t>.</w:t>
              </w:r>
            </w:hyperlink>
          </w:p>
        </w:tc>
        <w:tc>
          <w:tcPr>
            <w:tcW w:w="0" w:type="dxa"/>
            <w:vAlign w:val="bottom"/>
          </w:tcPr>
          <w:p>
            <w:pPr>
              <w:spacing w:after="0"/>
              <w:rPr>
                <w:sz w:val="1"/>
                <w:szCs w:val="1"/>
                <w:color w:val="auto"/>
              </w:rPr>
            </w:pPr>
          </w:p>
        </w:tc>
      </w:tr>
      <w:tr>
        <w:trPr>
          <w:trHeight w:val="309"/>
        </w:trPr>
        <w:tc>
          <w:tcPr>
            <w:tcW w:w="10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23"/>
        </w:trPr>
        <w:tc>
          <w:tcPr>
            <w:tcW w:w="10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3"/>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CAL**</w:t>
            </w: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3"/>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LAB**</w:t>
            </w: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3"/>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PRE**</w:t>
            </w: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3"/>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DEF**</w:t>
            </w: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3"/>
        </w:trPr>
        <w:tc>
          <w:tcPr>
            <w:tcW w:w="520" w:type="dxa"/>
            <w:vAlign w:val="bottom"/>
            <w:gridSpan w:val="2"/>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320" w:type="dxa"/>
            <w:vAlign w:val="bottom"/>
            <w:gridSpan w:val="3"/>
          </w:tcPr>
          <w:p>
            <w:pPr>
              <w:ind w:left="16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60" w:hanging="431"/>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431"/>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with the report.</w:t>
      </w:r>
    </w:p>
    <w:p>
      <w:pPr>
        <w:spacing w:after="0" w:line="14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00"/>
          </w:cols>
          <w:pgMar w:left="320" w:top="485" w:right="10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6, 2020</w:t>
      </w:r>
    </w:p>
    <w:p>
      <w:pPr>
        <w:spacing w:after="0" w:line="2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INSTALLED BUILDING PRODUCTS, INC.</w:t>
      </w: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Jeffrey W. Edwards</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14605</wp:posOffset>
            </wp:positionV>
            <wp:extent cx="259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Michael T. Miller</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Executive Vice President and Chief Financial Officer</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320" w:top="485" w:right="5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13a-14(a) or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Jeffrey W. Edwards, certify that:</w:t>
      </w:r>
    </w:p>
    <w:p>
      <w:pPr>
        <w:spacing w:after="0" w:line="130" w:lineRule="exact"/>
        <w:rPr>
          <w:sz w:val="20"/>
          <w:szCs w:val="20"/>
          <w:color w:val="auto"/>
        </w:rPr>
      </w:pPr>
    </w:p>
    <w:p>
      <w:pPr>
        <w:ind w:left="440" w:hanging="43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Installed Building Products, Inc.;</w:t>
      </w:r>
    </w:p>
    <w:p>
      <w:pPr>
        <w:spacing w:after="0" w:line="129" w:lineRule="exact"/>
        <w:rPr>
          <w:rFonts w:ascii="Arial" w:cs="Arial" w:eastAsia="Arial" w:hAnsi="Arial"/>
          <w:sz w:val="18"/>
          <w:szCs w:val="18"/>
          <w:color w:val="auto"/>
        </w:rPr>
      </w:pPr>
    </w:p>
    <w:p>
      <w:pPr>
        <w:jc w:val="both"/>
        <w:ind w:left="440" w:right="120" w:hanging="431"/>
        <w:spacing w:after="0" w:line="263"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440" w:right="80" w:hanging="431"/>
        <w:spacing w:after="0" w:line="306"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300" w:hanging="431"/>
        <w:spacing w:after="0" w:line="290"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5" w:lineRule="exact"/>
        <w:rPr>
          <w:rFonts w:ascii="Arial" w:cs="Arial" w:eastAsia="Arial" w:hAnsi="Arial"/>
          <w:sz w:val="16"/>
          <w:szCs w:val="16"/>
          <w:color w:val="auto"/>
        </w:rPr>
      </w:pPr>
    </w:p>
    <w:p>
      <w:pPr>
        <w:ind w:left="1420" w:right="20" w:hanging="428"/>
        <w:spacing w:after="0" w:line="285" w:lineRule="auto"/>
        <w:tabs>
          <w:tab w:leader="none" w:pos="14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420" w:right="120" w:hanging="428"/>
        <w:spacing w:after="0" w:line="263"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1420" w:right="200" w:hanging="428"/>
        <w:spacing w:after="0" w:line="263"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8"/>
          <w:szCs w:val="18"/>
          <w:color w:val="auto"/>
        </w:rPr>
      </w:pPr>
    </w:p>
    <w:p>
      <w:pPr>
        <w:ind w:left="1420" w:right="300" w:hanging="428"/>
        <w:spacing w:after="0" w:line="263"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rFonts w:ascii="Arial" w:cs="Arial" w:eastAsia="Arial" w:hAnsi="Arial"/>
          <w:sz w:val="18"/>
          <w:szCs w:val="18"/>
          <w:color w:val="auto"/>
        </w:rPr>
      </w:pPr>
    </w:p>
    <w:p>
      <w:pPr>
        <w:ind w:left="440" w:hanging="431"/>
        <w:spacing w:after="0" w:line="306"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1420" w:right="160" w:hanging="428"/>
        <w:spacing w:after="0" w:line="341" w:lineRule="auto"/>
        <w:tabs>
          <w:tab w:leader="none" w:pos="14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40" w:hanging="428"/>
        <w:spacing w:after="0" w:line="276"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138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38805" cy="8255"/>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Edwards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00"/>
          </w:cols>
          <w:pgMar w:left="440" w:top="121" w:right="4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13a-14(a) or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Michael T. Miller, certify that:</w:t>
      </w:r>
    </w:p>
    <w:p>
      <w:pPr>
        <w:spacing w:after="0" w:line="130" w:lineRule="exact"/>
        <w:rPr>
          <w:sz w:val="20"/>
          <w:szCs w:val="20"/>
          <w:color w:val="auto"/>
        </w:rPr>
      </w:pPr>
    </w:p>
    <w:p>
      <w:pPr>
        <w:ind w:left="440" w:hanging="43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Installed Building Products, Inc.;</w:t>
      </w:r>
    </w:p>
    <w:p>
      <w:pPr>
        <w:spacing w:after="0" w:line="129" w:lineRule="exact"/>
        <w:rPr>
          <w:rFonts w:ascii="Arial" w:cs="Arial" w:eastAsia="Arial" w:hAnsi="Arial"/>
          <w:sz w:val="18"/>
          <w:szCs w:val="18"/>
          <w:color w:val="auto"/>
        </w:rPr>
      </w:pPr>
    </w:p>
    <w:p>
      <w:pPr>
        <w:jc w:val="both"/>
        <w:ind w:left="440" w:right="120" w:hanging="431"/>
        <w:spacing w:after="0" w:line="263"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440" w:right="80" w:hanging="431"/>
        <w:spacing w:after="0" w:line="306"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300" w:hanging="431"/>
        <w:spacing w:after="0" w:line="290"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5" w:lineRule="exact"/>
        <w:rPr>
          <w:rFonts w:ascii="Arial" w:cs="Arial" w:eastAsia="Arial" w:hAnsi="Arial"/>
          <w:sz w:val="16"/>
          <w:szCs w:val="16"/>
          <w:color w:val="auto"/>
        </w:rPr>
      </w:pPr>
    </w:p>
    <w:p>
      <w:pPr>
        <w:ind w:left="1420" w:right="20" w:hanging="428"/>
        <w:spacing w:after="0" w:line="285" w:lineRule="auto"/>
        <w:tabs>
          <w:tab w:leader="none" w:pos="14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420" w:right="120" w:hanging="428"/>
        <w:spacing w:after="0" w:line="263"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1420" w:right="200" w:hanging="428"/>
        <w:spacing w:after="0" w:line="263"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8"/>
          <w:szCs w:val="18"/>
          <w:color w:val="auto"/>
        </w:rPr>
      </w:pPr>
    </w:p>
    <w:p>
      <w:pPr>
        <w:ind w:left="1420" w:right="300" w:hanging="428"/>
        <w:spacing w:after="0" w:line="263"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rFonts w:ascii="Arial" w:cs="Arial" w:eastAsia="Arial" w:hAnsi="Arial"/>
          <w:sz w:val="18"/>
          <w:szCs w:val="18"/>
          <w:color w:val="auto"/>
        </w:rPr>
      </w:pPr>
    </w:p>
    <w:p>
      <w:pPr>
        <w:ind w:left="440" w:hanging="431"/>
        <w:spacing w:after="0" w:line="306"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1420" w:right="160" w:hanging="428"/>
        <w:spacing w:after="0" w:line="341"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40" w:hanging="428"/>
        <w:spacing w:after="0" w:line="276"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138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38805" cy="8255"/>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T. Miller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000"/>
          </w:cols>
          <w:pgMar w:left="440" w:top="121" w:right="4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13a-14(b) or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w:t>
      </w:r>
    </w:p>
    <w:p>
      <w:pPr>
        <w:spacing w:after="0" w:line="21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Installed Building Products, Inc. Quarterly Report on Form 10-Q for the quarterly period ended June 30, 2020 (the “Report”) for the purpose of complying with Rule 13a-14(b) or Rule 15d-14(b) of the Securities Exchange Act of 1934 (the “Exchange Act”) and Section 1350 of Chapter 63 of Title 18 of the United States Code.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Jeffrey W. Edwards, the President and Chief Executive Officer, of Installed Building Products, Inc., certifies that, to the best of his knowledge:</w:t>
      </w:r>
    </w:p>
    <w:p>
      <w:pPr>
        <w:spacing w:after="0" w:line="141" w:lineRule="exact"/>
        <w:rPr>
          <w:sz w:val="20"/>
          <w:szCs w:val="20"/>
          <w:color w:val="auto"/>
        </w:rPr>
      </w:pPr>
    </w:p>
    <w:p>
      <w:pPr>
        <w:ind w:left="980" w:hanging="540"/>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980" w:right="680" w:hanging="540"/>
        <w:spacing w:after="0" w:line="27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Installed Building Products, Inc.</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138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38805" cy="8255"/>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W. Edwards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00"/>
          </w:cols>
          <w:pgMar w:left="440" w:top="121" w:right="4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13a-14(b) or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w:t>
      </w:r>
    </w:p>
    <w:p>
      <w:pPr>
        <w:spacing w:after="0" w:line="21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Installed Building Products, Inc. Quarterly Report on Form 10-Q for the quarterly period ended June 30, 2020 (the “Report”) for the purpose of complying with Rule 13a-14(b) or Rule 15d-14(b) of the Securities Exchange Act of 1934 (the “Exchange Act”) and Section 1350 of Chapter 63 of Title 18 of the United States Code.</w:t>
      </w:r>
    </w:p>
    <w:p>
      <w:pPr>
        <w:spacing w:after="0" w:line="182"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Michael T. Miller, the Executive Vice President and Chief Financial Officer, of Installed Building Products, Inc., certifies that, to the best of his knowledge:</w:t>
      </w:r>
    </w:p>
    <w:p>
      <w:pPr>
        <w:spacing w:after="0" w:line="76" w:lineRule="exact"/>
        <w:rPr>
          <w:sz w:val="20"/>
          <w:szCs w:val="20"/>
          <w:color w:val="auto"/>
        </w:rPr>
      </w:pPr>
    </w:p>
    <w:p>
      <w:pPr>
        <w:ind w:left="980" w:hanging="540"/>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980" w:right="680" w:hanging="540"/>
        <w:spacing w:after="0" w:line="27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Installed Building Products, Inc.</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138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38805" cy="8255"/>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T. Miller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000"/>
      </w:cols>
      <w:pgMar w:left="44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3"/>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2020-08-06T13:10:07Z</dcterms:created>
  <dcterms:modified xsi:type="dcterms:W3CDTF">2020-08-06T13:10:07Z</dcterms:modified>
</cp:coreProperties>
</file>