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Installed Building Products,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001-36307</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45-3707650</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495 South High Street, Suite 50</w:t>
      </w:r>
      <w:r>
        <w:rPr>
          <w:rFonts w:ascii="Times New Roman" w:cs="Times New Roman" w:eastAsia="Times New Roman" w:hAnsi="Times New Roman"/>
          <w:sz w:val="17"/>
          <w:szCs w:val="17"/>
          <w:b w:val="1"/>
          <w:bCs w:val="1"/>
          <w:color w:val="3051F2"/>
        </w:rPr>
        <w:t>,</w:t>
      </w:r>
      <w:r>
        <w:rPr>
          <w:rFonts w:ascii="Times New Roman" w:cs="Times New Roman" w:eastAsia="Times New Roman" w:hAnsi="Times New Roman"/>
          <w:sz w:val="17"/>
          <w:szCs w:val="17"/>
          <w:b w:val="1"/>
          <w:bCs w:val="1"/>
          <w:color w:val="auto"/>
        </w:rPr>
        <w:t xml:space="preserve"> Columbus</w:t>
      </w:r>
      <w:r>
        <w:rPr>
          <w:rFonts w:ascii="Times New Roman" w:cs="Times New Roman" w:eastAsia="Times New Roman" w:hAnsi="Times New Roman"/>
          <w:sz w:val="17"/>
          <w:szCs w:val="17"/>
          <w:b w:val="1"/>
          <w:bCs w:val="1"/>
          <w:color w:val="3051F2"/>
        </w:rPr>
        <w:t>,</w:t>
      </w:r>
      <w:r>
        <w:rPr>
          <w:rFonts w:ascii="Times New Roman" w:cs="Times New Roman" w:eastAsia="Times New Roman" w:hAnsi="Times New Roman"/>
          <w:sz w:val="17"/>
          <w:szCs w:val="17"/>
          <w:b w:val="1"/>
          <w:bCs w:val="1"/>
          <w:color w:val="auto"/>
        </w:rPr>
        <w:t xml:space="preserve"> OH 43215</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614-221-3399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120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29"/>
        </w:trPr>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5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1"/>
        </w:trPr>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IBP</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7"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51" w:lineRule="exact"/>
        <w:rPr>
          <w:sz w:val="20"/>
          <w:szCs w:val="20"/>
          <w:color w:val="auto"/>
        </w:rPr>
      </w:pPr>
    </w:p>
    <w:p>
      <w:pPr>
        <w:jc w:val="both"/>
        <w:ind w:right="220"/>
        <w:spacing w:after="0" w:line="242" w:lineRule="auto"/>
        <w:rPr>
          <w:sz w:val="20"/>
          <w:szCs w:val="20"/>
          <w:color w:val="auto"/>
        </w:rPr>
      </w:pPr>
      <w:r>
        <w:rPr>
          <w:rFonts w:ascii="Times New Roman" w:cs="Times New Roman" w:eastAsia="Times New Roman" w:hAnsi="Times New Roman"/>
          <w:sz w:val="18"/>
          <w:szCs w:val="18"/>
          <w:color w:val="auto"/>
        </w:rPr>
        <w:t>At the Annual Meeting, the number of shares of common stock entitled to vote was 26,938,333 shares, representing the number of the Company’s shares outstanding as of the record date, March 23, 2026. Proxies were solicited pursuant to the Company’s definitive proxy statement filed with the Securities and Exchange Commission on April 8,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described below on each matter submitted to the Company’s stockholders are final:</w:t>
      </w:r>
    </w:p>
    <w:p>
      <w:pPr>
        <w:spacing w:after="0" w:line="23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following directors were elected for terms expiring at the Company’s Annual Meeting in 2029: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Nominee</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Votes For</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Broker Non-Votes</w:t>
            </w:r>
          </w:p>
        </w:tc>
        <w:tc>
          <w:tcPr>
            <w:tcW w:w="0" w:type="dxa"/>
            <w:vAlign w:val="bottom"/>
          </w:tcPr>
          <w:p>
            <w:pPr>
              <w:spacing w:after="0"/>
              <w:rPr>
                <w:sz w:val="1"/>
                <w:szCs w:val="1"/>
                <w:color w:val="auto"/>
              </w:rPr>
            </w:pPr>
          </w:p>
        </w:tc>
      </w:tr>
      <w:tr>
        <w:trPr>
          <w:trHeight w:val="27"/>
        </w:trPr>
        <w:tc>
          <w:tcPr>
            <w:tcW w:w="2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 Miller</w:t>
            </w:r>
          </w:p>
        </w:tc>
        <w:tc>
          <w:tcPr>
            <w:tcW w:w="30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21,555,506</w:t>
            </w:r>
          </w:p>
        </w:tc>
        <w:tc>
          <w:tcPr>
            <w:tcW w:w="2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885,636</w:t>
            </w:r>
          </w:p>
        </w:tc>
        <w:tc>
          <w:tcPr>
            <w:tcW w:w="3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12,230</w:t>
            </w:r>
          </w:p>
        </w:tc>
        <w:tc>
          <w:tcPr>
            <w:tcW w:w="300" w:type="dxa"/>
            <w:vAlign w:val="bottom"/>
          </w:tcPr>
          <w:p>
            <w:pPr>
              <w:spacing w:after="0"/>
              <w:rPr>
                <w:sz w:val="19"/>
                <w:szCs w:val="19"/>
                <w:color w:val="auto"/>
              </w:rPr>
            </w:pP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1,767,571</w:t>
            </w:r>
          </w:p>
        </w:tc>
        <w:tc>
          <w:tcPr>
            <w:tcW w:w="0" w:type="dxa"/>
            <w:vAlign w:val="bottom"/>
          </w:tcPr>
          <w:p>
            <w:pPr>
              <w:spacing w:after="0"/>
              <w:rPr>
                <w:sz w:val="1"/>
                <w:szCs w:val="1"/>
                <w:color w:val="auto"/>
              </w:rPr>
            </w:pPr>
          </w:p>
        </w:tc>
      </w:tr>
      <w:tr>
        <w:trPr>
          <w:trHeight w:val="22"/>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Marchelle E. Moore</w:t>
            </w: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740" w:type="dxa"/>
            <w:vAlign w:val="bottom"/>
            <w:gridSpan w:val="2"/>
            <w:vMerge w:val="continue"/>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20,276,480</w:t>
            </w:r>
          </w:p>
        </w:tc>
        <w:tc>
          <w:tcPr>
            <w:tcW w:w="2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2,028,373</w:t>
            </w:r>
          </w:p>
        </w:tc>
        <w:tc>
          <w:tcPr>
            <w:tcW w:w="3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148,519</w:t>
            </w:r>
          </w:p>
        </w:tc>
        <w:tc>
          <w:tcPr>
            <w:tcW w:w="300" w:type="dxa"/>
            <w:vAlign w:val="bottom"/>
          </w:tcPr>
          <w:p>
            <w:pPr>
              <w:spacing w:after="0"/>
              <w:rPr>
                <w:sz w:val="19"/>
                <w:szCs w:val="19"/>
                <w:color w:val="auto"/>
              </w:rPr>
            </w:pP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1,767,571</w:t>
            </w:r>
          </w:p>
        </w:tc>
        <w:tc>
          <w:tcPr>
            <w:tcW w:w="0" w:type="dxa"/>
            <w:vAlign w:val="bottom"/>
          </w:tcPr>
          <w:p>
            <w:pPr>
              <w:spacing w:after="0"/>
              <w:rPr>
                <w:sz w:val="1"/>
                <w:szCs w:val="1"/>
                <w:color w:val="auto"/>
              </w:rPr>
            </w:pPr>
          </w:p>
        </w:tc>
      </w:tr>
      <w:tr>
        <w:trPr>
          <w:trHeight w:val="22"/>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Robert H. Schottenstein</w:t>
            </w: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740" w:type="dxa"/>
            <w:vAlign w:val="bottom"/>
            <w:gridSpan w:val="2"/>
            <w:vMerge w:val="continue"/>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21,083,114</w:t>
            </w:r>
          </w:p>
        </w:tc>
        <w:tc>
          <w:tcPr>
            <w:tcW w:w="2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1,359,014</w:t>
            </w:r>
          </w:p>
        </w:tc>
        <w:tc>
          <w:tcPr>
            <w:tcW w:w="3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11,244</w:t>
            </w:r>
          </w:p>
        </w:tc>
        <w:tc>
          <w:tcPr>
            <w:tcW w:w="300" w:type="dxa"/>
            <w:vAlign w:val="bottom"/>
          </w:tcPr>
          <w:p>
            <w:pPr>
              <w:spacing w:after="0"/>
              <w:rPr>
                <w:sz w:val="19"/>
                <w:szCs w:val="19"/>
                <w:color w:val="auto"/>
              </w:rPr>
            </w:pP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1,767,571</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660" w:right="200" w:hanging="328"/>
        <w:spacing w:after="0" w:line="266"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Deloitte &amp; Touche LLP as the Company’s independent public accounting firm for the fiscal year ending December 31, 2026 was ratified:</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Votes For</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Votes Against</w:t>
            </w:r>
          </w:p>
        </w:tc>
        <w:tc>
          <w:tcPr>
            <w:tcW w:w="2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Abstain</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2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8"/>
        </w:trPr>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24,112,054</w:t>
            </w:r>
          </w:p>
        </w:tc>
        <w:tc>
          <w:tcPr>
            <w:tcW w:w="300" w:type="dxa"/>
            <w:vAlign w:val="bottom"/>
          </w:tcPr>
          <w:p>
            <w:pPr>
              <w:spacing w:after="0"/>
              <w:rPr>
                <w:sz w:val="19"/>
                <w:szCs w:val="19"/>
                <w:color w:val="auto"/>
              </w:rPr>
            </w:pP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96,446</w:t>
            </w:r>
          </w:p>
        </w:tc>
        <w:tc>
          <w:tcPr>
            <w:tcW w:w="300" w:type="dxa"/>
            <w:vAlign w:val="bottom"/>
          </w:tcPr>
          <w:p>
            <w:pPr>
              <w:spacing w:after="0"/>
              <w:rPr>
                <w:sz w:val="19"/>
                <w:szCs w:val="19"/>
                <w:color w:val="auto"/>
              </w:rPr>
            </w:pPr>
          </w:p>
        </w:tc>
        <w:tc>
          <w:tcPr>
            <w:tcW w:w="2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12,443</w:t>
            </w:r>
          </w:p>
        </w:tc>
        <w:tc>
          <w:tcPr>
            <w:tcW w:w="320" w:type="dxa"/>
            <w:vAlign w:val="bottom"/>
          </w:tcPr>
          <w:p>
            <w:pPr>
              <w:spacing w:after="0"/>
              <w:rPr>
                <w:sz w:val="19"/>
                <w:szCs w:val="19"/>
                <w:color w:val="auto"/>
              </w:rPr>
            </w:pPr>
          </w:p>
        </w:tc>
        <w:tc>
          <w:tcPr>
            <w:tcW w:w="18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w:t>
            </w:r>
          </w:p>
        </w:tc>
      </w:tr>
    </w:tbl>
    <w:p>
      <w:pPr>
        <w:spacing w:after="0" w:line="31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The advisory proposal to approve the compensation of the Company’s named executive officers was approved: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Votes For</w:t>
            </w: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Votes Against</w:t>
            </w:r>
          </w:p>
        </w:tc>
        <w:tc>
          <w:tcPr>
            <w:tcW w:w="2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Abstain</w:t>
            </w:r>
          </w:p>
        </w:tc>
        <w:tc>
          <w:tcPr>
            <w:tcW w:w="400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3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r>
      <w:tr>
        <w:trPr>
          <w:trHeight w:val="228"/>
        </w:trPr>
        <w:tc>
          <w:tcPr>
            <w:tcW w:w="340" w:type="dxa"/>
            <w:vAlign w:val="bottom"/>
          </w:tcPr>
          <w:p>
            <w:pPr>
              <w:spacing w:after="0"/>
              <w:rPr>
                <w:sz w:val="19"/>
                <w:szCs w:val="19"/>
                <w:color w:val="auto"/>
              </w:rPr>
            </w:pP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21,846,454</w:t>
            </w:r>
          </w:p>
        </w:tc>
        <w:tc>
          <w:tcPr>
            <w:tcW w:w="300" w:type="dxa"/>
            <w:vAlign w:val="bottom"/>
          </w:tcPr>
          <w:p>
            <w:pPr>
              <w:spacing w:after="0"/>
              <w:rPr>
                <w:sz w:val="19"/>
                <w:szCs w:val="19"/>
                <w:color w:val="auto"/>
              </w:rPr>
            </w:pP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595,092</w:t>
            </w:r>
          </w:p>
        </w:tc>
        <w:tc>
          <w:tcPr>
            <w:tcW w:w="300" w:type="dxa"/>
            <w:vAlign w:val="bottom"/>
          </w:tcPr>
          <w:p>
            <w:pPr>
              <w:spacing w:after="0"/>
              <w:rPr>
                <w:sz w:val="19"/>
                <w:szCs w:val="19"/>
                <w:color w:val="auto"/>
              </w:rPr>
            </w:pPr>
          </w:p>
        </w:tc>
        <w:tc>
          <w:tcPr>
            <w:tcW w:w="2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11,826</w:t>
            </w:r>
          </w:p>
        </w:tc>
        <w:tc>
          <w:tcPr>
            <w:tcW w:w="320" w:type="dxa"/>
            <w:vAlign w:val="bottom"/>
          </w:tcPr>
          <w:p>
            <w:pPr>
              <w:spacing w:after="0"/>
              <w:rPr>
                <w:sz w:val="19"/>
                <w:szCs w:val="19"/>
                <w:color w:val="auto"/>
              </w:rPr>
            </w:pPr>
          </w:p>
        </w:tc>
        <w:tc>
          <w:tcPr>
            <w:tcW w:w="1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1,767,571</w:t>
            </w:r>
          </w:p>
        </w:tc>
        <w:tc>
          <w:tcPr>
            <w:tcW w:w="2100" w:type="dxa"/>
            <w:vAlign w:val="bottom"/>
          </w:tcPr>
          <w:p>
            <w:pPr>
              <w:spacing w:after="0"/>
              <w:rPr>
                <w:sz w:val="19"/>
                <w:szCs w:val="19"/>
                <w:color w:val="auto"/>
              </w:rPr>
            </w:pPr>
          </w:p>
        </w:tc>
      </w:tr>
      <w:tr>
        <w:trPr>
          <w:trHeight w:val="1933"/>
        </w:trPr>
        <w:tc>
          <w:tcPr>
            <w:tcW w:w="3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20th day of May, 2026.</w:t>
      </w: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INSTALLED BUILDING PRODUCTS,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T. Miller</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T. Miller</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2026-05-20T15:37:34Z</dcterms:created>
  <dcterms:modified xsi:type="dcterms:W3CDTF">2026-05-20T15:37:34Z</dcterms:modified>
</cp:coreProperties>
</file>