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598170</wp:posOffset>
            </wp:positionH>
            <wp:positionV relativeFrom="page">
              <wp:posOffset>760095</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page">
              <wp:posOffset>598170</wp:posOffset>
            </wp:positionH>
            <wp:positionV relativeFrom="page">
              <wp:posOffset>727710</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t>UNITED STATES</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2531745</wp:posOffset>
            </wp:positionH>
            <wp:positionV relativeFrom="paragraph">
              <wp:posOffset>86360</wp:posOffset>
            </wp:positionV>
            <wp:extent cx="20796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9625" cy="8255"/>
                    </a:xfrm>
                    <a:prstGeom prst="rect">
                      <a:avLst/>
                    </a:prstGeom>
                    <a:noFill/>
                  </pic:spPr>
                </pic:pic>
              </a:graphicData>
            </a:graphic>
          </wp:anchor>
        </w:drawing>
      </w:r>
    </w:p>
    <w:p>
      <w:pPr>
        <w:spacing w:after="0" w:line="3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2531745</wp:posOffset>
            </wp:positionH>
            <wp:positionV relativeFrom="paragraph">
              <wp:posOffset>104775</wp:posOffset>
            </wp:positionV>
            <wp:extent cx="20796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79625"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ind w:left="1800" w:right="1480" w:hanging="568"/>
        <w:spacing w:after="0" w:line="182" w:lineRule="auto"/>
        <w:tabs>
          <w:tab w:leader="none" w:pos="1800" w:val="left"/>
        </w:tabs>
        <w:numPr>
          <w:ilvl w:val="0"/>
          <w:numId w:val="1"/>
        </w:numPr>
        <w:rPr>
          <w:rFonts w:ascii="MS PGothic" w:cs="MS PGothic" w:eastAsia="MS PGothic" w:hAnsi="MS PGothic"/>
          <w:sz w:val="40"/>
          <w:szCs w:val="40"/>
          <w:color w:val="auto"/>
          <w:vertAlign w:val="subscript"/>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quarterly period ended March 31, 2026</w:t>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OR</w:t>
      </w:r>
    </w:p>
    <w:p>
      <w:pPr>
        <w:spacing w:after="0" w:line="127" w:lineRule="exact"/>
        <w:rPr>
          <w:sz w:val="24"/>
          <w:szCs w:val="24"/>
          <w:color w:val="auto"/>
        </w:rPr>
      </w:pPr>
    </w:p>
    <w:p>
      <w:pPr>
        <w:ind w:left="1800" w:right="1480" w:hanging="568"/>
        <w:spacing w:after="0" w:line="182" w:lineRule="auto"/>
        <w:tabs>
          <w:tab w:leader="none" w:pos="1800" w:val="left"/>
        </w:tabs>
        <w:numPr>
          <w:ilvl w:val="0"/>
          <w:numId w:val="2"/>
        </w:numPr>
        <w:rPr>
          <w:rFonts w:ascii="MS PGothic" w:cs="MS PGothic" w:eastAsia="MS PGothic" w:hAnsi="MS PGothic"/>
          <w:sz w:val="40"/>
          <w:szCs w:val="40"/>
          <w:color w:val="auto"/>
          <w:vertAlign w:val="subscript"/>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218"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7"/>
          <w:szCs w:val="17"/>
          <w:color w:val="auto"/>
        </w:rPr>
        <w:t>For the Transition Period From _________ To ________</w:t>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Commission File Number: 001-36307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2531745</wp:posOffset>
            </wp:positionH>
            <wp:positionV relativeFrom="paragraph">
              <wp:posOffset>90805</wp:posOffset>
            </wp:positionV>
            <wp:extent cx="20796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79625"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Installed Building Products, Inc.</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2531745</wp:posOffset>
            </wp:positionH>
            <wp:positionV relativeFrom="paragraph">
              <wp:posOffset>90805</wp:posOffset>
            </wp:positionV>
            <wp:extent cx="20796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79625"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1140" w:type="dxa"/>
        <w:tblCellMar>
          <w:top w:w="0" w:type="dxa"/>
          <w:left w:w="0" w:type="dxa"/>
          <w:bottom w:w="0" w:type="dxa"/>
          <w:right w:w="0" w:type="dxa"/>
        </w:tblCellMar>
      </w:tblPr>
      <w:tr>
        <w:trPr>
          <w:trHeight w:val="219"/>
        </w:trPr>
        <w:tc>
          <w:tcPr>
            <w:tcW w:w="6700" w:type="dxa"/>
            <w:vAlign w:val="bottom"/>
            <w:gridSpan w:val="3"/>
          </w:tcPr>
          <w:p>
            <w:pPr>
              <w:jc w:val="center"/>
              <w:ind w:right="3860"/>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174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45-3707650</w:t>
            </w:r>
          </w:p>
        </w:tc>
      </w:tr>
      <w:tr>
        <w:trPr>
          <w:trHeight w:val="175"/>
        </w:trPr>
        <w:tc>
          <w:tcPr>
            <w:tcW w:w="6700" w:type="dxa"/>
            <w:vAlign w:val="bottom"/>
            <w:gridSpan w:val="3"/>
          </w:tcPr>
          <w:p>
            <w:pPr>
              <w:jc w:val="center"/>
              <w:ind w:right="3860"/>
              <w:spacing w:after="0" w:line="175" w:lineRule="exact"/>
              <w:rPr>
                <w:sz w:val="20"/>
                <w:szCs w:val="20"/>
                <w:color w:val="auto"/>
              </w:rPr>
            </w:pPr>
            <w:r>
              <w:rPr>
                <w:rFonts w:ascii="Times New Roman" w:cs="Times New Roman" w:eastAsia="Times New Roman" w:hAnsi="Times New Roman"/>
                <w:sz w:val="17"/>
                <w:szCs w:val="17"/>
                <w:b w:val="1"/>
                <w:bCs w:val="1"/>
                <w:color w:val="auto"/>
              </w:rPr>
              <w:t>(State or other jurisdiction of</w:t>
            </w:r>
          </w:p>
        </w:tc>
        <w:tc>
          <w:tcPr>
            <w:tcW w:w="1740" w:type="dxa"/>
            <w:vAlign w:val="bottom"/>
          </w:tcPr>
          <w:p>
            <w:pPr>
              <w:jc w:val="center"/>
              <w:ind w:left="294"/>
              <w:spacing w:after="0" w:line="175" w:lineRule="exact"/>
              <w:rPr>
                <w:sz w:val="20"/>
                <w:szCs w:val="20"/>
                <w:color w:val="auto"/>
              </w:rPr>
            </w:pPr>
            <w:r>
              <w:rPr>
                <w:rFonts w:ascii="Times New Roman" w:cs="Times New Roman" w:eastAsia="Times New Roman" w:hAnsi="Times New Roman"/>
                <w:sz w:val="17"/>
                <w:szCs w:val="17"/>
                <w:b w:val="1"/>
                <w:bCs w:val="1"/>
                <w:color w:val="auto"/>
              </w:rPr>
              <w:t>(I.R.S. Employer</w:t>
            </w:r>
          </w:p>
        </w:tc>
      </w:tr>
      <w:tr>
        <w:trPr>
          <w:trHeight w:val="227"/>
        </w:trPr>
        <w:tc>
          <w:tcPr>
            <w:tcW w:w="6700" w:type="dxa"/>
            <w:vAlign w:val="bottom"/>
            <w:gridSpan w:val="3"/>
          </w:tcPr>
          <w:p>
            <w:pPr>
              <w:jc w:val="center"/>
              <w:ind w:right="386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tc>
        <w:tc>
          <w:tcPr>
            <w:tcW w:w="1740" w:type="dxa"/>
            <w:vAlign w:val="bottom"/>
          </w:tcPr>
          <w:p>
            <w:pPr>
              <w:jc w:val="center"/>
              <w:ind w:left="294"/>
              <w:spacing w:after="0"/>
              <w:rPr>
                <w:sz w:val="20"/>
                <w:szCs w:val="20"/>
                <w:color w:val="auto"/>
              </w:rPr>
            </w:pPr>
            <w:r>
              <w:rPr>
                <w:rFonts w:ascii="Times New Roman" w:cs="Times New Roman" w:eastAsia="Times New Roman" w:hAnsi="Times New Roman"/>
                <w:sz w:val="17"/>
                <w:szCs w:val="17"/>
                <w:b w:val="1"/>
                <w:bCs w:val="1"/>
                <w:color w:val="auto"/>
              </w:rPr>
              <w:t>Identification No.)</w:t>
            </w:r>
          </w:p>
        </w:tc>
      </w:tr>
      <w:tr>
        <w:trPr>
          <w:trHeight w:val="371"/>
        </w:trPr>
        <w:tc>
          <w:tcPr>
            <w:tcW w:w="6700" w:type="dxa"/>
            <w:vAlign w:val="bottom"/>
            <w:gridSpan w:val="3"/>
          </w:tcPr>
          <w:p>
            <w:pPr>
              <w:jc w:val="center"/>
              <w:ind w:right="3860"/>
              <w:spacing w:after="0"/>
              <w:rPr>
                <w:sz w:val="20"/>
                <w:szCs w:val="20"/>
                <w:color w:val="auto"/>
              </w:rPr>
            </w:pPr>
            <w:r>
              <w:rPr>
                <w:rFonts w:ascii="Times New Roman" w:cs="Times New Roman" w:eastAsia="Times New Roman" w:hAnsi="Times New Roman"/>
                <w:sz w:val="17"/>
                <w:szCs w:val="17"/>
                <w:b w:val="1"/>
                <w:bCs w:val="1"/>
                <w:color w:val="auto"/>
              </w:rPr>
              <w:t>495 South High Street, Suite 50</w:t>
            </w:r>
          </w:p>
        </w:tc>
        <w:tc>
          <w:tcPr>
            <w:tcW w:w="1740" w:type="dxa"/>
            <w:vAlign w:val="bottom"/>
          </w:tcPr>
          <w:p>
            <w:pPr>
              <w:spacing w:after="0"/>
              <w:rPr>
                <w:sz w:val="24"/>
                <w:szCs w:val="24"/>
                <w:color w:val="auto"/>
              </w:rPr>
            </w:pPr>
          </w:p>
        </w:tc>
      </w:tr>
      <w:tr>
        <w:trPr>
          <w:trHeight w:val="219"/>
        </w:trPr>
        <w:tc>
          <w:tcPr>
            <w:tcW w:w="6700" w:type="dxa"/>
            <w:vAlign w:val="bottom"/>
            <w:gridSpan w:val="3"/>
          </w:tcPr>
          <w:p>
            <w:pPr>
              <w:jc w:val="center"/>
              <w:ind w:right="3860"/>
              <w:spacing w:after="0"/>
              <w:rPr>
                <w:sz w:val="20"/>
                <w:szCs w:val="20"/>
                <w:color w:val="auto"/>
              </w:rPr>
            </w:pPr>
            <w:r>
              <w:rPr>
                <w:rFonts w:ascii="Times New Roman" w:cs="Times New Roman" w:eastAsia="Times New Roman" w:hAnsi="Times New Roman"/>
                <w:sz w:val="17"/>
                <w:szCs w:val="17"/>
                <w:b w:val="1"/>
                <w:bCs w:val="1"/>
                <w:color w:val="auto"/>
              </w:rPr>
              <w:t xml:space="preserve">Columbus, </w:t>
            </w:r>
            <w:r>
              <w:rPr>
                <w:rFonts w:ascii="Times New Roman" w:cs="Times New Roman" w:eastAsia="Times New Roman" w:hAnsi="Times New Roman"/>
                <w:sz w:val="15"/>
                <w:szCs w:val="15"/>
                <w:b w:val="1"/>
                <w:bCs w:val="1"/>
                <w:color w:val="auto"/>
              </w:rPr>
              <w:t>Ohio</w:t>
            </w:r>
          </w:p>
        </w:tc>
        <w:tc>
          <w:tcPr>
            <w:tcW w:w="1740" w:type="dxa"/>
            <w:vAlign w:val="bottom"/>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43215</w:t>
            </w:r>
          </w:p>
        </w:tc>
      </w:tr>
      <w:tr>
        <w:trPr>
          <w:trHeight w:val="227"/>
        </w:trPr>
        <w:tc>
          <w:tcPr>
            <w:tcW w:w="6700" w:type="dxa"/>
            <w:vAlign w:val="bottom"/>
            <w:gridSpan w:val="3"/>
          </w:tcPr>
          <w:p>
            <w:pPr>
              <w:jc w:val="center"/>
              <w:ind w:right="386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tc>
        <w:tc>
          <w:tcPr>
            <w:tcW w:w="1740" w:type="dxa"/>
            <w:vAlign w:val="bottom"/>
          </w:tcPr>
          <w:p>
            <w:pPr>
              <w:jc w:val="center"/>
              <w:ind w:left="294"/>
              <w:spacing w:after="0"/>
              <w:rPr>
                <w:sz w:val="20"/>
                <w:szCs w:val="20"/>
                <w:color w:val="auto"/>
              </w:rPr>
            </w:pPr>
            <w:r>
              <w:rPr>
                <w:rFonts w:ascii="Times New Roman" w:cs="Times New Roman" w:eastAsia="Times New Roman" w:hAnsi="Times New Roman"/>
                <w:sz w:val="17"/>
                <w:szCs w:val="17"/>
                <w:b w:val="1"/>
                <w:bCs w:val="1"/>
                <w:color w:val="auto"/>
              </w:rPr>
              <w:t>(Zip Code)</w:t>
            </w:r>
          </w:p>
        </w:tc>
      </w:tr>
      <w:tr>
        <w:trPr>
          <w:trHeight w:val="438"/>
        </w:trPr>
        <w:tc>
          <w:tcPr>
            <w:tcW w:w="6120" w:type="dxa"/>
            <w:vAlign w:val="bottom"/>
            <w:gridSpan w:val="2"/>
          </w:tcPr>
          <w:p>
            <w:pPr>
              <w:jc w:val="right"/>
              <w:ind w:right="1100"/>
              <w:spacing w:after="0"/>
              <w:rPr>
                <w:sz w:val="20"/>
                <w:szCs w:val="20"/>
                <w:color w:val="auto"/>
              </w:rPr>
            </w:pPr>
            <w:r>
              <w:rPr>
                <w:rFonts w:ascii="Times New Roman" w:cs="Times New Roman" w:eastAsia="Times New Roman" w:hAnsi="Times New Roman"/>
                <w:sz w:val="17"/>
                <w:szCs w:val="17"/>
                <w:color w:val="auto"/>
              </w:rPr>
              <w:t>(614) 221-3399</w:t>
            </w:r>
          </w:p>
        </w:tc>
        <w:tc>
          <w:tcPr>
            <w:tcW w:w="5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61"/>
        </w:trPr>
        <w:tc>
          <w:tcPr>
            <w:tcW w:w="6700" w:type="dxa"/>
            <w:vAlign w:val="bottom"/>
            <w:gridSpan w:val="3"/>
          </w:tcPr>
          <w:p>
            <w:pPr>
              <w:jc w:val="center"/>
              <w:ind w:left="2194"/>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tc>
        <w:tc>
          <w:tcPr>
            <w:tcW w:w="1740" w:type="dxa"/>
            <w:vAlign w:val="bottom"/>
          </w:tcPr>
          <w:p>
            <w:pPr>
              <w:spacing w:after="0"/>
              <w:rPr>
                <w:sz w:val="24"/>
                <w:szCs w:val="24"/>
                <w:color w:val="auto"/>
              </w:rPr>
            </w:pPr>
          </w:p>
        </w:tc>
      </w:tr>
      <w:tr>
        <w:trPr>
          <w:trHeight w:val="116"/>
        </w:trPr>
        <w:tc>
          <w:tcPr>
            <w:tcW w:w="2840" w:type="dxa"/>
            <w:vAlign w:val="bottom"/>
          </w:tcPr>
          <w:p>
            <w:pPr>
              <w:spacing w:after="0"/>
              <w:rPr>
                <w:sz w:val="10"/>
                <w:szCs w:val="10"/>
                <w:color w:val="auto"/>
              </w:rPr>
            </w:pPr>
          </w:p>
        </w:tc>
        <w:tc>
          <w:tcPr>
            <w:tcW w:w="3280" w:type="dxa"/>
            <w:vAlign w:val="bottom"/>
            <w:tcBorders>
              <w:bottom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740" w:type="dxa"/>
            <w:vAlign w:val="bottom"/>
          </w:tcPr>
          <w:p>
            <w:pPr>
              <w:spacing w:after="0"/>
              <w:rPr>
                <w:sz w:val="10"/>
                <w:szCs w:val="10"/>
                <w:color w:val="auto"/>
              </w:rPr>
            </w:pPr>
          </w:p>
        </w:tc>
      </w:tr>
    </w:tbl>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ectPr>
          <w:pgSz w:w="11900" w:h="16838" w:orient="portrait"/>
          <w:cols w:equalWidth="0" w:num="1">
            <w:col w:w="11240"/>
          </w:cols>
          <w:pgMar w:left="320" w:top="1410" w:right="339" w:bottom="0" w:gutter="0" w:footer="0" w:header="0"/>
        </w:sectPr>
      </w:pPr>
    </w:p>
    <w:p>
      <w:pPr>
        <w:spacing w:after="0" w:line="243"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13"/>
          <w:szCs w:val="13"/>
          <w:color w:val="auto"/>
        </w:rPr>
        <w:t>Title of each class</w:t>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Trading Symbol(s)</w:t>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Name of each exchange on which registered</w:t>
      </w:r>
    </w:p>
    <w:p>
      <w:pPr>
        <w:spacing w:after="0" w:line="44" w:lineRule="exact"/>
        <w:rPr>
          <w:sz w:val="24"/>
          <w:szCs w:val="24"/>
          <w:color w:val="auto"/>
        </w:rPr>
      </w:pPr>
    </w:p>
    <w:p>
      <w:pPr>
        <w:sectPr>
          <w:pgSz w:w="11900" w:h="16838" w:orient="portrait"/>
          <w:cols w:equalWidth="0" w:num="3">
            <w:col w:w="4880" w:space="720"/>
            <w:col w:w="1720" w:space="720"/>
            <w:col w:w="3200"/>
          </w:cols>
          <w:pgMar w:left="320" w:top="1410" w:right="339" w:bottom="0" w:gutter="0" w:footer="0" w:header="0"/>
          <w:type w:val="continuous"/>
        </w:sectPr>
      </w:pPr>
    </w:p>
    <w:p>
      <w:pPr>
        <w:ind w:left="1040"/>
        <w:spacing w:after="0"/>
        <w:rPr>
          <w:sz w:val="20"/>
          <w:szCs w:val="20"/>
          <w:color w:val="auto"/>
        </w:rPr>
      </w:pPr>
      <w:r>
        <w:rPr>
          <w:rFonts w:ascii="Times New Roman" w:cs="Times New Roman" w:eastAsia="Times New Roman" w:hAnsi="Times New Roman"/>
          <w:sz w:val="17"/>
          <w:szCs w:val="17"/>
          <w:b w:val="1"/>
          <w:bCs w:val="1"/>
          <w:color w:val="auto"/>
        </w:rPr>
        <w:t>Common Stock, $0.01 par value per share</w:t>
      </w:r>
    </w:p>
    <w:p>
      <w:pPr>
        <w:spacing w:after="0" w:line="20" w:lineRule="exact"/>
        <w:rPr>
          <w:sz w:val="24"/>
          <w:szCs w:val="24"/>
          <w:color w:val="auto"/>
        </w:rPr>
      </w:pPr>
      <w:r>
        <w:rPr>
          <w:sz w:val="24"/>
          <w:szCs w:val="24"/>
          <w:color w:val="auto"/>
        </w:rPr>
        <w:br w:type="column"/>
      </w: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IBP</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The New York Stock Exchange</w:t>
      </w:r>
    </w:p>
    <w:p>
      <w:pPr>
        <w:spacing w:after="0" w:line="200" w:lineRule="exact"/>
        <w:rPr>
          <w:sz w:val="24"/>
          <w:szCs w:val="24"/>
          <w:color w:val="auto"/>
        </w:rPr>
      </w:pPr>
    </w:p>
    <w:p>
      <w:pPr>
        <w:sectPr>
          <w:pgSz w:w="11900" w:h="16838" w:orient="portrait"/>
          <w:cols w:equalWidth="0" w:num="3">
            <w:col w:w="5260" w:space="720"/>
            <w:col w:w="1420" w:space="720"/>
            <w:col w:w="3120"/>
          </w:cols>
          <w:pgMar w:left="320" w:top="1410" w:right="339" w:bottom="0" w:gutter="0" w:footer="0" w:header="0"/>
          <w:type w:val="continuous"/>
        </w:sectPr>
      </w:pPr>
    </w:p>
    <w:p>
      <w:pPr>
        <w:spacing w:after="0" w:line="8" w:lineRule="exact"/>
        <w:rPr>
          <w:sz w:val="24"/>
          <w:szCs w:val="24"/>
          <w:color w:val="auto"/>
        </w:rPr>
      </w:pPr>
    </w:p>
    <w:p>
      <w:pPr>
        <w:ind w:right="40"/>
        <w:spacing w:after="0" w:line="239"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0"/>
          <w:szCs w:val="20"/>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20"/>
          <w:szCs w:val="20"/>
          <w:color w:val="auto"/>
        </w:rPr>
        <w:t>☐</w:t>
      </w:r>
    </w:p>
    <w:p>
      <w:pPr>
        <w:spacing w:after="0" w:line="4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20"/>
          <w:szCs w:val="20"/>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20"/>
          <w:szCs w:val="20"/>
          <w:color w:val="auto"/>
        </w:rPr>
        <w:t>☐</w:t>
      </w:r>
    </w:p>
    <w:p>
      <w:pPr>
        <w:spacing w:after="0" w:line="45" w:lineRule="exact"/>
        <w:rPr>
          <w:sz w:val="24"/>
          <w:szCs w:val="24"/>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Indicate by a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4" w:lineRule="exact"/>
        <w:rPr>
          <w:sz w:val="24"/>
          <w:szCs w:val="24"/>
          <w:color w:val="auto"/>
        </w:rPr>
      </w:pPr>
    </w:p>
    <w:tbl>
      <w:tblPr>
        <w:tblLayout w:type="fixed"/>
        <w:tblInd w:w="20" w:type="dxa"/>
        <w:tblCellMar>
          <w:top w:w="0" w:type="dxa"/>
          <w:left w:w="0" w:type="dxa"/>
          <w:bottom w:w="0" w:type="dxa"/>
          <w:right w:w="0" w:type="dxa"/>
        </w:tblCellMar>
      </w:tblPr>
      <w:tr>
        <w:trPr>
          <w:trHeight w:val="347"/>
        </w:trPr>
        <w:tc>
          <w:tcPr>
            <w:tcW w:w="190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400" w:type="dxa"/>
            <w:vAlign w:val="bottom"/>
          </w:tcPr>
          <w:p>
            <w:pPr>
              <w:ind w:left="340"/>
              <w:spacing w:after="0" w:line="211" w:lineRule="exact"/>
              <w:rPr>
                <w:sz w:val="20"/>
                <w:szCs w:val="20"/>
                <w:color w:val="auto"/>
              </w:rPr>
            </w:pPr>
            <w:r>
              <w:rPr>
                <w:rFonts w:ascii="MS PGothic" w:cs="MS PGothic" w:eastAsia="MS PGothic" w:hAnsi="MS PGothic"/>
                <w:sz w:val="21"/>
                <w:szCs w:val="21"/>
                <w:color w:val="auto"/>
              </w:rPr>
              <w:t>☒</w:t>
            </w:r>
          </w:p>
        </w:tc>
        <w:tc>
          <w:tcPr>
            <w:tcW w:w="5160" w:type="dxa"/>
            <w:vAlign w:val="bottom"/>
          </w:tcPr>
          <w:p>
            <w:pPr>
              <w:ind w:left="2880"/>
              <w:spacing w:after="0"/>
              <w:rPr>
                <w:sz w:val="20"/>
                <w:szCs w:val="20"/>
                <w:color w:val="auto"/>
              </w:rPr>
            </w:pPr>
            <w:r>
              <w:rPr>
                <w:rFonts w:ascii="Times New Roman" w:cs="Times New Roman" w:eastAsia="Times New Roman" w:hAnsi="Times New Roman"/>
                <w:sz w:val="17"/>
                <w:szCs w:val="17"/>
                <w:color w:val="auto"/>
              </w:rPr>
              <w:t>Accelerated filer</w:t>
            </w:r>
          </w:p>
        </w:tc>
        <w:tc>
          <w:tcPr>
            <w:tcW w:w="600" w:type="dxa"/>
            <w:vAlign w:val="bottom"/>
          </w:tcPr>
          <w:p>
            <w:pPr>
              <w:ind w:left="420"/>
              <w:spacing w:after="0" w:line="211" w:lineRule="exact"/>
              <w:rPr>
                <w:sz w:val="20"/>
                <w:szCs w:val="20"/>
                <w:color w:val="auto"/>
              </w:rPr>
            </w:pPr>
            <w:r>
              <w:rPr>
                <w:rFonts w:ascii="MS PGothic" w:cs="MS PGothic" w:eastAsia="MS PGothic" w:hAnsi="MS PGothic"/>
                <w:sz w:val="21"/>
                <w:szCs w:val="21"/>
                <w:color w:val="auto"/>
                <w:w w:val="75"/>
              </w:rPr>
              <w:t>☐</w:t>
            </w:r>
          </w:p>
        </w:tc>
      </w:tr>
      <w:tr>
        <w:trPr>
          <w:trHeight w:val="413"/>
        </w:trPr>
        <w:tc>
          <w:tcPr>
            <w:tcW w:w="190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400" w:type="dxa"/>
            <w:vAlign w:val="bottom"/>
          </w:tcPr>
          <w:p>
            <w:pPr>
              <w:ind w:left="340"/>
              <w:spacing w:after="0" w:line="211" w:lineRule="exact"/>
              <w:rPr>
                <w:sz w:val="20"/>
                <w:szCs w:val="20"/>
                <w:color w:val="auto"/>
              </w:rPr>
            </w:pPr>
            <w:r>
              <w:rPr>
                <w:rFonts w:ascii="MS PGothic" w:cs="MS PGothic" w:eastAsia="MS PGothic" w:hAnsi="MS PGothic"/>
                <w:sz w:val="21"/>
                <w:szCs w:val="21"/>
                <w:color w:val="auto"/>
              </w:rPr>
              <w:t>☐</w:t>
            </w:r>
          </w:p>
        </w:tc>
        <w:tc>
          <w:tcPr>
            <w:tcW w:w="5160" w:type="dxa"/>
            <w:vAlign w:val="bottom"/>
          </w:tcPr>
          <w:p>
            <w:pPr>
              <w:ind w:left="288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600" w:type="dxa"/>
            <w:vAlign w:val="bottom"/>
          </w:tcPr>
          <w:p>
            <w:pPr>
              <w:ind w:left="420"/>
              <w:spacing w:after="0" w:line="211" w:lineRule="exact"/>
              <w:rPr>
                <w:sz w:val="20"/>
                <w:szCs w:val="20"/>
                <w:color w:val="auto"/>
              </w:rPr>
            </w:pPr>
            <w:r>
              <w:rPr>
                <w:rFonts w:ascii="MS PGothic" w:cs="MS PGothic" w:eastAsia="MS PGothic" w:hAnsi="MS PGothic"/>
                <w:sz w:val="21"/>
                <w:szCs w:val="21"/>
                <w:color w:val="auto"/>
                <w:w w:val="75"/>
              </w:rPr>
              <w:t>☐</w:t>
            </w:r>
          </w:p>
        </w:tc>
      </w:tr>
      <w:tr>
        <w:trPr>
          <w:trHeight w:val="413"/>
        </w:trPr>
        <w:tc>
          <w:tcPr>
            <w:tcW w:w="19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160" w:type="dxa"/>
            <w:vAlign w:val="bottom"/>
          </w:tcPr>
          <w:p>
            <w:pPr>
              <w:ind w:left="2880"/>
              <w:spacing w:after="0"/>
              <w:rPr>
                <w:sz w:val="20"/>
                <w:szCs w:val="20"/>
                <w:color w:val="auto"/>
              </w:rPr>
            </w:pPr>
            <w:r>
              <w:rPr>
                <w:rFonts w:ascii="Times New Roman" w:cs="Times New Roman" w:eastAsia="Times New Roman" w:hAnsi="Times New Roman"/>
                <w:sz w:val="17"/>
                <w:szCs w:val="17"/>
                <w:color w:val="auto"/>
              </w:rPr>
              <w:t>Emerging growth company</w:t>
            </w:r>
          </w:p>
        </w:tc>
        <w:tc>
          <w:tcPr>
            <w:tcW w:w="600" w:type="dxa"/>
            <w:vAlign w:val="bottom"/>
          </w:tcPr>
          <w:p>
            <w:pPr>
              <w:ind w:left="420"/>
              <w:spacing w:after="0" w:line="211" w:lineRule="exact"/>
              <w:rPr>
                <w:sz w:val="20"/>
                <w:szCs w:val="20"/>
                <w:color w:val="auto"/>
              </w:rPr>
            </w:pPr>
            <w:r>
              <w:rPr>
                <w:rFonts w:ascii="MS PGothic" w:cs="MS PGothic" w:eastAsia="MS PGothic" w:hAnsi="MS PGothic"/>
                <w:sz w:val="21"/>
                <w:szCs w:val="21"/>
                <w:color w:val="auto"/>
                <w:w w:val="75"/>
              </w:rPr>
              <w:t>☐</w:t>
            </w:r>
          </w:p>
        </w:tc>
      </w:tr>
    </w:tbl>
    <w:p>
      <w:pPr>
        <w:spacing w:after="0" w:line="147" w:lineRule="exact"/>
        <w:rPr>
          <w:sz w:val="24"/>
          <w:szCs w:val="24"/>
          <w:color w:val="auto"/>
        </w:rPr>
      </w:pPr>
    </w:p>
    <w:p>
      <w:pPr>
        <w:ind w:right="480"/>
        <w:spacing w:after="0" w:line="25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rPr>
        <w:t>☐</w:t>
      </w:r>
    </w:p>
    <w:p>
      <w:pPr>
        <w:spacing w:after="0" w:line="2" w:lineRule="exact"/>
        <w:rPr>
          <w:sz w:val="24"/>
          <w:szCs w:val="24"/>
          <w:color w:val="auto"/>
        </w:rPr>
      </w:pPr>
    </w:p>
    <w:p>
      <w:pPr>
        <w:ind w:right="2400"/>
        <w:spacing w:after="0" w:line="307"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20"/>
          <w:szCs w:val="20"/>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20"/>
          <w:szCs w:val="20"/>
          <w:color w:val="auto"/>
        </w:rPr>
        <w:t>☒</w:t>
      </w:r>
      <w:r>
        <w:rPr>
          <w:rFonts w:ascii="Times New Roman" w:cs="Times New Roman" w:eastAsia="Times New Roman" w:hAnsi="Times New Roman"/>
          <w:sz w:val="17"/>
          <w:szCs w:val="17"/>
          <w:color w:val="auto"/>
        </w:rPr>
        <w:t xml:space="preserve"> On April 30, 2026, the registrant had 26,940,710 shares of common stock, par value $0.01 per share, outstanding.</w:t>
      </w:r>
    </w:p>
    <w:p>
      <w:pPr>
        <w:sectPr>
          <w:pgSz w:w="11900" w:h="16838" w:orient="portrait"/>
          <w:cols w:equalWidth="0" w:num="1">
            <w:col w:w="11240"/>
          </w:cols>
          <w:pgMar w:left="320" w:top="1410" w:right="339" w:bottom="0" w:gutter="0" w:footer="0" w:header="0"/>
          <w:type w:val="continuous"/>
        </w:sectPr>
      </w:pPr>
    </w:p>
    <w:bookmarkStart w:id="1" w:name="page2"/>
    <w:bookmarkEnd w:id="1"/>
    <w:p>
      <w:pPr>
        <w:spacing w:after="0" w:line="3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968375</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137795</wp:posOffset>
            </wp:positionV>
            <wp:extent cx="7122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105410</wp:posOffset>
            </wp:positionV>
            <wp:extent cx="7122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924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980" w:type="dxa"/>
            <w:vAlign w:val="bottom"/>
          </w:tcPr>
          <w:p>
            <w:pPr>
              <w:spacing w:after="0"/>
              <w:rPr>
                <w:sz w:val="17"/>
                <w:szCs w:val="17"/>
                <w:color w:val="auto"/>
              </w:rPr>
            </w:pPr>
          </w:p>
        </w:tc>
      </w:tr>
      <w:tr>
        <w:trPr>
          <w:trHeight w:val="960"/>
        </w:trPr>
        <w:tc>
          <w:tcPr>
            <w:tcW w:w="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20" w:type="dxa"/>
            <w:vAlign w:val="bottom"/>
            <w:gridSpan w:val="4"/>
          </w:tcPr>
          <w:p>
            <w:pPr>
              <w:ind w:left="148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980" w:type="dxa"/>
            <w:vAlign w:val="bottom"/>
          </w:tcPr>
          <w:p>
            <w:pPr>
              <w:spacing w:after="0"/>
              <w:rPr>
                <w:sz w:val="24"/>
                <w:szCs w:val="24"/>
                <w:color w:val="auto"/>
              </w:rPr>
            </w:pPr>
          </w:p>
        </w:tc>
      </w:tr>
      <w:tr>
        <w:trPr>
          <w:trHeight w:val="760"/>
        </w:trPr>
        <w:tc>
          <w:tcPr>
            <w:tcW w:w="20" w:type="dxa"/>
            <w:vAlign w:val="bottom"/>
          </w:tcPr>
          <w:p>
            <w:pPr>
              <w:spacing w:after="0"/>
              <w:rPr>
                <w:sz w:val="24"/>
                <w:szCs w:val="24"/>
                <w:color w:val="auto"/>
              </w:rPr>
            </w:pPr>
          </w:p>
        </w:tc>
        <w:tc>
          <w:tcPr>
            <w:tcW w:w="30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7"/>
                <w:szCs w:val="17"/>
                <w:b w:val="1"/>
                <w:bCs w:val="1"/>
                <w:color w:val="0000FF"/>
                <w:w w:val="99"/>
              </w:rPr>
              <w:t>PART I – FINANCIAL INFORMATION</w:t>
            </w:r>
          </w:p>
        </w:tc>
        <w:tc>
          <w:tcPr>
            <w:tcW w:w="6200" w:type="dxa"/>
            <w:vAlign w:val="bottom"/>
            <w:gridSpan w:val="5"/>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199"/>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920" w:type="dxa"/>
            <w:vAlign w:val="bottom"/>
            <w:gridSpan w:val="17"/>
          </w:tcPr>
          <w:p>
            <w:pPr>
              <w:spacing w:after="0"/>
              <w:rPr>
                <w:sz w:val="20"/>
                <w:szCs w:val="20"/>
                <w:color w:val="auto"/>
              </w:rPr>
            </w:pPr>
            <w:r>
              <w:rPr>
                <w:rFonts w:ascii="Times New Roman" w:cs="Times New Roman" w:eastAsia="Times New Roman" w:hAnsi="Times New Roman"/>
                <w:sz w:val="17"/>
                <w:szCs w:val="17"/>
                <w:b w:val="1"/>
                <w:bCs w:val="1"/>
                <w:color w:val="0000FF"/>
              </w:rPr>
              <w:t>Item 1. Financial Statements</w:t>
            </w: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1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b w:val="1"/>
                <w:bCs w:val="1"/>
                <w:color w:val="0000FF"/>
              </w:rPr>
              <w:t>Item 2. Management’s Discussion and Analysis of Financial Condition and Results of Operations</w:t>
            </w:r>
          </w:p>
        </w:tc>
        <w:tc>
          <w:tcPr>
            <w:tcW w:w="182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199"/>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920" w:type="dxa"/>
            <w:vAlign w:val="bottom"/>
            <w:gridSpan w:val="17"/>
          </w:tcPr>
          <w:p>
            <w:pPr>
              <w:spacing w:after="0"/>
              <w:rPr>
                <w:sz w:val="20"/>
                <w:szCs w:val="20"/>
                <w:color w:val="auto"/>
              </w:rPr>
            </w:pPr>
            <w:r>
              <w:rPr>
                <w:rFonts w:ascii="Times New Roman" w:cs="Times New Roman" w:eastAsia="Times New Roman" w:hAnsi="Times New Roman"/>
                <w:sz w:val="17"/>
                <w:szCs w:val="17"/>
                <w:b w:val="1"/>
                <w:bCs w:val="1"/>
                <w:color w:val="0000FF"/>
              </w:rPr>
              <w:t>Item 3. Quantitative and Qualitative Disclosures About Market Risk</w:t>
            </w: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199"/>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b w:val="1"/>
                <w:bCs w:val="1"/>
                <w:color w:val="0000FF"/>
              </w:rPr>
              <w:t>Item 4. Controls and Procedures</w:t>
            </w:r>
          </w:p>
        </w:tc>
        <w:tc>
          <w:tcPr>
            <w:tcW w:w="2620" w:type="dxa"/>
            <w:vAlign w:val="bottom"/>
            <w:tcBorders>
              <w:top w:val="single" w:sz="8" w:color="0000FF"/>
            </w:tcBorders>
            <w:gridSpan w:val="5"/>
          </w:tcPr>
          <w:p>
            <w:pPr>
              <w:spacing w:after="0"/>
              <w:rPr>
                <w:sz w:val="17"/>
                <w:szCs w:val="17"/>
                <w:color w:val="auto"/>
              </w:rPr>
            </w:pPr>
          </w:p>
        </w:tc>
        <w:tc>
          <w:tcPr>
            <w:tcW w:w="3900" w:type="dxa"/>
            <w:vAlign w:val="bottom"/>
            <w:gridSpan w:val="2"/>
          </w:tcPr>
          <w:p>
            <w:pPr>
              <w:spacing w:after="0"/>
              <w:rPr>
                <w:sz w:val="17"/>
                <w:szCs w:val="17"/>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199"/>
        </w:trPr>
        <w:tc>
          <w:tcPr>
            <w:tcW w:w="20" w:type="dxa"/>
            <w:vAlign w:val="bottom"/>
          </w:tcPr>
          <w:p>
            <w:pPr>
              <w:spacing w:after="0"/>
              <w:rPr>
                <w:sz w:val="17"/>
                <w:szCs w:val="17"/>
                <w:color w:val="auto"/>
              </w:rPr>
            </w:pPr>
          </w:p>
        </w:tc>
        <w:tc>
          <w:tcPr>
            <w:tcW w:w="9220" w:type="dxa"/>
            <w:vAlign w:val="bottom"/>
            <w:gridSpan w:val="18"/>
          </w:tcPr>
          <w:p>
            <w:pPr>
              <w:spacing w:after="0"/>
              <w:rPr>
                <w:sz w:val="20"/>
                <w:szCs w:val="20"/>
                <w:color w:val="auto"/>
              </w:rPr>
            </w:pPr>
            <w:r>
              <w:rPr>
                <w:rFonts w:ascii="Times New Roman" w:cs="Times New Roman" w:eastAsia="Times New Roman" w:hAnsi="Times New Roman"/>
                <w:sz w:val="17"/>
                <w:szCs w:val="17"/>
                <w:b w:val="1"/>
                <w:bCs w:val="1"/>
                <w:color w:val="0000FF"/>
              </w:rPr>
              <w:t>PART II – OTHER INFORMATION</w:t>
            </w: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199"/>
        </w:trPr>
        <w:tc>
          <w:tcPr>
            <w:tcW w:w="2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42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7"/>
                <w:szCs w:val="17"/>
                <w:b w:val="1"/>
                <w:bCs w:val="1"/>
                <w:color w:val="0000FF"/>
              </w:rPr>
              <w:t>Item 1. Legal Proceedings</w:t>
            </w:r>
          </w:p>
        </w:tc>
        <w:tc>
          <w:tcPr>
            <w:tcW w:w="6500" w:type="dxa"/>
            <w:vAlign w:val="bottom"/>
            <w:gridSpan w:val="6"/>
          </w:tcPr>
          <w:p>
            <w:pPr>
              <w:spacing w:after="0"/>
              <w:rPr>
                <w:sz w:val="17"/>
                <w:szCs w:val="17"/>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199"/>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7"/>
                <w:szCs w:val="17"/>
                <w:b w:val="1"/>
                <w:bCs w:val="1"/>
                <w:color w:val="0000FF"/>
              </w:rPr>
              <w:t>Item 1A. Risk Factors</w:t>
            </w:r>
          </w:p>
        </w:tc>
        <w:tc>
          <w:tcPr>
            <w:tcW w:w="7020" w:type="dxa"/>
            <w:vAlign w:val="bottom"/>
            <w:gridSpan w:val="11"/>
          </w:tcPr>
          <w:p>
            <w:pPr>
              <w:spacing w:after="0"/>
              <w:rPr>
                <w:sz w:val="17"/>
                <w:szCs w:val="17"/>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920" w:type="dxa"/>
            <w:vAlign w:val="bottom"/>
            <w:gridSpan w:val="17"/>
          </w:tcPr>
          <w:p>
            <w:pPr>
              <w:spacing w:after="0"/>
              <w:rPr>
                <w:sz w:val="20"/>
                <w:szCs w:val="20"/>
                <w:color w:val="auto"/>
              </w:rPr>
            </w:pPr>
            <w:r>
              <w:rPr>
                <w:rFonts w:ascii="Times New Roman" w:cs="Times New Roman" w:eastAsia="Times New Roman" w:hAnsi="Times New Roman"/>
                <w:sz w:val="17"/>
                <w:szCs w:val="17"/>
                <w:b w:val="1"/>
                <w:bCs w:val="1"/>
                <w:color w:val="0000FF"/>
              </w:rPr>
              <w:t>Item 2. Unregistered Sales of Equity Securities and Use of Proceeds</w:t>
            </w: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199"/>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7"/>
                <w:szCs w:val="17"/>
                <w:b w:val="1"/>
                <w:bCs w:val="1"/>
                <w:color w:val="0000FF"/>
              </w:rPr>
              <w:t>Item 3.</w:t>
            </w:r>
          </w:p>
        </w:tc>
        <w:tc>
          <w:tcPr>
            <w:tcW w:w="4380" w:type="dxa"/>
            <w:vAlign w:val="bottom"/>
            <w:tcBorders>
              <w:top w:val="single" w:sz="8" w:color="0000FF"/>
            </w:tcBorders>
            <w:gridSpan w:val="13"/>
          </w:tcPr>
          <w:p>
            <w:pPr>
              <w:ind w:left="20"/>
              <w:spacing w:after="0"/>
              <w:rPr>
                <w:sz w:val="20"/>
                <w:szCs w:val="20"/>
                <w:color w:val="auto"/>
              </w:rPr>
            </w:pPr>
            <w:r>
              <w:rPr>
                <w:rFonts w:ascii="Times New Roman" w:cs="Times New Roman" w:eastAsia="Times New Roman" w:hAnsi="Times New Roman"/>
                <w:sz w:val="17"/>
                <w:szCs w:val="17"/>
                <w:b w:val="1"/>
                <w:bCs w:val="1"/>
                <w:color w:val="0000FF"/>
              </w:rPr>
              <w:t>Defaults Upon Senior Securities</w:t>
            </w:r>
          </w:p>
        </w:tc>
        <w:tc>
          <w:tcPr>
            <w:tcW w:w="4000" w:type="dxa"/>
            <w:vAlign w:val="bottom"/>
            <w:gridSpan w:val="3"/>
          </w:tcPr>
          <w:p>
            <w:pPr>
              <w:spacing w:after="0"/>
              <w:rPr>
                <w:sz w:val="17"/>
                <w:szCs w:val="17"/>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199"/>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7"/>
                <w:szCs w:val="17"/>
                <w:b w:val="1"/>
                <w:bCs w:val="1"/>
                <w:color w:val="0000FF"/>
              </w:rPr>
              <w:t>Item 4.</w:t>
            </w:r>
          </w:p>
        </w:tc>
        <w:tc>
          <w:tcPr>
            <w:tcW w:w="2360" w:type="dxa"/>
            <w:vAlign w:val="bottom"/>
            <w:tcBorders>
              <w:top w:val="single" w:sz="8" w:color="0000FF"/>
            </w:tcBorders>
            <w:gridSpan w:val="12"/>
          </w:tcPr>
          <w:p>
            <w:pPr>
              <w:ind w:left="20"/>
              <w:spacing w:after="0"/>
              <w:rPr>
                <w:sz w:val="20"/>
                <w:szCs w:val="20"/>
                <w:color w:val="auto"/>
              </w:rPr>
            </w:pPr>
            <w:r>
              <w:rPr>
                <w:rFonts w:ascii="Times New Roman" w:cs="Times New Roman" w:eastAsia="Times New Roman" w:hAnsi="Times New Roman"/>
                <w:sz w:val="17"/>
                <w:szCs w:val="17"/>
                <w:b w:val="1"/>
                <w:bCs w:val="1"/>
                <w:color w:val="0000FF"/>
              </w:rPr>
              <w:t>Mine Safety Disclosures</w:t>
            </w:r>
          </w:p>
        </w:tc>
        <w:tc>
          <w:tcPr>
            <w:tcW w:w="6020" w:type="dxa"/>
            <w:vAlign w:val="bottom"/>
            <w:gridSpan w:val="4"/>
          </w:tcPr>
          <w:p>
            <w:pPr>
              <w:spacing w:after="0"/>
              <w:rPr>
                <w:sz w:val="17"/>
                <w:szCs w:val="17"/>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199"/>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7"/>
                <w:szCs w:val="17"/>
                <w:b w:val="1"/>
                <w:bCs w:val="1"/>
                <w:color w:val="0000FF"/>
              </w:rPr>
              <w:t>Item 5.</w:t>
            </w:r>
          </w:p>
        </w:tc>
        <w:tc>
          <w:tcPr>
            <w:tcW w:w="1780" w:type="dxa"/>
            <w:vAlign w:val="bottom"/>
            <w:tcBorders>
              <w:top w:val="single" w:sz="8" w:color="0000FF"/>
            </w:tcBorders>
            <w:gridSpan w:val="8"/>
          </w:tcPr>
          <w:p>
            <w:pPr>
              <w:ind w:left="20"/>
              <w:spacing w:after="0"/>
              <w:rPr>
                <w:sz w:val="20"/>
                <w:szCs w:val="20"/>
                <w:color w:val="auto"/>
              </w:rPr>
            </w:pPr>
            <w:r>
              <w:rPr>
                <w:rFonts w:ascii="Times New Roman" w:cs="Times New Roman" w:eastAsia="Times New Roman" w:hAnsi="Times New Roman"/>
                <w:sz w:val="17"/>
                <w:szCs w:val="17"/>
                <w:b w:val="1"/>
                <w:bCs w:val="1"/>
                <w:color w:val="0000FF"/>
              </w:rPr>
              <w:t>Other Information</w:t>
            </w:r>
          </w:p>
        </w:tc>
        <w:tc>
          <w:tcPr>
            <w:tcW w:w="6600" w:type="dxa"/>
            <w:vAlign w:val="bottom"/>
            <w:gridSpan w:val="8"/>
          </w:tcPr>
          <w:p>
            <w:pPr>
              <w:spacing w:after="0"/>
              <w:rPr>
                <w:sz w:val="17"/>
                <w:szCs w:val="17"/>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199"/>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7"/>
                <w:szCs w:val="17"/>
                <w:b w:val="1"/>
                <w:bCs w:val="1"/>
                <w:color w:val="0000FF"/>
              </w:rPr>
              <w:t>Item 6.</w:t>
            </w:r>
          </w:p>
        </w:tc>
        <w:tc>
          <w:tcPr>
            <w:tcW w:w="640" w:type="dxa"/>
            <w:vAlign w:val="bottom"/>
            <w:tcBorders>
              <w:top w:val="single" w:sz="8" w:color="0000FF"/>
              <w:bottom w:val="single" w:sz="8" w:color="0000FF"/>
            </w:tcBorders>
            <w:gridSpan w:val="3"/>
          </w:tcPr>
          <w:p>
            <w:pPr>
              <w:ind w:left="20"/>
              <w:spacing w:after="0"/>
              <w:rPr>
                <w:sz w:val="20"/>
                <w:szCs w:val="20"/>
                <w:color w:val="auto"/>
              </w:rPr>
            </w:pPr>
            <w:r>
              <w:rPr>
                <w:rFonts w:ascii="Times New Roman" w:cs="Times New Roman" w:eastAsia="Times New Roman" w:hAnsi="Times New Roman"/>
                <w:sz w:val="17"/>
                <w:szCs w:val="17"/>
                <w:b w:val="1"/>
                <w:bCs w:val="1"/>
                <w:color w:val="0000FF"/>
                <w:w w:val="99"/>
              </w:rPr>
              <w:t>Exhibits</w:t>
            </w:r>
          </w:p>
        </w:tc>
        <w:tc>
          <w:tcPr>
            <w:tcW w:w="760" w:type="dxa"/>
            <w:vAlign w:val="bottom"/>
            <w:tcBorders>
              <w:top w:val="single" w:sz="8" w:color="0000FF"/>
            </w:tcBorders>
            <w:gridSpan w:val="3"/>
          </w:tcPr>
          <w:p>
            <w:pPr>
              <w:spacing w:after="0"/>
              <w:rPr>
                <w:sz w:val="17"/>
                <w:szCs w:val="17"/>
                <w:color w:val="auto"/>
              </w:rPr>
            </w:pPr>
          </w:p>
        </w:tc>
        <w:tc>
          <w:tcPr>
            <w:tcW w:w="6980" w:type="dxa"/>
            <w:vAlign w:val="bottom"/>
            <w:gridSpan w:val="10"/>
          </w:tcPr>
          <w:p>
            <w:pPr>
              <w:spacing w:after="0"/>
              <w:rPr>
                <w:sz w:val="17"/>
                <w:szCs w:val="17"/>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199"/>
        </w:trPr>
        <w:tc>
          <w:tcPr>
            <w:tcW w:w="20" w:type="dxa"/>
            <w:vAlign w:val="bottom"/>
          </w:tcPr>
          <w:p>
            <w:pPr>
              <w:spacing w:after="0"/>
              <w:rPr>
                <w:sz w:val="17"/>
                <w:szCs w:val="17"/>
                <w:color w:val="auto"/>
              </w:rPr>
            </w:pPr>
          </w:p>
        </w:tc>
        <w:tc>
          <w:tcPr>
            <w:tcW w:w="9220" w:type="dxa"/>
            <w:vAlign w:val="bottom"/>
            <w:gridSpan w:val="18"/>
          </w:tcPr>
          <w:p>
            <w:pPr>
              <w:spacing w:after="0"/>
              <w:rPr>
                <w:sz w:val="20"/>
                <w:szCs w:val="20"/>
                <w:color w:val="auto"/>
              </w:rPr>
            </w:pPr>
            <w:r>
              <w:rPr>
                <w:rFonts w:ascii="Times New Roman" w:cs="Times New Roman" w:eastAsia="Times New Roman" w:hAnsi="Times New Roman"/>
                <w:sz w:val="17"/>
                <w:szCs w:val="17"/>
                <w:b w:val="1"/>
                <w:bCs w:val="1"/>
                <w:color w:val="0000FF"/>
              </w:rPr>
              <w:t>SIGNATURES</w:t>
            </w: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INSTALLED BUILDING PRODUCTS,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CONDENSED CONSOLIDATED BALANCE SHEETS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millions, except share and per share amounts)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53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March 31,</w:t>
            </w:r>
          </w:p>
        </w:tc>
        <w:tc>
          <w:tcPr>
            <w:tcW w:w="180" w:type="dxa"/>
            <w:vAlign w:val="bottom"/>
          </w:tcPr>
          <w:p>
            <w:pPr>
              <w:spacing w:after="0"/>
              <w:rPr>
                <w:sz w:val="17"/>
                <w:szCs w:val="17"/>
                <w:color w:val="auto"/>
              </w:rPr>
            </w:pPr>
          </w:p>
        </w:tc>
        <w:tc>
          <w:tcPr>
            <w:tcW w:w="126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December 31,</w:t>
            </w:r>
          </w:p>
        </w:tc>
        <w:tc>
          <w:tcPr>
            <w:tcW w:w="0" w:type="dxa"/>
            <w:vAlign w:val="bottom"/>
          </w:tcPr>
          <w:p>
            <w:pPr>
              <w:spacing w:after="0"/>
              <w:rPr>
                <w:sz w:val="1"/>
                <w:szCs w:val="1"/>
                <w:color w:val="auto"/>
              </w:rPr>
            </w:pPr>
          </w:p>
        </w:tc>
      </w:tr>
      <w:tr>
        <w:trPr>
          <w:trHeight w:val="199"/>
        </w:trPr>
        <w:tc>
          <w:tcPr>
            <w:tcW w:w="5300" w:type="dxa"/>
            <w:vAlign w:val="bottom"/>
            <w:tcBorders>
              <w:bottom w:val="single" w:sz="8" w:color="CCEEFF"/>
            </w:tcBorders>
          </w:tcPr>
          <w:p>
            <w:pPr>
              <w:spacing w:after="0"/>
              <w:rPr>
                <w:sz w:val="17"/>
                <w:szCs w:val="17"/>
                <w:color w:val="auto"/>
              </w:rPr>
            </w:pPr>
          </w:p>
        </w:tc>
        <w:tc>
          <w:tcPr>
            <w:tcW w:w="29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83"/>
              <w:spacing w:after="0"/>
              <w:rPr>
                <w:sz w:val="20"/>
                <w:szCs w:val="20"/>
                <w:color w:val="auto"/>
              </w:rPr>
            </w:pPr>
            <w:r>
              <w:rPr>
                <w:rFonts w:ascii="Times New Roman" w:cs="Times New Roman" w:eastAsia="Times New Roman" w:hAnsi="Times New Roman"/>
                <w:sz w:val="15"/>
                <w:szCs w:val="15"/>
                <w:color w:val="auto"/>
              </w:rPr>
              <w:t>2026</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83"/>
              <w:spacing w:after="0"/>
              <w:rPr>
                <w:sz w:val="20"/>
                <w:szCs w:val="20"/>
                <w:color w:val="auto"/>
              </w:rPr>
            </w:pPr>
            <w:r>
              <w:rPr>
                <w:rFonts w:ascii="Times New Roman" w:cs="Times New Roman" w:eastAsia="Times New Roman" w:hAnsi="Times New Roman"/>
                <w:sz w:val="15"/>
                <w:szCs w:val="15"/>
                <w:color w:val="auto"/>
              </w:rPr>
              <w:t>2025</w:t>
            </w:r>
          </w:p>
        </w:tc>
        <w:tc>
          <w:tcPr>
            <w:tcW w:w="0" w:type="dxa"/>
            <w:vAlign w:val="bottom"/>
          </w:tcPr>
          <w:p>
            <w:pPr>
              <w:spacing w:after="0"/>
              <w:rPr>
                <w:sz w:val="1"/>
                <w:szCs w:val="1"/>
                <w:color w:val="auto"/>
              </w:rPr>
            </w:pPr>
          </w:p>
        </w:tc>
      </w:tr>
      <w:tr>
        <w:trPr>
          <w:trHeight w:val="18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9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2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9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321.9</w:t>
            </w:r>
          </w:p>
        </w:tc>
        <w:tc>
          <w:tcPr>
            <w:tcW w:w="0" w:type="dxa"/>
            <w:vAlign w:val="bottom"/>
          </w:tcPr>
          <w:p>
            <w:pPr>
              <w:spacing w:after="0"/>
              <w:rPr>
                <w:sz w:val="1"/>
                <w:szCs w:val="1"/>
                <w:color w:val="auto"/>
              </w:rPr>
            </w:pPr>
          </w:p>
        </w:tc>
      </w:tr>
      <w:tr>
        <w:trPr>
          <w:trHeight w:val="156"/>
        </w:trPr>
        <w:tc>
          <w:tcPr>
            <w:tcW w:w="8240" w:type="dxa"/>
            <w:vAlign w:val="bottom"/>
            <w:gridSpan w:val="2"/>
          </w:tcPr>
          <w:p>
            <w:pPr>
              <w:ind w:left="200"/>
              <w:spacing w:after="0" w:line="156" w:lineRule="exact"/>
              <w:rPr>
                <w:sz w:val="20"/>
                <w:szCs w:val="20"/>
                <w:color w:val="auto"/>
              </w:rPr>
            </w:pPr>
            <w:r>
              <w:rPr>
                <w:rFonts w:ascii="Times New Roman" w:cs="Times New Roman" w:eastAsia="Times New Roman" w:hAnsi="Times New Roman"/>
                <w:sz w:val="15"/>
                <w:szCs w:val="15"/>
                <w:color w:val="auto"/>
              </w:rPr>
              <w:t>Accounts receivable (less allowance for credit losses of $14.6 and $13.9 at March 31, 2026 and December 31, 2025,</w:t>
            </w:r>
          </w:p>
        </w:tc>
        <w:tc>
          <w:tcPr>
            <w:tcW w:w="26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426.4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444.1</w:t>
            </w:r>
          </w:p>
        </w:tc>
        <w:tc>
          <w:tcPr>
            <w:tcW w:w="0" w:type="dxa"/>
            <w:vAlign w:val="bottom"/>
          </w:tcPr>
          <w:p>
            <w:pPr>
              <w:spacing w:after="0"/>
              <w:rPr>
                <w:sz w:val="1"/>
                <w:szCs w:val="1"/>
                <w:color w:val="auto"/>
              </w:rPr>
            </w:pPr>
          </w:p>
        </w:tc>
      </w:tr>
      <w:tr>
        <w:trPr>
          <w:trHeight w:val="203"/>
        </w:trPr>
        <w:tc>
          <w:tcPr>
            <w:tcW w:w="53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respectively)</w:t>
            </w:r>
          </w:p>
        </w:tc>
        <w:tc>
          <w:tcPr>
            <w:tcW w:w="2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Inventories</w:t>
            </w:r>
          </w:p>
        </w:tc>
        <w:tc>
          <w:tcPr>
            <w:tcW w:w="2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203.0</w:t>
            </w:r>
          </w:p>
        </w:tc>
        <w:tc>
          <w:tcPr>
            <w:tcW w:w="0" w:type="dxa"/>
            <w:vAlign w:val="bottom"/>
          </w:tcPr>
          <w:p>
            <w:pPr>
              <w:spacing w:after="0"/>
              <w:rPr>
                <w:sz w:val="1"/>
                <w:szCs w:val="1"/>
                <w:color w:val="auto"/>
              </w:rPr>
            </w:pPr>
          </w:p>
        </w:tc>
      </w:tr>
      <w:tr>
        <w:trPr>
          <w:trHeight w:val="203"/>
        </w:trPr>
        <w:tc>
          <w:tcPr>
            <w:tcW w:w="53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9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73.6</w:t>
            </w:r>
          </w:p>
        </w:tc>
        <w:tc>
          <w:tcPr>
            <w:tcW w:w="0" w:type="dxa"/>
            <w:vAlign w:val="bottom"/>
          </w:tcPr>
          <w:p>
            <w:pPr>
              <w:spacing w:after="0"/>
              <w:rPr>
                <w:sz w:val="1"/>
                <w:szCs w:val="1"/>
                <w:color w:val="auto"/>
              </w:rPr>
            </w:pPr>
          </w:p>
        </w:tc>
      </w:tr>
      <w:tr>
        <w:trPr>
          <w:trHeight w:val="202"/>
        </w:trPr>
        <w:tc>
          <w:tcPr>
            <w:tcW w:w="5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Total current assets</w:t>
            </w:r>
          </w:p>
        </w:tc>
        <w:tc>
          <w:tcPr>
            <w:tcW w:w="2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1,170.1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1,042.6</w:t>
            </w:r>
          </w:p>
        </w:tc>
        <w:tc>
          <w:tcPr>
            <w:tcW w:w="0" w:type="dxa"/>
            <w:vAlign w:val="bottom"/>
          </w:tcPr>
          <w:p>
            <w:pPr>
              <w:spacing w:after="0"/>
              <w:rPr>
                <w:sz w:val="1"/>
                <w:szCs w:val="1"/>
                <w:color w:val="auto"/>
              </w:rPr>
            </w:pPr>
          </w:p>
        </w:tc>
      </w:tr>
      <w:tr>
        <w:trPr>
          <w:trHeight w:val="203"/>
        </w:trPr>
        <w:tc>
          <w:tcPr>
            <w:tcW w:w="5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2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183.3</w:t>
            </w:r>
          </w:p>
        </w:tc>
        <w:tc>
          <w:tcPr>
            <w:tcW w:w="0" w:type="dxa"/>
            <w:vAlign w:val="bottom"/>
          </w:tcPr>
          <w:p>
            <w:pPr>
              <w:spacing w:after="0"/>
              <w:rPr>
                <w:sz w:val="1"/>
                <w:szCs w:val="1"/>
                <w:color w:val="auto"/>
              </w:rPr>
            </w:pPr>
          </w:p>
        </w:tc>
      </w:tr>
      <w:tr>
        <w:trPr>
          <w:trHeight w:val="20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2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98.7</w:t>
            </w:r>
          </w:p>
        </w:tc>
        <w:tc>
          <w:tcPr>
            <w:tcW w:w="0" w:type="dxa"/>
            <w:vAlign w:val="bottom"/>
          </w:tcPr>
          <w:p>
            <w:pPr>
              <w:spacing w:after="0"/>
              <w:rPr>
                <w:sz w:val="1"/>
                <w:szCs w:val="1"/>
                <w:color w:val="auto"/>
              </w:rPr>
            </w:pPr>
          </w:p>
        </w:tc>
      </w:tr>
      <w:tr>
        <w:trPr>
          <w:trHeight w:val="203"/>
        </w:trPr>
        <w:tc>
          <w:tcPr>
            <w:tcW w:w="5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2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460.8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450.4</w:t>
            </w:r>
          </w:p>
        </w:tc>
        <w:tc>
          <w:tcPr>
            <w:tcW w:w="0" w:type="dxa"/>
            <w:vAlign w:val="bottom"/>
          </w:tcPr>
          <w:p>
            <w:pPr>
              <w:spacing w:after="0"/>
              <w:rPr>
                <w:sz w:val="1"/>
                <w:szCs w:val="1"/>
                <w:color w:val="auto"/>
              </w:rPr>
            </w:pPr>
          </w:p>
        </w:tc>
      </w:tr>
      <w:tr>
        <w:trPr>
          <w:trHeight w:val="20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Customer relationships, net</w:t>
            </w:r>
          </w:p>
        </w:tc>
        <w:tc>
          <w:tcPr>
            <w:tcW w:w="2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172.2</w:t>
            </w:r>
          </w:p>
        </w:tc>
        <w:tc>
          <w:tcPr>
            <w:tcW w:w="0" w:type="dxa"/>
            <w:vAlign w:val="bottom"/>
          </w:tcPr>
          <w:p>
            <w:pPr>
              <w:spacing w:after="0"/>
              <w:rPr>
                <w:sz w:val="1"/>
                <w:szCs w:val="1"/>
                <w:color w:val="auto"/>
              </w:rPr>
            </w:pPr>
          </w:p>
        </w:tc>
      </w:tr>
      <w:tr>
        <w:trPr>
          <w:trHeight w:val="203"/>
        </w:trPr>
        <w:tc>
          <w:tcPr>
            <w:tcW w:w="5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intangibles, net</w:t>
            </w:r>
          </w:p>
        </w:tc>
        <w:tc>
          <w:tcPr>
            <w:tcW w:w="2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89.3</w:t>
            </w:r>
          </w:p>
        </w:tc>
        <w:tc>
          <w:tcPr>
            <w:tcW w:w="0" w:type="dxa"/>
            <w:vAlign w:val="bottom"/>
          </w:tcPr>
          <w:p>
            <w:pPr>
              <w:spacing w:after="0"/>
              <w:rPr>
                <w:sz w:val="1"/>
                <w:szCs w:val="1"/>
                <w:color w:val="auto"/>
              </w:rPr>
            </w:pPr>
          </w:p>
        </w:tc>
      </w:tr>
      <w:tr>
        <w:trPr>
          <w:trHeight w:val="20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non-current assets</w:t>
            </w:r>
          </w:p>
        </w:tc>
        <w:tc>
          <w:tcPr>
            <w:tcW w:w="29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31.5</w:t>
            </w:r>
          </w:p>
        </w:tc>
        <w:tc>
          <w:tcPr>
            <w:tcW w:w="0" w:type="dxa"/>
            <w:vAlign w:val="bottom"/>
          </w:tcPr>
          <w:p>
            <w:pPr>
              <w:spacing w:after="0"/>
              <w:rPr>
                <w:sz w:val="1"/>
                <w:szCs w:val="1"/>
                <w:color w:val="auto"/>
              </w:rPr>
            </w:pPr>
          </w:p>
        </w:tc>
      </w:tr>
      <w:tr>
        <w:trPr>
          <w:trHeight w:val="196"/>
        </w:trPr>
        <w:tc>
          <w:tcPr>
            <w:tcW w:w="530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Total assets</w:t>
            </w:r>
          </w:p>
        </w:tc>
        <w:tc>
          <w:tcPr>
            <w:tcW w:w="2940" w:type="dxa"/>
            <w:vAlign w:val="bottom"/>
          </w:tcPr>
          <w:p>
            <w:pPr>
              <w:spacing w:after="0"/>
              <w:rPr>
                <w:sz w:val="17"/>
                <w:szCs w:val="17"/>
                <w:color w:val="auto"/>
              </w:rPr>
            </w:pPr>
          </w:p>
        </w:tc>
        <w:tc>
          <w:tcPr>
            <w:tcW w:w="2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2,229.8</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2,068.0</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29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2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Current maturities of long-term debt</w:t>
            </w:r>
          </w:p>
        </w:tc>
        <w:tc>
          <w:tcPr>
            <w:tcW w:w="29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36.6</w:t>
            </w:r>
          </w:p>
        </w:tc>
        <w:tc>
          <w:tcPr>
            <w:tcW w:w="0" w:type="dxa"/>
            <w:vAlign w:val="bottom"/>
          </w:tcPr>
          <w:p>
            <w:pPr>
              <w:spacing w:after="0"/>
              <w:rPr>
                <w:sz w:val="1"/>
                <w:szCs w:val="1"/>
                <w:color w:val="auto"/>
              </w:rPr>
            </w:pPr>
          </w:p>
        </w:tc>
      </w:tr>
      <w:tr>
        <w:trPr>
          <w:trHeight w:val="203"/>
        </w:trPr>
        <w:tc>
          <w:tcPr>
            <w:tcW w:w="5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Current maturities of operating lease obligations</w:t>
            </w:r>
          </w:p>
        </w:tc>
        <w:tc>
          <w:tcPr>
            <w:tcW w:w="2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37.0</w:t>
            </w:r>
          </w:p>
        </w:tc>
        <w:tc>
          <w:tcPr>
            <w:tcW w:w="0" w:type="dxa"/>
            <w:vAlign w:val="bottom"/>
          </w:tcPr>
          <w:p>
            <w:pPr>
              <w:spacing w:after="0"/>
              <w:rPr>
                <w:sz w:val="1"/>
                <w:szCs w:val="1"/>
                <w:color w:val="auto"/>
              </w:rPr>
            </w:pPr>
          </w:p>
        </w:tc>
      </w:tr>
      <w:tr>
        <w:trPr>
          <w:trHeight w:val="209"/>
        </w:trPr>
        <w:tc>
          <w:tcPr>
            <w:tcW w:w="5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Current maturities of finance lease obligations</w:t>
            </w:r>
          </w:p>
        </w:tc>
        <w:tc>
          <w:tcPr>
            <w:tcW w:w="2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2.7</w:t>
            </w:r>
          </w:p>
        </w:tc>
        <w:tc>
          <w:tcPr>
            <w:tcW w:w="0" w:type="dxa"/>
            <w:vAlign w:val="bottom"/>
          </w:tcPr>
          <w:p>
            <w:pPr>
              <w:spacing w:after="0"/>
              <w:rPr>
                <w:sz w:val="1"/>
                <w:szCs w:val="1"/>
                <w:color w:val="auto"/>
              </w:rPr>
            </w:pPr>
          </w:p>
        </w:tc>
      </w:tr>
      <w:tr>
        <w:trPr>
          <w:trHeight w:val="203"/>
        </w:trPr>
        <w:tc>
          <w:tcPr>
            <w:tcW w:w="5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Accounts payable</w:t>
            </w:r>
          </w:p>
        </w:tc>
        <w:tc>
          <w:tcPr>
            <w:tcW w:w="2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119.0</w:t>
            </w:r>
          </w:p>
        </w:tc>
        <w:tc>
          <w:tcPr>
            <w:tcW w:w="0" w:type="dxa"/>
            <w:vAlign w:val="bottom"/>
          </w:tcPr>
          <w:p>
            <w:pPr>
              <w:spacing w:after="0"/>
              <w:rPr>
                <w:sz w:val="1"/>
                <w:szCs w:val="1"/>
                <w:color w:val="auto"/>
              </w:rPr>
            </w:pPr>
          </w:p>
        </w:tc>
      </w:tr>
      <w:tr>
        <w:trPr>
          <w:trHeight w:val="209"/>
        </w:trPr>
        <w:tc>
          <w:tcPr>
            <w:tcW w:w="5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Accrued compensation</w:t>
            </w:r>
          </w:p>
        </w:tc>
        <w:tc>
          <w:tcPr>
            <w:tcW w:w="2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69.5</w:t>
            </w:r>
          </w:p>
        </w:tc>
        <w:tc>
          <w:tcPr>
            <w:tcW w:w="0" w:type="dxa"/>
            <w:vAlign w:val="bottom"/>
          </w:tcPr>
          <w:p>
            <w:pPr>
              <w:spacing w:after="0"/>
              <w:rPr>
                <w:sz w:val="1"/>
                <w:szCs w:val="1"/>
                <w:color w:val="auto"/>
              </w:rPr>
            </w:pPr>
          </w:p>
        </w:tc>
      </w:tr>
      <w:tr>
        <w:trPr>
          <w:trHeight w:val="203"/>
        </w:trPr>
        <w:tc>
          <w:tcPr>
            <w:tcW w:w="53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29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92.6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79.4</w:t>
            </w:r>
          </w:p>
        </w:tc>
        <w:tc>
          <w:tcPr>
            <w:tcW w:w="0" w:type="dxa"/>
            <w:vAlign w:val="bottom"/>
          </w:tcPr>
          <w:p>
            <w:pPr>
              <w:spacing w:after="0"/>
              <w:rPr>
                <w:sz w:val="1"/>
                <w:szCs w:val="1"/>
                <w:color w:val="auto"/>
              </w:rPr>
            </w:pPr>
          </w:p>
        </w:tc>
      </w:tr>
      <w:tr>
        <w:trPr>
          <w:trHeight w:val="202"/>
        </w:trPr>
        <w:tc>
          <w:tcPr>
            <w:tcW w:w="5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349.8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344.2</w:t>
            </w:r>
          </w:p>
        </w:tc>
        <w:tc>
          <w:tcPr>
            <w:tcW w:w="0" w:type="dxa"/>
            <w:vAlign w:val="bottom"/>
          </w:tcPr>
          <w:p>
            <w:pPr>
              <w:spacing w:after="0"/>
              <w:rPr>
                <w:sz w:val="1"/>
                <w:szCs w:val="1"/>
                <w:color w:val="auto"/>
              </w:rPr>
            </w:pPr>
          </w:p>
        </w:tc>
      </w:tr>
      <w:tr>
        <w:trPr>
          <w:trHeight w:val="203"/>
        </w:trPr>
        <w:tc>
          <w:tcPr>
            <w:tcW w:w="5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Long-term debt</w:t>
            </w:r>
          </w:p>
        </w:tc>
        <w:tc>
          <w:tcPr>
            <w:tcW w:w="2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1,035.4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850.0</w:t>
            </w:r>
          </w:p>
        </w:tc>
        <w:tc>
          <w:tcPr>
            <w:tcW w:w="0" w:type="dxa"/>
            <w:vAlign w:val="bottom"/>
          </w:tcPr>
          <w:p>
            <w:pPr>
              <w:spacing w:after="0"/>
              <w:rPr>
                <w:sz w:val="1"/>
                <w:szCs w:val="1"/>
                <w:color w:val="auto"/>
              </w:rPr>
            </w:pPr>
          </w:p>
        </w:tc>
      </w:tr>
      <w:tr>
        <w:trPr>
          <w:trHeight w:val="20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 obligations</w:t>
            </w:r>
          </w:p>
        </w:tc>
        <w:tc>
          <w:tcPr>
            <w:tcW w:w="2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61.4</w:t>
            </w:r>
          </w:p>
        </w:tc>
        <w:tc>
          <w:tcPr>
            <w:tcW w:w="0" w:type="dxa"/>
            <w:vAlign w:val="bottom"/>
          </w:tcPr>
          <w:p>
            <w:pPr>
              <w:spacing w:after="0"/>
              <w:rPr>
                <w:sz w:val="1"/>
                <w:szCs w:val="1"/>
                <w:color w:val="auto"/>
              </w:rPr>
            </w:pPr>
          </w:p>
        </w:tc>
      </w:tr>
      <w:tr>
        <w:trPr>
          <w:trHeight w:val="203"/>
        </w:trPr>
        <w:tc>
          <w:tcPr>
            <w:tcW w:w="5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Finance lease obligations</w:t>
            </w:r>
          </w:p>
        </w:tc>
        <w:tc>
          <w:tcPr>
            <w:tcW w:w="2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4.0</w:t>
            </w:r>
          </w:p>
        </w:tc>
        <w:tc>
          <w:tcPr>
            <w:tcW w:w="0" w:type="dxa"/>
            <w:vAlign w:val="bottom"/>
          </w:tcPr>
          <w:p>
            <w:pPr>
              <w:spacing w:after="0"/>
              <w:rPr>
                <w:sz w:val="1"/>
                <w:szCs w:val="1"/>
                <w:color w:val="auto"/>
              </w:rPr>
            </w:pPr>
          </w:p>
        </w:tc>
      </w:tr>
      <w:tr>
        <w:trPr>
          <w:trHeight w:val="20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Deferred income taxes</w:t>
            </w:r>
          </w:p>
        </w:tc>
        <w:tc>
          <w:tcPr>
            <w:tcW w:w="2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24.7</w:t>
            </w:r>
          </w:p>
        </w:tc>
        <w:tc>
          <w:tcPr>
            <w:tcW w:w="0" w:type="dxa"/>
            <w:vAlign w:val="bottom"/>
          </w:tcPr>
          <w:p>
            <w:pPr>
              <w:spacing w:after="0"/>
              <w:rPr>
                <w:sz w:val="1"/>
                <w:szCs w:val="1"/>
                <w:color w:val="auto"/>
              </w:rPr>
            </w:pPr>
          </w:p>
        </w:tc>
      </w:tr>
      <w:tr>
        <w:trPr>
          <w:trHeight w:val="203"/>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29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73.8</w:t>
            </w:r>
          </w:p>
        </w:tc>
        <w:tc>
          <w:tcPr>
            <w:tcW w:w="0" w:type="dxa"/>
            <w:vAlign w:val="bottom"/>
          </w:tcPr>
          <w:p>
            <w:pPr>
              <w:spacing w:after="0"/>
              <w:rPr>
                <w:sz w:val="1"/>
                <w:szCs w:val="1"/>
                <w:color w:val="auto"/>
              </w:rPr>
            </w:pPr>
          </w:p>
        </w:tc>
      </w:tr>
      <w:tr>
        <w:trPr>
          <w:trHeight w:val="202"/>
        </w:trPr>
        <w:tc>
          <w:tcPr>
            <w:tcW w:w="5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Total liabilities</w:t>
            </w:r>
          </w:p>
        </w:tc>
        <w:tc>
          <w:tcPr>
            <w:tcW w:w="2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1,562.3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1,358.1</w:t>
            </w:r>
          </w:p>
        </w:tc>
        <w:tc>
          <w:tcPr>
            <w:tcW w:w="0" w:type="dxa"/>
            <w:vAlign w:val="bottom"/>
          </w:tcPr>
          <w:p>
            <w:pPr>
              <w:spacing w:after="0"/>
              <w:rPr>
                <w:sz w:val="1"/>
                <w:szCs w:val="1"/>
                <w:color w:val="auto"/>
              </w:rPr>
            </w:pPr>
          </w:p>
        </w:tc>
      </w:tr>
      <w:tr>
        <w:trPr>
          <w:trHeight w:val="203"/>
        </w:trPr>
        <w:tc>
          <w:tcPr>
            <w:tcW w:w="5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 (Note 16)</w:t>
            </w:r>
          </w:p>
        </w:tc>
        <w:tc>
          <w:tcPr>
            <w:tcW w:w="2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Stockholders’ equity</w:t>
            </w:r>
          </w:p>
        </w:tc>
        <w:tc>
          <w:tcPr>
            <w:tcW w:w="2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8240" w:type="dxa"/>
            <w:vAlign w:val="bottom"/>
            <w:gridSpan w:val="2"/>
          </w:tcPr>
          <w:p>
            <w:pPr>
              <w:ind w:left="200"/>
              <w:spacing w:after="0" w:line="156" w:lineRule="exact"/>
              <w:rPr>
                <w:sz w:val="20"/>
                <w:szCs w:val="20"/>
                <w:color w:val="auto"/>
              </w:rPr>
            </w:pPr>
            <w:r>
              <w:rPr>
                <w:rFonts w:ascii="Times New Roman" w:cs="Times New Roman" w:eastAsia="Times New Roman" w:hAnsi="Times New Roman"/>
                <w:sz w:val="15"/>
                <w:szCs w:val="15"/>
                <w:color w:val="auto"/>
              </w:rPr>
              <w:t>Preferred stock; $0.01 par value: 5,000,000 authorized and 0 shares issued and outstanding at March 31, 2026 and December 31,</w:t>
            </w:r>
          </w:p>
        </w:tc>
        <w:tc>
          <w:tcPr>
            <w:tcW w:w="260" w:type="dxa"/>
            <w:vAlign w:val="bottom"/>
          </w:tcPr>
          <w:p>
            <w:pPr>
              <w:spacing w:after="0"/>
              <w:rPr>
                <w:sz w:val="13"/>
                <w:szCs w:val="13"/>
                <w:color w:val="auto"/>
              </w:rPr>
            </w:pP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3"/>
                <w:szCs w:val="13"/>
                <w:color w:val="auto"/>
              </w:rPr>
            </w:pPr>
          </w:p>
        </w:tc>
        <w:tc>
          <w:tcPr>
            <w:tcW w:w="126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53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2025, respectively</w:t>
            </w:r>
          </w:p>
        </w:tc>
        <w:tc>
          <w:tcPr>
            <w:tcW w:w="2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8240" w:type="dxa"/>
            <w:vAlign w:val="bottom"/>
            <w:gridSpan w:val="2"/>
            <w:shd w:val="clear" w:color="auto" w:fill="CCEEFF"/>
          </w:tcPr>
          <w:p>
            <w:pPr>
              <w:ind w:left="200"/>
              <w:spacing w:after="0" w:line="159" w:lineRule="exact"/>
              <w:rPr>
                <w:sz w:val="20"/>
                <w:szCs w:val="20"/>
                <w:color w:val="auto"/>
              </w:rPr>
            </w:pPr>
            <w:r>
              <w:rPr>
                <w:rFonts w:ascii="Times New Roman" w:cs="Times New Roman" w:eastAsia="Times New Roman" w:hAnsi="Times New Roman"/>
                <w:sz w:val="15"/>
                <w:szCs w:val="15"/>
                <w:color w:val="auto"/>
              </w:rPr>
              <w:t>Common stock; $0.01 par value: 100,000,000 authorized, 33,891,774 and 33,837,379 issued and 26,938,128 and 26,975,227</w:t>
            </w:r>
          </w:p>
        </w:tc>
        <w:tc>
          <w:tcPr>
            <w:tcW w:w="26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0.3</w:t>
            </w:r>
          </w:p>
        </w:tc>
        <w:tc>
          <w:tcPr>
            <w:tcW w:w="0" w:type="dxa"/>
            <w:vAlign w:val="bottom"/>
          </w:tcPr>
          <w:p>
            <w:pPr>
              <w:spacing w:after="0"/>
              <w:rPr>
                <w:sz w:val="1"/>
                <w:szCs w:val="1"/>
                <w:color w:val="auto"/>
              </w:rPr>
            </w:pPr>
          </w:p>
        </w:tc>
      </w:tr>
      <w:tr>
        <w:trPr>
          <w:trHeight w:val="205"/>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shares outstanding at March 31, 2026 and December 31, 2025, respectively</w:t>
            </w:r>
          </w:p>
        </w:tc>
        <w:tc>
          <w:tcPr>
            <w:tcW w:w="2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Additional paid in capital</w:t>
            </w:r>
          </w:p>
        </w:tc>
        <w:tc>
          <w:tcPr>
            <w:tcW w:w="2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291.3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284.1</w:t>
            </w:r>
          </w:p>
        </w:tc>
        <w:tc>
          <w:tcPr>
            <w:tcW w:w="0" w:type="dxa"/>
            <w:vAlign w:val="bottom"/>
          </w:tcPr>
          <w:p>
            <w:pPr>
              <w:spacing w:after="0"/>
              <w:rPr>
                <w:sz w:val="1"/>
                <w:szCs w:val="1"/>
                <w:color w:val="auto"/>
              </w:rPr>
            </w:pPr>
          </w:p>
        </w:tc>
      </w:tr>
      <w:tr>
        <w:trPr>
          <w:trHeight w:val="209"/>
        </w:trPr>
        <w:tc>
          <w:tcPr>
            <w:tcW w:w="5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Retained earnings</w:t>
            </w:r>
          </w:p>
        </w:tc>
        <w:tc>
          <w:tcPr>
            <w:tcW w:w="2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1,043.4</w:t>
            </w:r>
          </w:p>
        </w:tc>
        <w:tc>
          <w:tcPr>
            <w:tcW w:w="0" w:type="dxa"/>
            <w:vAlign w:val="bottom"/>
          </w:tcPr>
          <w:p>
            <w:pPr>
              <w:spacing w:after="0"/>
              <w:rPr>
                <w:sz w:val="1"/>
                <w:szCs w:val="1"/>
                <w:color w:val="auto"/>
              </w:rPr>
            </w:pPr>
          </w:p>
        </w:tc>
      </w:tr>
      <w:tr>
        <w:trPr>
          <w:trHeight w:val="203"/>
        </w:trPr>
        <w:tc>
          <w:tcPr>
            <w:tcW w:w="824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Treasury stock; at cost: 6,953,646 and 6,862,152 shares at March 31, 2026 and December 31, 2025, respectively</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(665.5)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(640.0)</w:t>
            </w:r>
          </w:p>
        </w:tc>
        <w:tc>
          <w:tcPr>
            <w:tcW w:w="0" w:type="dxa"/>
            <w:vAlign w:val="bottom"/>
          </w:tcPr>
          <w:p>
            <w:pPr>
              <w:spacing w:after="0"/>
              <w:rPr>
                <w:sz w:val="1"/>
                <w:szCs w:val="1"/>
                <w:color w:val="auto"/>
              </w:rPr>
            </w:pPr>
          </w:p>
        </w:tc>
      </w:tr>
      <w:tr>
        <w:trPr>
          <w:trHeight w:val="209"/>
        </w:trPr>
        <w:tc>
          <w:tcPr>
            <w:tcW w:w="5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Accumulated other comprehensive income</w:t>
            </w:r>
          </w:p>
        </w:tc>
        <w:tc>
          <w:tcPr>
            <w:tcW w:w="29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22.1</w:t>
            </w:r>
          </w:p>
        </w:tc>
        <w:tc>
          <w:tcPr>
            <w:tcW w:w="0" w:type="dxa"/>
            <w:vAlign w:val="bottom"/>
          </w:tcPr>
          <w:p>
            <w:pPr>
              <w:spacing w:after="0"/>
              <w:rPr>
                <w:sz w:val="1"/>
                <w:szCs w:val="1"/>
                <w:color w:val="auto"/>
              </w:rPr>
            </w:pPr>
          </w:p>
        </w:tc>
      </w:tr>
      <w:tr>
        <w:trPr>
          <w:trHeight w:val="196"/>
        </w:trPr>
        <w:tc>
          <w:tcPr>
            <w:tcW w:w="530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Total stockholders’ equity</w:t>
            </w:r>
          </w:p>
        </w:tc>
        <w:tc>
          <w:tcPr>
            <w:tcW w:w="29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667.5</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709.9</w:t>
            </w:r>
          </w:p>
        </w:tc>
        <w:tc>
          <w:tcPr>
            <w:tcW w:w="0" w:type="dxa"/>
            <w:vAlign w:val="bottom"/>
          </w:tcPr>
          <w:p>
            <w:pPr>
              <w:spacing w:after="0"/>
              <w:rPr>
                <w:sz w:val="1"/>
                <w:szCs w:val="1"/>
                <w:color w:val="auto"/>
              </w:rPr>
            </w:pPr>
          </w:p>
        </w:tc>
      </w:tr>
      <w:tr>
        <w:trPr>
          <w:trHeight w:val="234"/>
        </w:trPr>
        <w:tc>
          <w:tcPr>
            <w:tcW w:w="530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Total liabilities and stockholders’ equity</w:t>
            </w:r>
          </w:p>
        </w:tc>
        <w:tc>
          <w:tcPr>
            <w:tcW w:w="2940" w:type="dxa"/>
            <w:vAlign w:val="bottom"/>
            <w:vMerge w:val="restart"/>
          </w:tcPr>
          <w:p>
            <w:pPr>
              <w:jc w:val="right"/>
              <w:ind w:right="2514"/>
              <w:spacing w:after="0"/>
              <w:rPr>
                <w:sz w:val="20"/>
                <w:szCs w:val="20"/>
                <w:color w:val="auto"/>
              </w:rPr>
            </w:pPr>
            <w:r>
              <w:rPr>
                <w:rFonts w:ascii="Times New Roman" w:cs="Times New Roman" w:eastAsia="Times New Roman" w:hAnsi="Times New Roman"/>
                <w:sz w:val="17"/>
                <w:szCs w:val="17"/>
                <w:color w:val="auto"/>
              </w:rPr>
              <w:t>1</w:t>
            </w:r>
          </w:p>
        </w:tc>
        <w:tc>
          <w:tcPr>
            <w:tcW w:w="2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2,229.8</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2,068.0</w:t>
            </w:r>
          </w:p>
        </w:tc>
        <w:tc>
          <w:tcPr>
            <w:tcW w:w="0" w:type="dxa"/>
            <w:vAlign w:val="bottom"/>
          </w:tcPr>
          <w:p>
            <w:pPr>
              <w:spacing w:after="0"/>
              <w:rPr>
                <w:sz w:val="1"/>
                <w:szCs w:val="1"/>
                <w:color w:val="auto"/>
              </w:rPr>
            </w:pPr>
          </w:p>
        </w:tc>
      </w:tr>
      <w:tr>
        <w:trPr>
          <w:trHeight w:val="65"/>
        </w:trPr>
        <w:tc>
          <w:tcPr>
            <w:tcW w:w="5300" w:type="dxa"/>
            <w:vAlign w:val="bottom"/>
          </w:tcPr>
          <w:p>
            <w:pPr>
              <w:spacing w:after="0"/>
              <w:rPr>
                <w:sz w:val="5"/>
                <w:szCs w:val="5"/>
                <w:color w:val="auto"/>
              </w:rPr>
            </w:pPr>
          </w:p>
        </w:tc>
        <w:tc>
          <w:tcPr>
            <w:tcW w:w="29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-212725</wp:posOffset>
            </wp:positionV>
            <wp:extent cx="7122160" cy="155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2160" cy="15557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INSTALLED BUILDING PRODUCTS, INC.</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CONDENSED CONSOLIDATED STATEMENTS OF OPERATIONS AND COMPREHENSIVE INCOME (UNAUDITED)</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(in millions, except share and per share amounts)</w:t>
      </w: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78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jc w:val="right"/>
              <w:ind w:right="494"/>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0" w:type="dxa"/>
            <w:vAlign w:val="bottom"/>
          </w:tcPr>
          <w:p>
            <w:pPr>
              <w:spacing w:after="0"/>
              <w:rPr>
                <w:sz w:val="1"/>
                <w:szCs w:val="1"/>
                <w:color w:val="auto"/>
              </w:rPr>
            </w:pPr>
          </w:p>
        </w:tc>
      </w:tr>
      <w:tr>
        <w:trPr>
          <w:trHeight w:val="212"/>
        </w:trPr>
        <w:tc>
          <w:tcPr>
            <w:tcW w:w="78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color w:val="auto"/>
              </w:rPr>
              <w:t>2026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2025</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revenue</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684.8</w:t>
            </w:r>
          </w:p>
        </w:tc>
        <w:tc>
          <w:tcPr>
            <w:tcW w:w="0" w:type="dxa"/>
            <w:vAlign w:val="bottom"/>
          </w:tcPr>
          <w:p>
            <w:pPr>
              <w:spacing w:after="0"/>
              <w:rPr>
                <w:sz w:val="1"/>
                <w:szCs w:val="1"/>
                <w:color w:val="auto"/>
              </w:rPr>
            </w:pPr>
          </w:p>
        </w:tc>
      </w:tr>
      <w:tr>
        <w:trPr>
          <w:trHeight w:val="21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448.2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461.1</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Gross profit</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223.7</w:t>
            </w:r>
          </w:p>
        </w:tc>
        <w:tc>
          <w:tcPr>
            <w:tcW w:w="0" w:type="dxa"/>
            <w:vAlign w:val="bottom"/>
          </w:tcPr>
          <w:p>
            <w:pPr>
              <w:spacing w:after="0"/>
              <w:rPr>
                <w:sz w:val="1"/>
                <w:szCs w:val="1"/>
                <w:color w:val="auto"/>
              </w:rPr>
            </w:pPr>
          </w:p>
        </w:tc>
      </w:tr>
      <w:tr>
        <w:trPr>
          <w:trHeight w:val="219"/>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Selling</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0" w:type="dxa"/>
            <w:vAlign w:val="bottom"/>
          </w:tcPr>
          <w:p>
            <w:pPr>
              <w:spacing w:after="0"/>
              <w:rPr>
                <w:sz w:val="1"/>
                <w:szCs w:val="1"/>
                <w:color w:val="auto"/>
              </w:rPr>
            </w:pPr>
          </w:p>
        </w:tc>
      </w:tr>
      <w:tr>
        <w:trPr>
          <w:trHeight w:val="219"/>
        </w:trPr>
        <w:tc>
          <w:tcPr>
            <w:tcW w:w="7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Administrative</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108.4</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212"/>
        </w:trPr>
        <w:tc>
          <w:tcPr>
            <w:tcW w:w="78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Operating income</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69.8</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expense, net</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expense, net</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expense</w:t>
            </w: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12"/>
        </w:trPr>
        <w:tc>
          <w:tcPr>
            <w:tcW w:w="78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61.3</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provision</w:t>
            </w: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0" w:type="dxa"/>
            <w:vAlign w:val="bottom"/>
          </w:tcPr>
          <w:p>
            <w:pPr>
              <w:spacing w:after="0"/>
              <w:rPr>
                <w:sz w:val="1"/>
                <w:szCs w:val="1"/>
                <w:color w:val="auto"/>
              </w:rPr>
            </w:pPr>
          </w:p>
        </w:tc>
      </w:tr>
      <w:tr>
        <w:trPr>
          <w:trHeight w:val="212"/>
        </w:trPr>
        <w:tc>
          <w:tcPr>
            <w:tcW w:w="784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45.4</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84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Other comprehensive income (loss), net of tax:</w:t>
            </w:r>
          </w:p>
        </w:tc>
        <w:tc>
          <w:tcPr>
            <w:tcW w:w="3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7840" w:type="dxa"/>
            <w:vAlign w:val="bottom"/>
          </w:tcPr>
          <w:p>
            <w:pPr>
              <w:ind w:left="220"/>
              <w:spacing w:after="0" w:line="167" w:lineRule="exact"/>
              <w:rPr>
                <w:sz w:val="20"/>
                <w:szCs w:val="20"/>
                <w:color w:val="auto"/>
              </w:rPr>
            </w:pPr>
            <w:r>
              <w:rPr>
                <w:rFonts w:ascii="Times New Roman" w:cs="Times New Roman" w:eastAsia="Times New Roman" w:hAnsi="Times New Roman"/>
                <w:sz w:val="17"/>
                <w:szCs w:val="17"/>
                <w:color w:val="auto"/>
              </w:rPr>
              <w:t>Net change on cash flow hedges, net of tax (provision) benefit of $(0.1) and $1.8 for the three months ended</w:t>
            </w: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78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March 31, 2026 and 2025, respectively.</w:t>
            </w: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212"/>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0" w:type="dxa"/>
            <w:vAlign w:val="bottom"/>
          </w:tcPr>
          <w:p>
            <w:pPr>
              <w:spacing w:after="0"/>
              <w:rPr>
                <w:sz w:val="1"/>
                <w:szCs w:val="1"/>
                <w:color w:val="auto"/>
              </w:rPr>
            </w:pPr>
          </w:p>
        </w:tc>
      </w:tr>
      <w:tr>
        <w:trPr>
          <w:trHeight w:val="20"/>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Earnings per share:</w:t>
            </w: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8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0" w:type="dxa"/>
            <w:vAlign w:val="bottom"/>
          </w:tcPr>
          <w:p>
            <w:pPr>
              <w:spacing w:after="0"/>
              <w:rPr>
                <w:sz w:val="1"/>
                <w:szCs w:val="1"/>
                <w:color w:val="auto"/>
              </w:rPr>
            </w:pPr>
          </w:p>
        </w:tc>
      </w:tr>
      <w:tr>
        <w:trPr>
          <w:trHeight w:val="219"/>
        </w:trPr>
        <w:tc>
          <w:tcPr>
            <w:tcW w:w="7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26,798,598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27,517,419</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26,965,335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27,695,912</w:t>
            </w:r>
          </w:p>
        </w:tc>
        <w:tc>
          <w:tcPr>
            <w:tcW w:w="0" w:type="dxa"/>
            <w:vAlign w:val="bottom"/>
          </w:tcPr>
          <w:p>
            <w:pPr>
              <w:spacing w:after="0"/>
              <w:rPr>
                <w:sz w:val="1"/>
                <w:szCs w:val="1"/>
                <w:color w:val="auto"/>
              </w:rPr>
            </w:pPr>
          </w:p>
        </w:tc>
      </w:tr>
      <w:tr>
        <w:trPr>
          <w:trHeight w:val="258"/>
        </w:trPr>
        <w:tc>
          <w:tcPr>
            <w:tcW w:w="7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dividends declared per share</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78"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INSTALLED BUILDING PRODUCTS, INC.</w:t>
      </w:r>
    </w:p>
    <w:p>
      <w:pPr>
        <w:spacing w:after="0" w:line="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CONDENSED CONSOLIDATED STATEMENTS OF STOCKHOLDERS’ EQUITY (UNAUDITED)</w:t>
      </w:r>
    </w:p>
    <w:p>
      <w:pPr>
        <w:spacing w:after="0" w:line="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FOR THE THREE MONTHS ENDED MARCH 31, 2025 AND MARCH 31, 2026</w:t>
      </w:r>
    </w:p>
    <w:p>
      <w:pPr>
        <w:spacing w:after="0" w:line="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(in millions, except share and per share amounts)</w:t>
      </w:r>
    </w:p>
    <w:p>
      <w:pPr>
        <w:spacing w:after="0" w:line="371"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2380" w:type="dxa"/>
            <w:vAlign w:val="bottom"/>
          </w:tcPr>
          <w:p>
            <w:pPr>
              <w:spacing w:after="0"/>
              <w:rPr>
                <w:sz w:val="15"/>
                <w:szCs w:val="15"/>
                <w:color w:val="auto"/>
              </w:rPr>
            </w:pPr>
          </w:p>
        </w:tc>
        <w:tc>
          <w:tcPr>
            <w:tcW w:w="1860" w:type="dxa"/>
            <w:vAlign w:val="bottom"/>
            <w:gridSpan w:val="4"/>
            <w:vMerge w:val="restart"/>
          </w:tcPr>
          <w:p>
            <w:pPr>
              <w:jc w:val="right"/>
              <w:ind w:right="363"/>
              <w:spacing w:after="0"/>
              <w:rPr>
                <w:sz w:val="20"/>
                <w:szCs w:val="20"/>
                <w:color w:val="auto"/>
              </w:rPr>
            </w:pPr>
            <w:r>
              <w:rPr>
                <w:rFonts w:ascii="Times New Roman" w:cs="Times New Roman" w:eastAsia="Times New Roman" w:hAnsi="Times New Roman"/>
                <w:sz w:val="15"/>
                <w:szCs w:val="15"/>
                <w:color w:val="auto"/>
              </w:rPr>
              <w:t>Common Stock</w:t>
            </w:r>
          </w:p>
        </w:tc>
        <w:tc>
          <w:tcPr>
            <w:tcW w:w="8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Additional</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gridSpan w:val="4"/>
            <w:vMerge w:val="restart"/>
          </w:tcPr>
          <w:p>
            <w:pPr>
              <w:jc w:val="right"/>
              <w:ind w:right="463"/>
              <w:spacing w:after="0"/>
              <w:rPr>
                <w:sz w:val="20"/>
                <w:szCs w:val="20"/>
                <w:color w:val="auto"/>
              </w:rPr>
            </w:pPr>
            <w:r>
              <w:rPr>
                <w:rFonts w:ascii="Times New Roman" w:cs="Times New Roman" w:eastAsia="Times New Roman" w:hAnsi="Times New Roman"/>
                <w:sz w:val="15"/>
                <w:szCs w:val="15"/>
                <w:color w:val="auto"/>
              </w:rPr>
              <w:t>Treasury Stock</w:t>
            </w:r>
          </w:p>
        </w:tc>
        <w:tc>
          <w:tcPr>
            <w:tcW w:w="100" w:type="dxa"/>
            <w:vAlign w:val="bottom"/>
            <w:vMerge w:val="restart"/>
          </w:tcPr>
          <w:p>
            <w:pPr>
              <w:spacing w:after="0"/>
              <w:rPr>
                <w:sz w:val="15"/>
                <w:szCs w:val="15"/>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color w:val="auto"/>
              </w:rPr>
              <w:t>Accumulated Other</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380" w:type="dxa"/>
            <w:vAlign w:val="bottom"/>
          </w:tcPr>
          <w:p>
            <w:pPr>
              <w:spacing w:after="0"/>
              <w:rPr>
                <w:sz w:val="12"/>
                <w:szCs w:val="12"/>
                <w:color w:val="auto"/>
              </w:rPr>
            </w:pPr>
          </w:p>
        </w:tc>
        <w:tc>
          <w:tcPr>
            <w:tcW w:w="186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00"/>
              <w:spacing w:after="0" w:line="134" w:lineRule="exact"/>
              <w:rPr>
                <w:sz w:val="20"/>
                <w:szCs w:val="20"/>
                <w:color w:val="auto"/>
              </w:rPr>
            </w:pPr>
            <w:r>
              <w:rPr>
                <w:rFonts w:ascii="Times New Roman" w:cs="Times New Roman" w:eastAsia="Times New Roman" w:hAnsi="Times New Roman"/>
                <w:sz w:val="15"/>
                <w:szCs w:val="15"/>
                <w:color w:val="auto"/>
              </w:rPr>
              <w:t>Paid In</w:t>
            </w:r>
          </w:p>
        </w:tc>
        <w:tc>
          <w:tcPr>
            <w:tcW w:w="160" w:type="dxa"/>
            <w:vAlign w:val="bottom"/>
          </w:tcPr>
          <w:p>
            <w:pPr>
              <w:spacing w:after="0"/>
              <w:rPr>
                <w:sz w:val="12"/>
                <w:szCs w:val="12"/>
                <w:color w:val="auto"/>
              </w:rPr>
            </w:pPr>
          </w:p>
        </w:tc>
        <w:tc>
          <w:tcPr>
            <w:tcW w:w="880" w:type="dxa"/>
            <w:vAlign w:val="bottom"/>
            <w:gridSpan w:val="2"/>
          </w:tcPr>
          <w:p>
            <w:pPr>
              <w:ind w:left="40"/>
              <w:spacing w:after="0" w:line="134" w:lineRule="exact"/>
              <w:rPr>
                <w:sz w:val="20"/>
                <w:szCs w:val="20"/>
                <w:color w:val="auto"/>
              </w:rPr>
            </w:pPr>
            <w:r>
              <w:rPr>
                <w:rFonts w:ascii="Times New Roman" w:cs="Times New Roman" w:eastAsia="Times New Roman" w:hAnsi="Times New Roman"/>
                <w:sz w:val="15"/>
                <w:szCs w:val="15"/>
                <w:color w:val="auto"/>
              </w:rPr>
              <w:t>Retained</w:t>
            </w:r>
          </w:p>
        </w:tc>
        <w:tc>
          <w:tcPr>
            <w:tcW w:w="2020" w:type="dxa"/>
            <w:vAlign w:val="bottom"/>
            <w:tcBorders>
              <w:bottom w:val="single" w:sz="8" w:color="auto"/>
            </w:tcBorders>
            <w:gridSpan w:val="4"/>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5"/>
                <w:szCs w:val="15"/>
                <w:color w:val="auto"/>
              </w:rPr>
              <w:t>Comprehensive</w:t>
            </w:r>
          </w:p>
        </w:tc>
        <w:tc>
          <w:tcPr>
            <w:tcW w:w="140" w:type="dxa"/>
            <w:vAlign w:val="bottom"/>
          </w:tcPr>
          <w:p>
            <w:pPr>
              <w:spacing w:after="0"/>
              <w:rPr>
                <w:sz w:val="12"/>
                <w:szCs w:val="12"/>
                <w:color w:val="auto"/>
              </w:rPr>
            </w:pPr>
          </w:p>
        </w:tc>
        <w:tc>
          <w:tcPr>
            <w:tcW w:w="1080" w:type="dxa"/>
            <w:vAlign w:val="bottom"/>
          </w:tcPr>
          <w:p>
            <w:pPr>
              <w:jc w:val="center"/>
              <w:ind w:right="63"/>
              <w:spacing w:after="0" w:line="134" w:lineRule="exact"/>
              <w:rPr>
                <w:sz w:val="20"/>
                <w:szCs w:val="20"/>
                <w:color w:val="auto"/>
              </w:rPr>
            </w:pPr>
            <w:r>
              <w:rPr>
                <w:rFonts w:ascii="Times New Roman" w:cs="Times New Roman" w:eastAsia="Times New Roman" w:hAnsi="Times New Roman"/>
                <w:sz w:val="15"/>
                <w:szCs w:val="15"/>
                <w:color w:val="auto"/>
              </w:rPr>
              <w:t>Stockholders’</w:t>
            </w:r>
          </w:p>
        </w:tc>
        <w:tc>
          <w:tcPr>
            <w:tcW w:w="0" w:type="dxa"/>
            <w:vAlign w:val="bottom"/>
          </w:tcPr>
          <w:p>
            <w:pPr>
              <w:spacing w:after="0"/>
              <w:rPr>
                <w:sz w:val="1"/>
                <w:szCs w:val="1"/>
                <w:color w:val="auto"/>
              </w:rPr>
            </w:pPr>
          </w:p>
        </w:tc>
      </w:tr>
      <w:tr>
        <w:trPr>
          <w:trHeight w:val="196"/>
        </w:trPr>
        <w:tc>
          <w:tcPr>
            <w:tcW w:w="2380" w:type="dxa"/>
            <w:vAlign w:val="bottom"/>
          </w:tcPr>
          <w:p>
            <w:pPr>
              <w:spacing w:after="0"/>
              <w:rPr>
                <w:sz w:val="17"/>
                <w:szCs w:val="17"/>
                <w:color w:val="auto"/>
              </w:rPr>
            </w:pP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Shares</w:t>
            </w:r>
          </w:p>
        </w:tc>
        <w:tc>
          <w:tcPr>
            <w:tcW w:w="12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Amount</w:t>
            </w:r>
          </w:p>
        </w:tc>
        <w:tc>
          <w:tcPr>
            <w:tcW w:w="12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rPr>
              <w:t>Capital</w:t>
            </w:r>
          </w:p>
        </w:tc>
        <w:tc>
          <w:tcPr>
            <w:tcW w:w="16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Earnings</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Shares</w:t>
            </w:r>
          </w:p>
        </w:tc>
        <w:tc>
          <w:tcPr>
            <w:tcW w:w="16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Amount</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Income</w:t>
            </w:r>
          </w:p>
        </w:tc>
        <w:tc>
          <w:tcPr>
            <w:tcW w:w="140" w:type="dxa"/>
            <w:vAlign w:val="bottom"/>
          </w:tcPr>
          <w:p>
            <w:pPr>
              <w:spacing w:after="0"/>
              <w:rPr>
                <w:sz w:val="17"/>
                <w:szCs w:val="17"/>
                <w:color w:val="auto"/>
              </w:rPr>
            </w:pPr>
          </w:p>
        </w:tc>
        <w:tc>
          <w:tcPr>
            <w:tcW w:w="1080" w:type="dxa"/>
            <w:vAlign w:val="bottom"/>
          </w:tcPr>
          <w:p>
            <w:pPr>
              <w:jc w:val="center"/>
              <w:ind w:right="63"/>
              <w:spacing w:after="0"/>
              <w:rPr>
                <w:sz w:val="20"/>
                <w:szCs w:val="20"/>
                <w:color w:val="auto"/>
              </w:rPr>
            </w:pPr>
            <w:r>
              <w:rPr>
                <w:rFonts w:ascii="Times New Roman" w:cs="Times New Roman" w:eastAsia="Times New Roman" w:hAnsi="Times New Roman"/>
                <w:sz w:val="15"/>
                <w:szCs w:val="15"/>
                <w:color w:val="auto"/>
              </w:rPr>
              <w:t>Equity</w:t>
            </w:r>
          </w:p>
        </w:tc>
        <w:tc>
          <w:tcPr>
            <w:tcW w:w="0" w:type="dxa"/>
            <w:vAlign w:val="bottom"/>
          </w:tcPr>
          <w:p>
            <w:pPr>
              <w:spacing w:after="0"/>
              <w:rPr>
                <w:sz w:val="1"/>
                <w:szCs w:val="1"/>
                <w:color w:val="auto"/>
              </w:rPr>
            </w:pPr>
          </w:p>
        </w:tc>
      </w:tr>
      <w:tr>
        <w:trPr>
          <w:trHeight w:val="224"/>
        </w:trPr>
        <w:tc>
          <w:tcPr>
            <w:tcW w:w="2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 January 1, 2025</w:t>
            </w:r>
          </w:p>
        </w:tc>
        <w:tc>
          <w:tcPr>
            <w:tcW w:w="9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33,713,662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261.3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865.5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(5,955,171)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35.0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705.3</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5"/>
                <w:szCs w:val="15"/>
                <w:color w:val="auto"/>
              </w:rPr>
              <w:t>Net income</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38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45.4</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45.4</w:t>
            </w:r>
          </w:p>
        </w:tc>
        <w:tc>
          <w:tcPr>
            <w:tcW w:w="0" w:type="dxa"/>
            <w:vAlign w:val="bottom"/>
          </w:tcPr>
          <w:p>
            <w:pPr>
              <w:spacing w:after="0"/>
              <w:rPr>
                <w:sz w:val="1"/>
                <w:szCs w:val="1"/>
                <w:color w:val="auto"/>
              </w:rPr>
            </w:pPr>
          </w:p>
        </w:tc>
      </w:tr>
      <w:tr>
        <w:trPr>
          <w:trHeight w:val="158"/>
        </w:trPr>
        <w:tc>
          <w:tcPr>
            <w:tcW w:w="2380" w:type="dxa"/>
            <w:vAlign w:val="bottom"/>
            <w:shd w:val="clear" w:color="auto" w:fill="CCEEFF"/>
          </w:tcPr>
          <w:p>
            <w:pPr>
              <w:ind w:left="220"/>
              <w:spacing w:after="0" w:line="159" w:lineRule="exact"/>
              <w:rPr>
                <w:sz w:val="20"/>
                <w:szCs w:val="20"/>
                <w:color w:val="auto"/>
              </w:rPr>
            </w:pPr>
            <w:r>
              <w:rPr>
                <w:rFonts w:ascii="Times New Roman" w:cs="Times New Roman" w:eastAsia="Times New Roman" w:hAnsi="Times New Roman"/>
                <w:sz w:val="15"/>
                <w:szCs w:val="15"/>
                <w:color w:val="auto"/>
              </w:rPr>
              <w:t>Issuance of common stock awards</w:t>
            </w:r>
          </w:p>
        </w:tc>
        <w:tc>
          <w:tcPr>
            <w:tcW w:w="9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36,932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2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 employees</w:t>
            </w:r>
          </w:p>
        </w:tc>
        <w:tc>
          <w:tcPr>
            <w:tcW w:w="9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380" w:type="dxa"/>
            <w:vAlign w:val="bottom"/>
          </w:tcPr>
          <w:p>
            <w:pPr>
              <w:ind w:left="220"/>
              <w:spacing w:after="0" w:line="156" w:lineRule="exact"/>
              <w:rPr>
                <w:sz w:val="20"/>
                <w:szCs w:val="20"/>
                <w:color w:val="auto"/>
              </w:rPr>
            </w:pPr>
            <w:r>
              <w:rPr>
                <w:rFonts w:ascii="Times New Roman" w:cs="Times New Roman" w:eastAsia="Times New Roman" w:hAnsi="Times New Roman"/>
                <w:sz w:val="15"/>
                <w:szCs w:val="15"/>
                <w:color w:val="auto"/>
              </w:rPr>
              <w:t>Surrender of common stock</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(523)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23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awards</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380" w:type="dxa"/>
            <w:vAlign w:val="bottom"/>
            <w:shd w:val="clear" w:color="auto" w:fill="CCEEFF"/>
          </w:tcPr>
          <w:p>
            <w:pPr>
              <w:ind w:left="220"/>
              <w:spacing w:after="0" w:line="159" w:lineRule="exact"/>
              <w:rPr>
                <w:sz w:val="20"/>
                <w:szCs w:val="20"/>
                <w:color w:val="auto"/>
              </w:rPr>
            </w:pPr>
            <w:r>
              <w:rPr>
                <w:rFonts w:ascii="Times New Roman" w:cs="Times New Roman" w:eastAsia="Times New Roman" w:hAnsi="Times New Roman"/>
                <w:sz w:val="15"/>
                <w:szCs w:val="15"/>
                <w:color w:val="auto"/>
              </w:rPr>
              <w:t>Share-based compensation</w:t>
            </w: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5.4</w:t>
            </w:r>
          </w:p>
        </w:tc>
        <w:tc>
          <w:tcPr>
            <w:tcW w:w="0" w:type="dxa"/>
            <w:vAlign w:val="bottom"/>
          </w:tcPr>
          <w:p>
            <w:pPr>
              <w:spacing w:after="0"/>
              <w:rPr>
                <w:sz w:val="1"/>
                <w:szCs w:val="1"/>
                <w:color w:val="auto"/>
              </w:rPr>
            </w:pPr>
          </w:p>
        </w:tc>
      </w:tr>
      <w:tr>
        <w:trPr>
          <w:trHeight w:val="205"/>
        </w:trPr>
        <w:tc>
          <w:tcPr>
            <w:tcW w:w="2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expense</w:t>
            </w: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380" w:type="dxa"/>
            <w:vAlign w:val="bottom"/>
          </w:tcPr>
          <w:p>
            <w:pPr>
              <w:ind w:left="220"/>
              <w:spacing w:after="0" w:line="156" w:lineRule="exact"/>
              <w:rPr>
                <w:sz w:val="20"/>
                <w:szCs w:val="20"/>
                <w:color w:val="auto"/>
              </w:rPr>
            </w:pPr>
            <w:r>
              <w:rPr>
                <w:rFonts w:ascii="Times New Roman" w:cs="Times New Roman" w:eastAsia="Times New Roman" w:hAnsi="Times New Roman"/>
                <w:sz w:val="15"/>
                <w:szCs w:val="15"/>
                <w:color w:val="auto"/>
              </w:rPr>
              <w:t>Share-based compensation issued</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0.2</w:t>
            </w:r>
          </w:p>
        </w:tc>
        <w:tc>
          <w:tcPr>
            <w:tcW w:w="0" w:type="dxa"/>
            <w:vAlign w:val="bottom"/>
          </w:tcPr>
          <w:p>
            <w:pPr>
              <w:spacing w:after="0"/>
              <w:rPr>
                <w:sz w:val="1"/>
                <w:szCs w:val="1"/>
                <w:color w:val="auto"/>
              </w:rPr>
            </w:pPr>
          </w:p>
        </w:tc>
      </w:tr>
      <w:tr>
        <w:trPr>
          <w:trHeight w:val="203"/>
        </w:trPr>
        <w:tc>
          <w:tcPr>
            <w:tcW w:w="23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to directors</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380" w:type="dxa"/>
            <w:vAlign w:val="bottom"/>
            <w:shd w:val="clear" w:color="auto" w:fill="CCEEFF"/>
          </w:tcPr>
          <w:p>
            <w:pPr>
              <w:ind w:left="220"/>
              <w:spacing w:after="0" w:line="159" w:lineRule="exact"/>
              <w:rPr>
                <w:sz w:val="20"/>
                <w:szCs w:val="20"/>
                <w:color w:val="auto"/>
              </w:rPr>
            </w:pPr>
            <w:r>
              <w:rPr>
                <w:rFonts w:ascii="Times New Roman" w:cs="Times New Roman" w:eastAsia="Times New Roman" w:hAnsi="Times New Roman"/>
                <w:sz w:val="15"/>
                <w:szCs w:val="15"/>
                <w:color w:val="auto"/>
              </w:rPr>
              <w:t>Issuance of awards previously</w:t>
            </w:r>
          </w:p>
        </w:tc>
        <w:tc>
          <w:tcPr>
            <w:tcW w:w="9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15,499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w:t>
            </w:r>
          </w:p>
        </w:tc>
        <w:tc>
          <w:tcPr>
            <w:tcW w:w="0" w:type="dxa"/>
            <w:vAlign w:val="bottom"/>
          </w:tcPr>
          <w:p>
            <w:pPr>
              <w:spacing w:after="0"/>
              <w:rPr>
                <w:sz w:val="1"/>
                <w:szCs w:val="1"/>
                <w:color w:val="auto"/>
              </w:rPr>
            </w:pPr>
          </w:p>
        </w:tc>
      </w:tr>
      <w:tr>
        <w:trPr>
          <w:trHeight w:val="205"/>
        </w:trPr>
        <w:tc>
          <w:tcPr>
            <w:tcW w:w="2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classified as liability awards</w:t>
            </w:r>
          </w:p>
        </w:tc>
        <w:tc>
          <w:tcPr>
            <w:tcW w:w="9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380" w:type="dxa"/>
            <w:vAlign w:val="bottom"/>
          </w:tcPr>
          <w:p>
            <w:pPr>
              <w:ind w:left="260"/>
              <w:spacing w:after="0" w:line="156" w:lineRule="exact"/>
              <w:rPr>
                <w:sz w:val="20"/>
                <w:szCs w:val="20"/>
                <w:color w:val="auto"/>
              </w:rPr>
            </w:pPr>
            <w:r>
              <w:rPr>
                <w:rFonts w:ascii="Times New Roman" w:cs="Times New Roman" w:eastAsia="Times New Roman" w:hAnsi="Times New Roman"/>
                <w:sz w:val="15"/>
                <w:szCs w:val="15"/>
                <w:color w:val="auto"/>
              </w:rPr>
              <w:t>Dividends declared ($2.07 per</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(57.3)</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(57.3)</w:t>
            </w:r>
          </w:p>
        </w:tc>
        <w:tc>
          <w:tcPr>
            <w:tcW w:w="0" w:type="dxa"/>
            <w:vAlign w:val="bottom"/>
          </w:tcPr>
          <w:p>
            <w:pPr>
              <w:spacing w:after="0"/>
              <w:rPr>
                <w:sz w:val="1"/>
                <w:szCs w:val="1"/>
                <w:color w:val="auto"/>
              </w:rPr>
            </w:pPr>
          </w:p>
        </w:tc>
      </w:tr>
      <w:tr>
        <w:trPr>
          <w:trHeight w:val="203"/>
        </w:trPr>
        <w:tc>
          <w:tcPr>
            <w:tcW w:w="23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share)</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380" w:type="dxa"/>
            <w:vAlign w:val="bottom"/>
            <w:shd w:val="clear" w:color="auto" w:fill="CCEEFF"/>
          </w:tcPr>
          <w:p>
            <w:pPr>
              <w:ind w:left="220"/>
              <w:spacing w:after="0" w:line="159" w:lineRule="exact"/>
              <w:rPr>
                <w:sz w:val="20"/>
                <w:szCs w:val="20"/>
                <w:color w:val="auto"/>
              </w:rPr>
            </w:pPr>
            <w:r>
              <w:rPr>
                <w:rFonts w:ascii="Times New Roman" w:cs="Times New Roman" w:eastAsia="Times New Roman" w:hAnsi="Times New Roman"/>
                <w:sz w:val="15"/>
                <w:szCs w:val="15"/>
                <w:color w:val="auto"/>
              </w:rPr>
              <w:t>Common stock repurchase,</w:t>
            </w: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(200,000)</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(34.3)</w:t>
            </w:r>
          </w:p>
        </w:tc>
        <w:tc>
          <w:tcPr>
            <w:tcW w:w="0" w:type="dxa"/>
            <w:vAlign w:val="bottom"/>
          </w:tcPr>
          <w:p>
            <w:pPr>
              <w:spacing w:after="0"/>
              <w:rPr>
                <w:sz w:val="1"/>
                <w:szCs w:val="1"/>
                <w:color w:val="auto"/>
              </w:rPr>
            </w:pPr>
          </w:p>
        </w:tc>
      </w:tr>
      <w:tr>
        <w:trPr>
          <w:trHeight w:val="205"/>
        </w:trPr>
        <w:tc>
          <w:tcPr>
            <w:tcW w:w="2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inclusive of excise tax obligation</w:t>
            </w: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380" w:type="dxa"/>
            <w:vAlign w:val="bottom"/>
          </w:tcPr>
          <w:p>
            <w:pPr>
              <w:ind w:left="220"/>
              <w:spacing w:after="0" w:line="156" w:lineRule="exact"/>
              <w:rPr>
                <w:sz w:val="20"/>
                <w:szCs w:val="20"/>
                <w:color w:val="auto"/>
              </w:rPr>
            </w:pPr>
            <w:r>
              <w:rPr>
                <w:rFonts w:ascii="Times New Roman" w:cs="Times New Roman" w:eastAsia="Times New Roman" w:hAnsi="Times New Roman"/>
                <w:sz w:val="15"/>
                <w:szCs w:val="15"/>
                <w:color w:val="auto"/>
              </w:rPr>
              <w:t>Other comprehensive (loss), net of</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0" w:type="dxa"/>
            <w:vAlign w:val="bottom"/>
          </w:tcPr>
          <w:p>
            <w:pPr>
              <w:spacing w:after="0"/>
              <w:rPr>
                <w:sz w:val="1"/>
                <w:szCs w:val="1"/>
                <w:color w:val="auto"/>
              </w:rPr>
            </w:pPr>
          </w:p>
        </w:tc>
      </w:tr>
      <w:tr>
        <w:trPr>
          <w:trHeight w:val="203"/>
        </w:trPr>
        <w:tc>
          <w:tcPr>
            <w:tcW w:w="2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tax</w:t>
            </w:r>
          </w:p>
        </w:tc>
        <w:tc>
          <w:tcPr>
            <w:tcW w:w="9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 March 31, 2025</w:t>
            </w: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33,766,093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268.4</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853.6</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(6,155,694)</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(491.1)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29.7</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660.9</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0"/>
        </w:trPr>
        <w:tc>
          <w:tcPr>
            <w:tcW w:w="2380" w:type="dxa"/>
            <w:vAlign w:val="bottom"/>
          </w:tcPr>
          <w:p>
            <w:pPr>
              <w:spacing w:after="0"/>
              <w:rPr>
                <w:sz w:val="24"/>
                <w:szCs w:val="24"/>
                <w:color w:val="auto"/>
              </w:rPr>
            </w:pPr>
          </w:p>
        </w:tc>
        <w:tc>
          <w:tcPr>
            <w:tcW w:w="1860" w:type="dxa"/>
            <w:vAlign w:val="bottom"/>
            <w:gridSpan w:val="4"/>
            <w:vMerge w:val="restart"/>
          </w:tcPr>
          <w:p>
            <w:pPr>
              <w:jc w:val="right"/>
              <w:ind w:right="363"/>
              <w:spacing w:after="0"/>
              <w:rPr>
                <w:sz w:val="20"/>
                <w:szCs w:val="20"/>
                <w:color w:val="auto"/>
              </w:rPr>
            </w:pPr>
            <w:r>
              <w:rPr>
                <w:rFonts w:ascii="Times New Roman" w:cs="Times New Roman" w:eastAsia="Times New Roman" w:hAnsi="Times New Roman"/>
                <w:sz w:val="15"/>
                <w:szCs w:val="15"/>
                <w:color w:val="auto"/>
              </w:rPr>
              <w:t>Common Stock</w:t>
            </w:r>
          </w:p>
        </w:tc>
        <w:tc>
          <w:tcPr>
            <w:tcW w:w="8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Additional</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gridSpan w:val="4"/>
            <w:vMerge w:val="restart"/>
          </w:tcPr>
          <w:p>
            <w:pPr>
              <w:jc w:val="right"/>
              <w:ind w:right="463"/>
              <w:spacing w:after="0"/>
              <w:rPr>
                <w:sz w:val="20"/>
                <w:szCs w:val="20"/>
                <w:color w:val="auto"/>
              </w:rPr>
            </w:pPr>
            <w:r>
              <w:rPr>
                <w:rFonts w:ascii="Times New Roman" w:cs="Times New Roman" w:eastAsia="Times New Roman" w:hAnsi="Times New Roman"/>
                <w:sz w:val="15"/>
                <w:szCs w:val="15"/>
                <w:color w:val="auto"/>
              </w:rPr>
              <w:t>Treasury Stock</w:t>
            </w:r>
          </w:p>
        </w:tc>
        <w:tc>
          <w:tcPr>
            <w:tcW w:w="100" w:type="dxa"/>
            <w:vAlign w:val="bottom"/>
            <w:vMerge w:val="restart"/>
          </w:tcPr>
          <w:p>
            <w:pPr>
              <w:spacing w:after="0"/>
              <w:rPr>
                <w:sz w:val="24"/>
                <w:szCs w:val="24"/>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color w:val="auto"/>
              </w:rPr>
              <w:t>Accumulated Other</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380" w:type="dxa"/>
            <w:vAlign w:val="bottom"/>
          </w:tcPr>
          <w:p>
            <w:pPr>
              <w:spacing w:after="0"/>
              <w:rPr>
                <w:sz w:val="12"/>
                <w:szCs w:val="12"/>
                <w:color w:val="auto"/>
              </w:rPr>
            </w:pPr>
          </w:p>
        </w:tc>
        <w:tc>
          <w:tcPr>
            <w:tcW w:w="186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00"/>
              <w:spacing w:after="0" w:line="134" w:lineRule="exact"/>
              <w:rPr>
                <w:sz w:val="20"/>
                <w:szCs w:val="20"/>
                <w:color w:val="auto"/>
              </w:rPr>
            </w:pPr>
            <w:r>
              <w:rPr>
                <w:rFonts w:ascii="Times New Roman" w:cs="Times New Roman" w:eastAsia="Times New Roman" w:hAnsi="Times New Roman"/>
                <w:sz w:val="15"/>
                <w:szCs w:val="15"/>
                <w:color w:val="auto"/>
              </w:rPr>
              <w:t>Paid In</w:t>
            </w:r>
          </w:p>
        </w:tc>
        <w:tc>
          <w:tcPr>
            <w:tcW w:w="160" w:type="dxa"/>
            <w:vAlign w:val="bottom"/>
          </w:tcPr>
          <w:p>
            <w:pPr>
              <w:spacing w:after="0"/>
              <w:rPr>
                <w:sz w:val="12"/>
                <w:szCs w:val="12"/>
                <w:color w:val="auto"/>
              </w:rPr>
            </w:pPr>
          </w:p>
        </w:tc>
        <w:tc>
          <w:tcPr>
            <w:tcW w:w="880" w:type="dxa"/>
            <w:vAlign w:val="bottom"/>
            <w:gridSpan w:val="2"/>
          </w:tcPr>
          <w:p>
            <w:pPr>
              <w:ind w:left="40"/>
              <w:spacing w:after="0" w:line="134" w:lineRule="exact"/>
              <w:rPr>
                <w:sz w:val="20"/>
                <w:szCs w:val="20"/>
                <w:color w:val="auto"/>
              </w:rPr>
            </w:pPr>
            <w:r>
              <w:rPr>
                <w:rFonts w:ascii="Times New Roman" w:cs="Times New Roman" w:eastAsia="Times New Roman" w:hAnsi="Times New Roman"/>
                <w:sz w:val="15"/>
                <w:szCs w:val="15"/>
                <w:color w:val="auto"/>
              </w:rPr>
              <w:t>Retained</w:t>
            </w:r>
          </w:p>
        </w:tc>
        <w:tc>
          <w:tcPr>
            <w:tcW w:w="2020" w:type="dxa"/>
            <w:vAlign w:val="bottom"/>
            <w:tcBorders>
              <w:bottom w:val="single" w:sz="8" w:color="auto"/>
            </w:tcBorders>
            <w:gridSpan w:val="4"/>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5"/>
                <w:szCs w:val="15"/>
                <w:color w:val="auto"/>
              </w:rPr>
              <w:t>Comprehensive</w:t>
            </w:r>
          </w:p>
        </w:tc>
        <w:tc>
          <w:tcPr>
            <w:tcW w:w="140" w:type="dxa"/>
            <w:vAlign w:val="bottom"/>
          </w:tcPr>
          <w:p>
            <w:pPr>
              <w:spacing w:after="0"/>
              <w:rPr>
                <w:sz w:val="12"/>
                <w:szCs w:val="12"/>
                <w:color w:val="auto"/>
              </w:rPr>
            </w:pPr>
          </w:p>
        </w:tc>
        <w:tc>
          <w:tcPr>
            <w:tcW w:w="1080" w:type="dxa"/>
            <w:vAlign w:val="bottom"/>
          </w:tcPr>
          <w:p>
            <w:pPr>
              <w:jc w:val="center"/>
              <w:ind w:right="63"/>
              <w:spacing w:after="0" w:line="134" w:lineRule="exact"/>
              <w:rPr>
                <w:sz w:val="20"/>
                <w:szCs w:val="20"/>
                <w:color w:val="auto"/>
              </w:rPr>
            </w:pPr>
            <w:r>
              <w:rPr>
                <w:rFonts w:ascii="Times New Roman" w:cs="Times New Roman" w:eastAsia="Times New Roman" w:hAnsi="Times New Roman"/>
                <w:sz w:val="15"/>
                <w:szCs w:val="15"/>
                <w:color w:val="auto"/>
              </w:rPr>
              <w:t>Stockholders’</w:t>
            </w:r>
          </w:p>
        </w:tc>
        <w:tc>
          <w:tcPr>
            <w:tcW w:w="0" w:type="dxa"/>
            <w:vAlign w:val="bottom"/>
          </w:tcPr>
          <w:p>
            <w:pPr>
              <w:spacing w:after="0"/>
              <w:rPr>
                <w:sz w:val="1"/>
                <w:szCs w:val="1"/>
                <w:color w:val="auto"/>
              </w:rPr>
            </w:pPr>
          </w:p>
        </w:tc>
      </w:tr>
      <w:tr>
        <w:trPr>
          <w:trHeight w:val="196"/>
        </w:trPr>
        <w:tc>
          <w:tcPr>
            <w:tcW w:w="2380" w:type="dxa"/>
            <w:vAlign w:val="bottom"/>
          </w:tcPr>
          <w:p>
            <w:pPr>
              <w:spacing w:after="0"/>
              <w:rPr>
                <w:sz w:val="17"/>
                <w:szCs w:val="17"/>
                <w:color w:val="auto"/>
              </w:rPr>
            </w:pP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Shares</w:t>
            </w:r>
          </w:p>
        </w:tc>
        <w:tc>
          <w:tcPr>
            <w:tcW w:w="12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Amount</w:t>
            </w:r>
          </w:p>
        </w:tc>
        <w:tc>
          <w:tcPr>
            <w:tcW w:w="12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rPr>
              <w:t>Capital</w:t>
            </w:r>
          </w:p>
        </w:tc>
        <w:tc>
          <w:tcPr>
            <w:tcW w:w="16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Earnings</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Shares</w:t>
            </w:r>
          </w:p>
        </w:tc>
        <w:tc>
          <w:tcPr>
            <w:tcW w:w="16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Amount</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Income</w:t>
            </w:r>
          </w:p>
        </w:tc>
        <w:tc>
          <w:tcPr>
            <w:tcW w:w="140" w:type="dxa"/>
            <w:vAlign w:val="bottom"/>
          </w:tcPr>
          <w:p>
            <w:pPr>
              <w:spacing w:after="0"/>
              <w:rPr>
                <w:sz w:val="17"/>
                <w:szCs w:val="17"/>
                <w:color w:val="auto"/>
              </w:rPr>
            </w:pPr>
          </w:p>
        </w:tc>
        <w:tc>
          <w:tcPr>
            <w:tcW w:w="1080" w:type="dxa"/>
            <w:vAlign w:val="bottom"/>
          </w:tcPr>
          <w:p>
            <w:pPr>
              <w:jc w:val="center"/>
              <w:ind w:right="63"/>
              <w:spacing w:after="0"/>
              <w:rPr>
                <w:sz w:val="20"/>
                <w:szCs w:val="20"/>
                <w:color w:val="auto"/>
              </w:rPr>
            </w:pPr>
            <w:r>
              <w:rPr>
                <w:rFonts w:ascii="Times New Roman" w:cs="Times New Roman" w:eastAsia="Times New Roman" w:hAnsi="Times New Roman"/>
                <w:sz w:val="15"/>
                <w:szCs w:val="15"/>
                <w:color w:val="auto"/>
              </w:rPr>
              <w:t>Equity</w:t>
            </w:r>
          </w:p>
        </w:tc>
        <w:tc>
          <w:tcPr>
            <w:tcW w:w="0" w:type="dxa"/>
            <w:vAlign w:val="bottom"/>
          </w:tcPr>
          <w:p>
            <w:pPr>
              <w:spacing w:after="0"/>
              <w:rPr>
                <w:sz w:val="1"/>
                <w:szCs w:val="1"/>
                <w:color w:val="auto"/>
              </w:rPr>
            </w:pPr>
          </w:p>
        </w:tc>
      </w:tr>
      <w:tr>
        <w:trPr>
          <w:trHeight w:val="224"/>
        </w:trPr>
        <w:tc>
          <w:tcPr>
            <w:tcW w:w="2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 January 1, 2026</w:t>
            </w:r>
          </w:p>
        </w:tc>
        <w:tc>
          <w:tcPr>
            <w:tcW w:w="9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33,837,379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284.1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1,043.4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(6,862,152)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22.1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709.9</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5"/>
                <w:szCs w:val="15"/>
                <w:color w:val="auto"/>
              </w:rPr>
              <w:t>Net income</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38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34.8</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34.8</w:t>
            </w:r>
          </w:p>
        </w:tc>
        <w:tc>
          <w:tcPr>
            <w:tcW w:w="0" w:type="dxa"/>
            <w:vAlign w:val="bottom"/>
          </w:tcPr>
          <w:p>
            <w:pPr>
              <w:spacing w:after="0"/>
              <w:rPr>
                <w:sz w:val="1"/>
                <w:szCs w:val="1"/>
                <w:color w:val="auto"/>
              </w:rPr>
            </w:pPr>
          </w:p>
        </w:tc>
      </w:tr>
      <w:tr>
        <w:trPr>
          <w:trHeight w:val="158"/>
        </w:trPr>
        <w:tc>
          <w:tcPr>
            <w:tcW w:w="2380" w:type="dxa"/>
            <w:vAlign w:val="bottom"/>
            <w:shd w:val="clear" w:color="auto" w:fill="CCEEFF"/>
          </w:tcPr>
          <w:p>
            <w:pPr>
              <w:ind w:left="220"/>
              <w:spacing w:after="0" w:line="159" w:lineRule="exact"/>
              <w:rPr>
                <w:sz w:val="20"/>
                <w:szCs w:val="20"/>
                <w:color w:val="auto"/>
              </w:rPr>
            </w:pPr>
            <w:r>
              <w:rPr>
                <w:rFonts w:ascii="Times New Roman" w:cs="Times New Roman" w:eastAsia="Times New Roman" w:hAnsi="Times New Roman"/>
                <w:sz w:val="15"/>
                <w:szCs w:val="15"/>
                <w:color w:val="auto"/>
              </w:rPr>
              <w:t>Issuance of common stock awards</w:t>
            </w:r>
          </w:p>
        </w:tc>
        <w:tc>
          <w:tcPr>
            <w:tcW w:w="9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44,164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2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 employees</w:t>
            </w:r>
          </w:p>
        </w:tc>
        <w:tc>
          <w:tcPr>
            <w:tcW w:w="9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380" w:type="dxa"/>
            <w:vAlign w:val="bottom"/>
          </w:tcPr>
          <w:p>
            <w:pPr>
              <w:ind w:left="220"/>
              <w:spacing w:after="0" w:line="156" w:lineRule="exact"/>
              <w:rPr>
                <w:sz w:val="20"/>
                <w:szCs w:val="20"/>
                <w:color w:val="auto"/>
              </w:rPr>
            </w:pPr>
            <w:r>
              <w:rPr>
                <w:rFonts w:ascii="Times New Roman" w:cs="Times New Roman" w:eastAsia="Times New Roman" w:hAnsi="Times New Roman"/>
                <w:sz w:val="15"/>
                <w:szCs w:val="15"/>
                <w:color w:val="auto"/>
              </w:rPr>
              <w:t>Surrender of common stock</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(841)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0" w:type="dxa"/>
            <w:vAlign w:val="bottom"/>
          </w:tcPr>
          <w:p>
            <w:pPr>
              <w:spacing w:after="0"/>
              <w:rPr>
                <w:sz w:val="1"/>
                <w:szCs w:val="1"/>
                <w:color w:val="auto"/>
              </w:rPr>
            </w:pPr>
          </w:p>
        </w:tc>
      </w:tr>
      <w:tr>
        <w:trPr>
          <w:trHeight w:val="203"/>
        </w:trPr>
        <w:tc>
          <w:tcPr>
            <w:tcW w:w="23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awards</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380" w:type="dxa"/>
            <w:vAlign w:val="bottom"/>
            <w:shd w:val="clear" w:color="auto" w:fill="CCEEFF"/>
          </w:tcPr>
          <w:p>
            <w:pPr>
              <w:ind w:left="220"/>
              <w:spacing w:after="0" w:line="159" w:lineRule="exact"/>
              <w:rPr>
                <w:sz w:val="20"/>
                <w:szCs w:val="20"/>
                <w:color w:val="auto"/>
              </w:rPr>
            </w:pPr>
            <w:r>
              <w:rPr>
                <w:rFonts w:ascii="Times New Roman" w:cs="Times New Roman" w:eastAsia="Times New Roman" w:hAnsi="Times New Roman"/>
                <w:sz w:val="15"/>
                <w:szCs w:val="15"/>
                <w:color w:val="auto"/>
              </w:rPr>
              <w:t>Share-based compensation</w:t>
            </w: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5.4</w:t>
            </w:r>
          </w:p>
        </w:tc>
        <w:tc>
          <w:tcPr>
            <w:tcW w:w="0" w:type="dxa"/>
            <w:vAlign w:val="bottom"/>
          </w:tcPr>
          <w:p>
            <w:pPr>
              <w:spacing w:after="0"/>
              <w:rPr>
                <w:sz w:val="1"/>
                <w:szCs w:val="1"/>
                <w:color w:val="auto"/>
              </w:rPr>
            </w:pPr>
          </w:p>
        </w:tc>
      </w:tr>
      <w:tr>
        <w:trPr>
          <w:trHeight w:val="205"/>
        </w:trPr>
        <w:tc>
          <w:tcPr>
            <w:tcW w:w="2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expense</w:t>
            </w: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380" w:type="dxa"/>
            <w:vAlign w:val="bottom"/>
          </w:tcPr>
          <w:p>
            <w:pPr>
              <w:ind w:left="220"/>
              <w:spacing w:after="0" w:line="156" w:lineRule="exact"/>
              <w:rPr>
                <w:sz w:val="20"/>
                <w:szCs w:val="20"/>
                <w:color w:val="auto"/>
              </w:rPr>
            </w:pPr>
            <w:r>
              <w:rPr>
                <w:rFonts w:ascii="Times New Roman" w:cs="Times New Roman" w:eastAsia="Times New Roman" w:hAnsi="Times New Roman"/>
                <w:sz w:val="15"/>
                <w:szCs w:val="15"/>
                <w:color w:val="auto"/>
              </w:rPr>
              <w:t>Share-based compensation issued</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0.2</w:t>
            </w:r>
          </w:p>
        </w:tc>
        <w:tc>
          <w:tcPr>
            <w:tcW w:w="0" w:type="dxa"/>
            <w:vAlign w:val="bottom"/>
          </w:tcPr>
          <w:p>
            <w:pPr>
              <w:spacing w:after="0"/>
              <w:rPr>
                <w:sz w:val="1"/>
                <w:szCs w:val="1"/>
                <w:color w:val="auto"/>
              </w:rPr>
            </w:pPr>
          </w:p>
        </w:tc>
      </w:tr>
      <w:tr>
        <w:trPr>
          <w:trHeight w:val="203"/>
        </w:trPr>
        <w:tc>
          <w:tcPr>
            <w:tcW w:w="23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to directors</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380" w:type="dxa"/>
            <w:vAlign w:val="bottom"/>
            <w:shd w:val="clear" w:color="auto" w:fill="CCEEFF"/>
          </w:tcPr>
          <w:p>
            <w:pPr>
              <w:ind w:left="220"/>
              <w:spacing w:after="0" w:line="159" w:lineRule="exact"/>
              <w:rPr>
                <w:sz w:val="20"/>
                <w:szCs w:val="20"/>
                <w:color w:val="auto"/>
              </w:rPr>
            </w:pPr>
            <w:r>
              <w:rPr>
                <w:rFonts w:ascii="Times New Roman" w:cs="Times New Roman" w:eastAsia="Times New Roman" w:hAnsi="Times New Roman"/>
                <w:sz w:val="15"/>
                <w:szCs w:val="15"/>
                <w:color w:val="auto"/>
              </w:rPr>
              <w:t>Issuance of award previously</w:t>
            </w:r>
          </w:p>
        </w:tc>
        <w:tc>
          <w:tcPr>
            <w:tcW w:w="9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10,231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1.6</w:t>
            </w:r>
          </w:p>
        </w:tc>
        <w:tc>
          <w:tcPr>
            <w:tcW w:w="0" w:type="dxa"/>
            <w:vAlign w:val="bottom"/>
          </w:tcPr>
          <w:p>
            <w:pPr>
              <w:spacing w:after="0"/>
              <w:rPr>
                <w:sz w:val="1"/>
                <w:szCs w:val="1"/>
                <w:color w:val="auto"/>
              </w:rPr>
            </w:pPr>
          </w:p>
        </w:tc>
      </w:tr>
      <w:tr>
        <w:trPr>
          <w:trHeight w:val="205"/>
        </w:trPr>
        <w:tc>
          <w:tcPr>
            <w:tcW w:w="2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classified as liability awards</w:t>
            </w:r>
          </w:p>
        </w:tc>
        <w:tc>
          <w:tcPr>
            <w:tcW w:w="9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380" w:type="dxa"/>
            <w:vAlign w:val="bottom"/>
          </w:tcPr>
          <w:p>
            <w:pPr>
              <w:ind w:left="260"/>
              <w:spacing w:after="0" w:line="156" w:lineRule="exact"/>
              <w:rPr>
                <w:sz w:val="20"/>
                <w:szCs w:val="20"/>
                <w:color w:val="auto"/>
              </w:rPr>
            </w:pPr>
            <w:r>
              <w:rPr>
                <w:rFonts w:ascii="Times New Roman" w:cs="Times New Roman" w:eastAsia="Times New Roman" w:hAnsi="Times New Roman"/>
                <w:sz w:val="15"/>
                <w:szCs w:val="15"/>
                <w:color w:val="auto"/>
              </w:rPr>
              <w:t>Dividends declared ($2.19 per</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(59.2)</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(59.2)</w:t>
            </w:r>
          </w:p>
        </w:tc>
        <w:tc>
          <w:tcPr>
            <w:tcW w:w="0" w:type="dxa"/>
            <w:vAlign w:val="bottom"/>
          </w:tcPr>
          <w:p>
            <w:pPr>
              <w:spacing w:after="0"/>
              <w:rPr>
                <w:sz w:val="1"/>
                <w:szCs w:val="1"/>
                <w:color w:val="auto"/>
              </w:rPr>
            </w:pPr>
          </w:p>
        </w:tc>
      </w:tr>
      <w:tr>
        <w:trPr>
          <w:trHeight w:val="203"/>
        </w:trPr>
        <w:tc>
          <w:tcPr>
            <w:tcW w:w="23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share)</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380" w:type="dxa"/>
            <w:vAlign w:val="bottom"/>
            <w:shd w:val="clear" w:color="auto" w:fill="CCEEFF"/>
          </w:tcPr>
          <w:p>
            <w:pPr>
              <w:ind w:left="220"/>
              <w:spacing w:after="0" w:line="159" w:lineRule="exact"/>
              <w:rPr>
                <w:sz w:val="20"/>
                <w:szCs w:val="20"/>
                <w:color w:val="auto"/>
              </w:rPr>
            </w:pPr>
            <w:r>
              <w:rPr>
                <w:rFonts w:ascii="Times New Roman" w:cs="Times New Roman" w:eastAsia="Times New Roman" w:hAnsi="Times New Roman"/>
                <w:sz w:val="15"/>
                <w:szCs w:val="15"/>
                <w:color w:val="auto"/>
              </w:rPr>
              <w:t>Common stock repurchase,</w:t>
            </w: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(90,653)</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w:t>
            </w:r>
          </w:p>
        </w:tc>
        <w:tc>
          <w:tcPr>
            <w:tcW w:w="0" w:type="dxa"/>
            <w:vAlign w:val="bottom"/>
          </w:tcPr>
          <w:p>
            <w:pPr>
              <w:spacing w:after="0"/>
              <w:rPr>
                <w:sz w:val="1"/>
                <w:szCs w:val="1"/>
                <w:color w:val="auto"/>
              </w:rPr>
            </w:pPr>
          </w:p>
        </w:tc>
      </w:tr>
      <w:tr>
        <w:trPr>
          <w:trHeight w:val="205"/>
        </w:trPr>
        <w:tc>
          <w:tcPr>
            <w:tcW w:w="2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inclusive of excise tax obligation</w:t>
            </w: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380" w:type="dxa"/>
            <w:vAlign w:val="bottom"/>
          </w:tcPr>
          <w:p>
            <w:pPr>
              <w:ind w:left="220"/>
              <w:spacing w:after="0" w:line="156" w:lineRule="exact"/>
              <w:rPr>
                <w:sz w:val="20"/>
                <w:szCs w:val="20"/>
                <w:color w:val="auto"/>
              </w:rPr>
            </w:pPr>
            <w:r>
              <w:rPr>
                <w:rFonts w:ascii="Times New Roman" w:cs="Times New Roman" w:eastAsia="Times New Roman" w:hAnsi="Times New Roman"/>
                <w:sz w:val="15"/>
                <w:szCs w:val="15"/>
                <w:color w:val="auto"/>
              </w:rPr>
              <w:t>Other comprehensive income, net</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0.3</w:t>
            </w:r>
          </w:p>
        </w:tc>
        <w:tc>
          <w:tcPr>
            <w:tcW w:w="0" w:type="dxa"/>
            <w:vAlign w:val="bottom"/>
          </w:tcPr>
          <w:p>
            <w:pPr>
              <w:spacing w:after="0"/>
              <w:rPr>
                <w:sz w:val="1"/>
                <w:szCs w:val="1"/>
                <w:color w:val="auto"/>
              </w:rPr>
            </w:pPr>
          </w:p>
        </w:tc>
      </w:tr>
      <w:tr>
        <w:trPr>
          <w:trHeight w:val="203"/>
        </w:trPr>
        <w:tc>
          <w:tcPr>
            <w:tcW w:w="2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of tax</w:t>
            </w:r>
          </w:p>
        </w:tc>
        <w:tc>
          <w:tcPr>
            <w:tcW w:w="9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 March 31, 2026</w:t>
            </w: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33,891,774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291.3</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1,019.0</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(6,953,646)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(665.5)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22.4</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667.5</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78" w:right="3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5"/>
        </w:trPr>
        <w:tc>
          <w:tcPr>
            <w:tcW w:w="8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956"/>
        </w:trPr>
        <w:tc>
          <w:tcPr>
            <w:tcW w:w="40" w:type="dxa"/>
            <w:vAlign w:val="bottom"/>
            <w:tcBorders>
              <w:top w:val="single" w:sz="8" w:color="0000FF"/>
            </w:tcBorders>
          </w:tcPr>
          <w:p>
            <w:pPr>
              <w:spacing w:after="0"/>
              <w:rPr>
                <w:sz w:val="24"/>
                <w:szCs w:val="24"/>
                <w:color w:val="auto"/>
              </w:rPr>
            </w:pPr>
          </w:p>
        </w:tc>
        <w:tc>
          <w:tcPr>
            <w:tcW w:w="1180" w:type="dxa"/>
            <w:vAlign w:val="bottom"/>
            <w:tcBorders>
              <w:top w:val="single" w:sz="8" w:color="0000FF"/>
            </w:tcBorders>
          </w:tcPr>
          <w:p>
            <w:pPr>
              <w:spacing w:after="0"/>
              <w:rPr>
                <w:sz w:val="24"/>
                <w:szCs w:val="24"/>
                <w:color w:val="auto"/>
              </w:rPr>
            </w:pPr>
          </w:p>
        </w:tc>
        <w:tc>
          <w:tcPr>
            <w:tcW w:w="6860" w:type="dxa"/>
            <w:vAlign w:val="bottom"/>
          </w:tcPr>
          <w:p>
            <w:pPr>
              <w:jc w:val="center"/>
              <w:ind w:left="1854"/>
              <w:spacing w:after="0"/>
              <w:rPr>
                <w:sz w:val="20"/>
                <w:szCs w:val="20"/>
                <w:color w:val="auto"/>
              </w:rPr>
            </w:pPr>
            <w:r>
              <w:rPr>
                <w:rFonts w:ascii="Times New Roman" w:cs="Times New Roman" w:eastAsia="Times New Roman" w:hAnsi="Times New Roman"/>
                <w:sz w:val="17"/>
                <w:szCs w:val="17"/>
                <w:color w:val="auto"/>
              </w:rPr>
              <w:t>INSTALLED BUILDING PRODUCTS, INC.</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23"/>
        </w:trPr>
        <w:tc>
          <w:tcPr>
            <w:tcW w:w="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40" w:type="dxa"/>
            <w:vAlign w:val="bottom"/>
            <w:gridSpan w:val="2"/>
          </w:tcPr>
          <w:p>
            <w:pPr>
              <w:jc w:val="center"/>
              <w:ind w:left="874"/>
              <w:spacing w:after="0"/>
              <w:rPr>
                <w:sz w:val="20"/>
                <w:szCs w:val="20"/>
                <w:color w:val="auto"/>
              </w:rPr>
            </w:pPr>
            <w:r>
              <w:rPr>
                <w:rFonts w:ascii="Times New Roman" w:cs="Times New Roman" w:eastAsia="Times New Roman" w:hAnsi="Times New Roman"/>
                <w:sz w:val="17"/>
                <w:szCs w:val="17"/>
                <w:color w:val="auto"/>
              </w:rPr>
              <w:t>CONDENSED CONSOLIDATED STATEMENTS OF CASH FLOWS (UNAUDITED)</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32"/>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860" w:type="dxa"/>
            <w:vAlign w:val="bottom"/>
          </w:tcPr>
          <w:p>
            <w:pPr>
              <w:jc w:val="center"/>
              <w:ind w:left="1874"/>
              <w:spacing w:after="0"/>
              <w:rPr>
                <w:sz w:val="20"/>
                <w:szCs w:val="20"/>
                <w:color w:val="auto"/>
              </w:rPr>
            </w:pPr>
            <w:r>
              <w:rPr>
                <w:rFonts w:ascii="Times New Roman" w:cs="Times New Roman" w:eastAsia="Times New Roman" w:hAnsi="Times New Roman"/>
                <w:sz w:val="17"/>
                <w:szCs w:val="17"/>
                <w:color w:val="auto"/>
              </w:rPr>
              <w:t>(in millions)</w:t>
            </w: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57"/>
        </w:trPr>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860" w:type="dxa"/>
            <w:vAlign w:val="bottom"/>
          </w:tcPr>
          <w:p>
            <w:pPr>
              <w:spacing w:after="0"/>
              <w:rPr>
                <w:sz w:val="22"/>
                <w:szCs w:val="22"/>
                <w:color w:val="auto"/>
              </w:rPr>
            </w:pPr>
          </w:p>
        </w:tc>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480" w:type="dxa"/>
            <w:vAlign w:val="bottom"/>
            <w:tcBorders>
              <w:bottom w:val="single" w:sz="8" w:color="auto"/>
            </w:tcBorders>
          </w:tcPr>
          <w:p>
            <w:pPr>
              <w:spacing w:after="0"/>
              <w:rPr>
                <w:sz w:val="22"/>
                <w:szCs w:val="22"/>
                <w:color w:val="auto"/>
              </w:rPr>
            </w:pPr>
          </w:p>
        </w:tc>
      </w:tr>
      <w:tr>
        <w:trPr>
          <w:trHeight w:val="212"/>
        </w:trPr>
        <w:tc>
          <w:tcPr>
            <w:tcW w:w="40" w:type="dxa"/>
            <w:vAlign w:val="bottom"/>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68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2026</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2025</w:t>
            </w:r>
          </w:p>
        </w:tc>
        <w:tc>
          <w:tcPr>
            <w:tcW w:w="480" w:type="dxa"/>
            <w:vAlign w:val="bottom"/>
            <w:tcBorders>
              <w:bottom w:val="single" w:sz="8" w:color="auto"/>
            </w:tcBorders>
          </w:tcPr>
          <w:p>
            <w:pPr>
              <w:spacing w:after="0"/>
              <w:rPr>
                <w:sz w:val="18"/>
                <w:szCs w:val="18"/>
                <w:color w:val="auto"/>
              </w:rPr>
            </w:pPr>
          </w:p>
        </w:tc>
      </w:tr>
      <w:tr>
        <w:trPr>
          <w:trHeight w:val="199"/>
        </w:trPr>
        <w:tc>
          <w:tcPr>
            <w:tcW w:w="40" w:type="dxa"/>
            <w:vAlign w:val="bottom"/>
          </w:tcPr>
          <w:p>
            <w:pPr>
              <w:spacing w:after="0"/>
              <w:rPr>
                <w:sz w:val="17"/>
                <w:szCs w:val="17"/>
                <w:color w:val="auto"/>
              </w:rPr>
            </w:pPr>
          </w:p>
        </w:tc>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19"/>
        </w:trPr>
        <w:tc>
          <w:tcPr>
            <w:tcW w:w="40" w:type="dxa"/>
            <w:vAlign w:val="bottom"/>
          </w:tcPr>
          <w:p>
            <w:pPr>
              <w:spacing w:after="0"/>
              <w:rPr>
                <w:sz w:val="19"/>
                <w:szCs w:val="19"/>
                <w:color w:val="auto"/>
              </w:rPr>
            </w:pPr>
          </w:p>
        </w:tc>
        <w:tc>
          <w:tcPr>
            <w:tcW w:w="8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100" w:type="dxa"/>
            <w:vAlign w:val="bottom"/>
          </w:tcPr>
          <w:p>
            <w:pPr>
              <w:spacing w:after="0"/>
              <w:rPr>
                <w:sz w:val="19"/>
                <w:szCs w:val="19"/>
                <w:color w:val="auto"/>
              </w:rPr>
            </w:pPr>
          </w:p>
        </w:tc>
        <w:tc>
          <w:tcPr>
            <w:tcW w:w="1040" w:type="dxa"/>
            <w:vAlign w:val="bottom"/>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w:t>
            </w:r>
          </w:p>
        </w:tc>
      </w:tr>
      <w:tr>
        <w:trPr>
          <w:trHeight w:val="219"/>
        </w:trPr>
        <w:tc>
          <w:tcPr>
            <w:tcW w:w="40" w:type="dxa"/>
            <w:vAlign w:val="bottom"/>
          </w:tcPr>
          <w:p>
            <w:pPr>
              <w:spacing w:after="0"/>
              <w:rPr>
                <w:sz w:val="19"/>
                <w:szCs w:val="19"/>
                <w:color w:val="auto"/>
              </w:rPr>
            </w:pPr>
          </w:p>
        </w:tc>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19"/>
        </w:trPr>
        <w:tc>
          <w:tcPr>
            <w:tcW w:w="40" w:type="dxa"/>
            <w:vAlign w:val="bottom"/>
          </w:tcPr>
          <w:p>
            <w:pPr>
              <w:spacing w:after="0"/>
              <w:rPr>
                <w:sz w:val="19"/>
                <w:szCs w:val="19"/>
                <w:color w:val="auto"/>
              </w:rPr>
            </w:pPr>
          </w:p>
        </w:tc>
        <w:tc>
          <w:tcPr>
            <w:tcW w:w="80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 of property and equipment</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r>
      <w:tr>
        <w:trPr>
          <w:trHeight w:val="219"/>
        </w:trPr>
        <w:tc>
          <w:tcPr>
            <w:tcW w:w="40" w:type="dxa"/>
            <w:vAlign w:val="bottom"/>
          </w:tcPr>
          <w:p>
            <w:pPr>
              <w:spacing w:after="0"/>
              <w:rPr>
                <w:sz w:val="19"/>
                <w:szCs w:val="19"/>
                <w:color w:val="auto"/>
              </w:rPr>
            </w:pPr>
          </w:p>
        </w:tc>
        <w:tc>
          <w:tcPr>
            <w:tcW w:w="8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Amortization of operating lease right-of-use assets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r>
      <w:tr>
        <w:trPr>
          <w:trHeight w:val="219"/>
        </w:trPr>
        <w:tc>
          <w:tcPr>
            <w:tcW w:w="40" w:type="dxa"/>
            <w:vAlign w:val="bottom"/>
          </w:tcPr>
          <w:p>
            <w:pPr>
              <w:spacing w:after="0"/>
              <w:rPr>
                <w:sz w:val="19"/>
                <w:szCs w:val="19"/>
                <w:color w:val="auto"/>
              </w:rPr>
            </w:pPr>
          </w:p>
        </w:tc>
        <w:tc>
          <w:tcPr>
            <w:tcW w:w="80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Amortization of intangibles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r>
      <w:tr>
        <w:trPr>
          <w:trHeight w:val="219"/>
        </w:trPr>
        <w:tc>
          <w:tcPr>
            <w:tcW w:w="40" w:type="dxa"/>
            <w:vAlign w:val="bottom"/>
          </w:tcPr>
          <w:p>
            <w:pPr>
              <w:spacing w:after="0"/>
              <w:rPr>
                <w:sz w:val="19"/>
                <w:szCs w:val="19"/>
                <w:color w:val="auto"/>
              </w:rPr>
            </w:pPr>
          </w:p>
        </w:tc>
        <w:tc>
          <w:tcPr>
            <w:tcW w:w="8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Amortization of deferred financing costs and debt discount</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19"/>
        </w:trPr>
        <w:tc>
          <w:tcPr>
            <w:tcW w:w="40" w:type="dxa"/>
            <w:vAlign w:val="bottom"/>
          </w:tcPr>
          <w:p>
            <w:pPr>
              <w:spacing w:after="0"/>
              <w:rPr>
                <w:sz w:val="19"/>
                <w:szCs w:val="19"/>
                <w:color w:val="auto"/>
              </w:rPr>
            </w:pPr>
          </w:p>
        </w:tc>
        <w:tc>
          <w:tcPr>
            <w:tcW w:w="80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19"/>
        </w:trPr>
        <w:tc>
          <w:tcPr>
            <w:tcW w:w="40" w:type="dxa"/>
            <w:vAlign w:val="bottom"/>
          </w:tcPr>
          <w:p>
            <w:pPr>
              <w:spacing w:after="0"/>
              <w:rPr>
                <w:sz w:val="19"/>
                <w:szCs w:val="19"/>
                <w:color w:val="auto"/>
              </w:rPr>
            </w:pPr>
          </w:p>
        </w:tc>
        <w:tc>
          <w:tcPr>
            <w:tcW w:w="8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Write-off of debt issuance costs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0" w:type="dxa"/>
            <w:vAlign w:val="bottom"/>
          </w:tcPr>
          <w:p>
            <w:pPr>
              <w:spacing w:after="0"/>
              <w:rPr>
                <w:sz w:val="19"/>
                <w:szCs w:val="19"/>
                <w:color w:val="auto"/>
              </w:rPr>
            </w:pPr>
          </w:p>
        </w:tc>
        <w:tc>
          <w:tcPr>
            <w:tcW w:w="80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Gain on sale of property and equipment</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19"/>
        </w:trPr>
        <w:tc>
          <w:tcPr>
            <w:tcW w:w="40" w:type="dxa"/>
            <w:vAlign w:val="bottom"/>
          </w:tcPr>
          <w:p>
            <w:pPr>
              <w:spacing w:after="0"/>
              <w:rPr>
                <w:sz w:val="19"/>
                <w:szCs w:val="19"/>
                <w:color w:val="auto"/>
              </w:rPr>
            </w:pPr>
          </w:p>
        </w:tc>
        <w:tc>
          <w:tcPr>
            <w:tcW w:w="8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Non-cash stock compensation</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19"/>
        </w:trPr>
        <w:tc>
          <w:tcPr>
            <w:tcW w:w="40" w:type="dxa"/>
            <w:vAlign w:val="bottom"/>
          </w:tcPr>
          <w:p>
            <w:pPr>
              <w:spacing w:after="0"/>
              <w:rPr>
                <w:sz w:val="19"/>
                <w:szCs w:val="19"/>
                <w:color w:val="auto"/>
              </w:rPr>
            </w:pPr>
          </w:p>
        </w:tc>
        <w:tc>
          <w:tcPr>
            <w:tcW w:w="80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Other, net</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19"/>
        </w:trPr>
        <w:tc>
          <w:tcPr>
            <w:tcW w:w="40" w:type="dxa"/>
            <w:vAlign w:val="bottom"/>
          </w:tcPr>
          <w:p>
            <w:pPr>
              <w:spacing w:after="0"/>
              <w:rPr>
                <w:sz w:val="19"/>
                <w:szCs w:val="19"/>
                <w:color w:val="auto"/>
              </w:rPr>
            </w:pPr>
          </w:p>
        </w:tc>
        <w:tc>
          <w:tcPr>
            <w:tcW w:w="8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Changes in assets and liabilities, excluding effects of acquisitions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19"/>
        </w:trPr>
        <w:tc>
          <w:tcPr>
            <w:tcW w:w="40" w:type="dxa"/>
            <w:vAlign w:val="bottom"/>
          </w:tcPr>
          <w:p>
            <w:pPr>
              <w:spacing w:after="0"/>
              <w:rPr>
                <w:sz w:val="19"/>
                <w:szCs w:val="19"/>
                <w:color w:val="auto"/>
              </w:rPr>
            </w:pPr>
          </w:p>
        </w:tc>
        <w:tc>
          <w:tcPr>
            <w:tcW w:w="80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Accounts receivable</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r>
      <w:tr>
        <w:trPr>
          <w:trHeight w:val="219"/>
        </w:trPr>
        <w:tc>
          <w:tcPr>
            <w:tcW w:w="40" w:type="dxa"/>
            <w:vAlign w:val="bottom"/>
          </w:tcPr>
          <w:p>
            <w:pPr>
              <w:spacing w:after="0"/>
              <w:rPr>
                <w:sz w:val="19"/>
                <w:szCs w:val="19"/>
                <w:color w:val="auto"/>
              </w:rPr>
            </w:pPr>
          </w:p>
        </w:tc>
        <w:tc>
          <w:tcPr>
            <w:tcW w:w="8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Inventories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19"/>
        </w:trPr>
        <w:tc>
          <w:tcPr>
            <w:tcW w:w="40" w:type="dxa"/>
            <w:vAlign w:val="bottom"/>
          </w:tcPr>
          <w:p>
            <w:pPr>
              <w:spacing w:after="0"/>
              <w:rPr>
                <w:sz w:val="19"/>
                <w:szCs w:val="19"/>
                <w:color w:val="auto"/>
              </w:rPr>
            </w:pPr>
          </w:p>
        </w:tc>
        <w:tc>
          <w:tcPr>
            <w:tcW w:w="80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Other assets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219"/>
        </w:trPr>
        <w:tc>
          <w:tcPr>
            <w:tcW w:w="40" w:type="dxa"/>
            <w:vAlign w:val="bottom"/>
          </w:tcPr>
          <w:p>
            <w:pPr>
              <w:spacing w:after="0"/>
              <w:rPr>
                <w:sz w:val="19"/>
                <w:szCs w:val="19"/>
                <w:color w:val="auto"/>
              </w:rPr>
            </w:pPr>
          </w:p>
        </w:tc>
        <w:tc>
          <w:tcPr>
            <w:tcW w:w="8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Accounts payable</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19"/>
        </w:trPr>
        <w:tc>
          <w:tcPr>
            <w:tcW w:w="40" w:type="dxa"/>
            <w:vAlign w:val="bottom"/>
          </w:tcPr>
          <w:p>
            <w:pPr>
              <w:spacing w:after="0"/>
              <w:rPr>
                <w:sz w:val="19"/>
                <w:szCs w:val="19"/>
                <w:color w:val="auto"/>
              </w:rPr>
            </w:pPr>
          </w:p>
        </w:tc>
        <w:tc>
          <w:tcPr>
            <w:tcW w:w="80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Income taxes receivable/payable</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r>
      <w:tr>
        <w:trPr>
          <w:trHeight w:val="219"/>
        </w:trPr>
        <w:tc>
          <w:tcPr>
            <w:tcW w:w="40" w:type="dxa"/>
            <w:vAlign w:val="bottom"/>
          </w:tcPr>
          <w:p>
            <w:pPr>
              <w:spacing w:after="0"/>
              <w:rPr>
                <w:sz w:val="19"/>
                <w:szCs w:val="19"/>
                <w:color w:val="auto"/>
              </w:rPr>
            </w:pPr>
          </w:p>
        </w:tc>
        <w:tc>
          <w:tcPr>
            <w:tcW w:w="8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liabilities</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w:t>
            </w:r>
          </w:p>
        </w:tc>
      </w:tr>
      <w:tr>
        <w:trPr>
          <w:trHeight w:val="212"/>
        </w:trPr>
        <w:tc>
          <w:tcPr>
            <w:tcW w:w="40" w:type="dxa"/>
            <w:vAlign w:val="bottom"/>
          </w:tcPr>
          <w:p>
            <w:pPr>
              <w:spacing w:after="0"/>
              <w:rPr>
                <w:sz w:val="18"/>
                <w:szCs w:val="18"/>
                <w:color w:val="auto"/>
              </w:rPr>
            </w:pPr>
          </w:p>
        </w:tc>
        <w:tc>
          <w:tcPr>
            <w:tcW w:w="804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102.3</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92.1</w:t>
            </w:r>
          </w:p>
        </w:tc>
      </w:tr>
      <w:tr>
        <w:trPr>
          <w:trHeight w:val="199"/>
        </w:trPr>
        <w:tc>
          <w:tcPr>
            <w:tcW w:w="40" w:type="dxa"/>
            <w:vAlign w:val="bottom"/>
          </w:tcPr>
          <w:p>
            <w:pPr>
              <w:spacing w:after="0"/>
              <w:rPr>
                <w:sz w:val="17"/>
                <w:szCs w:val="17"/>
                <w:color w:val="auto"/>
              </w:rPr>
            </w:pPr>
          </w:p>
        </w:tc>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19"/>
        </w:trPr>
        <w:tc>
          <w:tcPr>
            <w:tcW w:w="40" w:type="dxa"/>
            <w:vAlign w:val="bottom"/>
          </w:tcPr>
          <w:p>
            <w:pPr>
              <w:spacing w:after="0"/>
              <w:rPr>
                <w:sz w:val="19"/>
                <w:szCs w:val="19"/>
                <w:color w:val="auto"/>
              </w:rPr>
            </w:pPr>
          </w:p>
        </w:tc>
        <w:tc>
          <w:tcPr>
            <w:tcW w:w="80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w:t>
            </w:r>
          </w:p>
        </w:tc>
      </w:tr>
      <w:tr>
        <w:trPr>
          <w:trHeight w:val="219"/>
        </w:trPr>
        <w:tc>
          <w:tcPr>
            <w:tcW w:w="40" w:type="dxa"/>
            <w:vAlign w:val="bottom"/>
          </w:tcPr>
          <w:p>
            <w:pPr>
              <w:spacing w:after="0"/>
              <w:rPr>
                <w:sz w:val="19"/>
                <w:szCs w:val="19"/>
                <w:color w:val="auto"/>
              </w:rPr>
            </w:pPr>
          </w:p>
        </w:tc>
        <w:tc>
          <w:tcPr>
            <w:tcW w:w="8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Acquisitions of businesses, net of cash acquired of $— in 2026 and 2025, respectively</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r>
      <w:tr>
        <w:trPr>
          <w:trHeight w:val="219"/>
        </w:trPr>
        <w:tc>
          <w:tcPr>
            <w:tcW w:w="40" w:type="dxa"/>
            <w:vAlign w:val="bottom"/>
          </w:tcPr>
          <w:p>
            <w:pPr>
              <w:spacing w:after="0"/>
              <w:rPr>
                <w:sz w:val="19"/>
                <w:szCs w:val="19"/>
                <w:color w:val="auto"/>
              </w:rPr>
            </w:pPr>
          </w:p>
        </w:tc>
        <w:tc>
          <w:tcPr>
            <w:tcW w:w="80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Proceeds from sale of property and equipment</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19"/>
        </w:trPr>
        <w:tc>
          <w:tcPr>
            <w:tcW w:w="40" w:type="dxa"/>
            <w:vAlign w:val="bottom"/>
          </w:tcPr>
          <w:p>
            <w:pPr>
              <w:spacing w:after="0"/>
              <w:rPr>
                <w:sz w:val="19"/>
                <w:szCs w:val="19"/>
                <w:color w:val="auto"/>
              </w:rPr>
            </w:pPr>
          </w:p>
        </w:tc>
        <w:tc>
          <w:tcPr>
            <w:tcW w:w="8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Settlements with interest rate swap counterparties</w:t>
            </w:r>
          </w:p>
        </w:tc>
        <w:tc>
          <w:tcPr>
            <w:tcW w:w="9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19"/>
        </w:trPr>
        <w:tc>
          <w:tcPr>
            <w:tcW w:w="40" w:type="dxa"/>
            <w:vAlign w:val="bottom"/>
          </w:tcPr>
          <w:p>
            <w:pPr>
              <w:spacing w:after="0"/>
              <w:rPr>
                <w:sz w:val="19"/>
                <w:szCs w:val="19"/>
                <w:color w:val="auto"/>
              </w:rPr>
            </w:pPr>
          </w:p>
        </w:tc>
        <w:tc>
          <w:tcPr>
            <w:tcW w:w="80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12"/>
        </w:trPr>
        <w:tc>
          <w:tcPr>
            <w:tcW w:w="40" w:type="dxa"/>
            <w:vAlign w:val="bottom"/>
          </w:tcPr>
          <w:p>
            <w:pPr>
              <w:spacing w:after="0"/>
              <w:rPr>
                <w:sz w:val="18"/>
                <w:szCs w:val="18"/>
                <w:color w:val="auto"/>
              </w:rPr>
            </w:pPr>
          </w:p>
        </w:tc>
        <w:tc>
          <w:tcPr>
            <w:tcW w:w="80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98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w:t>
            </w:r>
          </w:p>
        </w:tc>
      </w:tr>
      <w:tr>
        <w:trPr>
          <w:trHeight w:val="271"/>
        </w:trPr>
        <w:tc>
          <w:tcPr>
            <w:tcW w:w="8080" w:type="dxa"/>
            <w:vAlign w:val="bottom"/>
            <w:gridSpan w:val="3"/>
          </w:tcPr>
          <w:p>
            <w:pPr>
              <w:jc w:val="center"/>
              <w:ind w:left="3074"/>
              <w:spacing w:after="0"/>
              <w:rPr>
                <w:sz w:val="20"/>
                <w:szCs w:val="20"/>
                <w:color w:val="auto"/>
              </w:rPr>
            </w:pPr>
            <w:r>
              <w:rPr>
                <w:rFonts w:ascii="Times New Roman" w:cs="Times New Roman" w:eastAsia="Times New Roman" w:hAnsi="Times New Roman"/>
                <w:sz w:val="17"/>
                <w:szCs w:val="17"/>
                <w:color w:val="auto"/>
                <w:w w:val="93"/>
              </w:rPr>
              <w:t>4</w:t>
            </w:r>
          </w:p>
        </w:tc>
        <w:tc>
          <w:tcPr>
            <w:tcW w:w="9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80" w:type="dxa"/>
            <w:vAlign w:val="bottom"/>
          </w:tcPr>
          <w:p>
            <w:pPr>
              <w:spacing w:after="0"/>
              <w:rPr>
                <w:sz w:val="23"/>
                <w:szCs w:val="23"/>
                <w:color w:val="auto"/>
              </w:rPr>
            </w:pPr>
          </w:p>
        </w:tc>
      </w:tr>
    </w:tbl>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INSTALLED BUILDING PRODUCTS,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CONDENSED CONSOLIDATED STATEMENTS OF CASH FLOWS (UNAUDITED, CONTINUED)</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 millions)</w:t>
      </w:r>
    </w:p>
    <w:p>
      <w:pPr>
        <w:spacing w:after="0" w:line="200" w:lineRule="exact"/>
        <w:rPr>
          <w:sz w:val="20"/>
          <w:szCs w:val="20"/>
          <w:color w:val="auto"/>
        </w:rPr>
      </w:pP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54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480" w:type="dxa"/>
            <w:vAlign w:val="bottom"/>
            <w:tcBorders>
              <w:bottom w:val="single" w:sz="8" w:color="auto"/>
            </w:tcBorders>
          </w:tcPr>
          <w:p>
            <w:pPr>
              <w:spacing w:after="0"/>
              <w:rPr>
                <w:sz w:val="19"/>
                <w:szCs w:val="19"/>
                <w:color w:val="auto"/>
              </w:rPr>
            </w:pPr>
          </w:p>
        </w:tc>
      </w:tr>
      <w:tr>
        <w:trPr>
          <w:trHeight w:val="212"/>
        </w:trPr>
        <w:tc>
          <w:tcPr>
            <w:tcW w:w="5440" w:type="dxa"/>
            <w:vAlign w:val="bottom"/>
            <w:tcBorders>
              <w:bottom w:val="single" w:sz="8" w:color="CCEEFF"/>
            </w:tcBorders>
          </w:tcPr>
          <w:p>
            <w:pPr>
              <w:spacing w:after="0"/>
              <w:rPr>
                <w:sz w:val="18"/>
                <w:szCs w:val="18"/>
                <w:color w:val="auto"/>
              </w:rPr>
            </w:pPr>
          </w:p>
        </w:tc>
        <w:tc>
          <w:tcPr>
            <w:tcW w:w="26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2026</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2025</w:t>
            </w:r>
          </w:p>
        </w:tc>
        <w:tc>
          <w:tcPr>
            <w:tcW w:w="480" w:type="dxa"/>
            <w:vAlign w:val="bottom"/>
            <w:tcBorders>
              <w:bottom w:val="single" w:sz="8" w:color="auto"/>
            </w:tcBorders>
          </w:tcPr>
          <w:p>
            <w:pPr>
              <w:spacing w:after="0"/>
              <w:rPr>
                <w:sz w:val="18"/>
                <w:szCs w:val="18"/>
                <w:color w:val="auto"/>
              </w:rPr>
            </w:pPr>
          </w:p>
        </w:tc>
      </w:tr>
      <w:tr>
        <w:trPr>
          <w:trHeight w:val="19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19"/>
        </w:trPr>
        <w:tc>
          <w:tcPr>
            <w:tcW w:w="5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Proceeds from Senior Notes</w:t>
            </w:r>
          </w:p>
        </w:tc>
        <w:tc>
          <w:tcPr>
            <w:tcW w:w="3560" w:type="dxa"/>
            <w:vAlign w:val="bottom"/>
            <w:gridSpan w:val="2"/>
          </w:tcPr>
          <w:p>
            <w:pPr>
              <w:jc w:val="right"/>
              <w:ind w:right="77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00" w:type="dxa"/>
            <w:vAlign w:val="bottom"/>
          </w:tcPr>
          <w:p>
            <w:pPr>
              <w:spacing w:after="0"/>
              <w:rPr>
                <w:sz w:val="19"/>
                <w:szCs w:val="19"/>
                <w:color w:val="auto"/>
              </w:rPr>
            </w:pPr>
          </w:p>
        </w:tc>
        <w:tc>
          <w:tcPr>
            <w:tcW w:w="1040" w:type="dxa"/>
            <w:vAlign w:val="bottom"/>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Payments on Senior Notes</w:t>
            </w:r>
          </w:p>
        </w:tc>
        <w:tc>
          <w:tcPr>
            <w:tcW w:w="2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Payments on Term Loan</w:t>
            </w:r>
          </w:p>
        </w:tc>
        <w:tc>
          <w:tcPr>
            <w:tcW w:w="2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9"/>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Proceeds from vehicle and equipment notes payable</w:t>
            </w:r>
          </w:p>
        </w:tc>
        <w:tc>
          <w:tcPr>
            <w:tcW w:w="2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19"/>
        </w:trPr>
        <w:tc>
          <w:tcPr>
            <w:tcW w:w="5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Debt issuance costs</w:t>
            </w:r>
          </w:p>
        </w:tc>
        <w:tc>
          <w:tcPr>
            <w:tcW w:w="2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Principal payments on long-term debt</w:t>
            </w:r>
          </w:p>
        </w:tc>
        <w:tc>
          <w:tcPr>
            <w:tcW w:w="2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19"/>
        </w:trPr>
        <w:tc>
          <w:tcPr>
            <w:tcW w:w="5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Principal payments on finance lease obligations</w:t>
            </w:r>
          </w:p>
        </w:tc>
        <w:tc>
          <w:tcPr>
            <w:tcW w:w="2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r>
      <w:tr>
        <w:trPr>
          <w:trHeight w:val="219"/>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Dividends paid</w:t>
            </w:r>
          </w:p>
        </w:tc>
        <w:tc>
          <w:tcPr>
            <w:tcW w:w="2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w:t>
            </w:r>
          </w:p>
        </w:tc>
      </w:tr>
      <w:tr>
        <w:trPr>
          <w:trHeight w:val="219"/>
        </w:trPr>
        <w:tc>
          <w:tcPr>
            <w:tcW w:w="5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Acquisition-related obligations</w:t>
            </w:r>
          </w:p>
        </w:tc>
        <w:tc>
          <w:tcPr>
            <w:tcW w:w="2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19"/>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2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w:t>
            </w:r>
          </w:p>
        </w:tc>
      </w:tr>
      <w:tr>
        <w:trPr>
          <w:trHeight w:val="219"/>
        </w:trPr>
        <w:tc>
          <w:tcPr>
            <w:tcW w:w="5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Surrender of common stock awards by employees</w:t>
            </w:r>
          </w:p>
        </w:tc>
        <w:tc>
          <w:tcPr>
            <w:tcW w:w="26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54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26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(94.9)</w:t>
            </w:r>
          </w:p>
        </w:tc>
      </w:tr>
      <w:tr>
        <w:trPr>
          <w:trHeight w:val="212"/>
        </w:trPr>
        <w:tc>
          <w:tcPr>
            <w:tcW w:w="5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change in cash and cash equivalents</w:t>
            </w:r>
          </w:p>
        </w:tc>
        <w:tc>
          <w:tcPr>
            <w:tcW w:w="2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152.4</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w:t>
            </w:r>
          </w:p>
        </w:tc>
      </w:tr>
      <w:tr>
        <w:trPr>
          <w:trHeight w:val="219"/>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26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321.9</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327.6</w:t>
            </w:r>
          </w:p>
        </w:tc>
      </w:tr>
      <w:tr>
        <w:trPr>
          <w:trHeight w:val="212"/>
        </w:trPr>
        <w:tc>
          <w:tcPr>
            <w:tcW w:w="5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Cash and cash equivalents at end of period</w:t>
            </w:r>
          </w:p>
        </w:tc>
        <w:tc>
          <w:tcPr>
            <w:tcW w:w="2600" w:type="dxa"/>
            <w:vAlign w:val="bottom"/>
          </w:tcPr>
          <w:p>
            <w:pPr>
              <w:spacing w:after="0"/>
              <w:rPr>
                <w:sz w:val="18"/>
                <w:szCs w:val="18"/>
                <w:color w:val="auto"/>
              </w:rPr>
            </w:pPr>
          </w:p>
        </w:tc>
        <w:tc>
          <w:tcPr>
            <w:tcW w:w="96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474.3</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298.7</w:t>
            </w: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85"/>
        </w:trPr>
        <w:tc>
          <w:tcPr>
            <w:tcW w:w="544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Supplemental disclosures of cash flow information</w:t>
            </w:r>
          </w:p>
        </w:tc>
        <w:tc>
          <w:tcPr>
            <w:tcW w:w="26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r>
      <w:tr>
        <w:trPr>
          <w:trHeight w:val="219"/>
        </w:trPr>
        <w:tc>
          <w:tcPr>
            <w:tcW w:w="5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cash paid during the period for:</w:t>
            </w:r>
          </w:p>
        </w:tc>
        <w:tc>
          <w:tcPr>
            <w:tcW w:w="2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19"/>
        </w:trPr>
        <w:tc>
          <w:tcPr>
            <w:tcW w:w="5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w:t>
            </w:r>
          </w:p>
        </w:tc>
        <w:tc>
          <w:tcPr>
            <w:tcW w:w="3560" w:type="dxa"/>
            <w:vAlign w:val="bottom"/>
            <w:gridSpan w:val="2"/>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r>
      <w:tr>
        <w:trPr>
          <w:trHeight w:val="219"/>
        </w:trPr>
        <w:tc>
          <w:tcPr>
            <w:tcW w:w="5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Income taxes, net of refunds</w:t>
            </w:r>
          </w:p>
        </w:tc>
        <w:tc>
          <w:tcPr>
            <w:tcW w:w="2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disclosures of non-cash activities</w:t>
            </w:r>
          </w:p>
        </w:tc>
        <w:tc>
          <w:tcPr>
            <w:tcW w:w="2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19"/>
        </w:trPr>
        <w:tc>
          <w:tcPr>
            <w:tcW w:w="5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Right-of-use assets obtained in exchange for operating lease obligations</w:t>
            </w:r>
          </w:p>
        </w:tc>
        <w:tc>
          <w:tcPr>
            <w:tcW w:w="3560" w:type="dxa"/>
            <w:vAlign w:val="bottom"/>
            <w:gridSpan w:val="2"/>
          </w:tcPr>
          <w:p>
            <w:pPr>
              <w:jc w:val="right"/>
              <w:ind w:right="77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Pr>
          <w:p>
            <w:pPr>
              <w:spacing w:after="0"/>
              <w:rPr>
                <w:sz w:val="19"/>
                <w:szCs w:val="19"/>
                <w:color w:val="auto"/>
              </w:rPr>
            </w:pPr>
          </w:p>
        </w:tc>
        <w:tc>
          <w:tcPr>
            <w:tcW w:w="1040" w:type="dxa"/>
            <w:vAlign w:val="bottom"/>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219"/>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Property and equipment obtained in exchange for finance lease obligations</w:t>
            </w:r>
          </w:p>
        </w:tc>
        <w:tc>
          <w:tcPr>
            <w:tcW w:w="2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19"/>
        </w:trPr>
        <w:tc>
          <w:tcPr>
            <w:tcW w:w="5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Seller obligations in connection with acquisition of businesses</w:t>
            </w:r>
          </w:p>
        </w:tc>
        <w:tc>
          <w:tcPr>
            <w:tcW w:w="2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r>
      <w:tr>
        <w:trPr>
          <w:trHeight w:val="219"/>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Unpaid purchases of property and equipment included in accounts payable</w:t>
            </w:r>
          </w:p>
        </w:tc>
        <w:tc>
          <w:tcPr>
            <w:tcW w:w="2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71"/>
        </w:trPr>
        <w:tc>
          <w:tcPr>
            <w:tcW w:w="5440" w:type="dxa"/>
            <w:vAlign w:val="bottom"/>
          </w:tcPr>
          <w:p>
            <w:pPr>
              <w:spacing w:after="0"/>
              <w:rPr>
                <w:sz w:val="23"/>
                <w:szCs w:val="23"/>
                <w:color w:val="auto"/>
              </w:rPr>
            </w:pPr>
          </w:p>
        </w:tc>
        <w:tc>
          <w:tcPr>
            <w:tcW w:w="2600" w:type="dxa"/>
            <w:vAlign w:val="bottom"/>
          </w:tcPr>
          <w:p>
            <w:pPr>
              <w:jc w:val="right"/>
              <w:ind w:right="2334"/>
              <w:spacing w:after="0"/>
              <w:rPr>
                <w:sz w:val="20"/>
                <w:szCs w:val="20"/>
                <w:color w:val="auto"/>
              </w:rPr>
            </w:pPr>
            <w:r>
              <w:rPr>
                <w:rFonts w:ascii="Times New Roman" w:cs="Times New Roman" w:eastAsia="Times New Roman" w:hAnsi="Times New Roman"/>
                <w:sz w:val="17"/>
                <w:szCs w:val="17"/>
                <w:color w:val="auto"/>
              </w:rPr>
              <w:t>5</w:t>
            </w:r>
          </w:p>
        </w:tc>
        <w:tc>
          <w:tcPr>
            <w:tcW w:w="9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80" w:type="dxa"/>
            <w:vAlign w:val="bottom"/>
          </w:tcPr>
          <w:p>
            <w:pPr>
              <w:spacing w:after="0"/>
              <w:rPr>
                <w:sz w:val="23"/>
                <w:szCs w:val="23"/>
                <w:color w:val="auto"/>
              </w:rPr>
            </w:pPr>
          </w:p>
        </w:tc>
      </w:tr>
    </w:tbl>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INSTALLED BUILDING PRODUCTS, INC.</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 ORGANIZATION</w:t>
      </w:r>
    </w:p>
    <w:p>
      <w:pPr>
        <w:spacing w:after="0" w:line="169"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7"/>
          <w:szCs w:val="17"/>
          <w:color w:val="auto"/>
        </w:rPr>
        <w:t>Installed Building Products (“IBP”), a Delaware corporation formed on October 28, 2011, and its wholly-owned subsidiaries (collectively referred to as the “Company,” and “we,” “us” and “our”) primarily install insulation, waterproofing, fire-stopping, fireproofing, garage doors, rain gutters, window blinds, shower doors, closet shelving and mirrors and other products for residential and commercial builders located in the continental United States. The Company operates in more than 250 locations and its corporate office is located in Columbus, Ohio.</w:t>
      </w:r>
    </w:p>
    <w:p>
      <w:pPr>
        <w:spacing w:after="0" w:line="120"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The vast majority of our sales originate from our one reportable segment, Installation. Substantially all of our Installation segment sales are derived from the service-based installation of various products in the residential new construction, repair and remodel and commercial construction end markets from our national network of branch locations. Each of our Installation branches has the capacity to serve all of our end markets. See Note 3, Revenue Recognition, for information on our revenues by product and end market, and see Note 10, Information on Segments, for information on how we segment the business.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 SIGNIFICANT ACCOUNTING POLICIES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Basis of Presentation and Principles of Consolidation</w:t>
      </w:r>
    </w:p>
    <w:p>
      <w:pPr>
        <w:spacing w:after="0" w:line="165" w:lineRule="exact"/>
        <w:rPr>
          <w:sz w:val="20"/>
          <w:szCs w:val="20"/>
          <w:color w:val="auto"/>
        </w:rPr>
      </w:pPr>
    </w:p>
    <w:p>
      <w:pPr>
        <w:ind w:right="640"/>
        <w:spacing w:after="0" w:line="287" w:lineRule="auto"/>
        <w:rPr>
          <w:sz w:val="20"/>
          <w:szCs w:val="20"/>
          <w:color w:val="auto"/>
        </w:rPr>
      </w:pPr>
      <w:r>
        <w:rPr>
          <w:rFonts w:ascii="Times New Roman" w:cs="Times New Roman" w:eastAsia="Times New Roman" w:hAnsi="Times New Roman"/>
          <w:sz w:val="17"/>
          <w:szCs w:val="17"/>
          <w:color w:val="auto"/>
        </w:rPr>
        <w:t>The accompanying consolidated financial statements include all of our wholly-owned subsidiaries. All intercompany accounts and transactions have been eliminated.</w:t>
      </w:r>
    </w:p>
    <w:p>
      <w:pPr>
        <w:spacing w:after="0" w:line="10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The information furnished in the Condensed Consolidated Financial Statements includes normal recurring adjustments and reflects all adjustments which are, in the opinion of management, necessary for a fair presentation of the results of operations and statements of financial position for the interim periods presented. Certain information and footnote disclosures normally included in the consolidated financial statements prepared in accordance with accounting principles generally accepted in the United States of America (“U.S. GAAP”) and the rules and regulations of the Securities and Exchange Commission (the “SEC”) have been omitted pursuant to such rules and regulations. We believe that the disclosures are adequate to prevent the information presented from being misleading when read in conjunction with our audited consolidated financial statements and the notes thereto included in Part II, Item 8, Financial Statements and Supplementary Data, of our Annual Report on Form 10-K for the fiscal year ended December 31, 2025 (“2025 Form 10-K”), as filed with the SEC on February 26, 2026. The December 31, 2025 Condensed Consolidated Balance Sheet data herein was derived from the audited consolidated financial statements, but the related footnotes do not include all disclosures required by U.S. GAAP.</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interim operating results for the three months ended March 31, 2026 are not necessarily indicative of the results to be expected in future operating quarters.</w:t>
      </w:r>
    </w:p>
    <w:p>
      <w:pPr>
        <w:spacing w:after="0" w:line="165" w:lineRule="exact"/>
        <w:rPr>
          <w:sz w:val="20"/>
          <w:szCs w:val="20"/>
          <w:color w:val="auto"/>
        </w:rPr>
      </w:pPr>
    </w:p>
    <w:p>
      <w:pPr>
        <w:jc w:val="both"/>
        <w:ind w:right="200"/>
        <w:spacing w:after="0" w:line="287" w:lineRule="auto"/>
        <w:rPr>
          <w:sz w:val="20"/>
          <w:szCs w:val="20"/>
          <w:color w:val="auto"/>
        </w:rPr>
      </w:pPr>
      <w:r>
        <w:rPr>
          <w:rFonts w:ascii="Times New Roman" w:cs="Times New Roman" w:eastAsia="Times New Roman" w:hAnsi="Times New Roman"/>
          <w:sz w:val="17"/>
          <w:szCs w:val="17"/>
          <w:color w:val="auto"/>
        </w:rPr>
        <w:t>Note 2 to the audited consolidated financial statements in our 2025 Form 10-K describes the significant accounting policies and estimates used in preparation of the audited consolidated financial statements. There have been no changes to our significant accounting policies during the three months ended March 31, 2026.</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INSTALLED BUILDING PRODUCTS,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Recently Issued Accounting Pronouncements Not Yet Adopted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are currently evaluating the impact of the following Accounting Standards Update ("ASU") on our Condensed Consolidated Financial Statements or Notes to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Financial Statements: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Effect on the financial statements or other</w:t>
            </w:r>
          </w:p>
        </w:tc>
      </w:tr>
      <w:tr>
        <w:trPr>
          <w:trHeight w:val="232"/>
        </w:trPr>
        <w:tc>
          <w:tcPr>
            <w:tcW w:w="250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Standard</w:t>
            </w:r>
          </w:p>
        </w:tc>
        <w:tc>
          <w:tcPr>
            <w:tcW w:w="296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Description</w:t>
            </w:r>
          </w:p>
        </w:tc>
        <w:tc>
          <w:tcPr>
            <w:tcW w:w="266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Effective Date</w:t>
            </w:r>
          </w:p>
        </w:tc>
        <w:tc>
          <w:tcPr>
            <w:tcW w:w="312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significant matters</w:t>
            </w:r>
          </w:p>
        </w:tc>
      </w:tr>
      <w:tr>
        <w:trPr>
          <w:trHeight w:val="160"/>
        </w:trPr>
        <w:tc>
          <w:tcPr>
            <w:tcW w:w="2360" w:type="dxa"/>
            <w:vAlign w:val="bottom"/>
            <w:tcBorders>
              <w:top w:val="single" w:sz="8" w:color="auto"/>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7"/>
                <w:szCs w:val="17"/>
                <w:color w:val="auto"/>
              </w:rPr>
              <w:t>ASU 2024-03 "Income</w:t>
            </w:r>
          </w:p>
        </w:tc>
        <w:tc>
          <w:tcPr>
            <w:tcW w:w="140" w:type="dxa"/>
            <w:vAlign w:val="bottom"/>
            <w:tcBorders>
              <w:top w:val="single" w:sz="8" w:color="CCEEFF"/>
            </w:tcBorders>
            <w:shd w:val="clear" w:color="auto" w:fill="CCEEFF"/>
          </w:tcPr>
          <w:p>
            <w:pPr>
              <w:spacing w:after="0"/>
              <w:rPr>
                <w:sz w:val="13"/>
                <w:szCs w:val="13"/>
                <w:color w:val="auto"/>
              </w:rPr>
            </w:pPr>
          </w:p>
        </w:tc>
        <w:tc>
          <w:tcPr>
            <w:tcW w:w="2840" w:type="dxa"/>
            <w:vAlign w:val="bottom"/>
            <w:tcBorders>
              <w:top w:val="single" w:sz="8" w:color="auto"/>
            </w:tcBorders>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This pronouncement amends Topic 220</w:t>
            </w:r>
          </w:p>
        </w:tc>
        <w:tc>
          <w:tcPr>
            <w:tcW w:w="120" w:type="dxa"/>
            <w:vAlign w:val="bottom"/>
            <w:tcBorders>
              <w:top w:val="single" w:sz="8" w:color="CCEEFF"/>
            </w:tcBorders>
            <w:shd w:val="clear" w:color="auto" w:fill="CCEEFF"/>
          </w:tcPr>
          <w:p>
            <w:pPr>
              <w:spacing w:after="0"/>
              <w:rPr>
                <w:sz w:val="13"/>
                <w:szCs w:val="13"/>
                <w:color w:val="auto"/>
              </w:rPr>
            </w:pPr>
          </w:p>
        </w:tc>
        <w:tc>
          <w:tcPr>
            <w:tcW w:w="2540" w:type="dxa"/>
            <w:vAlign w:val="bottom"/>
            <w:tcBorders>
              <w:top w:val="single" w:sz="8" w:color="auto"/>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7"/>
                <w:szCs w:val="17"/>
                <w:color w:val="auto"/>
              </w:rPr>
              <w:t>Effective for annual periods</w:t>
            </w:r>
          </w:p>
        </w:tc>
        <w:tc>
          <w:tcPr>
            <w:tcW w:w="120" w:type="dxa"/>
            <w:vAlign w:val="bottom"/>
            <w:tcBorders>
              <w:top w:val="single" w:sz="8" w:color="CCEEFF"/>
            </w:tcBorders>
            <w:shd w:val="clear" w:color="auto" w:fill="CCEEFF"/>
          </w:tcPr>
          <w:p>
            <w:pPr>
              <w:spacing w:after="0"/>
              <w:rPr>
                <w:sz w:val="13"/>
                <w:szCs w:val="13"/>
                <w:color w:val="auto"/>
              </w:rPr>
            </w:pPr>
          </w:p>
        </w:tc>
        <w:tc>
          <w:tcPr>
            <w:tcW w:w="3120" w:type="dxa"/>
            <w:vAlign w:val="bottom"/>
            <w:tcBorders>
              <w:top w:val="single" w:sz="8" w:color="auto"/>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7"/>
                <w:szCs w:val="17"/>
                <w:color w:val="auto"/>
              </w:rPr>
              <w:t>The Company will adopt and apply the</w:t>
            </w:r>
          </w:p>
        </w:tc>
      </w:tr>
      <w:tr>
        <w:trPr>
          <w:trHeight w:val="168"/>
        </w:trPr>
        <w:tc>
          <w:tcPr>
            <w:tcW w:w="2500" w:type="dxa"/>
            <w:vAlign w:val="bottom"/>
            <w:gridSpan w:val="2"/>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Statement-Reporting</w:t>
            </w:r>
          </w:p>
        </w:tc>
        <w:tc>
          <w:tcPr>
            <w:tcW w:w="296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to require all entities to disclose on an</w:t>
            </w:r>
          </w:p>
        </w:tc>
        <w:tc>
          <w:tcPr>
            <w:tcW w:w="2660" w:type="dxa"/>
            <w:vAlign w:val="bottom"/>
            <w:gridSpan w:val="2"/>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beginning after December 15, 2026,</w:t>
            </w:r>
          </w:p>
        </w:tc>
        <w:tc>
          <w:tcPr>
            <w:tcW w:w="312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guidance as prescribed by this ASU to</w:t>
            </w:r>
          </w:p>
        </w:tc>
      </w:tr>
      <w:tr>
        <w:trPr>
          <w:trHeight w:val="177"/>
        </w:trPr>
        <w:tc>
          <w:tcPr>
            <w:tcW w:w="2500" w:type="dxa"/>
            <w:vAlign w:val="bottom"/>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Comprehensive Income-Expense</w:t>
            </w:r>
          </w:p>
        </w:tc>
        <w:tc>
          <w:tcPr>
            <w:tcW w:w="296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auto"/>
              </w:rPr>
              <w:t>interim and annual basis disaggregated</w:t>
            </w:r>
          </w:p>
        </w:tc>
        <w:tc>
          <w:tcPr>
            <w:tcW w:w="2660" w:type="dxa"/>
            <w:vAlign w:val="bottom"/>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and interim periods beginning after</w:t>
            </w:r>
          </w:p>
        </w:tc>
        <w:tc>
          <w:tcPr>
            <w:tcW w:w="312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income statement expenses that occur after</w:t>
            </w:r>
          </w:p>
        </w:tc>
      </w:tr>
      <w:tr>
        <w:trPr>
          <w:trHeight w:val="171"/>
        </w:trPr>
        <w:tc>
          <w:tcPr>
            <w:tcW w:w="250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7"/>
                <w:szCs w:val="17"/>
                <w:color w:val="auto"/>
              </w:rPr>
              <w:t>Disaggregation Disclosures"</w:t>
            </w:r>
          </w:p>
        </w:tc>
        <w:tc>
          <w:tcPr>
            <w:tcW w:w="296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7"/>
                <w:szCs w:val="17"/>
                <w:color w:val="auto"/>
              </w:rPr>
              <w:t>information about certain income</w:t>
            </w:r>
          </w:p>
        </w:tc>
        <w:tc>
          <w:tcPr>
            <w:tcW w:w="266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7"/>
                <w:szCs w:val="17"/>
                <w:color w:val="auto"/>
              </w:rPr>
              <w:t>December 15, 2027. Early adoption</w:t>
            </w:r>
          </w:p>
        </w:tc>
        <w:tc>
          <w:tcPr>
            <w:tcW w:w="31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7"/>
                <w:szCs w:val="17"/>
                <w:color w:val="auto"/>
              </w:rPr>
              <w:t>the effective date. We are currently</w:t>
            </w:r>
          </w:p>
        </w:tc>
      </w:tr>
      <w:tr>
        <w:trPr>
          <w:trHeight w:val="168"/>
        </w:trPr>
        <w:tc>
          <w:tcPr>
            <w:tcW w:w="2500" w:type="dxa"/>
            <w:vAlign w:val="bottom"/>
            <w:gridSpan w:val="2"/>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(Subtopic 220-40):</w:t>
            </w:r>
          </w:p>
        </w:tc>
        <w:tc>
          <w:tcPr>
            <w:tcW w:w="296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statement costs and expenses in the</w:t>
            </w:r>
          </w:p>
        </w:tc>
        <w:tc>
          <w:tcPr>
            <w:tcW w:w="2660" w:type="dxa"/>
            <w:vAlign w:val="bottom"/>
            <w:gridSpan w:val="2"/>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is permitted.</w:t>
            </w:r>
          </w:p>
        </w:tc>
        <w:tc>
          <w:tcPr>
            <w:tcW w:w="312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assessing the impact of the adoption on our</w:t>
            </w:r>
          </w:p>
        </w:tc>
      </w:tr>
      <w:tr>
        <w:trPr>
          <w:trHeight w:val="177"/>
        </w:trPr>
        <w:tc>
          <w:tcPr>
            <w:tcW w:w="2500" w:type="dxa"/>
            <w:vAlign w:val="bottom"/>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Disaggregation of Income</w:t>
            </w:r>
          </w:p>
        </w:tc>
        <w:tc>
          <w:tcPr>
            <w:tcW w:w="296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auto"/>
              </w:rPr>
              <w:t>notes to financial statements.</w:t>
            </w:r>
          </w:p>
        </w:tc>
        <w:tc>
          <w:tcPr>
            <w:tcW w:w="2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12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consolidated financial information and</w:t>
            </w:r>
          </w:p>
        </w:tc>
      </w:tr>
      <w:tr>
        <w:trPr>
          <w:trHeight w:val="223"/>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Statement Expenses.</w:t>
            </w:r>
          </w:p>
        </w:tc>
        <w:tc>
          <w:tcPr>
            <w:tcW w:w="2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disclosures.</w:t>
            </w:r>
          </w:p>
        </w:tc>
      </w:tr>
    </w:tbl>
    <w:p>
      <w:pPr>
        <w:spacing w:after="0" w:line="1" w:lineRule="exact"/>
        <w:rPr>
          <w:sz w:val="20"/>
          <w:szCs w:val="20"/>
          <w:color w:val="auto"/>
        </w:rPr>
      </w:pPr>
    </w:p>
    <w:p>
      <w:pPr>
        <w:sectPr>
          <w:pgSz w:w="11900" w:h="16838" w:orient="portrait"/>
          <w:cols w:equalWidth="0" w:num="1">
            <w:col w:w="11240"/>
          </w:cols>
          <w:pgMar w:left="320" w:top="278" w:right="339" w:bottom="1440" w:gutter="0" w:footer="0" w:header="0"/>
        </w:sectPr>
      </w:pPr>
    </w:p>
    <w:p>
      <w:pPr>
        <w:ind w:left="20"/>
        <w:spacing w:after="0" w:line="216" w:lineRule="auto"/>
        <w:rPr>
          <w:sz w:val="20"/>
          <w:szCs w:val="20"/>
          <w:color w:val="auto"/>
        </w:rPr>
      </w:pPr>
      <w:r>
        <w:rPr>
          <w:rFonts w:ascii="Times New Roman" w:cs="Times New Roman" w:eastAsia="Times New Roman" w:hAnsi="Times New Roman"/>
          <w:sz w:val="17"/>
          <w:szCs w:val="17"/>
          <w:color w:val="auto"/>
        </w:rPr>
        <w:t>ASU 2025-06 “Intangibles-Goodwill and Other Internal-Use Software” (Subtopic 350-40):</w:t>
      </w:r>
    </w:p>
    <w:p>
      <w:pPr>
        <w:spacing w:after="0" w:line="2" w:lineRule="exact"/>
        <w:rPr>
          <w:sz w:val="20"/>
          <w:szCs w:val="20"/>
          <w:color w:val="auto"/>
        </w:rPr>
      </w:pPr>
    </w:p>
    <w:p>
      <w:pPr>
        <w:ind w:left="20" w:right="220"/>
        <w:spacing w:after="0" w:line="221" w:lineRule="auto"/>
        <w:rPr>
          <w:sz w:val="20"/>
          <w:szCs w:val="20"/>
          <w:color w:val="auto"/>
        </w:rPr>
      </w:pPr>
      <w:r>
        <w:rPr>
          <w:rFonts w:ascii="Times New Roman" w:cs="Times New Roman" w:eastAsia="Times New Roman" w:hAnsi="Times New Roman"/>
          <w:sz w:val="17"/>
          <w:szCs w:val="17"/>
          <w:color w:val="auto"/>
        </w:rPr>
        <w:t>Targeted Improvements to the Accounting for Internal-Use Software.</w:t>
      </w:r>
    </w:p>
    <w:p>
      <w:pPr>
        <w:spacing w:after="0" w:line="20" w:lineRule="exact"/>
        <w:rPr>
          <w:sz w:val="20"/>
          <w:szCs w:val="20"/>
          <w:color w:val="auto"/>
        </w:rPr>
      </w:pPr>
      <w:r>
        <w:rPr>
          <w:sz w:val="20"/>
          <w:szCs w:val="20"/>
          <w:color w:val="auto"/>
        </w:rPr>
        <w:br w:type="column"/>
      </w:r>
    </w:p>
    <w:p>
      <w:pPr>
        <w:spacing w:after="0" w:line="216" w:lineRule="auto"/>
        <w:rPr>
          <w:sz w:val="20"/>
          <w:szCs w:val="20"/>
          <w:color w:val="auto"/>
        </w:rPr>
      </w:pPr>
      <w:r>
        <w:rPr>
          <w:rFonts w:ascii="Times New Roman" w:cs="Times New Roman" w:eastAsia="Times New Roman" w:hAnsi="Times New Roman"/>
          <w:sz w:val="17"/>
          <w:szCs w:val="17"/>
          <w:color w:val="auto"/>
        </w:rPr>
        <w:t>This pronouncement amends Topic 350 to increase the operability of the recognition guidance considering</w:t>
      </w:r>
    </w:p>
    <w:p>
      <w:pPr>
        <w:spacing w:after="0" w:line="2" w:lineRule="exact"/>
        <w:rPr>
          <w:sz w:val="20"/>
          <w:szCs w:val="20"/>
          <w:color w:val="auto"/>
        </w:rPr>
      </w:pPr>
    </w:p>
    <w:p>
      <w:pPr>
        <w:ind w:right="680"/>
        <w:spacing w:after="0" w:line="228" w:lineRule="auto"/>
        <w:rPr>
          <w:sz w:val="20"/>
          <w:szCs w:val="20"/>
          <w:color w:val="auto"/>
        </w:rPr>
      </w:pPr>
      <w:r>
        <w:rPr>
          <w:rFonts w:ascii="Times New Roman" w:cs="Times New Roman" w:eastAsia="Times New Roman" w:hAnsi="Times New Roman"/>
          <w:sz w:val="17"/>
          <w:szCs w:val="17"/>
          <w:color w:val="auto"/>
        </w:rPr>
        <w:t>different methods of software development.</w:t>
      </w:r>
    </w:p>
    <w:p>
      <w:pPr>
        <w:spacing w:after="0" w:line="20" w:lineRule="exact"/>
        <w:rPr>
          <w:sz w:val="20"/>
          <w:szCs w:val="20"/>
          <w:color w:val="auto"/>
        </w:rPr>
      </w:pPr>
      <w:r>
        <w:rPr>
          <w:sz w:val="20"/>
          <w:szCs w:val="20"/>
          <w:color w:val="auto"/>
        </w:rPr>
        <w:br w:type="column"/>
      </w:r>
    </w:p>
    <w:p>
      <w:pPr>
        <w:spacing w:after="0" w:line="216" w:lineRule="auto"/>
        <w:rPr>
          <w:sz w:val="20"/>
          <w:szCs w:val="20"/>
          <w:color w:val="auto"/>
        </w:rPr>
      </w:pPr>
      <w:r>
        <w:rPr>
          <w:rFonts w:ascii="Times New Roman" w:cs="Times New Roman" w:eastAsia="Times New Roman" w:hAnsi="Times New Roman"/>
          <w:sz w:val="17"/>
          <w:szCs w:val="17"/>
          <w:color w:val="auto"/>
        </w:rPr>
        <w:t>Effective for annual periods beginning after December 15, 2027, and interim periods within those</w:t>
      </w:r>
    </w:p>
    <w:p>
      <w:pPr>
        <w:spacing w:after="0" w:line="2" w:lineRule="exact"/>
        <w:rPr>
          <w:sz w:val="20"/>
          <w:szCs w:val="20"/>
          <w:color w:val="auto"/>
        </w:rPr>
      </w:pPr>
    </w:p>
    <w:p>
      <w:pPr>
        <w:ind w:right="340"/>
        <w:spacing w:after="0" w:line="228" w:lineRule="auto"/>
        <w:rPr>
          <w:sz w:val="20"/>
          <w:szCs w:val="20"/>
          <w:color w:val="auto"/>
        </w:rPr>
      </w:pPr>
      <w:r>
        <w:rPr>
          <w:rFonts w:ascii="Times New Roman" w:cs="Times New Roman" w:eastAsia="Times New Roman" w:hAnsi="Times New Roman"/>
          <w:sz w:val="17"/>
          <w:szCs w:val="17"/>
          <w:color w:val="auto"/>
        </w:rPr>
        <w:t>annual reporting periods. Early adoption is permitted.</w:t>
      </w:r>
    </w:p>
    <w:p>
      <w:pPr>
        <w:spacing w:after="0" w:line="20" w:lineRule="exact"/>
        <w:rPr>
          <w:sz w:val="20"/>
          <w:szCs w:val="20"/>
          <w:color w:val="auto"/>
        </w:rPr>
      </w:pPr>
      <w:r>
        <w:rPr>
          <w:sz w:val="20"/>
          <w:szCs w:val="20"/>
          <w:color w:val="auto"/>
        </w:rPr>
        <w:br w:type="column"/>
      </w:r>
    </w:p>
    <w:p>
      <w:pPr>
        <w:ind w:right="180"/>
        <w:spacing w:after="0" w:line="216" w:lineRule="auto"/>
        <w:rPr>
          <w:sz w:val="20"/>
          <w:szCs w:val="20"/>
          <w:color w:val="auto"/>
        </w:rPr>
      </w:pPr>
      <w:r>
        <w:rPr>
          <w:rFonts w:ascii="Times New Roman" w:cs="Times New Roman" w:eastAsia="Times New Roman" w:hAnsi="Times New Roman"/>
          <w:sz w:val="17"/>
          <w:szCs w:val="17"/>
          <w:color w:val="auto"/>
        </w:rPr>
        <w:t>The Company will adopt and apply the guidance as prescribed by this ASU to internal-use software costs that occur after</w:t>
      </w:r>
    </w:p>
    <w:p>
      <w:pPr>
        <w:spacing w:after="0" w:line="2" w:lineRule="exact"/>
        <w:rPr>
          <w:sz w:val="20"/>
          <w:szCs w:val="20"/>
          <w:color w:val="auto"/>
        </w:rPr>
      </w:pPr>
    </w:p>
    <w:p>
      <w:pPr>
        <w:ind w:right="80"/>
        <w:spacing w:after="0" w:line="221" w:lineRule="auto"/>
        <w:rPr>
          <w:sz w:val="20"/>
          <w:szCs w:val="20"/>
          <w:color w:val="auto"/>
        </w:rPr>
      </w:pPr>
      <w:r>
        <w:rPr>
          <w:rFonts w:ascii="Times New Roman" w:cs="Times New Roman" w:eastAsia="Times New Roman" w:hAnsi="Times New Roman"/>
          <w:sz w:val="17"/>
          <w:szCs w:val="17"/>
          <w:color w:val="auto"/>
        </w:rPr>
        <w:t>the effective date. We are currently reviewing the impact of the adoption on our consolidated financial information.</w:t>
      </w:r>
    </w:p>
    <w:p>
      <w:pPr>
        <w:spacing w:after="0" w:line="1" w:lineRule="exact"/>
        <w:rPr>
          <w:sz w:val="20"/>
          <w:szCs w:val="20"/>
          <w:color w:val="auto"/>
        </w:rPr>
      </w:pPr>
    </w:p>
    <w:p>
      <w:pPr>
        <w:sectPr>
          <w:pgSz w:w="11900" w:h="16838" w:orient="portrait"/>
          <w:cols w:equalWidth="0" w:num="4">
            <w:col w:w="2300" w:space="200"/>
            <w:col w:w="2720" w:space="260"/>
            <w:col w:w="2480" w:space="180"/>
            <w:col w:w="3100"/>
          </w:cols>
          <w:pgMar w:left="320" w:top="278" w:right="339" w:bottom="1440" w:gutter="0" w:footer="0" w:header="0"/>
          <w:type w:val="continuous"/>
        </w:sectPr>
      </w:pPr>
    </w:p>
    <w:tbl>
      <w:tblPr>
        <w:tblLayout w:type="fixed"/>
        <w:tblInd w:w="0" w:type="dxa"/>
        <w:tblCellMar>
          <w:top w:w="0" w:type="dxa"/>
          <w:left w:w="0" w:type="dxa"/>
          <w:bottom w:w="0" w:type="dxa"/>
          <w:right w:w="0" w:type="dxa"/>
        </w:tblCellMar>
      </w:tblPr>
      <w:tr>
        <w:trPr>
          <w:trHeight w:val="180"/>
        </w:trPr>
        <w:tc>
          <w:tcPr>
            <w:tcW w:w="23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ASU 2025-09 “Derivatives and</w:t>
            </w:r>
          </w:p>
        </w:tc>
        <w:tc>
          <w:tcPr>
            <w:tcW w:w="304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7"/>
                <w:szCs w:val="17"/>
                <w:color w:val="auto"/>
              </w:rPr>
              <w:t>This pronouncement introduces targeted</w:t>
            </w:r>
          </w:p>
        </w:tc>
        <w:tc>
          <w:tcPr>
            <w:tcW w:w="260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7"/>
                <w:szCs w:val="17"/>
                <w:color w:val="auto"/>
              </w:rPr>
              <w:t>Effective for annual reporting</w:t>
            </w:r>
          </w:p>
        </w:tc>
        <w:tc>
          <w:tcPr>
            <w:tcW w:w="326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7"/>
                <w:szCs w:val="17"/>
                <w:color w:val="auto"/>
              </w:rPr>
              <w:t>The Company will adopt and apply the</w:t>
            </w:r>
          </w:p>
        </w:tc>
      </w:tr>
      <w:tr>
        <w:trPr>
          <w:trHeight w:val="168"/>
        </w:trPr>
        <w:tc>
          <w:tcPr>
            <w:tcW w:w="234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Hedging” (Topic 815): Hedge</w:t>
            </w:r>
          </w:p>
        </w:tc>
        <w:tc>
          <w:tcPr>
            <w:tcW w:w="3040" w:type="dxa"/>
            <w:vAlign w:val="bottom"/>
            <w:shd w:val="clear" w:color="auto" w:fill="CCEEFF"/>
          </w:tcPr>
          <w:p>
            <w:pPr>
              <w:ind w:left="160"/>
              <w:spacing w:after="0" w:line="167" w:lineRule="exact"/>
              <w:rPr>
                <w:sz w:val="20"/>
                <w:szCs w:val="20"/>
                <w:color w:val="auto"/>
              </w:rPr>
            </w:pPr>
            <w:r>
              <w:rPr>
                <w:rFonts w:ascii="Times New Roman" w:cs="Times New Roman" w:eastAsia="Times New Roman" w:hAnsi="Times New Roman"/>
                <w:sz w:val="17"/>
                <w:szCs w:val="17"/>
                <w:color w:val="auto"/>
              </w:rPr>
              <w:t>improvements to more closely align</w:t>
            </w:r>
          </w:p>
        </w:tc>
        <w:tc>
          <w:tcPr>
            <w:tcW w:w="2600" w:type="dxa"/>
            <w:vAlign w:val="bottom"/>
            <w:shd w:val="clear" w:color="auto" w:fill="CCEEFF"/>
          </w:tcPr>
          <w:p>
            <w:pPr>
              <w:ind w:left="100"/>
              <w:spacing w:after="0" w:line="167" w:lineRule="exact"/>
              <w:rPr>
                <w:sz w:val="20"/>
                <w:szCs w:val="20"/>
                <w:color w:val="auto"/>
              </w:rPr>
            </w:pPr>
            <w:r>
              <w:rPr>
                <w:rFonts w:ascii="Times New Roman" w:cs="Times New Roman" w:eastAsia="Times New Roman" w:hAnsi="Times New Roman"/>
                <w:sz w:val="17"/>
                <w:szCs w:val="17"/>
                <w:color w:val="auto"/>
              </w:rPr>
              <w:t>periods beginning after December</w:t>
            </w:r>
          </w:p>
        </w:tc>
        <w:tc>
          <w:tcPr>
            <w:tcW w:w="3260" w:type="dxa"/>
            <w:vAlign w:val="bottom"/>
            <w:shd w:val="clear" w:color="auto" w:fill="CCEEFF"/>
          </w:tcPr>
          <w:p>
            <w:pPr>
              <w:ind w:left="160"/>
              <w:spacing w:after="0" w:line="167" w:lineRule="exact"/>
              <w:rPr>
                <w:sz w:val="20"/>
                <w:szCs w:val="20"/>
                <w:color w:val="auto"/>
              </w:rPr>
            </w:pPr>
            <w:r>
              <w:rPr>
                <w:rFonts w:ascii="Times New Roman" w:cs="Times New Roman" w:eastAsia="Times New Roman" w:hAnsi="Times New Roman"/>
                <w:sz w:val="17"/>
                <w:szCs w:val="17"/>
                <w:color w:val="auto"/>
              </w:rPr>
              <w:t>guidance as prescribed by this ASU to</w:t>
            </w:r>
          </w:p>
        </w:tc>
      </w:tr>
      <w:tr>
        <w:trPr>
          <w:trHeight w:val="177"/>
        </w:trPr>
        <w:tc>
          <w:tcPr>
            <w:tcW w:w="234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Accounting Improvements.</w:t>
            </w:r>
          </w:p>
        </w:tc>
        <w:tc>
          <w:tcPr>
            <w:tcW w:w="3040" w:type="dxa"/>
            <w:vAlign w:val="bottom"/>
            <w:shd w:val="clear" w:color="auto" w:fill="CCEEFF"/>
          </w:tcPr>
          <w:p>
            <w:pPr>
              <w:ind w:left="160"/>
              <w:spacing w:after="0" w:line="177" w:lineRule="exact"/>
              <w:rPr>
                <w:sz w:val="20"/>
                <w:szCs w:val="20"/>
                <w:color w:val="auto"/>
              </w:rPr>
            </w:pPr>
            <w:r>
              <w:rPr>
                <w:rFonts w:ascii="Times New Roman" w:cs="Times New Roman" w:eastAsia="Times New Roman" w:hAnsi="Times New Roman"/>
                <w:sz w:val="17"/>
                <w:szCs w:val="17"/>
                <w:color w:val="auto"/>
              </w:rPr>
              <w:t>hedge accounting with the economics of</w:t>
            </w:r>
          </w:p>
        </w:tc>
        <w:tc>
          <w:tcPr>
            <w:tcW w:w="2600" w:type="dxa"/>
            <w:vAlign w:val="bottom"/>
            <w:shd w:val="clear" w:color="auto" w:fill="CCEEFF"/>
          </w:tcPr>
          <w:p>
            <w:pPr>
              <w:ind w:left="100"/>
              <w:spacing w:after="0" w:line="177" w:lineRule="exact"/>
              <w:rPr>
                <w:sz w:val="20"/>
                <w:szCs w:val="20"/>
                <w:color w:val="auto"/>
              </w:rPr>
            </w:pPr>
            <w:r>
              <w:rPr>
                <w:rFonts w:ascii="Times New Roman" w:cs="Times New Roman" w:eastAsia="Times New Roman" w:hAnsi="Times New Roman"/>
                <w:sz w:val="17"/>
                <w:szCs w:val="17"/>
                <w:color w:val="auto"/>
              </w:rPr>
              <w:t>15, 2026, and interim periods</w:t>
            </w:r>
          </w:p>
        </w:tc>
        <w:tc>
          <w:tcPr>
            <w:tcW w:w="3260" w:type="dxa"/>
            <w:vAlign w:val="bottom"/>
            <w:shd w:val="clear" w:color="auto" w:fill="CCEEFF"/>
          </w:tcPr>
          <w:p>
            <w:pPr>
              <w:ind w:left="160"/>
              <w:spacing w:after="0" w:line="177" w:lineRule="exact"/>
              <w:rPr>
                <w:sz w:val="20"/>
                <w:szCs w:val="20"/>
                <w:color w:val="auto"/>
              </w:rPr>
            </w:pPr>
            <w:r>
              <w:rPr>
                <w:rFonts w:ascii="Times New Roman" w:cs="Times New Roman" w:eastAsia="Times New Roman" w:hAnsi="Times New Roman"/>
                <w:sz w:val="17"/>
                <w:szCs w:val="17"/>
                <w:color w:val="auto"/>
              </w:rPr>
              <w:t>derivatives and hedge accounting that occur</w:t>
            </w:r>
          </w:p>
        </w:tc>
      </w:tr>
      <w:tr>
        <w:trPr>
          <w:trHeight w:val="171"/>
        </w:trPr>
        <w:tc>
          <w:tcPr>
            <w:tcW w:w="2340" w:type="dxa"/>
            <w:vAlign w:val="bottom"/>
            <w:shd w:val="clear" w:color="auto" w:fill="CCEEFF"/>
          </w:tcPr>
          <w:p>
            <w:pPr>
              <w:spacing w:after="0"/>
              <w:rPr>
                <w:sz w:val="14"/>
                <w:szCs w:val="14"/>
                <w:color w:val="auto"/>
              </w:rPr>
            </w:pPr>
          </w:p>
        </w:tc>
        <w:tc>
          <w:tcPr>
            <w:tcW w:w="3040" w:type="dxa"/>
            <w:vAlign w:val="bottom"/>
            <w:shd w:val="clear" w:color="auto" w:fill="CCEEFF"/>
          </w:tcPr>
          <w:p>
            <w:pPr>
              <w:ind w:left="160"/>
              <w:spacing w:after="0" w:line="172" w:lineRule="exact"/>
              <w:rPr>
                <w:sz w:val="20"/>
                <w:szCs w:val="20"/>
                <w:color w:val="auto"/>
              </w:rPr>
            </w:pPr>
            <w:r>
              <w:rPr>
                <w:rFonts w:ascii="Times New Roman" w:cs="Times New Roman" w:eastAsia="Times New Roman" w:hAnsi="Times New Roman"/>
                <w:sz w:val="17"/>
                <w:szCs w:val="17"/>
                <w:color w:val="auto"/>
              </w:rPr>
              <w:t>an entity's risk management activities.</w:t>
            </w:r>
          </w:p>
        </w:tc>
        <w:tc>
          <w:tcPr>
            <w:tcW w:w="260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7"/>
                <w:szCs w:val="17"/>
                <w:color w:val="auto"/>
              </w:rPr>
              <w:t>within those annual reporting</w:t>
            </w:r>
          </w:p>
        </w:tc>
        <w:tc>
          <w:tcPr>
            <w:tcW w:w="3260" w:type="dxa"/>
            <w:vAlign w:val="bottom"/>
            <w:shd w:val="clear" w:color="auto" w:fill="CCEEFF"/>
          </w:tcPr>
          <w:p>
            <w:pPr>
              <w:ind w:left="160"/>
              <w:spacing w:after="0" w:line="172" w:lineRule="exact"/>
              <w:rPr>
                <w:sz w:val="20"/>
                <w:szCs w:val="20"/>
                <w:color w:val="auto"/>
              </w:rPr>
            </w:pPr>
            <w:r>
              <w:rPr>
                <w:rFonts w:ascii="Times New Roman" w:cs="Times New Roman" w:eastAsia="Times New Roman" w:hAnsi="Times New Roman"/>
                <w:sz w:val="17"/>
                <w:szCs w:val="17"/>
                <w:color w:val="auto"/>
              </w:rPr>
              <w:t>after the effective date. We are currently</w:t>
            </w:r>
          </w:p>
        </w:tc>
      </w:tr>
      <w:tr>
        <w:trPr>
          <w:trHeight w:val="168"/>
        </w:trPr>
        <w:tc>
          <w:tcPr>
            <w:tcW w:w="2340" w:type="dxa"/>
            <w:vAlign w:val="bottom"/>
            <w:shd w:val="clear" w:color="auto" w:fill="CCEEFF"/>
          </w:tcPr>
          <w:p>
            <w:pPr>
              <w:spacing w:after="0"/>
              <w:rPr>
                <w:sz w:val="14"/>
                <w:szCs w:val="14"/>
                <w:color w:val="auto"/>
              </w:rPr>
            </w:pPr>
          </w:p>
        </w:tc>
        <w:tc>
          <w:tcPr>
            <w:tcW w:w="3040" w:type="dxa"/>
            <w:vAlign w:val="bottom"/>
            <w:shd w:val="clear" w:color="auto" w:fill="CCEEFF"/>
          </w:tcPr>
          <w:p>
            <w:pPr>
              <w:spacing w:after="0"/>
              <w:rPr>
                <w:sz w:val="14"/>
                <w:szCs w:val="14"/>
                <w:color w:val="auto"/>
              </w:rPr>
            </w:pPr>
          </w:p>
        </w:tc>
        <w:tc>
          <w:tcPr>
            <w:tcW w:w="2600" w:type="dxa"/>
            <w:vAlign w:val="bottom"/>
            <w:shd w:val="clear" w:color="auto" w:fill="CCEEFF"/>
          </w:tcPr>
          <w:p>
            <w:pPr>
              <w:ind w:left="100"/>
              <w:spacing w:after="0" w:line="167" w:lineRule="exact"/>
              <w:rPr>
                <w:sz w:val="20"/>
                <w:szCs w:val="20"/>
                <w:color w:val="auto"/>
              </w:rPr>
            </w:pPr>
            <w:r>
              <w:rPr>
                <w:rFonts w:ascii="Times New Roman" w:cs="Times New Roman" w:eastAsia="Times New Roman" w:hAnsi="Times New Roman"/>
                <w:sz w:val="17"/>
                <w:szCs w:val="17"/>
                <w:color w:val="auto"/>
              </w:rPr>
              <w:t>periods. Early adoption is</w:t>
            </w:r>
          </w:p>
        </w:tc>
        <w:tc>
          <w:tcPr>
            <w:tcW w:w="3260" w:type="dxa"/>
            <w:vAlign w:val="bottom"/>
            <w:shd w:val="clear" w:color="auto" w:fill="CCEEFF"/>
          </w:tcPr>
          <w:p>
            <w:pPr>
              <w:ind w:left="160"/>
              <w:spacing w:after="0" w:line="167" w:lineRule="exact"/>
              <w:rPr>
                <w:sz w:val="20"/>
                <w:szCs w:val="20"/>
                <w:color w:val="auto"/>
              </w:rPr>
            </w:pPr>
            <w:r>
              <w:rPr>
                <w:rFonts w:ascii="Times New Roman" w:cs="Times New Roman" w:eastAsia="Times New Roman" w:hAnsi="Times New Roman"/>
                <w:sz w:val="17"/>
                <w:szCs w:val="17"/>
                <w:color w:val="auto"/>
              </w:rPr>
              <w:t>assessing the impact of the adoption on our</w:t>
            </w:r>
          </w:p>
        </w:tc>
      </w:tr>
      <w:tr>
        <w:trPr>
          <w:trHeight w:val="177"/>
        </w:trPr>
        <w:tc>
          <w:tcPr>
            <w:tcW w:w="234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2600" w:type="dxa"/>
            <w:vAlign w:val="bottom"/>
            <w:shd w:val="clear" w:color="auto" w:fill="CCEEFF"/>
          </w:tcPr>
          <w:p>
            <w:pPr>
              <w:ind w:left="100"/>
              <w:spacing w:after="0" w:line="177" w:lineRule="exact"/>
              <w:rPr>
                <w:sz w:val="20"/>
                <w:szCs w:val="20"/>
                <w:color w:val="auto"/>
              </w:rPr>
            </w:pPr>
            <w:r>
              <w:rPr>
                <w:rFonts w:ascii="Times New Roman" w:cs="Times New Roman" w:eastAsia="Times New Roman" w:hAnsi="Times New Roman"/>
                <w:sz w:val="17"/>
                <w:szCs w:val="17"/>
                <w:color w:val="auto"/>
              </w:rPr>
              <w:t>permitted.</w:t>
            </w:r>
          </w:p>
        </w:tc>
        <w:tc>
          <w:tcPr>
            <w:tcW w:w="3260" w:type="dxa"/>
            <w:vAlign w:val="bottom"/>
            <w:shd w:val="clear" w:color="auto" w:fill="CCEEFF"/>
          </w:tcPr>
          <w:p>
            <w:pPr>
              <w:ind w:left="160"/>
              <w:spacing w:after="0" w:line="177" w:lineRule="exact"/>
              <w:rPr>
                <w:sz w:val="20"/>
                <w:szCs w:val="20"/>
                <w:color w:val="auto"/>
              </w:rPr>
            </w:pPr>
            <w:r>
              <w:rPr>
                <w:rFonts w:ascii="Times New Roman" w:cs="Times New Roman" w:eastAsia="Times New Roman" w:hAnsi="Times New Roman"/>
                <w:sz w:val="17"/>
                <w:szCs w:val="17"/>
                <w:color w:val="auto"/>
              </w:rPr>
              <w:t>consolidated financial statements and related</w:t>
            </w:r>
          </w:p>
        </w:tc>
      </w:tr>
      <w:tr>
        <w:trPr>
          <w:trHeight w:val="223"/>
        </w:trPr>
        <w:tc>
          <w:tcPr>
            <w:tcW w:w="2340" w:type="dxa"/>
            <w:vAlign w:val="bottom"/>
            <w:shd w:val="clear" w:color="auto" w:fill="CCEEFF"/>
          </w:tcPr>
          <w:p>
            <w:pPr>
              <w:spacing w:after="0"/>
              <w:rPr>
                <w:sz w:val="19"/>
                <w:szCs w:val="19"/>
                <w:color w:val="auto"/>
              </w:rPr>
            </w:pPr>
          </w:p>
        </w:tc>
        <w:tc>
          <w:tcPr>
            <w:tcW w:w="304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3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disclosures.</w:t>
            </w:r>
          </w:p>
        </w:tc>
      </w:tr>
    </w:tbl>
    <w:p>
      <w:pPr>
        <w:spacing w:after="0" w:line="1" w:lineRule="exact"/>
        <w:rPr>
          <w:sz w:val="20"/>
          <w:szCs w:val="20"/>
          <w:color w:val="auto"/>
        </w:rPr>
      </w:pPr>
    </w:p>
    <w:p>
      <w:pPr>
        <w:sectPr>
          <w:pgSz w:w="11900" w:h="16838" w:orient="portrait"/>
          <w:cols w:equalWidth="0" w:num="1">
            <w:col w:w="11240"/>
          </w:cols>
          <w:pgMar w:left="320" w:top="278" w:right="339" w:bottom="1440" w:gutter="0" w:footer="0" w:header="0"/>
          <w:type w:val="continuous"/>
        </w:sectPr>
      </w:pPr>
    </w:p>
    <w:p>
      <w:pPr>
        <w:ind w:left="20"/>
        <w:spacing w:after="0" w:line="214" w:lineRule="auto"/>
        <w:rPr>
          <w:sz w:val="20"/>
          <w:szCs w:val="20"/>
          <w:color w:val="auto"/>
        </w:rPr>
      </w:pPr>
      <w:r>
        <w:rPr>
          <w:rFonts w:ascii="Times New Roman" w:cs="Times New Roman" w:eastAsia="Times New Roman" w:hAnsi="Times New Roman"/>
          <w:sz w:val="17"/>
          <w:szCs w:val="17"/>
          <w:color w:val="auto"/>
        </w:rPr>
        <w:t>ASU 2025-11 “Interim This pronouncement amends Topic 270 Reporting” (Topic 270): Narrow- to provide additional guidance on what</w:t>
      </w:r>
    </w:p>
    <w:p>
      <w:pPr>
        <w:ind w:left="20"/>
        <w:spacing w:after="0" w:line="222" w:lineRule="auto"/>
        <w:tabs>
          <w:tab w:leader="none" w:pos="2480" w:val="left"/>
        </w:tabs>
        <w:rPr>
          <w:sz w:val="20"/>
          <w:szCs w:val="20"/>
          <w:color w:val="auto"/>
        </w:rPr>
      </w:pPr>
      <w:r>
        <w:rPr>
          <w:rFonts w:ascii="Times New Roman" w:cs="Times New Roman" w:eastAsia="Times New Roman" w:hAnsi="Times New Roman"/>
          <w:sz w:val="17"/>
          <w:szCs w:val="17"/>
          <w:color w:val="auto"/>
        </w:rPr>
        <w:t>Scope Improvements.</w:t>
      </w:r>
      <w:r>
        <w:rPr>
          <w:sz w:val="20"/>
          <w:szCs w:val="20"/>
          <w:color w:val="auto"/>
        </w:rPr>
        <w:tab/>
      </w:r>
      <w:r>
        <w:rPr>
          <w:rFonts w:ascii="Times New Roman" w:cs="Times New Roman" w:eastAsia="Times New Roman" w:hAnsi="Times New Roman"/>
          <w:sz w:val="17"/>
          <w:szCs w:val="17"/>
          <w:color w:val="auto"/>
        </w:rPr>
        <w:t>disclosures should be provided in</w:t>
      </w:r>
    </w:p>
    <w:p>
      <w:pPr>
        <w:ind w:left="2500"/>
        <w:spacing w:after="0" w:line="206" w:lineRule="auto"/>
        <w:rPr>
          <w:sz w:val="20"/>
          <w:szCs w:val="20"/>
          <w:color w:val="auto"/>
        </w:rPr>
      </w:pPr>
      <w:r>
        <w:rPr>
          <w:rFonts w:ascii="Times New Roman" w:cs="Times New Roman" w:eastAsia="Times New Roman" w:hAnsi="Times New Roman"/>
          <w:sz w:val="17"/>
          <w:szCs w:val="17"/>
          <w:color w:val="auto"/>
        </w:rPr>
        <w:t>interim reporting periods and adds a</w:t>
      </w:r>
    </w:p>
    <w:p>
      <w:pPr>
        <w:ind w:left="2500"/>
        <w:spacing w:after="0" w:line="206" w:lineRule="auto"/>
        <w:rPr>
          <w:sz w:val="20"/>
          <w:szCs w:val="20"/>
          <w:color w:val="auto"/>
        </w:rPr>
      </w:pPr>
      <w:r>
        <w:rPr>
          <w:rFonts w:ascii="Times New Roman" w:cs="Times New Roman" w:eastAsia="Times New Roman" w:hAnsi="Times New Roman"/>
          <w:sz w:val="17"/>
          <w:szCs w:val="17"/>
          <w:color w:val="auto"/>
        </w:rPr>
        <w:t>principle that requires entities to</w:t>
      </w:r>
    </w:p>
    <w:p>
      <w:pPr>
        <w:ind w:left="2500"/>
        <w:spacing w:after="0" w:line="221" w:lineRule="auto"/>
        <w:rPr>
          <w:sz w:val="20"/>
          <w:szCs w:val="20"/>
          <w:color w:val="auto"/>
        </w:rPr>
      </w:pPr>
      <w:r>
        <w:rPr>
          <w:rFonts w:ascii="Times New Roman" w:cs="Times New Roman" w:eastAsia="Times New Roman" w:hAnsi="Times New Roman"/>
          <w:sz w:val="17"/>
          <w:szCs w:val="17"/>
          <w:color w:val="auto"/>
        </w:rPr>
        <w:t>disclose events since the end of the last</w:t>
      </w:r>
    </w:p>
    <w:p>
      <w:pPr>
        <w:ind w:left="2500"/>
        <w:spacing w:after="0" w:line="206" w:lineRule="auto"/>
        <w:rPr>
          <w:sz w:val="20"/>
          <w:szCs w:val="20"/>
          <w:color w:val="auto"/>
        </w:rPr>
      </w:pPr>
      <w:r>
        <w:rPr>
          <w:rFonts w:ascii="Times New Roman" w:cs="Times New Roman" w:eastAsia="Times New Roman" w:hAnsi="Times New Roman"/>
          <w:sz w:val="17"/>
          <w:szCs w:val="17"/>
          <w:color w:val="auto"/>
        </w:rPr>
        <w:t>annual reporting period that have a</w:t>
      </w:r>
    </w:p>
    <w:p>
      <w:pPr>
        <w:spacing w:after="0" w:line="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color w:val="auto"/>
        </w:rPr>
        <w:t>material impact on the entity.</w:t>
      </w:r>
    </w:p>
    <w:p>
      <w:pPr>
        <w:spacing w:after="0" w:line="20" w:lineRule="exact"/>
        <w:rPr>
          <w:sz w:val="20"/>
          <w:szCs w:val="20"/>
          <w:color w:val="auto"/>
        </w:rPr>
      </w:pPr>
      <w:r>
        <w:rPr>
          <w:sz w:val="20"/>
          <w:szCs w:val="20"/>
          <w:color w:val="auto"/>
        </w:rPr>
        <w:br w:type="column"/>
      </w:r>
    </w:p>
    <w:p>
      <w:pPr>
        <w:ind w:right="80"/>
        <w:spacing w:after="0" w:line="216" w:lineRule="auto"/>
        <w:rPr>
          <w:sz w:val="20"/>
          <w:szCs w:val="20"/>
          <w:color w:val="auto"/>
        </w:rPr>
      </w:pPr>
      <w:r>
        <w:rPr>
          <w:rFonts w:ascii="Times New Roman" w:cs="Times New Roman" w:eastAsia="Times New Roman" w:hAnsi="Times New Roman"/>
          <w:sz w:val="17"/>
          <w:szCs w:val="17"/>
          <w:color w:val="auto"/>
        </w:rPr>
        <w:t>Effective for interim reporting periods within annual reporting periods beginning after December</w:t>
      </w:r>
    </w:p>
    <w:p>
      <w:pPr>
        <w:spacing w:after="0" w:line="2"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7"/>
          <w:szCs w:val="17"/>
          <w:color w:val="auto"/>
        </w:rPr>
        <w:t>15, 2027. This ASU can be applied either prospectively or retrospectively to any or all prior</w:t>
      </w:r>
    </w:p>
    <w:p>
      <w:pPr>
        <w:ind w:right="140"/>
        <w:spacing w:after="0" w:line="221" w:lineRule="auto"/>
        <w:rPr>
          <w:sz w:val="20"/>
          <w:szCs w:val="20"/>
          <w:color w:val="auto"/>
        </w:rPr>
      </w:pPr>
      <w:r>
        <w:rPr>
          <w:rFonts w:ascii="Times New Roman" w:cs="Times New Roman" w:eastAsia="Times New Roman" w:hAnsi="Times New Roman"/>
          <w:sz w:val="17"/>
          <w:szCs w:val="17"/>
          <w:color w:val="auto"/>
        </w:rPr>
        <w:t>periods presented in the financial statements. Early adoption is permitted.</w:t>
      </w:r>
    </w:p>
    <w:p>
      <w:pPr>
        <w:spacing w:after="0" w:line="20" w:lineRule="exact"/>
        <w:rPr>
          <w:sz w:val="20"/>
          <w:szCs w:val="20"/>
          <w:color w:val="auto"/>
        </w:rPr>
      </w:pPr>
      <w:r>
        <w:rPr>
          <w:sz w:val="20"/>
          <w:szCs w:val="20"/>
          <w:color w:val="auto"/>
        </w:rPr>
        <w:br w:type="column"/>
      </w:r>
    </w:p>
    <w:p>
      <w:pPr>
        <w:jc w:val="both"/>
        <w:ind w:right="420"/>
        <w:spacing w:after="0" w:line="216" w:lineRule="auto"/>
        <w:rPr>
          <w:sz w:val="20"/>
          <w:szCs w:val="20"/>
          <w:color w:val="auto"/>
        </w:rPr>
      </w:pPr>
      <w:r>
        <w:rPr>
          <w:rFonts w:ascii="Times New Roman" w:cs="Times New Roman" w:eastAsia="Times New Roman" w:hAnsi="Times New Roman"/>
          <w:sz w:val="17"/>
          <w:szCs w:val="17"/>
          <w:color w:val="auto"/>
        </w:rPr>
        <w:t>The Company will adopt and apply the guidance as prescribed by this ASU to interim reporting that occurs after the</w:t>
      </w:r>
    </w:p>
    <w:p>
      <w:pPr>
        <w:spacing w:after="0" w:line="2" w:lineRule="exact"/>
        <w:rPr>
          <w:sz w:val="20"/>
          <w:szCs w:val="20"/>
          <w:color w:val="auto"/>
        </w:rPr>
      </w:pPr>
    </w:p>
    <w:p>
      <w:pPr>
        <w:ind w:right="140"/>
        <w:spacing w:after="0" w:line="221" w:lineRule="auto"/>
        <w:rPr>
          <w:sz w:val="20"/>
          <w:szCs w:val="20"/>
          <w:color w:val="auto"/>
        </w:rPr>
      </w:pPr>
      <w:r>
        <w:rPr>
          <w:rFonts w:ascii="Times New Roman" w:cs="Times New Roman" w:eastAsia="Times New Roman" w:hAnsi="Times New Roman"/>
          <w:sz w:val="17"/>
          <w:szCs w:val="17"/>
          <w:color w:val="auto"/>
        </w:rPr>
        <w:t>effective date. We do not expect this to materially affect our consolidated financial statements and related disclosures.</w:t>
      </w:r>
    </w:p>
    <w:p>
      <w:pPr>
        <w:spacing w:after="0" w:line="715" w:lineRule="exact"/>
        <w:rPr>
          <w:sz w:val="20"/>
          <w:szCs w:val="20"/>
          <w:color w:val="auto"/>
        </w:rPr>
      </w:pPr>
    </w:p>
    <w:p>
      <w:pPr>
        <w:sectPr>
          <w:pgSz w:w="11900" w:h="16838" w:orient="portrait"/>
          <w:cols w:equalWidth="0" w:num="3">
            <w:col w:w="5220" w:space="260"/>
            <w:col w:w="2420" w:space="240"/>
            <w:col w:w="3100"/>
          </w:cols>
          <w:pgMar w:left="320" w:top="278" w:right="339" w:bottom="1440" w:gutter="0" w:footer="0" w:header="0"/>
          <w:type w:val="continuous"/>
        </w:sectPr>
      </w:pP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 REVENUE RECOGNITION</w:t>
      </w:r>
    </w:p>
    <w:p>
      <w:pPr>
        <w:spacing w:after="0" w:line="169"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We disaggregate our revenue from contracts with customers for our Installation segment by end market and product, as we believe it best depicts how the nature, amount, timing and uncertainty of our revenue and cash flows are affected by economic factors. Revenues for distribution and manufacturing operations are included in the Other category and are presented net of</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INSTALLED BUILDING PRODUCTS,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intercompany sales in the tables below. The following tables present our net revenues disaggregated by end market and product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6"/>
          </w:tcPr>
          <w:p>
            <w:pPr>
              <w:jc w:val="right"/>
              <w:ind w:right="340"/>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Installation:</w:t>
            </w: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2026</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2025</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4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Residential new construction</w:t>
            </w:r>
          </w:p>
        </w:tc>
        <w:tc>
          <w:tcPr>
            <w:tcW w:w="480" w:type="dxa"/>
            <w:vAlign w:val="bottom"/>
            <w:gridSpan w:val="2"/>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72 %</w:t>
            </w:r>
          </w:p>
        </w:tc>
        <w:tc>
          <w:tcPr>
            <w:tcW w:w="0" w:type="dxa"/>
            <w:vAlign w:val="bottom"/>
          </w:tcPr>
          <w:p>
            <w:pPr>
              <w:spacing w:after="0"/>
              <w:rPr>
                <w:sz w:val="1"/>
                <w:szCs w:val="1"/>
                <w:color w:val="auto"/>
              </w:rPr>
            </w:pPr>
          </w:p>
        </w:tc>
      </w:tr>
      <w:tr>
        <w:trPr>
          <w:trHeight w:val="219"/>
        </w:trPr>
        <w:tc>
          <w:tcPr>
            <w:tcW w:w="6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Repair and remodel</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0" w:type="dxa"/>
            <w:vAlign w:val="bottom"/>
          </w:tcPr>
          <w:p>
            <w:pPr>
              <w:spacing w:after="0"/>
              <w:rPr>
                <w:sz w:val="1"/>
                <w:szCs w:val="1"/>
                <w:color w:val="auto"/>
              </w:rPr>
            </w:pPr>
          </w:p>
        </w:tc>
      </w:tr>
      <w:tr>
        <w:trPr>
          <w:trHeight w:val="219"/>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Commercial</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125.4</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0" w:type="dxa"/>
            <w:vAlign w:val="bottom"/>
          </w:tcPr>
          <w:p>
            <w:pPr>
              <w:spacing w:after="0"/>
              <w:rPr>
                <w:sz w:val="1"/>
                <w:szCs w:val="1"/>
                <w:color w:val="auto"/>
              </w:rPr>
            </w:pPr>
          </w:p>
        </w:tc>
      </w:tr>
      <w:tr>
        <w:trPr>
          <w:trHeight w:val="212"/>
        </w:trPr>
        <w:tc>
          <w:tcPr>
            <w:tcW w:w="6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Net revenue, Installation</w:t>
            </w:r>
          </w:p>
        </w:tc>
        <w:tc>
          <w:tcPr>
            <w:tcW w:w="480" w:type="dxa"/>
            <w:vAlign w:val="bottom"/>
            <w:tcBorders>
              <w:top w:val="single" w:sz="8" w:color="auto"/>
            </w:tcBorders>
            <w:gridSpan w:val="2"/>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609.8</w:t>
            </w:r>
          </w:p>
        </w:tc>
        <w:tc>
          <w:tcPr>
            <w:tcW w:w="10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92 %</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647.2</w:t>
            </w:r>
          </w:p>
        </w:tc>
        <w:tc>
          <w:tcPr>
            <w:tcW w:w="10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95 %</w:t>
            </w:r>
          </w:p>
        </w:tc>
        <w:tc>
          <w:tcPr>
            <w:tcW w:w="0" w:type="dxa"/>
            <w:vAlign w:val="bottom"/>
          </w:tcPr>
          <w:p>
            <w:pPr>
              <w:spacing w:after="0"/>
              <w:rPr>
                <w:sz w:val="1"/>
                <w:szCs w:val="1"/>
                <w:color w:val="auto"/>
              </w:rPr>
            </w:pPr>
          </w:p>
        </w:tc>
      </w:tr>
      <w:tr>
        <w:trPr>
          <w:trHeight w:val="21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0" w:type="dxa"/>
            <w:vAlign w:val="bottom"/>
          </w:tcPr>
          <w:p>
            <w:pPr>
              <w:spacing w:after="0"/>
              <w:rPr>
                <w:sz w:val="1"/>
                <w:szCs w:val="1"/>
                <w:color w:val="auto"/>
              </w:rPr>
            </w:pPr>
          </w:p>
        </w:tc>
      </w:tr>
      <w:tr>
        <w:trPr>
          <w:trHeight w:val="212"/>
        </w:trPr>
        <w:tc>
          <w:tcPr>
            <w:tcW w:w="6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Net revenue, as reported</w:t>
            </w:r>
          </w:p>
        </w:tc>
        <w:tc>
          <w:tcPr>
            <w:tcW w:w="480" w:type="dxa"/>
            <w:vAlign w:val="bottom"/>
            <w:tcBorders>
              <w:bottom w:val="single" w:sz="8" w:color="auto"/>
            </w:tcBorders>
            <w:gridSpan w:val="2"/>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660.5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684.8</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6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340"/>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Installation:</w:t>
            </w:r>
          </w:p>
        </w:tc>
        <w:tc>
          <w:tcPr>
            <w:tcW w:w="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2026</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2025</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4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Insulation</w:t>
            </w:r>
          </w:p>
        </w:tc>
        <w:tc>
          <w:tcPr>
            <w:tcW w:w="480" w:type="dxa"/>
            <w:vAlign w:val="bottom"/>
            <w:gridSpan w:val="2"/>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61 %</w:t>
            </w:r>
          </w:p>
        </w:tc>
        <w:tc>
          <w:tcPr>
            <w:tcW w:w="0" w:type="dxa"/>
            <w:vAlign w:val="bottom"/>
          </w:tcPr>
          <w:p>
            <w:pPr>
              <w:spacing w:after="0"/>
              <w:rPr>
                <w:sz w:val="1"/>
                <w:szCs w:val="1"/>
                <w:color w:val="auto"/>
              </w:rPr>
            </w:pPr>
          </w:p>
        </w:tc>
      </w:tr>
      <w:tr>
        <w:trPr>
          <w:trHeight w:val="219"/>
        </w:trPr>
        <w:tc>
          <w:tcPr>
            <w:tcW w:w="6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Shower doors, shelving and mirrors</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0" w:type="dxa"/>
            <w:vAlign w:val="bottom"/>
          </w:tcPr>
          <w:p>
            <w:pPr>
              <w:spacing w:after="0"/>
              <w:rPr>
                <w:sz w:val="1"/>
                <w:szCs w:val="1"/>
                <w:color w:val="auto"/>
              </w:rPr>
            </w:pPr>
          </w:p>
        </w:tc>
      </w:tr>
      <w:tr>
        <w:trPr>
          <w:trHeight w:val="219"/>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Waterproofing</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0" w:type="dxa"/>
            <w:vAlign w:val="bottom"/>
          </w:tcPr>
          <w:p>
            <w:pPr>
              <w:spacing w:after="0"/>
              <w:rPr>
                <w:sz w:val="1"/>
                <w:szCs w:val="1"/>
                <w:color w:val="auto"/>
              </w:rPr>
            </w:pPr>
          </w:p>
        </w:tc>
      </w:tr>
      <w:tr>
        <w:trPr>
          <w:trHeight w:val="219"/>
        </w:trPr>
        <w:tc>
          <w:tcPr>
            <w:tcW w:w="6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Garage doors</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0" w:type="dxa"/>
            <w:vAlign w:val="bottom"/>
          </w:tcPr>
          <w:p>
            <w:pPr>
              <w:spacing w:after="0"/>
              <w:rPr>
                <w:sz w:val="1"/>
                <w:szCs w:val="1"/>
                <w:color w:val="auto"/>
              </w:rPr>
            </w:pPr>
          </w:p>
        </w:tc>
      </w:tr>
      <w:tr>
        <w:trPr>
          <w:trHeight w:val="219"/>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Fireproofing/firestopping</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0" w:type="dxa"/>
            <w:vAlign w:val="bottom"/>
          </w:tcPr>
          <w:p>
            <w:pPr>
              <w:spacing w:after="0"/>
              <w:rPr>
                <w:sz w:val="1"/>
                <w:szCs w:val="1"/>
                <w:color w:val="auto"/>
              </w:rPr>
            </w:pPr>
          </w:p>
        </w:tc>
      </w:tr>
      <w:tr>
        <w:trPr>
          <w:trHeight w:val="219"/>
        </w:trPr>
        <w:tc>
          <w:tcPr>
            <w:tcW w:w="6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Rain gutters</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0" w:type="dxa"/>
            <w:vAlign w:val="bottom"/>
          </w:tcPr>
          <w:p>
            <w:pPr>
              <w:spacing w:after="0"/>
              <w:rPr>
                <w:sz w:val="1"/>
                <w:szCs w:val="1"/>
                <w:color w:val="auto"/>
              </w:rPr>
            </w:pPr>
          </w:p>
        </w:tc>
      </w:tr>
      <w:tr>
        <w:trPr>
          <w:trHeight w:val="219"/>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Window blinds</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0" w:type="dxa"/>
            <w:vAlign w:val="bottom"/>
          </w:tcPr>
          <w:p>
            <w:pPr>
              <w:spacing w:after="0"/>
              <w:rPr>
                <w:sz w:val="1"/>
                <w:szCs w:val="1"/>
                <w:color w:val="auto"/>
              </w:rPr>
            </w:pPr>
          </w:p>
        </w:tc>
      </w:tr>
      <w:tr>
        <w:trPr>
          <w:trHeight w:val="219"/>
        </w:trPr>
        <w:tc>
          <w:tcPr>
            <w:tcW w:w="6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building products</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0" w:type="dxa"/>
            <w:vAlign w:val="bottom"/>
          </w:tcPr>
          <w:p>
            <w:pPr>
              <w:spacing w:after="0"/>
              <w:rPr>
                <w:sz w:val="1"/>
                <w:szCs w:val="1"/>
                <w:color w:val="auto"/>
              </w:rPr>
            </w:pPr>
          </w:p>
        </w:tc>
      </w:tr>
      <w:tr>
        <w:trPr>
          <w:trHeight w:val="212"/>
        </w:trPr>
        <w:tc>
          <w:tcPr>
            <w:tcW w:w="640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revenue, Installation</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609.8</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92 %</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647.2</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95 %</w:t>
            </w:r>
          </w:p>
        </w:tc>
        <w:tc>
          <w:tcPr>
            <w:tcW w:w="0" w:type="dxa"/>
            <w:vAlign w:val="bottom"/>
          </w:tcPr>
          <w:p>
            <w:pPr>
              <w:spacing w:after="0"/>
              <w:rPr>
                <w:sz w:val="1"/>
                <w:szCs w:val="1"/>
                <w:color w:val="auto"/>
              </w:rPr>
            </w:pPr>
          </w:p>
        </w:tc>
      </w:tr>
      <w:tr>
        <w:trPr>
          <w:trHeight w:val="219"/>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50.7</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0" w:type="dxa"/>
            <w:vAlign w:val="bottom"/>
          </w:tcPr>
          <w:p>
            <w:pPr>
              <w:spacing w:after="0"/>
              <w:rPr>
                <w:sz w:val="1"/>
                <w:szCs w:val="1"/>
                <w:color w:val="auto"/>
              </w:rPr>
            </w:pPr>
          </w:p>
        </w:tc>
      </w:tr>
      <w:tr>
        <w:trPr>
          <w:trHeight w:val="237"/>
        </w:trPr>
        <w:tc>
          <w:tcPr>
            <w:tcW w:w="64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revenue, as reported</w:t>
            </w:r>
          </w:p>
        </w:tc>
        <w:tc>
          <w:tcPr>
            <w:tcW w:w="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660.5</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684.8</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Contract Assets and Liabilities</w:t>
      </w:r>
    </w:p>
    <w:p>
      <w:pPr>
        <w:spacing w:after="0" w:line="165"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7"/>
          <w:szCs w:val="17"/>
          <w:color w:val="auto"/>
        </w:rPr>
        <w:t>Our contract assets consist of unbilled amounts typically resulting from sales under contracts when the cost-to-cost method of revenue recognition is utilized and revenue recognized, based on costs incurred, exceeds the amount billed to the customer. Our contract assets are recorded in other current assets in our Condensed Consolidated Balance Sheets. Our contract liabilities consist of customer deposits and billings in excess of revenue recognized, based on costs incurred and are included in other current liabilities in our Condensed Consolidated Balance Sheets.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2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Contract assets and liabilities related to our uncompleted contracts and customer deposits were as follows (in millions):</w:t>
            </w: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5"/>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March 31, 2026</w:t>
            </w:r>
          </w:p>
        </w:tc>
        <w:tc>
          <w:tcPr>
            <w:tcW w:w="200" w:type="dxa"/>
            <w:vAlign w:val="bottom"/>
          </w:tcPr>
          <w:p>
            <w:pPr>
              <w:spacing w:after="0"/>
              <w:rPr>
                <w:sz w:val="24"/>
                <w:szCs w:val="24"/>
                <w:color w:val="auto"/>
              </w:rPr>
            </w:pPr>
          </w:p>
        </w:tc>
        <w:tc>
          <w:tcPr>
            <w:tcW w:w="178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December 31, 2025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 assets</w:t>
            </w:r>
          </w:p>
        </w:tc>
        <w:tc>
          <w:tcPr>
            <w:tcW w:w="25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Contract liabilities</w:t>
            </w:r>
          </w:p>
        </w:tc>
        <w:tc>
          <w:tcPr>
            <w:tcW w:w="2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0" w:type="dxa"/>
            <w:vAlign w:val="bottom"/>
          </w:tcPr>
          <w:p>
            <w:pPr>
              <w:spacing w:after="0"/>
              <w:rPr>
                <w:sz w:val="1"/>
                <w:szCs w:val="1"/>
                <w:color w:val="auto"/>
              </w:rPr>
            </w:pPr>
          </w:p>
        </w:tc>
      </w:tr>
      <w:tr>
        <w:trPr>
          <w:trHeight w:val="448"/>
        </w:trPr>
        <w:tc>
          <w:tcPr>
            <w:tcW w:w="4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Uncompleted contracts were as follows (in millions):</w:t>
            </w:r>
          </w:p>
        </w:tc>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March 31, 2026</w:t>
            </w:r>
          </w:p>
        </w:tc>
        <w:tc>
          <w:tcPr>
            <w:tcW w:w="200" w:type="dxa"/>
            <w:vAlign w:val="bottom"/>
          </w:tcPr>
          <w:p>
            <w:pPr>
              <w:spacing w:after="0"/>
              <w:rPr>
                <w:sz w:val="24"/>
                <w:szCs w:val="24"/>
                <w:color w:val="auto"/>
              </w:rPr>
            </w:pPr>
          </w:p>
        </w:tc>
        <w:tc>
          <w:tcPr>
            <w:tcW w:w="178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December 31, 2025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 incurred on uncompleted contracts</w:t>
            </w:r>
          </w:p>
        </w:tc>
        <w:tc>
          <w:tcPr>
            <w:tcW w:w="25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Estimated earnings</w:t>
            </w:r>
          </w:p>
        </w:tc>
        <w:tc>
          <w:tcPr>
            <w:tcW w:w="25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Billings to date</w:t>
            </w:r>
          </w:p>
        </w:tc>
        <w:tc>
          <w:tcPr>
            <w:tcW w:w="25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366.7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under billings</w:t>
            </w:r>
          </w:p>
        </w:tc>
        <w:tc>
          <w:tcPr>
            <w:tcW w:w="25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bottom w:val="single" w:sz="8" w:color="CCEEFF"/>
            </w:tcBorders>
            <w:vMerge w:val="restart"/>
          </w:tcPr>
          <w:p>
            <w:pPr>
              <w:jc w:val="right"/>
              <w:ind w:right="1454"/>
              <w:spacing w:after="0"/>
              <w:rPr>
                <w:sz w:val="20"/>
                <w:szCs w:val="20"/>
                <w:color w:val="auto"/>
              </w:rPr>
            </w:pPr>
            <w:r>
              <w:rPr>
                <w:rFonts w:ascii="Times New Roman" w:cs="Times New Roman" w:eastAsia="Times New Roman" w:hAnsi="Times New Roman"/>
                <w:sz w:val="17"/>
                <w:szCs w:val="17"/>
                <w:color w:val="auto"/>
              </w:rPr>
              <w:t>8</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6"/>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4600" w:type="dxa"/>
            <w:vAlign w:val="bottom"/>
            <w:tcBorders>
              <w:bottom w:val="single" w:sz="8" w:color="9A9A9A"/>
            </w:tcBorders>
          </w:tcPr>
          <w:p>
            <w:pPr>
              <w:spacing w:after="0"/>
              <w:rPr>
                <w:sz w:val="9"/>
                <w:szCs w:val="9"/>
                <w:color w:val="auto"/>
              </w:rPr>
            </w:pPr>
          </w:p>
        </w:tc>
        <w:tc>
          <w:tcPr>
            <w:tcW w:w="25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INSTALLED BUILDING PRODUCTS,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under billings were as follows (in millions):</w:t>
            </w:r>
          </w:p>
        </w:tc>
        <w:tc>
          <w:tcPr>
            <w:tcW w:w="1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335"/>
        </w:trPr>
        <w:tc>
          <w:tcPr>
            <w:tcW w:w="20" w:type="dxa"/>
            <w:vAlign w:val="bottom"/>
          </w:tcPr>
          <w:p>
            <w:pPr>
              <w:spacing w:after="0"/>
              <w:rPr>
                <w:sz w:val="24"/>
                <w:szCs w:val="24"/>
                <w:color w:val="auto"/>
              </w:rPr>
            </w:pPr>
          </w:p>
        </w:tc>
        <w:tc>
          <w:tcPr>
            <w:tcW w:w="7180" w:type="dxa"/>
            <w:vAlign w:val="bottom"/>
            <w:tcBorders>
              <w:bottom w:val="single" w:sz="8" w:color="CCEEFF"/>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March 31, 2026</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December 31, 2025</w:t>
            </w:r>
          </w:p>
        </w:tc>
      </w:tr>
      <w:tr>
        <w:trPr>
          <w:trHeight w:val="212"/>
        </w:trPr>
        <w:tc>
          <w:tcPr>
            <w:tcW w:w="20" w:type="dxa"/>
            <w:vAlign w:val="bottom"/>
          </w:tcPr>
          <w:p>
            <w:pPr>
              <w:spacing w:after="0"/>
              <w:rPr>
                <w:sz w:val="18"/>
                <w:szCs w:val="18"/>
                <w:color w:val="auto"/>
              </w:rPr>
            </w:pPr>
          </w:p>
        </w:tc>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 and estimated earnings in excess of billings on uncompleted contracts (contract assets)</w:t>
            </w:r>
          </w:p>
        </w:tc>
        <w:tc>
          <w:tcPr>
            <w:tcW w:w="1520" w:type="dxa"/>
            <w:vAlign w:val="bottom"/>
            <w:shd w:val="clear" w:color="auto" w:fill="CCEEFF"/>
          </w:tcPr>
          <w:p>
            <w:pPr>
              <w:jc w:val="right"/>
              <w:ind w:right="1334"/>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center"/>
              <w:ind w:left="1234"/>
              <w:spacing w:after="0"/>
              <w:rPr>
                <w:sz w:val="20"/>
                <w:szCs w:val="20"/>
                <w:color w:val="auto"/>
              </w:rPr>
            </w:pPr>
            <w:r>
              <w:rPr>
                <w:rFonts w:ascii="Times New Roman" w:cs="Times New Roman" w:eastAsia="Times New Roman" w:hAnsi="Times New Roman"/>
                <w:sz w:val="17"/>
                <w:szCs w:val="17"/>
                <w:color w:val="auto"/>
              </w:rPr>
              <w:t>27.3</w:t>
            </w:r>
          </w:p>
        </w:tc>
      </w:tr>
      <w:tr>
        <w:trPr>
          <w:trHeight w:val="219"/>
        </w:trPr>
        <w:tc>
          <w:tcPr>
            <w:tcW w:w="20" w:type="dxa"/>
            <w:vAlign w:val="bottom"/>
          </w:tcPr>
          <w:p>
            <w:pPr>
              <w:spacing w:after="0"/>
              <w:rPr>
                <w:sz w:val="19"/>
                <w:szCs w:val="19"/>
                <w:color w:val="auto"/>
              </w:rPr>
            </w:pPr>
          </w:p>
        </w:tc>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Billings in excess of costs and estimated earnings on uncompleted contracts (contract liabilities)</w:t>
            </w:r>
          </w:p>
        </w:tc>
        <w:tc>
          <w:tcPr>
            <w:tcW w:w="15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center"/>
              <w:ind w:left="1214"/>
              <w:spacing w:after="0"/>
              <w:rPr>
                <w:sz w:val="20"/>
                <w:szCs w:val="20"/>
                <w:color w:val="auto"/>
              </w:rPr>
            </w:pPr>
            <w:r>
              <w:rPr>
                <w:rFonts w:ascii="Times New Roman" w:cs="Times New Roman" w:eastAsia="Times New Roman" w:hAnsi="Times New Roman"/>
                <w:sz w:val="17"/>
                <w:szCs w:val="17"/>
                <w:color w:val="auto"/>
                <w:w w:val="97"/>
              </w:rPr>
              <w:t>(10.6)</w:t>
            </w:r>
          </w:p>
        </w:tc>
      </w:tr>
      <w:tr>
        <w:trPr>
          <w:trHeight w:val="237"/>
        </w:trPr>
        <w:tc>
          <w:tcPr>
            <w:tcW w:w="20" w:type="dxa"/>
            <w:vAlign w:val="bottom"/>
          </w:tcPr>
          <w:p>
            <w:pPr>
              <w:spacing w:after="0"/>
              <w:rPr>
                <w:sz w:val="20"/>
                <w:szCs w:val="20"/>
                <w:color w:val="auto"/>
              </w:rPr>
            </w:pPr>
          </w:p>
        </w:tc>
        <w:tc>
          <w:tcPr>
            <w:tcW w:w="71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under billings</w:t>
            </w:r>
          </w:p>
        </w:tc>
        <w:tc>
          <w:tcPr>
            <w:tcW w:w="1520" w:type="dxa"/>
            <w:vAlign w:val="bottom"/>
            <w:tcBorders>
              <w:bottom w:val="single" w:sz="8" w:color="auto"/>
            </w:tcBorders>
            <w:shd w:val="clear" w:color="auto" w:fill="CCEEFF"/>
          </w:tcPr>
          <w:p>
            <w:pPr>
              <w:jc w:val="right"/>
              <w:ind w:right="1334"/>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shd w:val="clear" w:color="auto" w:fill="CCEEFF"/>
          </w:tcPr>
          <w:p>
            <w:pPr>
              <w:jc w:val="center"/>
              <w:ind w:left="1234"/>
              <w:spacing w:after="0"/>
              <w:rPr>
                <w:sz w:val="20"/>
                <w:szCs w:val="20"/>
                <w:color w:val="auto"/>
              </w:rPr>
            </w:pPr>
            <w:r>
              <w:rPr>
                <w:rFonts w:ascii="Times New Roman" w:cs="Times New Roman" w:eastAsia="Times New Roman" w:hAnsi="Times New Roman"/>
                <w:sz w:val="17"/>
                <w:szCs w:val="17"/>
                <w:color w:val="auto"/>
              </w:rPr>
              <w:t>16.7</w:t>
            </w:r>
          </w:p>
        </w:tc>
      </w:tr>
      <w:tr>
        <w:trPr>
          <w:trHeight w:val="20"/>
        </w:trPr>
        <w:tc>
          <w:tcPr>
            <w:tcW w:w="20" w:type="dxa"/>
            <w:vAlign w:val="bottom"/>
          </w:tcPr>
          <w:p>
            <w:pPr>
              <w:spacing w:after="0" w:line="20" w:lineRule="exact"/>
              <w:rPr>
                <w:sz w:val="1"/>
                <w:szCs w:val="1"/>
                <w:color w:val="auto"/>
              </w:rPr>
            </w:pPr>
          </w:p>
        </w:tc>
        <w:tc>
          <w:tcPr>
            <w:tcW w:w="71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The difference between contract assets and contract liabilities as of March 31, 2026 compared to December 31, 2025 is primarily the result of timing differences between our performance of obligations under contracts and customer payments and billings. During the three months ended March 31, 2026, we recognized $17.3 million of revenue that was included in the contract liability balance at December 31, 2025. We did not recognize any impairment losses on our contract assets during the three months ended March 31, 2026 or 2025.</w:t>
      </w:r>
    </w:p>
    <w:p>
      <w:pPr>
        <w:spacing w:after="0" w:line="120"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7"/>
          <w:szCs w:val="17"/>
          <w:color w:val="auto"/>
        </w:rPr>
        <w:t>Remaining performance obligations represent the transaction price of contracts for which work has not been performed and excludes unexercised contract options and potential modifications. As of March 31, 2026, the aggregate amount of the transaction price allocated to remaining uncompleted contracts was $168.3 million. We expect to satisfy remaining performance obligations and recognize revenue on substantially all of these uncompleted contracts over the next 18 months.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 CREDIT LOSSES</w:t>
      </w:r>
    </w:p>
    <w:p>
      <w:pPr>
        <w:spacing w:after="0" w:line="169" w:lineRule="exact"/>
        <w:rPr>
          <w:sz w:val="20"/>
          <w:szCs w:val="20"/>
          <w:color w:val="auto"/>
        </w:rPr>
      </w:pPr>
    </w:p>
    <w:p>
      <w:pPr>
        <w:ind w:right="640"/>
        <w:spacing w:after="0" w:line="270" w:lineRule="auto"/>
        <w:rPr>
          <w:sz w:val="20"/>
          <w:szCs w:val="20"/>
          <w:color w:val="auto"/>
        </w:rPr>
      </w:pPr>
      <w:r>
        <w:rPr>
          <w:rFonts w:ascii="Times New Roman" w:cs="Times New Roman" w:eastAsia="Times New Roman" w:hAnsi="Times New Roman"/>
          <w:sz w:val="17"/>
          <w:szCs w:val="17"/>
          <w:color w:val="auto"/>
        </w:rPr>
        <w:t>Our expected loss allowance methodology for accounts receivable is developed using historical experience, present economic conditions and other factors management considers relevant to estimate expected credit losses. We also perform ongoing evaluations of creditworthiness of our existing and potential customers.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Changes in our allowance for credit losses were as follows (in millions):</w:t>
            </w: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16"/>
        </w:trPr>
        <w:tc>
          <w:tcPr>
            <w:tcW w:w="20" w:type="dxa"/>
            <w:vAlign w:val="bottom"/>
          </w:tcPr>
          <w:p>
            <w:pPr>
              <w:spacing w:after="0"/>
              <w:rPr>
                <w:sz w:val="10"/>
                <w:szCs w:val="10"/>
                <w:color w:val="auto"/>
              </w:rPr>
            </w:pPr>
          </w:p>
        </w:tc>
        <w:tc>
          <w:tcPr>
            <w:tcW w:w="9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219"/>
        </w:trPr>
        <w:tc>
          <w:tcPr>
            <w:tcW w:w="20" w:type="dxa"/>
            <w:vAlign w:val="bottom"/>
          </w:tcPr>
          <w:p>
            <w:pPr>
              <w:spacing w:after="0"/>
              <w:rPr>
                <w:sz w:val="19"/>
                <w:szCs w:val="19"/>
                <w:color w:val="auto"/>
              </w:rPr>
            </w:pPr>
          </w:p>
        </w:tc>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January 1, 2026</w:t>
            </w:r>
          </w:p>
        </w:tc>
        <w:tc>
          <w:tcPr>
            <w:tcW w:w="62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r>
      <w:tr>
        <w:trPr>
          <w:trHeight w:val="219"/>
        </w:trPr>
        <w:tc>
          <w:tcPr>
            <w:tcW w:w="20" w:type="dxa"/>
            <w:vAlign w:val="bottom"/>
          </w:tcPr>
          <w:p>
            <w:pPr>
              <w:spacing w:after="0"/>
              <w:rPr>
                <w:sz w:val="19"/>
                <w:szCs w:val="19"/>
                <w:color w:val="auto"/>
              </w:rPr>
            </w:pPr>
          </w:p>
        </w:tc>
        <w:tc>
          <w:tcPr>
            <w:tcW w:w="96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Current period provision</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19"/>
        </w:trPr>
        <w:tc>
          <w:tcPr>
            <w:tcW w:w="20" w:type="dxa"/>
            <w:vAlign w:val="bottom"/>
          </w:tcPr>
          <w:p>
            <w:pPr>
              <w:spacing w:after="0"/>
              <w:rPr>
                <w:sz w:val="19"/>
                <w:szCs w:val="19"/>
                <w:color w:val="auto"/>
              </w:rPr>
            </w:pPr>
          </w:p>
        </w:tc>
        <w:tc>
          <w:tcPr>
            <w:tcW w:w="9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Recoveries collected and additions</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19"/>
        </w:trPr>
        <w:tc>
          <w:tcPr>
            <w:tcW w:w="20" w:type="dxa"/>
            <w:vAlign w:val="bottom"/>
          </w:tcPr>
          <w:p>
            <w:pPr>
              <w:spacing w:after="0"/>
              <w:rPr>
                <w:sz w:val="19"/>
                <w:szCs w:val="19"/>
                <w:color w:val="auto"/>
              </w:rPr>
            </w:pPr>
          </w:p>
        </w:tc>
        <w:tc>
          <w:tcPr>
            <w:tcW w:w="96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Amounts written off</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37"/>
        </w:trPr>
        <w:tc>
          <w:tcPr>
            <w:tcW w:w="20" w:type="dxa"/>
            <w:vAlign w:val="bottom"/>
          </w:tcPr>
          <w:p>
            <w:pPr>
              <w:spacing w:after="0"/>
              <w:rPr>
                <w:sz w:val="20"/>
                <w:szCs w:val="20"/>
                <w:color w:val="auto"/>
              </w:rPr>
            </w:pPr>
          </w:p>
        </w:tc>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March 31, 2026</w:t>
            </w:r>
          </w:p>
        </w:tc>
        <w:tc>
          <w:tcPr>
            <w:tcW w:w="620" w:type="dxa"/>
            <w:vAlign w:val="bottom"/>
            <w:tcBorders>
              <w:bottom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r>
      <w:tr>
        <w:trPr>
          <w:trHeight w:val="20"/>
        </w:trPr>
        <w:tc>
          <w:tcPr>
            <w:tcW w:w="20" w:type="dxa"/>
            <w:vAlign w:val="bottom"/>
          </w:tcPr>
          <w:p>
            <w:pPr>
              <w:spacing w:after="0" w:line="20" w:lineRule="exact"/>
              <w:rPr>
                <w:sz w:val="1"/>
                <w:szCs w:val="1"/>
                <w:color w:val="auto"/>
              </w:rPr>
            </w:pPr>
          </w:p>
        </w:tc>
        <w:tc>
          <w:tcPr>
            <w:tcW w:w="96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 CASH AND CASH EQUIVALENTS</w:t>
      </w:r>
    </w:p>
    <w:p>
      <w:pPr>
        <w:spacing w:after="0" w:line="16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Cash and cash equivalents include money market funds which are highly liquid instruments with insignificant interest rate risk and original or remaining maturities of three months or less at the time of purchase. These money market funds amounted to approximately $392.6 million and $278.8 million as of March 31, 2026 and December 31, 2025, respectively. See Note 9, Fair Value Measurements, for additional information.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INSTALLED BUILDING PRODUCTS,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NOTE 6 - GOODWILL AND INTANGIBLES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22"/>
        </w:trPr>
        <w:tc>
          <w:tcPr>
            <w:tcW w:w="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w w:val="99"/>
              </w:rPr>
              <w:t>Goodwill</w:t>
            </w:r>
          </w:p>
        </w:tc>
        <w:tc>
          <w:tcPr>
            <w:tcW w:w="6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80"/>
        </w:trPr>
        <w:tc>
          <w:tcPr>
            <w:tcW w:w="67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 change in carrying amount of goodwill by reporting segment was as follows (in millions):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Installation</w:t>
            </w:r>
          </w:p>
        </w:tc>
        <w:tc>
          <w:tcPr>
            <w:tcW w:w="320" w:type="dxa"/>
            <w:vAlign w:val="bottom"/>
          </w:tcPr>
          <w:p>
            <w:pPr>
              <w:spacing w:after="0"/>
              <w:rPr>
                <w:sz w:val="24"/>
                <w:szCs w:val="24"/>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Pr>
          <w:p>
            <w:pPr>
              <w:spacing w:after="0"/>
              <w:rPr>
                <w:sz w:val="24"/>
                <w:szCs w:val="24"/>
                <w:color w:val="auto"/>
              </w:rPr>
            </w:pPr>
          </w:p>
        </w:tc>
        <w:tc>
          <w:tcPr>
            <w:tcW w:w="12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Consolidated</w:t>
            </w:r>
          </w:p>
        </w:tc>
      </w:tr>
      <w:tr>
        <w:trPr>
          <w:trHeight w:val="212"/>
        </w:trPr>
        <w:tc>
          <w:tcPr>
            <w:tcW w:w="20" w:type="dxa"/>
            <w:vAlign w:val="bottom"/>
          </w:tcPr>
          <w:p>
            <w:pPr>
              <w:spacing w:after="0"/>
              <w:rPr>
                <w:sz w:val="18"/>
                <w:szCs w:val="18"/>
                <w:color w:val="auto"/>
              </w:rPr>
            </w:pPr>
          </w:p>
        </w:tc>
        <w:tc>
          <w:tcPr>
            <w:tcW w:w="67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 (gross) - January 1, 2026</w:t>
            </w: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409.7</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520.4</w:t>
            </w:r>
          </w:p>
        </w:tc>
      </w:tr>
      <w:tr>
        <w:trPr>
          <w:trHeight w:val="219"/>
        </w:trPr>
        <w:tc>
          <w:tcPr>
            <w:tcW w:w="20" w:type="dxa"/>
            <w:vAlign w:val="bottom"/>
          </w:tcPr>
          <w:p>
            <w:pPr>
              <w:spacing w:after="0"/>
              <w:rPr>
                <w:sz w:val="19"/>
                <w:szCs w:val="19"/>
                <w:color w:val="auto"/>
              </w:rPr>
            </w:pPr>
          </w:p>
        </w:tc>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Business combinations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12"/>
        </w:trPr>
        <w:tc>
          <w:tcPr>
            <w:tcW w:w="20" w:type="dxa"/>
            <w:vAlign w:val="bottom"/>
          </w:tcPr>
          <w:p>
            <w:pPr>
              <w:spacing w:after="0"/>
              <w:rPr>
                <w:sz w:val="18"/>
                <w:szCs w:val="18"/>
                <w:color w:val="auto"/>
              </w:rPr>
            </w:pPr>
          </w:p>
        </w:tc>
        <w:tc>
          <w:tcPr>
            <w:tcW w:w="67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 (gross) - March 31, 2026</w:t>
            </w: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420.1</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530.8</w:t>
            </w:r>
          </w:p>
        </w:tc>
      </w:tr>
      <w:tr>
        <w:trPr>
          <w:trHeight w:val="219"/>
        </w:trPr>
        <w:tc>
          <w:tcPr>
            <w:tcW w:w="20" w:type="dxa"/>
            <w:vAlign w:val="bottom"/>
          </w:tcPr>
          <w:p>
            <w:pPr>
              <w:spacing w:after="0"/>
              <w:rPr>
                <w:sz w:val="19"/>
                <w:szCs w:val="19"/>
                <w:color w:val="auto"/>
              </w:rPr>
            </w:pPr>
          </w:p>
        </w:tc>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Accumulated impairment losses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w:t>
            </w:r>
          </w:p>
        </w:tc>
      </w:tr>
      <w:tr>
        <w:trPr>
          <w:trHeight w:val="237"/>
        </w:trPr>
        <w:tc>
          <w:tcPr>
            <w:tcW w:w="20" w:type="dxa"/>
            <w:vAlign w:val="bottom"/>
          </w:tcPr>
          <w:p>
            <w:pPr>
              <w:spacing w:after="0"/>
              <w:rPr>
                <w:sz w:val="20"/>
                <w:szCs w:val="20"/>
                <w:color w:val="auto"/>
              </w:rPr>
            </w:pPr>
          </w:p>
        </w:tc>
        <w:tc>
          <w:tcPr>
            <w:tcW w:w="67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 (net) - March 31, 2026</w:t>
            </w: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460.8</w:t>
            </w: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ind w:right="280"/>
        <w:spacing w:after="0" w:line="270" w:lineRule="auto"/>
        <w:rPr>
          <w:sz w:val="20"/>
          <w:szCs w:val="20"/>
          <w:color w:val="auto"/>
        </w:rPr>
      </w:pPr>
      <w:r>
        <w:rPr>
          <w:rFonts w:ascii="Times New Roman" w:cs="Times New Roman" w:eastAsia="Times New Roman" w:hAnsi="Times New Roman"/>
          <w:sz w:val="17"/>
          <w:szCs w:val="17"/>
          <w:color w:val="auto"/>
        </w:rPr>
        <w:t>We test goodwill for impairment annually during the fourth quarter of our fiscal year or earlier if there is an impairment indicator. The accumulated impairment losses included within the above table were all associated with the Installation segment and substantially all of the impairment losses were recorded prior to the year ended December 31, 2010.</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Intangibles, net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the gross carrying amount, accumulated amortization and net book value for each major class of intangibles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9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7"/>
                <w:szCs w:val="17"/>
                <w:color w:val="auto"/>
              </w:rPr>
              <w:t>As of March 31,</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color w:val="auto"/>
              </w:rPr>
              <w:t>As of December 31,</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9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7"/>
                <w:szCs w:val="17"/>
                <w:color w:val="auto"/>
                <w:w w:val="99"/>
              </w:rPr>
              <w:t>2026</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center"/>
              <w:ind w:right="300"/>
              <w:spacing w:after="0" w:line="161" w:lineRule="exact"/>
              <w:rPr>
                <w:sz w:val="20"/>
                <w:szCs w:val="20"/>
                <w:color w:val="auto"/>
              </w:rPr>
            </w:pPr>
            <w:r>
              <w:rPr>
                <w:rFonts w:ascii="Times New Roman" w:cs="Times New Roman" w:eastAsia="Times New Roman" w:hAnsi="Times New Roman"/>
                <w:sz w:val="17"/>
                <w:szCs w:val="17"/>
                <w:color w:val="auto"/>
              </w:rPr>
              <w:t>Gross</w:t>
            </w:r>
          </w:p>
        </w:tc>
        <w:tc>
          <w:tcPr>
            <w:tcW w:w="140" w:type="dxa"/>
            <w:vAlign w:val="bottom"/>
          </w:tcPr>
          <w:p>
            <w:pPr>
              <w:spacing w:after="0"/>
              <w:rPr>
                <w:sz w:val="13"/>
                <w:szCs w:val="13"/>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color w:val="auto"/>
                <w:w w:val="99"/>
              </w:rPr>
              <w:t>Accumulated</w:t>
            </w:r>
          </w:p>
        </w:tc>
        <w:tc>
          <w:tcPr>
            <w:tcW w:w="280" w:type="dxa"/>
            <w:vAlign w:val="bottom"/>
          </w:tcPr>
          <w:p>
            <w:pPr>
              <w:spacing w:after="0"/>
              <w:rPr>
                <w:sz w:val="13"/>
                <w:szCs w:val="13"/>
                <w:color w:val="auto"/>
              </w:rPr>
            </w:pPr>
          </w:p>
        </w:tc>
        <w:tc>
          <w:tcPr>
            <w:tcW w:w="1020" w:type="dxa"/>
            <w:vAlign w:val="bottom"/>
          </w:tcPr>
          <w:p>
            <w:pPr>
              <w:jc w:val="center"/>
              <w:ind w:right="194"/>
              <w:spacing w:after="0" w:line="161" w:lineRule="exact"/>
              <w:rPr>
                <w:sz w:val="20"/>
                <w:szCs w:val="20"/>
                <w:color w:val="auto"/>
              </w:rPr>
            </w:pPr>
            <w:r>
              <w:rPr>
                <w:rFonts w:ascii="Times New Roman" w:cs="Times New Roman" w:eastAsia="Times New Roman" w:hAnsi="Times New Roman"/>
                <w:sz w:val="17"/>
                <w:szCs w:val="17"/>
                <w:color w:val="auto"/>
              </w:rPr>
              <w:t>Net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center"/>
              <w:ind w:right="134"/>
              <w:spacing w:after="0" w:line="161" w:lineRule="exact"/>
              <w:rPr>
                <w:sz w:val="20"/>
                <w:szCs w:val="20"/>
                <w:color w:val="auto"/>
              </w:rPr>
            </w:pPr>
            <w:r>
              <w:rPr>
                <w:rFonts w:ascii="Times New Roman" w:cs="Times New Roman" w:eastAsia="Times New Roman" w:hAnsi="Times New Roman"/>
                <w:sz w:val="17"/>
                <w:szCs w:val="17"/>
                <w:color w:val="auto"/>
              </w:rPr>
              <w:t>Gross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7"/>
                <w:szCs w:val="17"/>
                <w:color w:val="auto"/>
              </w:rPr>
              <w:t>Accumulated</w:t>
            </w:r>
          </w:p>
        </w:tc>
        <w:tc>
          <w:tcPr>
            <w:tcW w:w="280" w:type="dxa"/>
            <w:vAlign w:val="bottom"/>
          </w:tcPr>
          <w:p>
            <w:pPr>
              <w:spacing w:after="0"/>
              <w:rPr>
                <w:sz w:val="13"/>
                <w:szCs w:val="13"/>
                <w:color w:val="auto"/>
              </w:rPr>
            </w:pPr>
          </w:p>
        </w:tc>
        <w:tc>
          <w:tcPr>
            <w:tcW w:w="1000" w:type="dxa"/>
            <w:vAlign w:val="bottom"/>
          </w:tcPr>
          <w:p>
            <w:pPr>
              <w:jc w:val="center"/>
              <w:ind w:right="194"/>
              <w:spacing w:after="0" w:line="161" w:lineRule="exact"/>
              <w:rPr>
                <w:sz w:val="20"/>
                <w:szCs w:val="20"/>
                <w:color w:val="auto"/>
              </w:rPr>
            </w:pPr>
            <w:r>
              <w:rPr>
                <w:rFonts w:ascii="Times New Roman" w:cs="Times New Roman" w:eastAsia="Times New Roman" w:hAnsi="Times New Roman"/>
                <w:sz w:val="17"/>
                <w:szCs w:val="17"/>
                <w:color w:val="auto"/>
                <w:w w:val="97"/>
              </w:rPr>
              <w:t>Net</w:t>
            </w:r>
          </w:p>
        </w:tc>
        <w:tc>
          <w:tcPr>
            <w:tcW w:w="0" w:type="dxa"/>
            <w:vAlign w:val="bottom"/>
          </w:tcPr>
          <w:p>
            <w:pPr>
              <w:spacing w:after="0"/>
              <w:rPr>
                <w:sz w:val="1"/>
                <w:szCs w:val="1"/>
                <w:color w:val="auto"/>
              </w:rPr>
            </w:pPr>
          </w:p>
        </w:tc>
      </w:tr>
      <w:tr>
        <w:trPr>
          <w:trHeight w:val="168"/>
        </w:trPr>
        <w:tc>
          <w:tcPr>
            <w:tcW w:w="2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320"/>
              <w:spacing w:after="0" w:line="167" w:lineRule="exact"/>
              <w:rPr>
                <w:sz w:val="20"/>
                <w:szCs w:val="20"/>
                <w:color w:val="auto"/>
              </w:rPr>
            </w:pPr>
            <w:r>
              <w:rPr>
                <w:rFonts w:ascii="Times New Roman" w:cs="Times New Roman" w:eastAsia="Times New Roman" w:hAnsi="Times New Roman"/>
                <w:sz w:val="17"/>
                <w:szCs w:val="17"/>
                <w:color w:val="auto"/>
              </w:rPr>
              <w:t>Carrying</w:t>
            </w: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center"/>
              <w:ind w:right="380"/>
              <w:spacing w:after="0" w:line="167" w:lineRule="exact"/>
              <w:rPr>
                <w:sz w:val="20"/>
                <w:szCs w:val="20"/>
                <w:color w:val="auto"/>
              </w:rPr>
            </w:pPr>
            <w:r>
              <w:rPr>
                <w:rFonts w:ascii="Times New Roman" w:cs="Times New Roman" w:eastAsia="Times New Roman" w:hAnsi="Times New Roman"/>
                <w:sz w:val="17"/>
                <w:szCs w:val="17"/>
                <w:color w:val="auto"/>
              </w:rPr>
              <w:t>Book</w:t>
            </w:r>
          </w:p>
        </w:tc>
        <w:tc>
          <w:tcPr>
            <w:tcW w:w="220" w:type="dxa"/>
            <w:vAlign w:val="bottom"/>
          </w:tcPr>
          <w:p>
            <w:pPr>
              <w:spacing w:after="0"/>
              <w:rPr>
                <w:sz w:val="14"/>
                <w:szCs w:val="14"/>
                <w:color w:val="auto"/>
              </w:rPr>
            </w:pPr>
          </w:p>
        </w:tc>
        <w:tc>
          <w:tcPr>
            <w:tcW w:w="1060" w:type="dxa"/>
            <w:vAlign w:val="bottom"/>
          </w:tcPr>
          <w:p>
            <w:pPr>
              <w:jc w:val="center"/>
              <w:ind w:right="134"/>
              <w:spacing w:after="0" w:line="167" w:lineRule="exact"/>
              <w:rPr>
                <w:sz w:val="20"/>
                <w:szCs w:val="20"/>
                <w:color w:val="auto"/>
              </w:rPr>
            </w:pPr>
            <w:r>
              <w:rPr>
                <w:rFonts w:ascii="Times New Roman" w:cs="Times New Roman" w:eastAsia="Times New Roman" w:hAnsi="Times New Roman"/>
                <w:sz w:val="17"/>
                <w:szCs w:val="17"/>
                <w:color w:val="auto"/>
                <w:w w:val="99"/>
              </w:rPr>
              <w:t>Carrying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center"/>
              <w:ind w:right="194"/>
              <w:spacing w:after="0" w:line="167" w:lineRule="exact"/>
              <w:rPr>
                <w:sz w:val="20"/>
                <w:szCs w:val="20"/>
                <w:color w:val="auto"/>
              </w:rPr>
            </w:pPr>
            <w:r>
              <w:rPr>
                <w:rFonts w:ascii="Times New Roman" w:cs="Times New Roman" w:eastAsia="Times New Roman" w:hAnsi="Times New Roman"/>
                <w:sz w:val="17"/>
                <w:szCs w:val="17"/>
                <w:color w:val="auto"/>
                <w:w w:val="97"/>
              </w:rPr>
              <w:t>Book</w:t>
            </w:r>
          </w:p>
        </w:tc>
        <w:tc>
          <w:tcPr>
            <w:tcW w:w="0" w:type="dxa"/>
            <w:vAlign w:val="bottom"/>
          </w:tcPr>
          <w:p>
            <w:pPr>
              <w:spacing w:after="0"/>
              <w:rPr>
                <w:sz w:val="1"/>
                <w:szCs w:val="1"/>
                <w:color w:val="auto"/>
              </w:rPr>
            </w:pPr>
          </w:p>
        </w:tc>
      </w:tr>
      <w:tr>
        <w:trPr>
          <w:trHeight w:val="232"/>
        </w:trPr>
        <w:tc>
          <w:tcPr>
            <w:tcW w:w="2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Amount</w:t>
            </w:r>
          </w:p>
        </w:tc>
        <w:tc>
          <w:tcPr>
            <w:tcW w:w="14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9"/>
              </w:rPr>
              <w:t>Amortization</w:t>
            </w:r>
          </w:p>
        </w:tc>
        <w:tc>
          <w:tcPr>
            <w:tcW w:w="280" w:type="dxa"/>
            <w:vAlign w:val="bottom"/>
          </w:tcPr>
          <w:p>
            <w:pPr>
              <w:spacing w:after="0"/>
              <w:rPr>
                <w:sz w:val="20"/>
                <w:szCs w:val="20"/>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color w:val="auto"/>
                <w:w w:val="93"/>
              </w:rPr>
              <w:t>Value</w:t>
            </w:r>
          </w:p>
        </w:tc>
        <w:tc>
          <w:tcPr>
            <w:tcW w:w="220" w:type="dxa"/>
            <w:vAlign w:val="bottom"/>
          </w:tcPr>
          <w:p>
            <w:pPr>
              <w:spacing w:after="0"/>
              <w:rPr>
                <w:sz w:val="20"/>
                <w:szCs w:val="20"/>
                <w:color w:val="auto"/>
              </w:rPr>
            </w:pPr>
          </w:p>
        </w:tc>
        <w:tc>
          <w:tcPr>
            <w:tcW w:w="1060" w:type="dxa"/>
            <w:vAlign w:val="bottom"/>
          </w:tcPr>
          <w:p>
            <w:pPr>
              <w:jc w:val="center"/>
              <w:ind w:right="134"/>
              <w:spacing w:after="0"/>
              <w:rPr>
                <w:sz w:val="20"/>
                <w:szCs w:val="20"/>
                <w:color w:val="auto"/>
              </w:rPr>
            </w:pPr>
            <w:r>
              <w:rPr>
                <w:rFonts w:ascii="Times New Roman" w:cs="Times New Roman" w:eastAsia="Times New Roman" w:hAnsi="Times New Roman"/>
                <w:sz w:val="17"/>
                <w:szCs w:val="17"/>
                <w:color w:val="auto"/>
              </w:rPr>
              <w:t>Amount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Amortization</w:t>
            </w:r>
          </w:p>
        </w:tc>
        <w:tc>
          <w:tcPr>
            <w:tcW w:w="280" w:type="dxa"/>
            <w:vAlign w:val="bottom"/>
          </w:tcPr>
          <w:p>
            <w:pPr>
              <w:spacing w:after="0"/>
              <w:rPr>
                <w:sz w:val="20"/>
                <w:szCs w:val="20"/>
                <w:color w:val="auto"/>
              </w:rPr>
            </w:pPr>
          </w:p>
        </w:tc>
        <w:tc>
          <w:tcPr>
            <w:tcW w:w="1000" w:type="dxa"/>
            <w:vAlign w:val="bottom"/>
          </w:tcPr>
          <w:p>
            <w:pPr>
              <w:jc w:val="center"/>
              <w:ind w:right="194"/>
              <w:spacing w:after="0"/>
              <w:rPr>
                <w:sz w:val="20"/>
                <w:szCs w:val="20"/>
                <w:color w:val="auto"/>
              </w:rPr>
            </w:pPr>
            <w:r>
              <w:rPr>
                <w:rFonts w:ascii="Times New Roman" w:cs="Times New Roman" w:eastAsia="Times New Roman" w:hAnsi="Times New Roman"/>
                <w:sz w:val="17"/>
                <w:szCs w:val="17"/>
                <w:color w:val="auto"/>
                <w:w w:val="98"/>
              </w:rPr>
              <w:t>Value</w:t>
            </w:r>
          </w:p>
        </w:tc>
        <w:tc>
          <w:tcPr>
            <w:tcW w:w="0" w:type="dxa"/>
            <w:vAlign w:val="bottom"/>
          </w:tcPr>
          <w:p>
            <w:pPr>
              <w:spacing w:after="0"/>
              <w:rPr>
                <w:sz w:val="1"/>
                <w:szCs w:val="1"/>
                <w:color w:val="auto"/>
              </w:rPr>
            </w:pPr>
          </w:p>
        </w:tc>
      </w:tr>
      <w:tr>
        <w:trPr>
          <w:trHeight w:val="212"/>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Amortized intangibles:</w:t>
            </w: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Customer relationships</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242.7</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175.1</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235.6</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172.2</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Covenants not-to-compete</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19"/>
        </w:trPr>
        <w:tc>
          <w:tcPr>
            <w:tcW w:w="2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Trademarks, tradenames and other</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83.3</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Backlog</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0" w:type="dxa"/>
            <w:vAlign w:val="bottom"/>
          </w:tcPr>
          <w:p>
            <w:pPr>
              <w:spacing w:after="0"/>
              <w:rPr>
                <w:sz w:val="1"/>
                <w:szCs w:val="1"/>
                <w:color w:val="auto"/>
              </w:rPr>
            </w:pPr>
          </w:p>
        </w:tc>
      </w:tr>
      <w:tr>
        <w:trPr>
          <w:trHeight w:val="212"/>
        </w:trPr>
        <w:tc>
          <w:tcPr>
            <w:tcW w:w="2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intangibles</w:t>
            </w: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629.7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363.2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614.2</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261.5</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The gross carrying amount of intangibles increased $15.5 million during the three months ended March 31, 2026 primarily due to business combinations. For more information on business combinations, see Note 17, Business Combinations.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Remaining estimated aggregate annual amortization expense is as follows (amounts, in millions, are for the fiscal year ended):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2026</w:t>
            </w:r>
          </w:p>
        </w:tc>
        <w:tc>
          <w:tcPr>
            <w:tcW w:w="684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w:t>
            </w:r>
          </w:p>
        </w:tc>
      </w:tr>
      <w:tr>
        <w:trPr>
          <w:trHeight w:val="219"/>
        </w:trPr>
        <w:tc>
          <w:tcPr>
            <w:tcW w:w="20" w:type="dxa"/>
            <w:vAlign w:val="bottom"/>
          </w:tcPr>
          <w:p>
            <w:pPr>
              <w:spacing w:after="0"/>
              <w:rPr>
                <w:sz w:val="19"/>
                <w:szCs w:val="19"/>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68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r>
      <w:tr>
        <w:trPr>
          <w:trHeight w:val="219"/>
        </w:trPr>
        <w:tc>
          <w:tcPr>
            <w:tcW w:w="20" w:type="dxa"/>
            <w:vAlign w:val="bottom"/>
          </w:tcPr>
          <w:p>
            <w:pPr>
              <w:spacing w:after="0"/>
              <w:rPr>
                <w:sz w:val="19"/>
                <w:szCs w:val="19"/>
                <w:color w:val="auto"/>
              </w:rPr>
            </w:pPr>
          </w:p>
        </w:tc>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68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w:t>
            </w:r>
          </w:p>
        </w:tc>
      </w:tr>
      <w:tr>
        <w:trPr>
          <w:trHeight w:val="219"/>
        </w:trPr>
        <w:tc>
          <w:tcPr>
            <w:tcW w:w="20" w:type="dxa"/>
            <w:vAlign w:val="bottom"/>
          </w:tcPr>
          <w:p>
            <w:pPr>
              <w:spacing w:after="0"/>
              <w:rPr>
                <w:sz w:val="19"/>
                <w:szCs w:val="19"/>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68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w:t>
            </w:r>
          </w:p>
        </w:tc>
      </w:tr>
      <w:tr>
        <w:trPr>
          <w:trHeight w:val="219"/>
        </w:trPr>
        <w:tc>
          <w:tcPr>
            <w:tcW w:w="20" w:type="dxa"/>
            <w:vAlign w:val="bottom"/>
          </w:tcPr>
          <w:p>
            <w:pPr>
              <w:spacing w:after="0"/>
              <w:rPr>
                <w:sz w:val="19"/>
                <w:szCs w:val="19"/>
                <w:color w:val="auto"/>
              </w:rPr>
            </w:pPr>
          </w:p>
        </w:tc>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68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w:t>
            </w:r>
          </w:p>
        </w:tc>
      </w:tr>
      <w:tr>
        <w:trPr>
          <w:trHeight w:val="223"/>
        </w:trPr>
        <w:tc>
          <w:tcPr>
            <w:tcW w:w="20" w:type="dxa"/>
            <w:vAlign w:val="bottom"/>
          </w:tcPr>
          <w:p>
            <w:pPr>
              <w:spacing w:after="0"/>
              <w:rPr>
                <w:sz w:val="19"/>
                <w:szCs w:val="19"/>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68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115.1</w:t>
            </w:r>
          </w:p>
        </w:tc>
      </w:tr>
      <w:tr>
        <w:trPr>
          <w:trHeight w:val="860"/>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840" w:type="dxa"/>
            <w:vAlign w:val="bottom"/>
          </w:tcPr>
          <w:p>
            <w:pPr>
              <w:jc w:val="right"/>
              <w:ind w:right="4494"/>
              <w:spacing w:after="0"/>
              <w:rPr>
                <w:sz w:val="20"/>
                <w:szCs w:val="20"/>
                <w:color w:val="auto"/>
              </w:rPr>
            </w:pPr>
            <w:r>
              <w:rPr>
                <w:rFonts w:ascii="Times New Roman" w:cs="Times New Roman" w:eastAsia="Times New Roman" w:hAnsi="Times New Roman"/>
                <w:sz w:val="17"/>
                <w:szCs w:val="17"/>
                <w:color w:val="auto"/>
              </w:rPr>
              <w:t>10</w:t>
            </w:r>
          </w:p>
        </w:tc>
        <w:tc>
          <w:tcPr>
            <w:tcW w:w="960" w:type="dxa"/>
            <w:vAlign w:val="bottom"/>
          </w:tcPr>
          <w:p>
            <w:pPr>
              <w:spacing w:after="0"/>
              <w:rPr>
                <w:sz w:val="24"/>
                <w:szCs w:val="24"/>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3420" w:type="dxa"/>
            <w:vAlign w:val="bottom"/>
            <w:tcBorders>
              <w:bottom w:val="single" w:sz="8" w:color="9A9A9A"/>
            </w:tcBorders>
          </w:tcPr>
          <w:p>
            <w:pPr>
              <w:spacing w:after="0"/>
              <w:rPr>
                <w:sz w:val="9"/>
                <w:szCs w:val="9"/>
                <w:color w:val="auto"/>
              </w:rPr>
            </w:pPr>
          </w:p>
        </w:tc>
        <w:tc>
          <w:tcPr>
            <w:tcW w:w="68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INSTALLED BUILDING PRODUCTS,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2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7 - LONG-TERM DEBT</w:t>
            </w:r>
          </w:p>
        </w:tc>
        <w:tc>
          <w:tcPr>
            <w:tcW w:w="2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61"/>
        </w:trPr>
        <w:tc>
          <w:tcPr>
            <w:tcW w:w="7200" w:type="dxa"/>
            <w:vAlign w:val="bottom"/>
          </w:tcPr>
          <w:p>
            <w:pPr>
              <w:spacing w:after="0"/>
              <w:rPr>
                <w:sz w:val="20"/>
                <w:szCs w:val="20"/>
                <w:color w:val="auto"/>
              </w:rPr>
            </w:pPr>
            <w:r>
              <w:rPr>
                <w:rFonts w:ascii="Times New Roman" w:cs="Times New Roman" w:eastAsia="Times New Roman" w:hAnsi="Times New Roman"/>
                <w:sz w:val="17"/>
                <w:szCs w:val="17"/>
                <w:color w:val="auto"/>
              </w:rPr>
              <w:t>Long-term debt consisted of the following (in millions):</w:t>
            </w: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35"/>
        </w:trPr>
        <w:tc>
          <w:tcPr>
            <w:tcW w:w="7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As of March 31,</w:t>
            </w:r>
          </w:p>
        </w:tc>
        <w:tc>
          <w:tcPr>
            <w:tcW w:w="200" w:type="dxa"/>
            <w:vAlign w:val="bottom"/>
          </w:tcPr>
          <w:p>
            <w:pPr>
              <w:spacing w:after="0"/>
              <w:rPr>
                <w:sz w:val="24"/>
                <w:szCs w:val="24"/>
                <w:color w:val="auto"/>
              </w:rPr>
            </w:pPr>
          </w:p>
        </w:tc>
        <w:tc>
          <w:tcPr>
            <w:tcW w:w="17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As of December 31,</w:t>
            </w:r>
          </w:p>
        </w:tc>
      </w:tr>
      <w:tr>
        <w:trPr>
          <w:trHeight w:val="212"/>
        </w:trPr>
        <w:tc>
          <w:tcPr>
            <w:tcW w:w="72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714"/>
              <w:spacing w:after="0"/>
              <w:rPr>
                <w:sz w:val="20"/>
                <w:szCs w:val="20"/>
                <w:color w:val="auto"/>
              </w:rPr>
            </w:pPr>
            <w:r>
              <w:rPr>
                <w:rFonts w:ascii="Times New Roman" w:cs="Times New Roman" w:eastAsia="Times New Roman" w:hAnsi="Times New Roman"/>
                <w:sz w:val="17"/>
                <w:szCs w:val="17"/>
                <w:color w:val="auto"/>
              </w:rPr>
              <w:t>2026</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714"/>
              <w:spacing w:after="0"/>
              <w:rPr>
                <w:sz w:val="20"/>
                <w:szCs w:val="20"/>
                <w:color w:val="auto"/>
              </w:rPr>
            </w:pPr>
            <w:r>
              <w:rPr>
                <w:rFonts w:ascii="Times New Roman" w:cs="Times New Roman" w:eastAsia="Times New Roman" w:hAnsi="Times New Roman"/>
                <w:sz w:val="17"/>
                <w:szCs w:val="17"/>
                <w:color w:val="auto"/>
              </w:rPr>
              <w:t>2025</w:t>
            </w:r>
          </w:p>
        </w:tc>
      </w:tr>
      <w:tr>
        <w:trPr>
          <w:trHeight w:val="212"/>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 Senior Notes, net of unamortized debt issuance costs of $— and $1.2, respectively</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298.8</w:t>
            </w:r>
          </w:p>
        </w:tc>
      </w:tr>
      <w:tr>
        <w:trPr>
          <w:trHeight w:val="219"/>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2034 Senior Notes, net of unamortized debt issuance costs of $7.4 and $—, respectively</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 net of unamortized debt issuance costs of $3.0 and $3.1, respectively</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488.1</w:t>
            </w:r>
          </w:p>
        </w:tc>
      </w:tr>
      <w:tr>
        <w:trPr>
          <w:trHeight w:val="168"/>
        </w:trPr>
        <w:tc>
          <w:tcPr>
            <w:tcW w:w="720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Vehicle and equipment notes, maturing through November 2030; payable in various monthly</w:t>
            </w:r>
          </w:p>
        </w:tc>
        <w:tc>
          <w:tcPr>
            <w:tcW w:w="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232"/>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installments, including interest rates ranging from 1.9% to 7.3%</w:t>
            </w:r>
          </w:p>
        </w:tc>
        <w:tc>
          <w:tcPr>
            <w:tcW w:w="2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98.5</w:t>
            </w:r>
          </w:p>
        </w:tc>
      </w:tr>
      <w:tr>
        <w:trPr>
          <w:trHeight w:val="168"/>
        </w:trPr>
        <w:tc>
          <w:tcPr>
            <w:tcW w:w="720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Various notes payable, maturing through October 2028; payable in various annual installments,</w:t>
            </w:r>
          </w:p>
        </w:tc>
        <w:tc>
          <w:tcPr>
            <w:tcW w:w="2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232"/>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including interest rates at 5.0%</w:t>
            </w:r>
          </w:p>
        </w:tc>
        <w:tc>
          <w:tcPr>
            <w:tcW w:w="26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12"/>
        </w:trPr>
        <w:tc>
          <w:tcPr>
            <w:tcW w:w="7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886.6</w:t>
            </w: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current maturities</w:t>
            </w:r>
          </w:p>
        </w:tc>
        <w:tc>
          <w:tcPr>
            <w:tcW w:w="2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w:t>
            </w:r>
          </w:p>
        </w:tc>
      </w:tr>
      <w:tr>
        <w:trPr>
          <w:trHeight w:val="212"/>
        </w:trPr>
        <w:tc>
          <w:tcPr>
            <w:tcW w:w="72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Long-term debt, less current maturities</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1,035.4</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850.0</w:t>
            </w:r>
          </w:p>
        </w:tc>
      </w:tr>
      <w:tr>
        <w:trPr>
          <w:trHeight w:val="20"/>
        </w:trPr>
        <w:tc>
          <w:tcPr>
            <w:tcW w:w="7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Remaining required repayments of debt principal, gross of unamortized debt issuance costs, as of March 31, 2026 are as follows (in millions):</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2026</w:t>
            </w:r>
          </w:p>
        </w:tc>
        <w:tc>
          <w:tcPr>
            <w:tcW w:w="474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w:t>
            </w:r>
          </w:p>
        </w:tc>
      </w:tr>
      <w:tr>
        <w:trPr>
          <w:trHeight w:val="219"/>
        </w:trPr>
        <w:tc>
          <w:tcPr>
            <w:tcW w:w="5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47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w:t>
            </w:r>
          </w:p>
        </w:tc>
      </w:tr>
      <w:tr>
        <w:trPr>
          <w:trHeight w:val="21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47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r>
      <w:tr>
        <w:trPr>
          <w:trHeight w:val="219"/>
        </w:trPr>
        <w:tc>
          <w:tcPr>
            <w:tcW w:w="5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47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w:t>
            </w:r>
          </w:p>
        </w:tc>
      </w:tr>
      <w:tr>
        <w:trPr>
          <w:trHeight w:val="21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47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47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966.2</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5.625% Senior Notes due 2034</w:t>
      </w:r>
    </w:p>
    <w:p>
      <w:pPr>
        <w:spacing w:after="0" w:line="16"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7"/>
          <w:szCs w:val="17"/>
          <w:color w:val="auto"/>
        </w:rPr>
        <w:t>In January 2026, we issued $500.0 million in aggregate principal amount of 5.625% senior unsecured notes (the "2034 Senior Notes"). The 2034 Senior Notes will mature on February 1, 2034 and interest will accrue at a rate of 5.625% per annum from the date of original issuance and be payable semi-annually in cash in arrears on February 1 and August 1 of each year, commencing on August 1, 2026. The net proceeds from the 2034 Senior Notes offering were approximately $492.4 million after deducting fees and offering expenses. We used approximately $308.2 million of the net proceeds to redeem the outstanding principal and accrued interest on our 5.75% senior unsecured notes due 2028 (the "2028 Senior Notes" and, together with the 2034 Senior Notes, the “Senior Notes”). The remaining net proceeds will be used for general corporate purposes.</w:t>
      </w:r>
    </w:p>
    <w:p>
      <w:pPr>
        <w:spacing w:after="0" w:line="139"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The indenture covering the 2034 Senior Notes contains restrictive covenants that, among other things, limit the ability of the Company and certain of our subsidiaries (subject to certain exceptions) to: (i) pay dividends on, redeem or repurchase stock; (ii) prepay subordinated debt; (iii) apply net proceeds from certain asset sales; (iv) engage in transactions with affiliates; (v) merge, consolidate or sell substantially all of its assets; and (vi) pay dividends and make other distributions from subsidiaries.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Asset-based Lending Credit Agreement Amendment</w:t>
      </w:r>
    </w:p>
    <w:p>
      <w:pPr>
        <w:spacing w:after="0" w:line="165"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In January 2026, we amended and extended the term of our asset-based lending credit agreement (the "ABL Credit Agreement"). The ABL Credit Agreement transaction increased the commitment under the asset-based lending credit facility (the "ABL Revolver") from $250.0 million to $375.0 million and extended the maturity date to January 21, 2031. Terms include a springing maturity 91 days ahead of the maturity date of any material indebtedness.</w:t>
      </w:r>
    </w:p>
    <w:p>
      <w:pPr>
        <w:spacing w:after="0" w:line="114"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The ABL Revolver now bears interest at either the Secured Overnight Financing Rates ("Term SOFR") or the base rate, at our election, plus a margin of 1.00% or 1.25% per annum in the case of Term SOFR advances or 0.00% or 0.25% per annum in the case of base rate loans (in each case based on a measure of availability under the ABL Credit Agreement). The ABL Credit Agreement contains a financial covenant requiring the satisfaction of a minimum of fixed charge coverage ratio of 1.0x in the event that we do not meet a minimum measure of availability under the ABL Revolver.</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INSTALLED BUILDING PRODUCTS,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The ABL Revolver also provides incremental revolving credit facility commitments of up to $105.0 million. The ABL Revolver also allows for the issuance of letters of credit of up to $100.0 million in aggregate and borrowing of swingline loans of up to $50.0 million in aggregate. Including outstanding letters of credit, our remaining availability under the ABL Revolver as of March 31, 2026 was $371.1 million.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 LEASES</w:t>
      </w:r>
    </w:p>
    <w:p>
      <w:pPr>
        <w:spacing w:after="0" w:line="169" w:lineRule="exact"/>
        <w:rPr>
          <w:sz w:val="20"/>
          <w:szCs w:val="20"/>
          <w:color w:val="auto"/>
        </w:rPr>
      </w:pPr>
    </w:p>
    <w:p>
      <w:pPr>
        <w:ind w:right="420"/>
        <w:spacing w:after="0" w:line="270" w:lineRule="auto"/>
        <w:rPr>
          <w:sz w:val="20"/>
          <w:szCs w:val="20"/>
          <w:color w:val="auto"/>
        </w:rPr>
      </w:pPr>
      <w:r>
        <w:rPr>
          <w:rFonts w:ascii="Times New Roman" w:cs="Times New Roman" w:eastAsia="Times New Roman" w:hAnsi="Times New Roman"/>
          <w:sz w:val="17"/>
          <w:szCs w:val="17"/>
          <w:color w:val="auto"/>
        </w:rPr>
        <w:t>We lease various assets in the ordinary course of business as follows: warehouses to store our materials and perform staging activities for certain products we install, various office spaces for selling and administrative activities to support our business, and certain vehicles and equipment to facilitate our operations, including, but not limited to, trucks, forklifts and office equipment.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presents the lease-related assets and liabilities recorded on the Condensed Consolidated Balance Sheets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As of March 31,</w:t>
            </w:r>
          </w:p>
        </w:tc>
        <w:tc>
          <w:tcPr>
            <w:tcW w:w="220" w:type="dxa"/>
            <w:vAlign w:val="bottom"/>
          </w:tcPr>
          <w:p>
            <w:pPr>
              <w:spacing w:after="0"/>
              <w:rPr>
                <w:sz w:val="19"/>
                <w:szCs w:val="19"/>
                <w:color w:val="auto"/>
              </w:rPr>
            </w:pPr>
          </w:p>
        </w:tc>
        <w:tc>
          <w:tcPr>
            <w:tcW w:w="18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As of December 31,</w:t>
            </w:r>
          </w:p>
        </w:tc>
        <w:tc>
          <w:tcPr>
            <w:tcW w:w="0" w:type="dxa"/>
            <w:vAlign w:val="bottom"/>
          </w:tcPr>
          <w:p>
            <w:pPr>
              <w:spacing w:after="0"/>
              <w:rPr>
                <w:sz w:val="1"/>
                <w:szCs w:val="1"/>
                <w:color w:val="auto"/>
              </w:rPr>
            </w:pPr>
          </w:p>
        </w:tc>
      </w:tr>
      <w:tr>
        <w:trPr>
          <w:trHeight w:val="212"/>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20" w:type="dxa"/>
            <w:vAlign w:val="bottom"/>
            <w:gridSpan w:val="2"/>
          </w:tcPr>
          <w:p>
            <w:pPr>
              <w:ind w:left="1640"/>
              <w:spacing w:after="0"/>
              <w:rPr>
                <w:sz w:val="20"/>
                <w:szCs w:val="20"/>
                <w:color w:val="auto"/>
              </w:rPr>
            </w:pPr>
            <w:r>
              <w:rPr>
                <w:rFonts w:ascii="Times New Roman" w:cs="Times New Roman" w:eastAsia="Times New Roman" w:hAnsi="Times New Roman"/>
                <w:sz w:val="17"/>
                <w:szCs w:val="17"/>
                <w:color w:val="auto"/>
              </w:rPr>
              <w:t>Classification</w:t>
            </w:r>
          </w:p>
        </w:tc>
        <w:tc>
          <w:tcPr>
            <w:tcW w:w="28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color w:val="auto"/>
              </w:rPr>
              <w:t>2026</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color w:val="auto"/>
              </w:rPr>
              <w:t>2025</w:t>
            </w:r>
          </w:p>
        </w:tc>
        <w:tc>
          <w:tcPr>
            <w:tcW w:w="0" w:type="dxa"/>
            <w:vAlign w:val="bottom"/>
          </w:tcPr>
          <w:p>
            <w:pPr>
              <w:spacing w:after="0"/>
              <w:rPr>
                <w:sz w:val="1"/>
                <w:szCs w:val="1"/>
                <w:color w:val="auto"/>
              </w:rPr>
            </w:pPr>
          </w:p>
        </w:tc>
      </w:tr>
      <w:tr>
        <w:trPr>
          <w:trHeight w:val="212"/>
        </w:trPr>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4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Non-Current</w:t>
            </w:r>
          </w:p>
        </w:tc>
        <w:tc>
          <w:tcPr>
            <w:tcW w:w="4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Operating</w:t>
            </w: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99.2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98.7</w:t>
            </w:r>
          </w:p>
        </w:tc>
        <w:tc>
          <w:tcPr>
            <w:tcW w:w="0" w:type="dxa"/>
            <w:vAlign w:val="bottom"/>
          </w:tcPr>
          <w:p>
            <w:pPr>
              <w:spacing w:after="0"/>
              <w:rPr>
                <w:sz w:val="1"/>
                <w:szCs w:val="1"/>
                <w:color w:val="auto"/>
              </w:rPr>
            </w:pPr>
          </w:p>
        </w:tc>
      </w:tr>
      <w:tr>
        <w:trPr>
          <w:trHeight w:val="219"/>
        </w:trPr>
        <w:tc>
          <w:tcPr>
            <w:tcW w:w="272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Finance</w:t>
            </w:r>
          </w:p>
        </w:tc>
        <w:tc>
          <w:tcPr>
            <w:tcW w:w="4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10.6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6.7</w:t>
            </w:r>
          </w:p>
        </w:tc>
        <w:tc>
          <w:tcPr>
            <w:tcW w:w="0" w:type="dxa"/>
            <w:vAlign w:val="bottom"/>
          </w:tcPr>
          <w:p>
            <w:pPr>
              <w:spacing w:after="0"/>
              <w:rPr>
                <w:sz w:val="1"/>
                <w:szCs w:val="1"/>
                <w:color w:val="auto"/>
              </w:rPr>
            </w:pPr>
          </w:p>
        </w:tc>
      </w:tr>
      <w:tr>
        <w:trPr>
          <w:trHeight w:val="237"/>
        </w:trPr>
        <w:tc>
          <w:tcPr>
            <w:tcW w:w="272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lease assets</w:t>
            </w:r>
          </w:p>
        </w:tc>
        <w:tc>
          <w:tcPr>
            <w:tcW w:w="4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109.8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105.4</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4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720" w:type="dxa"/>
            <w:vAlign w:val="bottom"/>
            <w:gridSpan w:val="2"/>
            <w:vMerge w:val="continue"/>
          </w:tcPr>
          <w:p>
            <w:pPr>
              <w:spacing w:after="0"/>
              <w:rPr>
                <w:sz w:val="14"/>
                <w:szCs w:val="14"/>
                <w:color w:val="auto"/>
              </w:rPr>
            </w:pPr>
          </w:p>
        </w:tc>
        <w:tc>
          <w:tcPr>
            <w:tcW w:w="4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w:t>
            </w:r>
          </w:p>
        </w:tc>
        <w:tc>
          <w:tcPr>
            <w:tcW w:w="4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Operating</w:t>
            </w:r>
          </w:p>
        </w:tc>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maturities of operating lease obligations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38.1</w:t>
            </w:r>
          </w:p>
        </w:tc>
        <w:tc>
          <w:tcPr>
            <w:tcW w:w="8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37.0</w:t>
            </w:r>
          </w:p>
        </w:tc>
        <w:tc>
          <w:tcPr>
            <w:tcW w:w="0" w:type="dxa"/>
            <w:vAlign w:val="bottom"/>
          </w:tcPr>
          <w:p>
            <w:pPr>
              <w:spacing w:after="0"/>
              <w:rPr>
                <w:sz w:val="1"/>
                <w:szCs w:val="1"/>
                <w:color w:val="auto"/>
              </w:rPr>
            </w:pPr>
          </w:p>
        </w:tc>
      </w:tr>
      <w:tr>
        <w:trPr>
          <w:trHeight w:val="219"/>
        </w:trPr>
        <w:tc>
          <w:tcPr>
            <w:tcW w:w="27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Financing</w:t>
            </w: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maturities of finance lease obligations</w:t>
            </w: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19"/>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Non-Current</w:t>
            </w:r>
          </w:p>
        </w:tc>
        <w:tc>
          <w:tcPr>
            <w:tcW w:w="4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Operating</w:t>
            </w: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obligations</w:t>
            </w: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60.9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61.4</w:t>
            </w:r>
          </w:p>
        </w:tc>
        <w:tc>
          <w:tcPr>
            <w:tcW w:w="0" w:type="dxa"/>
            <w:vAlign w:val="bottom"/>
          </w:tcPr>
          <w:p>
            <w:pPr>
              <w:spacing w:after="0"/>
              <w:rPr>
                <w:sz w:val="1"/>
                <w:szCs w:val="1"/>
                <w:color w:val="auto"/>
              </w:rPr>
            </w:pPr>
          </w:p>
        </w:tc>
      </w:tr>
      <w:tr>
        <w:trPr>
          <w:trHeight w:val="219"/>
        </w:trPr>
        <w:tc>
          <w:tcPr>
            <w:tcW w:w="272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Financing</w:t>
            </w:r>
          </w:p>
        </w:tc>
        <w:tc>
          <w:tcPr>
            <w:tcW w:w="4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Finance lease obligations</w:t>
            </w: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7.0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37"/>
        </w:trPr>
        <w:tc>
          <w:tcPr>
            <w:tcW w:w="272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lease liabilities</w:t>
            </w:r>
          </w:p>
        </w:tc>
        <w:tc>
          <w:tcPr>
            <w:tcW w:w="4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109.6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105.1</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704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7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Operating leases</w:t>
            </w:r>
          </w:p>
        </w:tc>
        <w:tc>
          <w:tcPr>
            <w:tcW w:w="4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3.5 years</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 years</w:t>
            </w:r>
          </w:p>
        </w:tc>
        <w:tc>
          <w:tcPr>
            <w:tcW w:w="0" w:type="dxa"/>
            <w:vAlign w:val="bottom"/>
          </w:tcPr>
          <w:p>
            <w:pPr>
              <w:spacing w:after="0"/>
              <w:rPr>
                <w:sz w:val="1"/>
                <w:szCs w:val="1"/>
                <w:color w:val="auto"/>
              </w:rPr>
            </w:pPr>
          </w:p>
        </w:tc>
      </w:tr>
      <w:tr>
        <w:trPr>
          <w:trHeight w:val="219"/>
        </w:trPr>
        <w:tc>
          <w:tcPr>
            <w:tcW w:w="27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Finance leases</w:t>
            </w:r>
          </w:p>
        </w:tc>
        <w:tc>
          <w:tcPr>
            <w:tcW w:w="4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gridSpan w:val="2"/>
          </w:tcPr>
          <w:p>
            <w:pPr>
              <w:ind w:left="1140"/>
              <w:spacing w:after="0"/>
              <w:rPr>
                <w:sz w:val="20"/>
                <w:szCs w:val="20"/>
                <w:color w:val="auto"/>
              </w:rPr>
            </w:pPr>
            <w:r>
              <w:rPr>
                <w:rFonts w:ascii="Times New Roman" w:cs="Times New Roman" w:eastAsia="Times New Roman" w:hAnsi="Times New Roman"/>
                <w:sz w:val="17"/>
                <w:szCs w:val="17"/>
                <w:color w:val="auto"/>
              </w:rPr>
              <w:t>3.5 years</w:t>
            </w: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 years</w:t>
            </w:r>
          </w:p>
        </w:tc>
        <w:tc>
          <w:tcPr>
            <w:tcW w:w="0" w:type="dxa"/>
            <w:vAlign w:val="bottom"/>
          </w:tcPr>
          <w:p>
            <w:pPr>
              <w:spacing w:after="0"/>
              <w:rPr>
                <w:sz w:val="1"/>
                <w:szCs w:val="1"/>
                <w:color w:val="auto"/>
              </w:rPr>
            </w:pPr>
          </w:p>
        </w:tc>
      </w:tr>
      <w:tr>
        <w:trPr>
          <w:trHeight w:val="219"/>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4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Operating leases</w:t>
            </w:r>
          </w:p>
        </w:tc>
        <w:tc>
          <w:tcPr>
            <w:tcW w:w="4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5.55 %</w:t>
            </w:r>
          </w:p>
        </w:tc>
        <w:tc>
          <w:tcPr>
            <w:tcW w:w="0" w:type="dxa"/>
            <w:vAlign w:val="bottom"/>
          </w:tcPr>
          <w:p>
            <w:pPr>
              <w:spacing w:after="0"/>
              <w:rPr>
                <w:sz w:val="1"/>
                <w:szCs w:val="1"/>
                <w:color w:val="auto"/>
              </w:rPr>
            </w:pPr>
          </w:p>
        </w:tc>
      </w:tr>
      <w:tr>
        <w:trPr>
          <w:trHeight w:val="219"/>
        </w:trPr>
        <w:tc>
          <w:tcPr>
            <w:tcW w:w="27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Finance leases</w:t>
            </w:r>
          </w:p>
        </w:tc>
        <w:tc>
          <w:tcPr>
            <w:tcW w:w="4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6.72 %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7.78 %</w:t>
            </w:r>
          </w:p>
        </w:tc>
        <w:tc>
          <w:tcPr>
            <w:tcW w:w="0" w:type="dxa"/>
            <w:vAlign w:val="bottom"/>
          </w:tcPr>
          <w:p>
            <w:pPr>
              <w:spacing w:after="0"/>
              <w:rPr>
                <w:sz w:val="1"/>
                <w:szCs w:val="1"/>
                <w:color w:val="auto"/>
              </w:rPr>
            </w:pPr>
          </w:p>
        </w:tc>
      </w:tr>
      <w:tr>
        <w:trPr>
          <w:trHeight w:val="851"/>
        </w:trPr>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40" w:type="dxa"/>
            <w:vAlign w:val="bottom"/>
          </w:tcPr>
          <w:p>
            <w:pPr>
              <w:ind w:left="2820"/>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5" w:name="page16"/>
    <w:bookmarkEnd w:id="15"/>
    <w:p>
      <w:pPr>
        <w:ind w:left="74"/>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right="-73"/>
        <w:spacing w:after="0"/>
        <w:rPr>
          <w:sz w:val="20"/>
          <w:szCs w:val="20"/>
          <w:color w:val="auto"/>
        </w:rPr>
      </w:pPr>
      <w:r>
        <w:rPr>
          <w:rFonts w:ascii="Times New Roman" w:cs="Times New Roman" w:eastAsia="Times New Roman" w:hAnsi="Times New Roman"/>
          <w:sz w:val="17"/>
          <w:szCs w:val="17"/>
          <w:color w:val="auto"/>
        </w:rPr>
        <w:t>INSTALLED BUILDING PRODUCTS, INC.</w:t>
      </w:r>
    </w:p>
    <w:p>
      <w:pPr>
        <w:spacing w:after="0" w:line="11" w:lineRule="exact"/>
        <w:rPr>
          <w:sz w:val="20"/>
          <w:szCs w:val="20"/>
          <w:color w:val="auto"/>
        </w:rPr>
      </w:pPr>
    </w:p>
    <w:p>
      <w:pPr>
        <w:jc w:val="center"/>
        <w:ind w:right="-73"/>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74" w:type="dxa"/>
        <w:tblCellMar>
          <w:top w:w="0" w:type="dxa"/>
          <w:left w:w="0" w:type="dxa"/>
          <w:bottom w:w="0" w:type="dxa"/>
          <w:right w:w="0" w:type="dxa"/>
        </w:tblCellMar>
      </w:tblPr>
      <w:tr>
        <w:trPr>
          <w:trHeight w:val="195"/>
        </w:trPr>
        <w:tc>
          <w:tcPr>
            <w:tcW w:w="44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Lease Costs</w:t>
            </w:r>
          </w:p>
        </w:tc>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80"/>
        </w:trPr>
        <w:tc>
          <w:tcPr>
            <w:tcW w:w="83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The table below presents certain information related to the lease costs for finance and operating leases (in millions):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9"/>
        </w:trPr>
        <w:tc>
          <w:tcPr>
            <w:tcW w:w="8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7"/>
                <w:szCs w:val="17"/>
                <w:color w:val="auto"/>
              </w:rPr>
              <w:t>Three months ended March 31,</w:t>
            </w:r>
          </w:p>
        </w:tc>
      </w:tr>
      <w:tr>
        <w:trPr>
          <w:trHeight w:val="212"/>
        </w:trPr>
        <w:tc>
          <w:tcPr>
            <w:tcW w:w="8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gridSpan w:val="2"/>
          </w:tcPr>
          <w:p>
            <w:pPr>
              <w:ind w:left="1400"/>
              <w:spacing w:after="0"/>
              <w:rPr>
                <w:sz w:val="20"/>
                <w:szCs w:val="20"/>
                <w:color w:val="auto"/>
              </w:rPr>
            </w:pPr>
            <w:r>
              <w:rPr>
                <w:rFonts w:ascii="Times New Roman" w:cs="Times New Roman" w:eastAsia="Times New Roman" w:hAnsi="Times New Roman"/>
                <w:sz w:val="17"/>
                <w:szCs w:val="17"/>
                <w:color w:val="auto"/>
              </w:rPr>
              <w:t>Classification</w:t>
            </w:r>
          </w:p>
        </w:tc>
        <w:tc>
          <w:tcPr>
            <w:tcW w:w="240" w:type="dxa"/>
            <w:vAlign w:val="bottom"/>
          </w:tcPr>
          <w:p>
            <w:pPr>
              <w:spacing w:after="0"/>
              <w:rPr>
                <w:sz w:val="18"/>
                <w:szCs w:val="18"/>
                <w:color w:val="auto"/>
              </w:rPr>
            </w:pPr>
          </w:p>
        </w:tc>
        <w:tc>
          <w:tcPr>
            <w:tcW w:w="118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2026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2025</w:t>
            </w:r>
          </w:p>
        </w:tc>
      </w:tr>
      <w:tr>
        <w:trPr>
          <w:trHeight w:val="212"/>
        </w:trPr>
        <w:tc>
          <w:tcPr>
            <w:tcW w:w="4340" w:type="dxa"/>
            <w:vAlign w:val="bottom"/>
            <w:tcBorders>
              <w:top w:val="single" w:sz="8" w:color="auto"/>
            </w:tcBorders>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Operating lease cost</w:t>
            </w:r>
            <w:r>
              <w:rPr>
                <w:rFonts w:ascii="Times New Roman" w:cs="Times New Roman" w:eastAsia="Times New Roman" w:hAnsi="Times New Roman"/>
                <w:sz w:val="22"/>
                <w:szCs w:val="22"/>
                <w:color w:val="auto"/>
                <w:vertAlign w:val="superscript"/>
              </w:rPr>
              <w:t>(1)</w:t>
            </w:r>
          </w:p>
        </w:tc>
        <w:tc>
          <w:tcPr>
            <w:tcW w:w="100" w:type="dxa"/>
            <w:vAlign w:val="bottom"/>
            <w:tcBorders>
              <w:top w:val="single" w:sz="8" w:color="CCEEFF"/>
            </w:tcBorders>
            <w:shd w:val="clear" w:color="auto" w:fill="CCEEFF"/>
          </w:tcPr>
          <w:p>
            <w:pPr>
              <w:spacing w:after="0"/>
              <w:rPr>
                <w:sz w:val="18"/>
                <w:szCs w:val="18"/>
                <w:color w:val="auto"/>
              </w:rPr>
            </w:pPr>
          </w:p>
        </w:tc>
        <w:tc>
          <w:tcPr>
            <w:tcW w:w="3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Administrative</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r>
      <w:tr>
        <w:trPr>
          <w:trHeight w:val="219"/>
        </w:trPr>
        <w:tc>
          <w:tcPr>
            <w:tcW w:w="44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Finance lease cost:</w:t>
            </w:r>
          </w:p>
        </w:tc>
        <w:tc>
          <w:tcPr>
            <w:tcW w:w="3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9"/>
        </w:trPr>
        <w:tc>
          <w:tcPr>
            <w:tcW w:w="4440" w:type="dxa"/>
            <w:vAlign w:val="bottom"/>
            <w:gridSpan w:val="3"/>
            <w:shd w:val="clear" w:color="auto" w:fill="CCEEFF"/>
          </w:tcPr>
          <w:p>
            <w:pPr>
              <w:ind w:left="120"/>
              <w:spacing w:after="0" w:line="219" w:lineRule="exact"/>
              <w:rPr>
                <w:sz w:val="20"/>
                <w:szCs w:val="20"/>
                <w:color w:val="auto"/>
              </w:rPr>
            </w:pPr>
            <w:r>
              <w:rPr>
                <w:rFonts w:ascii="Times New Roman" w:cs="Times New Roman" w:eastAsia="Times New Roman" w:hAnsi="Times New Roman"/>
                <w:sz w:val="17"/>
                <w:szCs w:val="17"/>
                <w:color w:val="auto"/>
              </w:rPr>
              <w:t>Amortization of leased assets</w:t>
            </w:r>
            <w:r>
              <w:rPr>
                <w:rFonts w:ascii="Times New Roman" w:cs="Times New Roman" w:eastAsia="Times New Roman" w:hAnsi="Times New Roman"/>
                <w:sz w:val="22"/>
                <w:szCs w:val="22"/>
                <w:color w:val="auto"/>
                <w:vertAlign w:val="superscript"/>
              </w:rPr>
              <w:t>(2)</w:t>
            </w:r>
          </w:p>
        </w:tc>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19"/>
        </w:trPr>
        <w:tc>
          <w:tcPr>
            <w:tcW w:w="444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7"/>
                <w:szCs w:val="17"/>
                <w:color w:val="auto"/>
              </w:rPr>
              <w:t>Interest on finance lease obligations</w:t>
            </w:r>
          </w:p>
        </w:tc>
        <w:tc>
          <w:tcPr>
            <w:tcW w:w="3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37"/>
        </w:trPr>
        <w:tc>
          <w:tcPr>
            <w:tcW w:w="44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lease costs</w:t>
            </w:r>
          </w:p>
        </w:tc>
        <w:tc>
          <w:tcPr>
            <w:tcW w:w="3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r>
      <w:tr>
        <w:trPr>
          <w:trHeight w:val="20"/>
        </w:trPr>
        <w:tc>
          <w:tcPr>
            <w:tcW w:w="82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94" w:right="80" w:hanging="394"/>
        <w:spacing w:after="0" w:line="287" w:lineRule="auto"/>
        <w:tabs>
          <w:tab w:leader="none" w:pos="38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variable lease costs of $2.1 million and $1.7 million for the three months ended March 31, 2026 and 2025, respectively, and short-term lease costs of $0.5 million for each of the three months ended March 31, 2026 and 2025, respectively.</w:t>
      </w:r>
    </w:p>
    <w:p>
      <w:pPr>
        <w:spacing w:after="0" w:line="99" w:lineRule="exact"/>
        <w:rPr>
          <w:rFonts w:ascii="Times New Roman" w:cs="Times New Roman" w:eastAsia="Times New Roman" w:hAnsi="Times New Roman"/>
          <w:sz w:val="17"/>
          <w:szCs w:val="17"/>
          <w:color w:val="auto"/>
        </w:rPr>
      </w:pPr>
    </w:p>
    <w:p>
      <w:pPr>
        <w:ind w:left="374" w:hanging="374"/>
        <w:spacing w:after="0"/>
        <w:tabs>
          <w:tab w:leader="none" w:pos="37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variable lease costs of $0.1 million and $0.2 million for the three months ended March 31, 2026 and 2025, respectively.</w:t>
      </w:r>
    </w:p>
    <w:p>
      <w:pPr>
        <w:spacing w:after="0" w:line="154" w:lineRule="exact"/>
        <w:rPr>
          <w:sz w:val="20"/>
          <w:szCs w:val="20"/>
          <w:color w:val="auto"/>
        </w:rPr>
      </w:pPr>
    </w:p>
    <w:tbl>
      <w:tblPr>
        <w:tblLayout w:type="fixed"/>
        <w:tblInd w:w="74"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9"/>
              </w:rPr>
              <w:t>Other Information</w:t>
            </w:r>
          </w:p>
        </w:tc>
        <w:tc>
          <w:tcPr>
            <w:tcW w:w="7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380"/>
        </w:trPr>
        <w:tc>
          <w:tcPr>
            <w:tcW w:w="8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table below presents supplemental cash flow information related to leases (in millions):</w:t>
            </w: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22"/>
        </w:trPr>
        <w:tc>
          <w:tcPr>
            <w:tcW w:w="126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380" w:type="dxa"/>
            <w:vAlign w:val="bottom"/>
            <w:tcBorders>
              <w:bottom w:val="single" w:sz="8" w:color="auto"/>
            </w:tcBorders>
          </w:tcPr>
          <w:p>
            <w:pPr>
              <w:spacing w:after="0"/>
              <w:rPr>
                <w:sz w:val="24"/>
                <w:szCs w:val="24"/>
                <w:color w:val="auto"/>
              </w:rPr>
            </w:pPr>
          </w:p>
        </w:tc>
      </w:tr>
      <w:tr>
        <w:trPr>
          <w:trHeight w:val="212"/>
        </w:trPr>
        <w:tc>
          <w:tcPr>
            <w:tcW w:w="1260" w:type="dxa"/>
            <w:vAlign w:val="bottom"/>
            <w:tcBorders>
              <w:bottom w:val="single" w:sz="8" w:color="CCEEFF"/>
            </w:tcBorders>
          </w:tcPr>
          <w:p>
            <w:pPr>
              <w:spacing w:after="0"/>
              <w:rPr>
                <w:sz w:val="18"/>
                <w:szCs w:val="18"/>
                <w:color w:val="auto"/>
              </w:rPr>
            </w:pPr>
          </w:p>
        </w:tc>
        <w:tc>
          <w:tcPr>
            <w:tcW w:w="70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2026</w:t>
            </w: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2025</w:t>
            </w:r>
          </w:p>
        </w:tc>
        <w:tc>
          <w:tcPr>
            <w:tcW w:w="380" w:type="dxa"/>
            <w:vAlign w:val="bottom"/>
            <w:tcBorders>
              <w:bottom w:val="single" w:sz="8" w:color="auto"/>
            </w:tcBorders>
          </w:tcPr>
          <w:p>
            <w:pPr>
              <w:spacing w:after="0"/>
              <w:rPr>
                <w:sz w:val="18"/>
                <w:szCs w:val="18"/>
                <w:color w:val="auto"/>
              </w:rPr>
            </w:pPr>
          </w:p>
        </w:tc>
      </w:tr>
      <w:tr>
        <w:trPr>
          <w:trHeight w:val="199"/>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9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219"/>
        </w:trPr>
        <w:tc>
          <w:tcPr>
            <w:tcW w:w="83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Operating cash flows for operating leases</w:t>
            </w: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80" w:type="dxa"/>
            <w:vAlign w:val="bottom"/>
          </w:tcPr>
          <w:p>
            <w:pPr>
              <w:spacing w:after="0"/>
              <w:rPr>
                <w:sz w:val="19"/>
                <w:szCs w:val="19"/>
                <w:color w:val="auto"/>
              </w:rPr>
            </w:pPr>
          </w:p>
        </w:tc>
        <w:tc>
          <w:tcPr>
            <w:tcW w:w="1040" w:type="dxa"/>
            <w:vAlign w:val="bottom"/>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219"/>
        </w:trPr>
        <w:tc>
          <w:tcPr>
            <w:tcW w:w="83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Operating cash flows for finance leases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23"/>
        </w:trPr>
        <w:tc>
          <w:tcPr>
            <w:tcW w:w="83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Financing cash flows for finance leases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r>
    </w:tbl>
    <w:p>
      <w:pPr>
        <w:spacing w:after="0" w:line="225" w:lineRule="exact"/>
        <w:rPr>
          <w:sz w:val="20"/>
          <w:szCs w:val="20"/>
          <w:color w:val="auto"/>
        </w:rPr>
      </w:pPr>
    </w:p>
    <w:p>
      <w:pPr>
        <w:ind w:left="74"/>
        <w:spacing w:after="0"/>
        <w:rPr>
          <w:sz w:val="20"/>
          <w:szCs w:val="20"/>
          <w:color w:val="auto"/>
        </w:rPr>
      </w:pPr>
      <w:r>
        <w:rPr>
          <w:rFonts w:ascii="Times New Roman" w:cs="Times New Roman" w:eastAsia="Times New Roman" w:hAnsi="Times New Roman"/>
          <w:sz w:val="17"/>
          <w:szCs w:val="17"/>
          <w:u w:val="single" w:color="auto"/>
          <w:color w:val="auto"/>
        </w:rPr>
        <w:t>Undiscounted Cash Flows</w:t>
      </w:r>
    </w:p>
    <w:p>
      <w:pPr>
        <w:spacing w:after="0" w:line="165" w:lineRule="exact"/>
        <w:rPr>
          <w:sz w:val="20"/>
          <w:szCs w:val="20"/>
          <w:color w:val="auto"/>
        </w:rPr>
      </w:pPr>
    </w:p>
    <w:p>
      <w:pPr>
        <w:ind w:left="74" w:right="580"/>
        <w:spacing w:after="0" w:line="287" w:lineRule="auto"/>
        <w:rPr>
          <w:sz w:val="20"/>
          <w:szCs w:val="20"/>
          <w:color w:val="auto"/>
        </w:rPr>
      </w:pPr>
      <w:r>
        <w:rPr>
          <w:rFonts w:ascii="Times New Roman" w:cs="Times New Roman" w:eastAsia="Times New Roman" w:hAnsi="Times New Roman"/>
          <w:sz w:val="17"/>
          <w:szCs w:val="17"/>
          <w:color w:val="auto"/>
        </w:rPr>
        <w:t>The table below reconciles the undiscounted cash flows for each of the first five years and total of the remaining years for the finance lease obligations and operating lease obligations recorded on the Condensed Consolidated Balance Sheets as of March 31, 2026 (in millions):</w:t>
      </w:r>
    </w:p>
    <w:p>
      <w:pPr>
        <w:spacing w:after="0" w:line="138" w:lineRule="exact"/>
        <w:rPr>
          <w:sz w:val="20"/>
          <w:szCs w:val="20"/>
          <w:color w:val="auto"/>
        </w:rPr>
      </w:pPr>
    </w:p>
    <w:tbl>
      <w:tblPr>
        <w:tblLayout w:type="fixed"/>
        <w:tblInd w:w="74" w:type="dxa"/>
        <w:tblCellMar>
          <w:top w:w="0" w:type="dxa"/>
          <w:left w:w="0" w:type="dxa"/>
          <w:bottom w:w="0" w:type="dxa"/>
          <w:right w:w="0" w:type="dxa"/>
        </w:tblCellMar>
      </w:tblPr>
      <w:tr>
        <w:trPr>
          <w:trHeight w:val="223"/>
        </w:trPr>
        <w:tc>
          <w:tcPr>
            <w:tcW w:w="4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Finance Leases</w:t>
            </w:r>
          </w:p>
        </w:tc>
        <w:tc>
          <w:tcPr>
            <w:tcW w:w="10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Operating Leases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r>
      <w:tr>
        <w:trPr>
          <w:trHeight w:val="212"/>
        </w:trPr>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Related Party</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8"/>
              </w:rPr>
              <w:t>Other</w:t>
            </w:r>
          </w:p>
        </w:tc>
        <w:tc>
          <w:tcPr>
            <w:tcW w:w="160" w:type="dxa"/>
            <w:vAlign w:val="bottom"/>
          </w:tcPr>
          <w:p>
            <w:pPr>
              <w:spacing w:after="0"/>
              <w:rPr>
                <w:sz w:val="18"/>
                <w:szCs w:val="18"/>
                <w:color w:val="auto"/>
              </w:rPr>
            </w:pP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Total Operating</w:t>
            </w:r>
          </w:p>
        </w:tc>
      </w:tr>
      <w:tr>
        <w:trPr>
          <w:trHeight w:val="212"/>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2026</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54"/>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0.3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w:t>
            </w:r>
          </w:p>
        </w:tc>
      </w:tr>
      <w:tr>
        <w:trPr>
          <w:trHeight w:val="219"/>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w:t>
            </w:r>
          </w:p>
        </w:tc>
      </w:tr>
      <w:tr>
        <w:trPr>
          <w:trHeight w:val="21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w:t>
            </w:r>
          </w:p>
        </w:tc>
      </w:tr>
      <w:tr>
        <w:trPr>
          <w:trHeight w:val="219"/>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r>
      <w:tr>
        <w:trPr>
          <w:trHeight w:val="21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19"/>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12"/>
        </w:trPr>
        <w:tc>
          <w:tcPr>
            <w:tcW w:w="48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minimum lease payments</w:t>
            </w: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54"/>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0.4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108.7</w:t>
            </w:r>
          </w:p>
        </w:tc>
      </w:tr>
      <w:tr>
        <w:trPr>
          <w:trHeight w:val="219"/>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Amounts representing interest</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212"/>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Present value of future minimum lease payments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w:t>
            </w:r>
          </w:p>
        </w:tc>
      </w:tr>
      <w:tr>
        <w:trPr>
          <w:trHeight w:val="219"/>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Current obligation under leases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(38.1)</w:t>
            </w:r>
          </w:p>
        </w:tc>
      </w:tr>
      <w:tr>
        <w:trPr>
          <w:trHeight w:val="237"/>
        </w:trPr>
        <w:tc>
          <w:tcPr>
            <w:tcW w:w="4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Long-term lease obligations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836"/>
        </w:trPr>
        <w:tc>
          <w:tcPr>
            <w:tcW w:w="4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08"/>
        </w:trPr>
        <w:tc>
          <w:tcPr>
            <w:tcW w:w="48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7166610</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14"/>
          </w:cols>
          <w:pgMar w:left="246" w:top="27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INSTALLED BUILDING PRODUCTS,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 FAIR VALUE MEASUREMENTS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Assets and Liabilities Measured at Fair Value on a Recurring Basis</w:t>
      </w:r>
    </w:p>
    <w:p>
      <w:pPr>
        <w:spacing w:after="0" w:line="165" w:lineRule="exact"/>
        <w:rPr>
          <w:sz w:val="20"/>
          <w:szCs w:val="20"/>
          <w:color w:val="auto"/>
        </w:rPr>
      </w:pPr>
    </w:p>
    <w:p>
      <w:pPr>
        <w:jc w:val="both"/>
        <w:ind w:right="360"/>
        <w:spacing w:after="0" w:line="270" w:lineRule="auto"/>
        <w:rPr>
          <w:sz w:val="20"/>
          <w:szCs w:val="20"/>
          <w:color w:val="auto"/>
        </w:rPr>
      </w:pPr>
      <w:r>
        <w:rPr>
          <w:rFonts w:ascii="Times New Roman" w:cs="Times New Roman" w:eastAsia="Times New Roman" w:hAnsi="Times New Roman"/>
          <w:sz w:val="17"/>
          <w:szCs w:val="17"/>
          <w:color w:val="auto"/>
        </w:rPr>
        <w:t>In many cases, a valuation technique used to measure fair value includes inputs from multiple levels of the fair value hierarchy. The lowest level of significant input determines the placement of the entire fair value measurement in the hierarchy. During the periods presented, there were no transfers between fair value hierarchical levels.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Assets Measured at Fair Value on a Nonrecurring Basis</w:t>
      </w:r>
    </w:p>
    <w:p>
      <w:pPr>
        <w:spacing w:after="0" w:line="16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Certain assets, specifically other intangible and long-lived assets, are measured at fair value on a nonrecurring basis in periods subsequent to initial recognition. Assets measured at fair value on a nonrecurring basis as of March 31, 2026 and December 31, 2025 are categorized based on the lowest level of significant input to the valuation. The assets are measured at fair value when our impairment assessment indicates a carrying value for each of the assets in excess of the asset’s estimated fair value. Undiscounted cash flows, a Level 3 input, are utilized in determining estimated fair values. During each of the three months ended March 31, 2026 and 2025, we did not record any impairments on these assets required to be measured at fair value on a nonrecurring basis.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Estimated Fair Value of Financial Instruments</w:t>
      </w:r>
    </w:p>
    <w:p>
      <w:pPr>
        <w:spacing w:after="0" w:line="16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Accounts receivable, accounts payable and accrued liabilities as of March 31, 2026 and December 31, 2025 approximate fair value due to the short-term maturities of these financial instruments. The carrying amounts of certain long-term debt, including the Term Loan and ABL Revolver as of March 31, 2026 and December 31, 2025, approximate fair value due to the variable rate nature of the agreements. The carrying amounts of our operating lease right-of-use assets and the obligations associated with our operating and finance leases as well as our vehicle and equipment notes approximate fair value as of March 31, 2026 and December 31, 2025. All debt classifications represent Level 2 fair value measurements. Derivative financial instruments are measured at fair value based on observable market information and appropriate valuation methods.</w:t>
      </w:r>
    </w:p>
    <w:p>
      <w:pPr>
        <w:spacing w:after="0" w:line="122"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7"/>
          <w:szCs w:val="17"/>
          <w:color w:val="auto"/>
        </w:rPr>
        <w:t>Contingent consideration liabilities arise from future earnout payments to the sellers associated with certain acquisitions and are based on predetermined calculations of certain future results. These future payments are estimated by considering various factors, including business risk and projections. The contingent consideration liabilities are measured at fair value by discounting estimated future payments, calculated based on a weighted average of various future forecast scenarios, to their net present value.</w:t>
      </w:r>
    </w:p>
    <w:p>
      <w:pPr>
        <w:spacing w:after="0" w:line="184"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7"/>
          <w:szCs w:val="17"/>
          <w:color w:val="auto"/>
        </w:rPr>
        <w:t>The fair values of financial assets and liabilities that are recorded at fair value in the Condensed Consolidated Balance Sheets and not described above were as follows (in millions):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7"/>
                <w:szCs w:val="17"/>
                <w:color w:val="auto"/>
              </w:rPr>
              <w:t>As of March 31, 2026</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7"/>
                <w:szCs w:val="17"/>
                <w:color w:val="auto"/>
              </w:rPr>
              <w:t>As of December 31, 2025</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r>
      <w:tr>
        <w:trPr>
          <w:trHeight w:val="212"/>
        </w:trPr>
        <w:tc>
          <w:tcPr>
            <w:tcW w:w="3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Level 1</w:t>
            </w: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Level 2</w:t>
            </w:r>
          </w:p>
        </w:tc>
        <w:tc>
          <w:tcPr>
            <w:tcW w:w="140" w:type="dxa"/>
            <w:vAlign w:val="bottom"/>
          </w:tcPr>
          <w:p>
            <w:pPr>
              <w:spacing w:after="0"/>
              <w:rPr>
                <w:sz w:val="18"/>
                <w:szCs w:val="18"/>
                <w:color w:val="auto"/>
              </w:rPr>
            </w:pPr>
          </w:p>
        </w:tc>
        <w:tc>
          <w:tcPr>
            <w:tcW w:w="7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Level 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Level 1</w:t>
            </w:r>
          </w:p>
        </w:tc>
        <w:tc>
          <w:tcPr>
            <w:tcW w:w="14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Level 2</w:t>
            </w:r>
          </w:p>
        </w:tc>
        <w:tc>
          <w:tcPr>
            <w:tcW w:w="160" w:type="dxa"/>
            <w:vAlign w:val="bottom"/>
          </w:tcPr>
          <w:p>
            <w:pPr>
              <w:spacing w:after="0"/>
              <w:rPr>
                <w:sz w:val="18"/>
                <w:szCs w:val="18"/>
                <w:color w:val="auto"/>
              </w:rPr>
            </w:pPr>
          </w:p>
        </w:tc>
        <w:tc>
          <w:tcPr>
            <w:tcW w:w="7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Level 3</w:t>
            </w:r>
          </w:p>
        </w:tc>
      </w:tr>
      <w:tr>
        <w:trPr>
          <w:trHeight w:val="199"/>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Financial assets:</w:t>
            </w: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r>
      <w:tr>
        <w:trPr>
          <w:trHeight w:val="219"/>
        </w:trPr>
        <w:tc>
          <w:tcPr>
            <w:tcW w:w="3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32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financial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397.7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392.6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281.7</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278.8</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85"/>
        </w:trPr>
        <w:tc>
          <w:tcPr>
            <w:tcW w:w="322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Financial liabilities:</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23"/>
        </w:trPr>
        <w:tc>
          <w:tcPr>
            <w:tcW w:w="3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Contingent consideration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w:t>
            </w:r>
          </w:p>
        </w:tc>
      </w:tr>
    </w:tbl>
    <w:p>
      <w:pPr>
        <w:spacing w:after="0" w:line="212"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7"/>
          <w:szCs w:val="17"/>
          <w:color w:val="auto"/>
        </w:rPr>
        <w:t>See Note 5, Cash and Cash Equivalents, for more information on money market funds included in the table above. Also see Note 11, Derivatives and Hedging Activities, for more information on derivative financial instruments.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INSTALLED BUILDING PRODUCTS,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change in fair value of the contingent consideration (a Level 3 input) was as follows (in millions):</w:t>
            </w: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116"/>
        </w:trPr>
        <w:tc>
          <w:tcPr>
            <w:tcW w:w="20" w:type="dxa"/>
            <w:vAlign w:val="bottom"/>
          </w:tcPr>
          <w:p>
            <w:pPr>
              <w:spacing w:after="0"/>
              <w:rPr>
                <w:sz w:val="10"/>
                <w:szCs w:val="10"/>
                <w:color w:val="auto"/>
              </w:rPr>
            </w:pPr>
          </w:p>
        </w:tc>
        <w:tc>
          <w:tcPr>
            <w:tcW w:w="9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219"/>
        </w:trPr>
        <w:tc>
          <w:tcPr>
            <w:tcW w:w="20" w:type="dxa"/>
            <w:vAlign w:val="bottom"/>
          </w:tcPr>
          <w:p>
            <w:pPr>
              <w:spacing w:after="0"/>
              <w:rPr>
                <w:sz w:val="19"/>
                <w:szCs w:val="19"/>
                <w:color w:val="auto"/>
              </w:rPr>
            </w:pPr>
          </w:p>
        </w:tc>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Contingent consideration liability - January 1, 2026</w:t>
            </w:r>
          </w:p>
        </w:tc>
        <w:tc>
          <w:tcPr>
            <w:tcW w:w="64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0" w:type="dxa"/>
            <w:vAlign w:val="bottom"/>
          </w:tcPr>
          <w:p>
            <w:pPr>
              <w:spacing w:after="0"/>
              <w:rPr>
                <w:sz w:val="19"/>
                <w:szCs w:val="19"/>
                <w:color w:val="auto"/>
              </w:rPr>
            </w:pPr>
          </w:p>
        </w:tc>
        <w:tc>
          <w:tcPr>
            <w:tcW w:w="9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Preliminary purchase price</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9"/>
        </w:trPr>
        <w:tc>
          <w:tcPr>
            <w:tcW w:w="20" w:type="dxa"/>
            <w:vAlign w:val="bottom"/>
          </w:tcPr>
          <w:p>
            <w:pPr>
              <w:spacing w:after="0"/>
              <w:rPr>
                <w:sz w:val="19"/>
                <w:szCs w:val="19"/>
                <w:color w:val="auto"/>
              </w:rPr>
            </w:pPr>
          </w:p>
        </w:tc>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adjustments</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19"/>
        </w:trPr>
        <w:tc>
          <w:tcPr>
            <w:tcW w:w="20" w:type="dxa"/>
            <w:vAlign w:val="bottom"/>
          </w:tcPr>
          <w:p>
            <w:pPr>
              <w:spacing w:after="0"/>
              <w:rPr>
                <w:sz w:val="19"/>
                <w:szCs w:val="19"/>
                <w:color w:val="auto"/>
              </w:rPr>
            </w:pPr>
          </w:p>
        </w:tc>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Accretion in value</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w:t>
            </w:r>
          </w:p>
        </w:tc>
      </w:tr>
      <w:tr>
        <w:trPr>
          <w:trHeight w:val="237"/>
        </w:trPr>
        <w:tc>
          <w:tcPr>
            <w:tcW w:w="20" w:type="dxa"/>
            <w:vAlign w:val="bottom"/>
          </w:tcPr>
          <w:p>
            <w:pPr>
              <w:spacing w:after="0"/>
              <w:rPr>
                <w:sz w:val="20"/>
                <w:szCs w:val="20"/>
                <w:color w:val="auto"/>
              </w:rPr>
            </w:pPr>
          </w:p>
        </w:tc>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Contingent consideration liability - March 31, 2026</w:t>
            </w:r>
          </w:p>
        </w:tc>
        <w:tc>
          <w:tcPr>
            <w:tcW w:w="640" w:type="dxa"/>
            <w:vAlign w:val="bottom"/>
            <w:tcBorders>
              <w:bottom w:val="single" w:sz="8" w:color="auto"/>
            </w:tcBorders>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r>
      <w:tr>
        <w:trPr>
          <w:trHeight w:val="20"/>
        </w:trPr>
        <w:tc>
          <w:tcPr>
            <w:tcW w:w="20" w:type="dxa"/>
            <w:vAlign w:val="bottom"/>
          </w:tcPr>
          <w:p>
            <w:pPr>
              <w:spacing w:after="0" w:line="20" w:lineRule="exact"/>
              <w:rPr>
                <w:sz w:val="1"/>
                <w:szCs w:val="1"/>
                <w:color w:val="auto"/>
              </w:rPr>
            </w:pPr>
          </w:p>
        </w:tc>
        <w:tc>
          <w:tcPr>
            <w:tcW w:w="96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7"/>
          <w:szCs w:val="17"/>
          <w:color w:val="auto"/>
        </w:rPr>
        <w:t>The accretion in value of contingent consideration liabilities is included within administrative expenses on the Condensed Consolidated Statements of Operations and Comprehensive Income.</w:t>
      </w:r>
    </w:p>
    <w:p>
      <w:pPr>
        <w:spacing w:after="0" w:line="10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The carrying value and associated fair value of financial liabilities that are not recorded at fair value in the Condensed Consolidated Balance Sheets and not described above include our Senior Notes. To estimate the fair value of our Senior Notes, we utilized third-party quotes which are derived all or in part from model prices, external sources or market prices. The Senior Notes represent a Level 2 fair value measurement and are as follows (in millions):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60" w:type="dxa"/>
            <w:vAlign w:val="bottom"/>
            <w:gridSpan w:val="6"/>
          </w:tcPr>
          <w:p>
            <w:pPr>
              <w:jc w:val="right"/>
              <w:ind w:right="1014"/>
              <w:spacing w:after="0"/>
              <w:rPr>
                <w:sz w:val="20"/>
                <w:szCs w:val="20"/>
                <w:color w:val="auto"/>
              </w:rPr>
            </w:pPr>
            <w:r>
              <w:rPr>
                <w:rFonts w:ascii="Times New Roman" w:cs="Times New Roman" w:eastAsia="Times New Roman" w:hAnsi="Times New Roman"/>
                <w:sz w:val="17"/>
                <w:szCs w:val="17"/>
                <w:color w:val="auto"/>
              </w:rPr>
              <w:t>As of March 31, 2026</w:t>
            </w:r>
          </w:p>
        </w:tc>
        <w:tc>
          <w:tcPr>
            <w:tcW w:w="2980" w:type="dxa"/>
            <w:vAlign w:val="bottom"/>
            <w:gridSpan w:val="4"/>
          </w:tcPr>
          <w:p>
            <w:pPr>
              <w:jc w:val="right"/>
              <w:ind w:right="594"/>
              <w:spacing w:after="0"/>
              <w:rPr>
                <w:sz w:val="20"/>
                <w:szCs w:val="20"/>
                <w:color w:val="auto"/>
              </w:rPr>
            </w:pPr>
            <w:r>
              <w:rPr>
                <w:rFonts w:ascii="Times New Roman" w:cs="Times New Roman" w:eastAsia="Times New Roman" w:hAnsi="Times New Roman"/>
                <w:sz w:val="17"/>
                <w:szCs w:val="17"/>
                <w:color w:val="auto"/>
              </w:rPr>
              <w:t>As of December 31, 2025</w:t>
            </w:r>
          </w:p>
        </w:tc>
      </w:tr>
      <w:tr>
        <w:trPr>
          <w:trHeight w:val="212"/>
        </w:trPr>
        <w:tc>
          <w:tcPr>
            <w:tcW w:w="48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3"/>
          </w:tcPr>
          <w:p>
            <w:pPr>
              <w:jc w:val="right"/>
              <w:ind w:right="514"/>
              <w:spacing w:after="0"/>
              <w:rPr>
                <w:sz w:val="20"/>
                <w:szCs w:val="20"/>
                <w:color w:val="auto"/>
              </w:rPr>
            </w:pPr>
            <w:r>
              <w:rPr>
                <w:rFonts w:ascii="Times New Roman" w:cs="Times New Roman" w:eastAsia="Times New Roman" w:hAnsi="Times New Roman"/>
                <w:sz w:val="17"/>
                <w:szCs w:val="17"/>
                <w:color w:val="auto"/>
              </w:rPr>
              <w:t>Carrying Value</w:t>
            </w:r>
          </w:p>
        </w:tc>
        <w:tc>
          <w:tcPr>
            <w:tcW w:w="126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Fair Value</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Carrying Value</w:t>
            </w: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Fair Value</w:t>
            </w:r>
          </w:p>
        </w:tc>
      </w:tr>
      <w:tr>
        <w:trPr>
          <w:trHeight w:val="212"/>
        </w:trPr>
        <w:tc>
          <w:tcPr>
            <w:tcW w:w="4840" w:type="dxa"/>
            <w:vAlign w:val="bottom"/>
            <w:tcBorders>
              <w:top w:val="single" w:sz="8" w:color="CCEEFF"/>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2028 Senior Notes</w:t>
            </w:r>
            <w:r>
              <w:rPr>
                <w:rFonts w:ascii="Times New Roman" w:cs="Times New Roman" w:eastAsia="Times New Roman" w:hAnsi="Times New Roman"/>
                <w:sz w:val="22"/>
                <w:szCs w:val="22"/>
                <w:color w:val="auto"/>
                <w:vertAlign w:val="superscript"/>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300.4</w:t>
            </w:r>
          </w:p>
        </w:tc>
      </w:tr>
      <w:tr>
        <w:trPr>
          <w:trHeight w:val="295"/>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2034 Senior Notes</w:t>
            </w:r>
            <w:r>
              <w:rPr>
                <w:rFonts w:ascii="Times New Roman" w:cs="Times New Roman" w:eastAsia="Times New Roman" w:hAnsi="Times New Roman"/>
                <w:sz w:val="22"/>
                <w:szCs w:val="22"/>
                <w:color w:val="auto"/>
                <w:vertAlign w:val="superscript"/>
              </w:rPr>
              <w:t>(1)</w:t>
            </w:r>
          </w:p>
        </w:tc>
        <w:tc>
          <w:tcPr>
            <w:tcW w:w="1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Excludes the impact of unamortized debt issuance costs.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 7, Long-Term Debt, for more information on our Senior Notes.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 INFORMATION ON SEGMENTS</w:t>
      </w:r>
    </w:p>
    <w:p>
      <w:pPr>
        <w:spacing w:after="0" w:line="169"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7"/>
          <w:szCs w:val="17"/>
          <w:color w:val="auto"/>
        </w:rPr>
        <w:t>Our Chief Executive Officer is our Chief Operating Decision Maker ("CODM") who reviews financial information for each of our three operating segments, consisting of Installation, Distribution and Manufacturing, for the purpose of assessing business performance, managing the business and allocating resources.</w:t>
      </w:r>
    </w:p>
    <w:p>
      <w:pPr>
        <w:spacing w:after="0" w:line="10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Our Installation operating segment represents the majority of our net revenue and gross profit and forms our one reportable segment. This operating segment represents the service-based installation of insulation and complementary building products in the residential new construction, repair and remodel and commercial construction end markets from our national network of branch locations. These branch locations have similar economic and operating characteristics including the nature of products and services offered, operating procedures and risks, customer bases, employee incentives, material procurement and shared corporate resources which led us to conclude that they combine to form one operating segment.</w:t>
      </w:r>
    </w:p>
    <w:p>
      <w:pPr>
        <w:spacing w:after="0" w:line="123"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The Other category reported below reflects the operations of our two remaining operating segments, Distribution and Manufacturing, which do not meet the quantitative thresholds for separate reporting. Our Distribution operating segment includes our distribution businesses that sell insulation, gutters and accessories primarily to installers of these products who operate in multiple end markets. Our Manufacturing operating segment consists of our manufacturing operations which produce cellulose insulation, asphalt fibers, industrial fibers and tempered glass products to sell to distributors and installers of these products.</w:t>
      </w:r>
    </w:p>
    <w:p>
      <w:pPr>
        <w:spacing w:after="0" w:line="120"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7"/>
          <w:szCs w:val="17"/>
          <w:color w:val="auto"/>
        </w:rPr>
        <w:t>The Installation reportable segment includes substantially all of our net revenue from services while net revenue included in the Other category includes substantially all of our net revenue from sales of products. The intercompany sales from the Other category to the Installation reportable segment include a profit margin while our Installation segment records these transactions at cost. These transactions are shown in the reconciliation of revenue and segment gross profit below.</w:t>
      </w:r>
    </w:p>
    <w:p>
      <w:pPr>
        <w:spacing w:after="0" w:line="120"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The key metrics used by our CODM to assess performance, review results and allocate resources of our operating segments are revenue and segment gross profit. Our CODM evaluates performance through reviews of revenue and segment gross profit to monitor budget versus actual results, which informs resource allocation and management decisions. We define segment gross profit as revenue less cost of sales, excluding depreciation and amortization. We do not report depreciation, amortization, operating expenses, other expense, net or total assets by segment because our CODM does not regularly receive or use this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INSTALLED BUILDING PRODUCTS, INC.</w:t>
      </w:r>
    </w:p>
    <w:p>
      <w:pPr>
        <w:spacing w:after="0" w:line="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information at a disaggregated level. The following tables represent our Installation segment information for the three months ended March 31, 2026 and 2025 (in millions):</w:t>
      </w:r>
    </w:p>
    <w:p>
      <w:pPr>
        <w:spacing w:after="0" w:line="87" w:lineRule="exact"/>
        <w:rPr>
          <w:sz w:val="20"/>
          <w:szCs w:val="20"/>
          <w:color w:val="auto"/>
        </w:rPr>
      </w:pPr>
    </w:p>
    <w:tbl>
      <w:tblPr>
        <w:tblLayout w:type="fixed"/>
        <w:tblInd w:w="18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4"/>
          </w:tcPr>
          <w:p>
            <w:pPr>
              <w:jc w:val="right"/>
              <w:ind w:right="714"/>
              <w:spacing w:after="0"/>
              <w:rPr>
                <w:sz w:val="20"/>
                <w:szCs w:val="20"/>
                <w:color w:val="auto"/>
              </w:rPr>
            </w:pPr>
            <w:r>
              <w:rPr>
                <w:rFonts w:ascii="Times New Roman" w:cs="Times New Roman" w:eastAsia="Times New Roman" w:hAnsi="Times New Roman"/>
                <w:sz w:val="17"/>
                <w:szCs w:val="17"/>
                <w:color w:val="auto"/>
              </w:rPr>
              <w:t>Three months ended March 31,</w:t>
            </w:r>
          </w:p>
        </w:tc>
      </w:tr>
      <w:tr>
        <w:trPr>
          <w:trHeight w:val="173"/>
        </w:trPr>
        <w:tc>
          <w:tcPr>
            <w:tcW w:w="20" w:type="dxa"/>
            <w:vAlign w:val="bottom"/>
          </w:tcPr>
          <w:p>
            <w:pPr>
              <w:spacing w:after="0"/>
              <w:rPr>
                <w:sz w:val="15"/>
                <w:szCs w:val="15"/>
                <w:color w:val="auto"/>
              </w:rPr>
            </w:pPr>
          </w:p>
        </w:tc>
        <w:tc>
          <w:tcPr>
            <w:tcW w:w="7080" w:type="dxa"/>
            <w:vAlign w:val="bottom"/>
            <w:gridSpan w:val="2"/>
          </w:tcPr>
          <w:p>
            <w:pPr>
              <w:spacing w:after="0" w:line="173" w:lineRule="exact"/>
              <w:rPr>
                <w:sz w:val="20"/>
                <w:szCs w:val="20"/>
                <w:color w:val="auto"/>
              </w:rPr>
            </w:pPr>
            <w:r>
              <w:rPr>
                <w:rFonts w:ascii="Times New Roman" w:cs="Times New Roman" w:eastAsia="Times New Roman" w:hAnsi="Times New Roman"/>
                <w:sz w:val="17"/>
                <w:szCs w:val="17"/>
                <w:color w:val="auto"/>
              </w:rPr>
              <w:t>Installation Segment</w:t>
            </w:r>
          </w:p>
        </w:tc>
        <w:tc>
          <w:tcPr>
            <w:tcW w:w="440" w:type="dxa"/>
            <w:vAlign w:val="bottom"/>
          </w:tcPr>
          <w:p>
            <w:pPr>
              <w:spacing w:after="0"/>
              <w:rPr>
                <w:sz w:val="15"/>
                <w:szCs w:val="15"/>
                <w:color w:val="auto"/>
              </w:rPr>
            </w:pPr>
          </w:p>
        </w:tc>
        <w:tc>
          <w:tcPr>
            <w:tcW w:w="1420" w:type="dxa"/>
            <w:vAlign w:val="bottom"/>
          </w:tcPr>
          <w:p>
            <w:pPr>
              <w:jc w:val="right"/>
              <w:ind w:right="674"/>
              <w:spacing w:after="0" w:line="173" w:lineRule="exact"/>
              <w:rPr>
                <w:sz w:val="20"/>
                <w:szCs w:val="20"/>
                <w:color w:val="auto"/>
              </w:rPr>
            </w:pPr>
            <w:r>
              <w:rPr>
                <w:rFonts w:ascii="Times New Roman" w:cs="Times New Roman" w:eastAsia="Times New Roman" w:hAnsi="Times New Roman"/>
                <w:sz w:val="17"/>
                <w:szCs w:val="17"/>
                <w:color w:val="auto"/>
              </w:rPr>
              <w:t>2026</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jc w:val="right"/>
              <w:ind w:right="654"/>
              <w:spacing w:after="0" w:line="173" w:lineRule="exact"/>
              <w:rPr>
                <w:sz w:val="20"/>
                <w:szCs w:val="20"/>
                <w:color w:val="auto"/>
              </w:rPr>
            </w:pPr>
            <w:r>
              <w:rPr>
                <w:rFonts w:ascii="Times New Roman" w:cs="Times New Roman" w:eastAsia="Times New Roman" w:hAnsi="Times New Roman"/>
                <w:sz w:val="17"/>
                <w:szCs w:val="17"/>
                <w:color w:val="auto"/>
              </w:rPr>
              <w:t>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609.8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647.2</w:t>
            </w:r>
          </w:p>
        </w:tc>
      </w:tr>
      <w:tr>
        <w:trPr>
          <w:trHeight w:val="219"/>
        </w:trPr>
        <w:tc>
          <w:tcPr>
            <w:tcW w:w="20" w:type="dxa"/>
            <w:vAlign w:val="bottom"/>
            <w:tcBorders>
              <w:bottom w:val="single" w:sz="8" w:color="CCEEFF"/>
            </w:tcBorders>
          </w:tcPr>
          <w:p>
            <w:pPr>
              <w:spacing w:after="0"/>
              <w:rPr>
                <w:sz w:val="19"/>
                <w:szCs w:val="19"/>
                <w:color w:val="auto"/>
              </w:rPr>
            </w:pPr>
          </w:p>
        </w:tc>
        <w:tc>
          <w:tcPr>
            <w:tcW w:w="7080" w:type="dxa"/>
            <w:vAlign w:val="bottom"/>
            <w:tcBorders>
              <w:bottom w:val="single" w:sz="8" w:color="CCEEFF"/>
            </w:tcBorders>
            <w:gridSpan w:val="2"/>
          </w:tcPr>
          <w:p>
            <w:pPr>
              <w:spacing w:after="0" w:line="219" w:lineRule="exact"/>
              <w:rPr>
                <w:sz w:val="20"/>
                <w:szCs w:val="20"/>
                <w:color w:val="auto"/>
              </w:rPr>
            </w:pPr>
            <w:r>
              <w:rPr>
                <w:rFonts w:ascii="Times New Roman" w:cs="Times New Roman" w:eastAsia="Times New Roman" w:hAnsi="Times New Roman"/>
                <w:sz w:val="17"/>
                <w:szCs w:val="17"/>
                <w:color w:val="auto"/>
              </w:rPr>
              <w:t xml:space="preserve">Cost of sales </w:t>
            </w:r>
            <w:r>
              <w:rPr>
                <w:rFonts w:ascii="Times New Roman" w:cs="Times New Roman" w:eastAsia="Times New Roman" w:hAnsi="Times New Roman"/>
                <w:sz w:val="22"/>
                <w:szCs w:val="22"/>
                <w:color w:val="auto"/>
                <w:vertAlign w:val="superscript"/>
              </w:rPr>
              <w:t>(1)</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393.5</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417.7</w:t>
            </w:r>
          </w:p>
        </w:tc>
      </w:tr>
      <w:tr>
        <w:trPr>
          <w:trHeight w:val="212"/>
        </w:trPr>
        <w:tc>
          <w:tcPr>
            <w:tcW w:w="20" w:type="dxa"/>
            <w:vAlign w:val="bottom"/>
            <w:shd w:val="clear" w:color="auto" w:fill="CCEEFF"/>
          </w:tcPr>
          <w:p>
            <w:pPr>
              <w:spacing w:after="0"/>
              <w:rPr>
                <w:sz w:val="18"/>
                <w:szCs w:val="18"/>
                <w:color w:val="auto"/>
              </w:rPr>
            </w:pPr>
          </w:p>
        </w:tc>
        <w:tc>
          <w:tcPr>
            <w:tcW w:w="7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Segment gross profit</w:t>
            </w: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216.3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229.5</w:t>
            </w:r>
          </w:p>
        </w:tc>
      </w:tr>
      <w:tr>
        <w:trPr>
          <w:trHeight w:val="223"/>
        </w:trPr>
        <w:tc>
          <w:tcPr>
            <w:tcW w:w="20" w:type="dxa"/>
            <w:vAlign w:val="bottom"/>
          </w:tcPr>
          <w:p>
            <w:pPr>
              <w:spacing w:after="0"/>
              <w:rPr>
                <w:sz w:val="19"/>
                <w:szCs w:val="19"/>
                <w:color w:val="auto"/>
              </w:rPr>
            </w:pPr>
          </w:p>
        </w:tc>
        <w:tc>
          <w:tcPr>
            <w:tcW w:w="70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Segment gross profit percentage</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35.5 %</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35.5 %</w:t>
            </w:r>
          </w:p>
        </w:tc>
      </w:tr>
    </w:tbl>
    <w:p>
      <w:pPr>
        <w:spacing w:after="0" w:line="147" w:lineRule="exact"/>
        <w:rPr>
          <w:sz w:val="20"/>
          <w:szCs w:val="20"/>
          <w:color w:val="auto"/>
        </w:rPr>
      </w:pPr>
    </w:p>
    <w:p>
      <w:pPr>
        <w:ind w:left="460" w:right="60" w:hanging="457"/>
        <w:spacing w:after="0" w:line="287" w:lineRule="auto"/>
        <w:tabs>
          <w:tab w:leader="none" w:pos="45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 of sales included in the Installation segment gross profit is exclusive of depreciation and amortization for the three months ended March 31, 2026 and 2025.</w:t>
      </w:r>
    </w:p>
    <w:p>
      <w:pPr>
        <w:spacing w:after="0" w:line="100"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7"/>
          <w:szCs w:val="17"/>
          <w:color w:val="auto"/>
        </w:rPr>
        <w:t>The reconciliation of Installation revenue and segment gross profit for each period as shown in the table above to consolidated net revenue and income before income taxes is as follows (in millions):</w:t>
      </w:r>
    </w:p>
    <w:p>
      <w:pPr>
        <w:spacing w:after="0" w:line="74" w:lineRule="exact"/>
        <w:rPr>
          <w:sz w:val="20"/>
          <w:szCs w:val="20"/>
          <w:color w:val="auto"/>
        </w:rPr>
      </w:pPr>
    </w:p>
    <w:tbl>
      <w:tblPr>
        <w:tblLayout w:type="fixed"/>
        <w:tblInd w:w="100" w:type="dxa"/>
        <w:tblCellMar>
          <w:top w:w="0" w:type="dxa"/>
          <w:left w:w="0" w:type="dxa"/>
          <w:bottom w:w="0" w:type="dxa"/>
          <w:right w:w="0" w:type="dxa"/>
        </w:tblCellMar>
      </w:tblPr>
      <w:tr>
        <w:trPr>
          <w:trHeight w:val="223"/>
        </w:trPr>
        <w:tc>
          <w:tcPr>
            <w:tcW w:w="7460" w:type="dxa"/>
            <w:vAlign w:val="bottom"/>
          </w:tcPr>
          <w:p>
            <w:pPr>
              <w:spacing w:after="0"/>
              <w:rPr>
                <w:sz w:val="19"/>
                <w:szCs w:val="19"/>
                <w:color w:val="auto"/>
              </w:rPr>
            </w:pPr>
          </w:p>
        </w:tc>
        <w:tc>
          <w:tcPr>
            <w:tcW w:w="3000" w:type="dxa"/>
            <w:vAlign w:val="bottom"/>
            <w:tcBorders>
              <w:bottom w:val="single" w:sz="8" w:color="auto"/>
            </w:tcBorders>
            <w:gridSpan w:val="4"/>
          </w:tcPr>
          <w:p>
            <w:pPr>
              <w:jc w:val="right"/>
              <w:ind w:right="54"/>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600" w:type="dxa"/>
            <w:vAlign w:val="bottom"/>
            <w:tcBorders>
              <w:bottom w:val="single" w:sz="8" w:color="auto"/>
            </w:tcBorders>
          </w:tcPr>
          <w:p>
            <w:pPr>
              <w:spacing w:after="0"/>
              <w:rPr>
                <w:sz w:val="19"/>
                <w:szCs w:val="19"/>
                <w:color w:val="auto"/>
              </w:rPr>
            </w:pPr>
          </w:p>
        </w:tc>
      </w:tr>
      <w:tr>
        <w:trPr>
          <w:trHeight w:val="212"/>
        </w:trPr>
        <w:tc>
          <w:tcPr>
            <w:tcW w:w="74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2026</w:t>
            </w: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2025</w:t>
            </w:r>
          </w:p>
        </w:tc>
        <w:tc>
          <w:tcPr>
            <w:tcW w:w="600" w:type="dxa"/>
            <w:vAlign w:val="bottom"/>
            <w:tcBorders>
              <w:bottom w:val="single" w:sz="8" w:color="auto"/>
            </w:tcBorders>
          </w:tcPr>
          <w:p>
            <w:pPr>
              <w:spacing w:after="0"/>
              <w:rPr>
                <w:sz w:val="18"/>
                <w:szCs w:val="18"/>
                <w:color w:val="auto"/>
              </w:rPr>
            </w:pPr>
          </w:p>
        </w:tc>
      </w:tr>
      <w:tr>
        <w:trPr>
          <w:trHeight w:val="19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Reconciliation of revenue:</w:t>
            </w:r>
          </w:p>
        </w:tc>
        <w:tc>
          <w:tcPr>
            <w:tcW w:w="1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19"/>
        </w:trPr>
        <w:tc>
          <w:tcPr>
            <w:tcW w:w="74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Installation segment revenue</w:t>
            </w:r>
          </w:p>
        </w:tc>
        <w:tc>
          <w:tcPr>
            <w:tcW w:w="1160" w:type="dxa"/>
            <w:vAlign w:val="bottom"/>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609.8</w:t>
            </w:r>
          </w:p>
        </w:tc>
        <w:tc>
          <w:tcPr>
            <w:tcW w:w="80" w:type="dxa"/>
            <w:vAlign w:val="bottom"/>
          </w:tcPr>
          <w:p>
            <w:pPr>
              <w:spacing w:after="0"/>
              <w:rPr>
                <w:sz w:val="19"/>
                <w:szCs w:val="19"/>
                <w:color w:val="auto"/>
              </w:rPr>
            </w:pPr>
          </w:p>
        </w:tc>
        <w:tc>
          <w:tcPr>
            <w:tcW w:w="1160" w:type="dxa"/>
            <w:vAlign w:val="bottom"/>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647.2</w:t>
            </w:r>
          </w:p>
        </w:tc>
      </w:tr>
      <w:tr>
        <w:trPr>
          <w:trHeight w:val="219"/>
        </w:trPr>
        <w:tc>
          <w:tcPr>
            <w:tcW w:w="7460" w:type="dxa"/>
            <w:vAlign w:val="bottom"/>
            <w:shd w:val="clear" w:color="auto" w:fill="CCEEFF"/>
          </w:tcPr>
          <w:p>
            <w:pPr>
              <w:ind w:left="120"/>
              <w:spacing w:after="0" w:line="219" w:lineRule="exact"/>
              <w:rPr>
                <w:sz w:val="20"/>
                <w:szCs w:val="20"/>
                <w:color w:val="auto"/>
              </w:rPr>
            </w:pPr>
            <w:r>
              <w:rPr>
                <w:rFonts w:ascii="Times New Roman" w:cs="Times New Roman" w:eastAsia="Times New Roman" w:hAnsi="Times New Roman"/>
                <w:sz w:val="17"/>
                <w:szCs w:val="17"/>
                <w:color w:val="auto"/>
              </w:rPr>
              <w:t xml:space="preserve">Other revenue </w:t>
            </w:r>
            <w:r>
              <w:rPr>
                <w:rFonts w:ascii="Times New Roman" w:cs="Times New Roman" w:eastAsia="Times New Roman" w:hAnsi="Times New Roman"/>
                <w:sz w:val="22"/>
                <w:szCs w:val="22"/>
                <w:color w:val="auto"/>
                <w:vertAlign w:val="superscript"/>
              </w:rPr>
              <w:t>(1)</w:t>
            </w: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w:t>
            </w:r>
          </w:p>
        </w:tc>
      </w:tr>
      <w:tr>
        <w:trPr>
          <w:trHeight w:val="219"/>
        </w:trPr>
        <w:tc>
          <w:tcPr>
            <w:tcW w:w="7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Elimination of inter-segment revenue</w:t>
            </w:r>
          </w:p>
        </w:tc>
        <w:tc>
          <w:tcPr>
            <w:tcW w:w="1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12"/>
        </w:trPr>
        <w:tc>
          <w:tcPr>
            <w:tcW w:w="7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consolidated net revenue</w:t>
            </w:r>
          </w:p>
        </w:tc>
        <w:tc>
          <w:tcPr>
            <w:tcW w:w="116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660.5</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684.8</w:t>
            </w:r>
          </w:p>
        </w:tc>
      </w:tr>
      <w:tr>
        <w:trPr>
          <w:trHeight w:val="219"/>
        </w:trPr>
        <w:tc>
          <w:tcPr>
            <w:tcW w:w="74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Reconciliation of segment gross profit:</w:t>
            </w:r>
          </w:p>
        </w:tc>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19"/>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Installation segment gross profit</w:t>
            </w:r>
          </w:p>
        </w:tc>
        <w:tc>
          <w:tcPr>
            <w:tcW w:w="116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216.3</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229.5</w:t>
            </w:r>
          </w:p>
        </w:tc>
      </w:tr>
      <w:tr>
        <w:trPr>
          <w:trHeight w:val="219"/>
        </w:trPr>
        <w:tc>
          <w:tcPr>
            <w:tcW w:w="7460" w:type="dxa"/>
            <w:vAlign w:val="bottom"/>
          </w:tcPr>
          <w:p>
            <w:pPr>
              <w:ind w:left="120"/>
              <w:spacing w:after="0" w:line="219" w:lineRule="exact"/>
              <w:rPr>
                <w:sz w:val="20"/>
                <w:szCs w:val="20"/>
                <w:color w:val="auto"/>
              </w:rPr>
            </w:pPr>
            <w:r>
              <w:rPr>
                <w:rFonts w:ascii="Times New Roman" w:cs="Times New Roman" w:eastAsia="Times New Roman" w:hAnsi="Times New Roman"/>
                <w:sz w:val="17"/>
                <w:szCs w:val="17"/>
                <w:color w:val="auto"/>
              </w:rPr>
              <w:t xml:space="preserve">Other gross profit </w:t>
            </w:r>
            <w:r>
              <w:rPr>
                <w:rFonts w:ascii="Times New Roman" w:cs="Times New Roman" w:eastAsia="Times New Roman" w:hAnsi="Times New Roman"/>
                <w:sz w:val="22"/>
                <w:szCs w:val="22"/>
                <w:color w:val="auto"/>
                <w:vertAlign w:val="superscript"/>
              </w:rPr>
              <w:t>(1)</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219"/>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Elimination of inter-segment gross profit</w:t>
            </w: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19"/>
        </w:trPr>
        <w:tc>
          <w:tcPr>
            <w:tcW w:w="74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Less:</w:t>
            </w:r>
          </w:p>
        </w:tc>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19"/>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8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r>
      <w:tr>
        <w:trPr>
          <w:trHeight w:val="212"/>
        </w:trPr>
        <w:tc>
          <w:tcPr>
            <w:tcW w:w="74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consolidated gross profit, as reported</w:t>
            </w:r>
          </w:p>
        </w:tc>
        <w:tc>
          <w:tcPr>
            <w:tcW w:w="1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212.3</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223.7</w:t>
            </w:r>
          </w:p>
        </w:tc>
      </w:tr>
      <w:tr>
        <w:trPr>
          <w:trHeight w:val="219"/>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expenses</w:t>
            </w:r>
          </w:p>
        </w:tc>
        <w:tc>
          <w:tcPr>
            <w:tcW w:w="1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154.7</w:t>
            </w:r>
          </w:p>
        </w:tc>
        <w:tc>
          <w:tcPr>
            <w:tcW w:w="8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153.9</w:t>
            </w:r>
          </w:p>
        </w:tc>
      </w:tr>
      <w:tr>
        <w:trPr>
          <w:trHeight w:val="212"/>
        </w:trPr>
        <w:tc>
          <w:tcPr>
            <w:tcW w:w="74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Operating income</w:t>
            </w:r>
          </w:p>
        </w:tc>
        <w:tc>
          <w:tcPr>
            <w:tcW w:w="1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57.6</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69.8</w:t>
            </w:r>
          </w:p>
        </w:tc>
      </w:tr>
      <w:tr>
        <w:trPr>
          <w:trHeight w:val="219"/>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expense, net</w:t>
            </w:r>
          </w:p>
        </w:tc>
        <w:tc>
          <w:tcPr>
            <w:tcW w:w="1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8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212"/>
        </w:trPr>
        <w:tc>
          <w:tcPr>
            <w:tcW w:w="74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160" w:type="dxa"/>
            <w:vAlign w:val="bottom"/>
            <w:tcBorders>
              <w:bottom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47.1</w:t>
            </w:r>
          </w:p>
        </w:tc>
        <w:tc>
          <w:tcPr>
            <w:tcW w:w="80" w:type="dxa"/>
            <w:vAlign w:val="bottom"/>
          </w:tcPr>
          <w:p>
            <w:pPr>
              <w:spacing w:after="0"/>
              <w:rPr>
                <w:sz w:val="18"/>
                <w:szCs w:val="18"/>
                <w:color w:val="auto"/>
              </w:rPr>
            </w:pPr>
          </w:p>
        </w:tc>
        <w:tc>
          <w:tcPr>
            <w:tcW w:w="1160" w:type="dxa"/>
            <w:vAlign w:val="bottom"/>
            <w:tcBorders>
              <w:bottom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61.3</w:t>
            </w:r>
          </w:p>
        </w:tc>
      </w:tr>
      <w:tr>
        <w:trPr>
          <w:trHeight w:val="20"/>
        </w:trPr>
        <w:tc>
          <w:tcPr>
            <w:tcW w:w="74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460" w:right="20" w:hanging="457"/>
        <w:spacing w:after="0" w:line="270" w:lineRule="auto"/>
        <w:tabs>
          <w:tab w:leader="none" w:pos="45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revenue and other gross profit include the remaining two operating segments, Distribution and Manufacturing before inter-segment eliminations. These operating segments are each below the quantitative thresholds for being reported as a reportable segment for the three months ended March 31, 2026 and 2025.</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 DERIVATIVES AND HEDGING ACTIVITIES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Cash Flow Hedges of Interest Rate Risk</w:t>
      </w:r>
    </w:p>
    <w:p>
      <w:pPr>
        <w:spacing w:after="0" w:line="16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Our purpose for using interest rate derivatives is to add stability to interest expense and to manage our exposure to interest rate movements. During the three months ended March 31, 2026, we used interest rate swaps to hedge the variable cash flows associated with existing variable-rate debt. Interest rate swaps designated as cash flow hedges involve the receipt of variable amounts from a counterparty in exchange for making fixed-rate payments over the life of the agreements without exchange of the underlying notional amount. We do not use derivatives for trading or speculative purposes and we currently do not have any derivatives that are not designated as hedges. As of March 31, 2026, we have not posted any collateral related to these agreements.</w:t>
      </w:r>
    </w:p>
    <w:p>
      <w:pPr>
        <w:spacing w:after="0" w:line="200" w:lineRule="exact"/>
        <w:rPr>
          <w:sz w:val="20"/>
          <w:szCs w:val="20"/>
          <w:color w:val="auto"/>
        </w:rPr>
      </w:pPr>
    </w:p>
    <w:p>
      <w:pPr>
        <w:spacing w:after="0" w:line="3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278" w:right="4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INSTALLED BUILDING PRODUCTS,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March 31, 2026 and December 31, 2025, we had the following interest rate swap derivatives (notional amounts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8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Effective Date</w:t>
            </w:r>
          </w:p>
        </w:tc>
        <w:tc>
          <w:tcPr>
            <w:tcW w:w="212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Notional Amount</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8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Fixed Rate</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Maturity Date</w:t>
            </w:r>
          </w:p>
        </w:tc>
      </w:tr>
      <w:tr>
        <w:trPr>
          <w:trHeight w:val="212"/>
        </w:trPr>
        <w:tc>
          <w:tcPr>
            <w:tcW w:w="2700" w:type="dxa"/>
            <w:vAlign w:val="bottom"/>
            <w:tcBorders>
              <w:top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7"/>
                <w:szCs w:val="17"/>
                <w:color w:val="auto"/>
              </w:rPr>
              <w:t>December 31, 2025</w:t>
            </w:r>
          </w:p>
        </w:tc>
        <w:tc>
          <w:tcPr>
            <w:tcW w:w="8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8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3.06 %</w:t>
            </w:r>
          </w:p>
        </w:tc>
        <w:tc>
          <w:tcPr>
            <w:tcW w:w="8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ind w:left="1360"/>
              <w:spacing w:after="0"/>
              <w:rPr>
                <w:sz w:val="20"/>
                <w:szCs w:val="20"/>
                <w:color w:val="auto"/>
              </w:rPr>
            </w:pPr>
            <w:r>
              <w:rPr>
                <w:rFonts w:ascii="Times New Roman" w:cs="Times New Roman" w:eastAsia="Times New Roman" w:hAnsi="Times New Roman"/>
                <w:sz w:val="17"/>
                <w:szCs w:val="17"/>
                <w:color w:val="auto"/>
              </w:rPr>
              <w:t>December 14, 2028</w:t>
            </w:r>
          </w:p>
        </w:tc>
      </w:tr>
      <w:tr>
        <w:trPr>
          <w:trHeight w:val="223"/>
        </w:trPr>
        <w:tc>
          <w:tcPr>
            <w:tcW w:w="2780" w:type="dxa"/>
            <w:vAlign w:val="bottom"/>
            <w:gridSpan w:val="2"/>
          </w:tcPr>
          <w:p>
            <w:pPr>
              <w:ind w:left="1340"/>
              <w:spacing w:after="0"/>
              <w:rPr>
                <w:sz w:val="20"/>
                <w:szCs w:val="20"/>
                <w:color w:val="auto"/>
              </w:rPr>
            </w:pPr>
            <w:r>
              <w:rPr>
                <w:rFonts w:ascii="Times New Roman" w:cs="Times New Roman" w:eastAsia="Times New Roman" w:hAnsi="Times New Roman"/>
                <w:sz w:val="17"/>
                <w:szCs w:val="17"/>
                <w:color w:val="auto"/>
              </w:rPr>
              <w:t>December 31, 2025</w:t>
            </w:r>
          </w:p>
        </w:tc>
        <w:tc>
          <w:tcPr>
            <w:tcW w:w="2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2.93 %</w:t>
            </w:r>
          </w:p>
        </w:tc>
        <w:tc>
          <w:tcPr>
            <w:tcW w:w="80" w:type="dxa"/>
            <w:vAlign w:val="bottom"/>
          </w:tcPr>
          <w:p>
            <w:pPr>
              <w:spacing w:after="0"/>
              <w:rPr>
                <w:sz w:val="19"/>
                <w:szCs w:val="19"/>
                <w:color w:val="auto"/>
              </w:rPr>
            </w:pPr>
          </w:p>
        </w:tc>
        <w:tc>
          <w:tcPr>
            <w:tcW w:w="2720" w:type="dxa"/>
            <w:vAlign w:val="bottom"/>
          </w:tcPr>
          <w:p>
            <w:pPr>
              <w:ind w:left="1360"/>
              <w:spacing w:after="0"/>
              <w:rPr>
                <w:sz w:val="20"/>
                <w:szCs w:val="20"/>
                <w:color w:val="auto"/>
              </w:rPr>
            </w:pPr>
            <w:r>
              <w:rPr>
                <w:rFonts w:ascii="Times New Roman" w:cs="Times New Roman" w:eastAsia="Times New Roman" w:hAnsi="Times New Roman"/>
                <w:sz w:val="17"/>
                <w:szCs w:val="17"/>
                <w:color w:val="auto"/>
              </w:rPr>
              <w:t>December 14, 2028</w:t>
            </w:r>
          </w:p>
        </w:tc>
      </w:tr>
    </w:tbl>
    <w:p>
      <w:pPr>
        <w:spacing w:after="0" w:line="225" w:lineRule="exact"/>
        <w:rPr>
          <w:sz w:val="20"/>
          <w:szCs w:val="20"/>
          <w:color w:val="auto"/>
        </w:rPr>
      </w:pPr>
    </w:p>
    <w:p>
      <w:pPr>
        <w:jc w:val="both"/>
        <w:ind w:right="600"/>
        <w:spacing w:after="0" w:line="270" w:lineRule="auto"/>
        <w:rPr>
          <w:sz w:val="20"/>
          <w:szCs w:val="20"/>
          <w:color w:val="auto"/>
        </w:rPr>
      </w:pPr>
      <w:r>
        <w:rPr>
          <w:rFonts w:ascii="Times New Roman" w:cs="Times New Roman" w:eastAsia="Times New Roman" w:hAnsi="Times New Roman"/>
          <w:sz w:val="17"/>
          <w:szCs w:val="17"/>
          <w:color w:val="auto"/>
        </w:rPr>
        <w:t>As of March 31, 2026, our two active interest rate swaps serve to hedge $400.0 million of the variable cash flows on our variable rate Term Loan through December 14, 2028. The assets associated with these interest rate swaps are included in other current assets and other non-current assets on the Condensed Consolidated Balance Sheets at their fair value amounts as described in Note 9, Fair Value Measurements.</w:t>
      </w:r>
    </w:p>
    <w:p>
      <w:pPr>
        <w:spacing w:after="0" w:line="11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Three of our amended interest rate swaps that had original maturity dates of April 15, 2030 and December 15, 2028 matured on December 31, 2025. The unrealized gains included in accumulated other comprehensive income associated with the July 2022 amendment of these interest rate swaps will be amortized as a decrease to interest expense, net through their original maturity dates. Accordingly, for each of the three months ended March 31, 2026 and 2025, we amortized $1.7 million, respectively, of the remaining unrealized gains as a decrease to interest expense, net.</w:t>
      </w:r>
    </w:p>
    <w:p>
      <w:pPr>
        <w:spacing w:after="0" w:line="120"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Additionally, due to the off-market terms at inception of these matured interest rate swaps, we amortized $1.8 million of the other-than-insignificant financing element during the three months ended March 31, 2025 as an increase to interest expense, net. During the three months ended March 31, 2025, we amortized $1.0 million of the remaining unrealized losses associated with the August 2020 terminated swaps as an increase to interest expense, net. All unrealized losses were fully amortized as of April 15, 2025, and the other-than-insignificant financing element was fully amortized as of December 31, 2025.</w:t>
      </w:r>
    </w:p>
    <w:p>
      <w:pPr>
        <w:spacing w:after="0" w:line="12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The changes in the fair value of derivatives designated, and that qualify, as cash flow hedges are recorded in other comprehensive loss, net of tax on the Condensed Consolidated Statements of Operations and Comprehensive Income and in accumulated other comprehensive income on the Condensed Consolidated Balance Sheets and subsequently reclassified into earnings in the period that the hedged forecasted transaction affects earnings. We had no such changes during the three months ended March 31, 2026 and 2025.</w:t>
      </w:r>
    </w:p>
    <w:p>
      <w:pPr>
        <w:spacing w:after="0" w:line="120"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7"/>
          <w:szCs w:val="17"/>
          <w:color w:val="auto"/>
        </w:rPr>
        <w:t>Amounts reported in accumulated other comprehensive income related to derivatives will be reclassified to interest expense, net as interest payments are made on our variable-rate debt, and as our unrealized gains from swap amendments are amortized. Over the next twelve months, we estimate that an additional $9.5 million will be reclassified as a decrease to interest expense, net.</w:t>
      </w:r>
    </w:p>
    <w:p>
      <w:pPr>
        <w:spacing w:after="0" w:line="114"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7"/>
          <w:szCs w:val="17"/>
          <w:color w:val="auto"/>
        </w:rPr>
        <w:t>The following table summarizes amounts recorded to interest expense, net included in the Condensed Consolidated Statements of Operations and Comprehensive Income related to our interest rate swaps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880" w:type="dxa"/>
            <w:vAlign w:val="bottom"/>
            <w:tcBorders>
              <w:bottom w:val="single" w:sz="8" w:color="auto"/>
            </w:tcBorders>
            <w:gridSpan w:val="4"/>
          </w:tcPr>
          <w:p>
            <w:pPr>
              <w:jc w:val="right"/>
              <w:ind w:right="34"/>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480" w:type="dxa"/>
            <w:vAlign w:val="bottom"/>
            <w:tcBorders>
              <w:bottom w:val="single" w:sz="8" w:color="auto"/>
            </w:tcBorders>
          </w:tcPr>
          <w:p>
            <w:pPr>
              <w:spacing w:after="0"/>
              <w:rPr>
                <w:sz w:val="19"/>
                <w:szCs w:val="19"/>
                <w:color w:val="auto"/>
              </w:rPr>
            </w:pPr>
          </w:p>
        </w:tc>
      </w:tr>
      <w:tr>
        <w:trPr>
          <w:trHeight w:val="212"/>
        </w:trPr>
        <w:tc>
          <w:tcPr>
            <w:tcW w:w="5440" w:type="dxa"/>
            <w:vAlign w:val="bottom"/>
            <w:tcBorders>
              <w:bottom w:val="single" w:sz="8" w:color="CCEEFF"/>
            </w:tcBorders>
          </w:tcPr>
          <w:p>
            <w:pPr>
              <w:spacing w:after="0"/>
              <w:rPr>
                <w:sz w:val="18"/>
                <w:szCs w:val="18"/>
                <w:color w:val="auto"/>
              </w:rPr>
            </w:pPr>
          </w:p>
        </w:tc>
        <w:tc>
          <w:tcPr>
            <w:tcW w:w="24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2026</w:t>
            </w: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2025</w:t>
            </w:r>
          </w:p>
        </w:tc>
        <w:tc>
          <w:tcPr>
            <w:tcW w:w="480" w:type="dxa"/>
            <w:vAlign w:val="bottom"/>
            <w:tcBorders>
              <w:bottom w:val="single" w:sz="8" w:color="auto"/>
            </w:tcBorders>
          </w:tcPr>
          <w:p>
            <w:pPr>
              <w:spacing w:after="0"/>
              <w:rPr>
                <w:sz w:val="18"/>
                <w:szCs w:val="18"/>
                <w:color w:val="auto"/>
              </w:rPr>
            </w:pPr>
          </w:p>
        </w:tc>
      </w:tr>
      <w:tr>
        <w:trPr>
          <w:trHeight w:val="212"/>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(Benefit) associated with swap net settlements</w:t>
            </w:r>
          </w:p>
        </w:tc>
        <w:tc>
          <w:tcPr>
            <w:tcW w:w="2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(Benefit) expense associated with amortization of amended/terminated swaps</w:t>
            </w:r>
          </w:p>
        </w:tc>
        <w:tc>
          <w:tcPr>
            <w:tcW w:w="2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847"/>
        </w:trPr>
        <w:tc>
          <w:tcPr>
            <w:tcW w:w="5440" w:type="dxa"/>
            <w:vAlign w:val="bottom"/>
          </w:tcPr>
          <w:p>
            <w:pPr>
              <w:spacing w:after="0"/>
              <w:rPr>
                <w:sz w:val="24"/>
                <w:szCs w:val="24"/>
                <w:color w:val="auto"/>
              </w:rPr>
            </w:pPr>
          </w:p>
        </w:tc>
        <w:tc>
          <w:tcPr>
            <w:tcW w:w="2440" w:type="dxa"/>
            <w:vAlign w:val="bottom"/>
          </w:tcPr>
          <w:p>
            <w:pPr>
              <w:jc w:val="right"/>
              <w:ind w:right="2094"/>
              <w:spacing w:after="0"/>
              <w:rPr>
                <w:sz w:val="20"/>
                <w:szCs w:val="20"/>
                <w:color w:val="auto"/>
              </w:rPr>
            </w:pPr>
            <w:r>
              <w:rPr>
                <w:rFonts w:ascii="Times New Roman" w:cs="Times New Roman" w:eastAsia="Times New Roman" w:hAnsi="Times New Roman"/>
                <w:sz w:val="17"/>
                <w:szCs w:val="17"/>
                <w:color w:val="auto"/>
              </w:rPr>
              <w:t>17</w:t>
            </w: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08"/>
        </w:trPr>
        <w:tc>
          <w:tcPr>
            <w:tcW w:w="5440" w:type="dxa"/>
            <w:vAlign w:val="bottom"/>
            <w:tcBorders>
              <w:bottom w:val="single" w:sz="8" w:color="9A9A9A"/>
            </w:tcBorders>
          </w:tcPr>
          <w:p>
            <w:pPr>
              <w:spacing w:after="0"/>
              <w:rPr>
                <w:sz w:val="9"/>
                <w:szCs w:val="9"/>
                <w:color w:val="auto"/>
              </w:rPr>
            </w:pPr>
          </w:p>
        </w:tc>
        <w:tc>
          <w:tcPr>
            <w:tcW w:w="24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INSTALLED BUILDING PRODUCTS,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12 - STOCKHOLDERS’ EQUITY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Accumulated other comprehensive income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change in accumulated other comprehensive income related to our interest rate derivatives, net of taxes, was as follows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80" w:type="dxa"/>
            <w:vAlign w:val="bottom"/>
          </w:tcPr>
          <w:p>
            <w:pPr>
              <w:spacing w:after="0"/>
              <w:rPr>
                <w:sz w:val="19"/>
                <w:szCs w:val="19"/>
                <w:color w:val="auto"/>
              </w:rPr>
            </w:pPr>
          </w:p>
        </w:tc>
        <w:tc>
          <w:tcPr>
            <w:tcW w:w="2880" w:type="dxa"/>
            <w:vAlign w:val="bottom"/>
            <w:tcBorders>
              <w:bottom w:val="single" w:sz="8" w:color="auto"/>
            </w:tcBorders>
            <w:gridSpan w:val="4"/>
          </w:tcPr>
          <w:p>
            <w:pPr>
              <w:jc w:val="right"/>
              <w:ind w:right="34"/>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480" w:type="dxa"/>
            <w:vAlign w:val="bottom"/>
            <w:tcBorders>
              <w:bottom w:val="single" w:sz="8" w:color="auto"/>
            </w:tcBorders>
          </w:tcPr>
          <w:p>
            <w:pPr>
              <w:spacing w:after="0"/>
              <w:rPr>
                <w:sz w:val="19"/>
                <w:szCs w:val="19"/>
                <w:color w:val="auto"/>
              </w:rPr>
            </w:pPr>
          </w:p>
        </w:tc>
      </w:tr>
      <w:tr>
        <w:trPr>
          <w:trHeight w:val="212"/>
        </w:trPr>
        <w:tc>
          <w:tcPr>
            <w:tcW w:w="78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2026</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2025</w:t>
            </w:r>
          </w:p>
        </w:tc>
        <w:tc>
          <w:tcPr>
            <w:tcW w:w="480" w:type="dxa"/>
            <w:vAlign w:val="bottom"/>
            <w:tcBorders>
              <w:bottom w:val="single" w:sz="8" w:color="auto"/>
            </w:tcBorders>
          </w:tcPr>
          <w:p>
            <w:pPr>
              <w:spacing w:after="0"/>
              <w:rPr>
                <w:sz w:val="18"/>
                <w:szCs w:val="18"/>
                <w:color w:val="auto"/>
              </w:rPr>
            </w:pPr>
          </w:p>
        </w:tc>
      </w:tr>
      <w:tr>
        <w:trPr>
          <w:trHeight w:val="212"/>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gain at beginning of period</w:t>
            </w:r>
          </w:p>
        </w:tc>
        <w:tc>
          <w:tcPr>
            <w:tcW w:w="112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r>
      <w:tr>
        <w:trPr>
          <w:trHeight w:val="21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Unrealized gain (loss) in fair value of interest rate derivatives</w:t>
            </w:r>
          </w:p>
        </w:tc>
        <w:tc>
          <w:tcPr>
            <w:tcW w:w="1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Reclassifications of realized net (gains) losses to earnings</w:t>
            </w:r>
          </w:p>
        </w:tc>
        <w:tc>
          <w:tcPr>
            <w:tcW w:w="1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r>
      <w:tr>
        <w:trPr>
          <w:trHeight w:val="212"/>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Accumulated gain at end of period</w:t>
            </w:r>
          </w:p>
        </w:tc>
        <w:tc>
          <w:tcPr>
            <w:tcW w:w="112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80" w:type="dxa"/>
            <w:vAlign w:val="bottom"/>
          </w:tcPr>
          <w:p>
            <w:pPr>
              <w:spacing w:after="0"/>
              <w:rPr>
                <w:sz w:val="18"/>
                <w:szCs w:val="18"/>
                <w:color w:val="auto"/>
              </w:rPr>
            </w:pPr>
          </w:p>
        </w:tc>
        <w:tc>
          <w:tcPr>
            <w:tcW w:w="1160" w:type="dxa"/>
            <w:vAlign w:val="bottom"/>
            <w:tcBorders>
              <w:bottom w:val="single" w:sz="8" w:color="auto"/>
            </w:tcBorders>
          </w:tcPr>
          <w:p>
            <w:pPr>
              <w:jc w:val="right"/>
              <w:ind w:right="95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w:t>
            </w:r>
          </w:p>
        </w:tc>
      </w:tr>
      <w:tr>
        <w:trPr>
          <w:trHeight w:val="20"/>
        </w:trPr>
        <w:tc>
          <w:tcPr>
            <w:tcW w:w="78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reclassifications of realized net (gains) losses to earnings in the above table are recorded within interest expense, net.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Share repurchases</w:t>
      </w:r>
    </w:p>
    <w:p>
      <w:pPr>
        <w:spacing w:after="0" w:line="16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During the three months ended March 31, 2026, we repurchased approximately 91 thousand shares of our common stock with an aggregate price of approximately $25.4 million, or $280.62 price per share. The effect of these treasury shares in reducing the number of common shares outstanding is reflected in our earnings per share calculation. During the three months ended March 31, 2025, we repurchased 200 thousand shares of our common stock with an aggregate price of approximately $34.3 million, or $171.47 price per share.</w:t>
      </w:r>
    </w:p>
    <w:p>
      <w:pPr>
        <w:spacing w:after="0" w:line="120"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On February 26, 2026, we announced that our board of directors authorized a new stock repurchase program that allows for the repurchase of up to $500.0 million of our outstanding common stock. The new program replaces the previous program and is in effect through March 1, 2027.</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Dividends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three months ended March 31, 2026, we declared and paid the following cash dividends (amount declared and amount paid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Declaration Date</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Record Date</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Payment Date</w:t>
            </w:r>
          </w:p>
        </w:tc>
        <w:tc>
          <w:tcPr>
            <w:tcW w:w="160" w:type="dxa"/>
            <w:vAlign w:val="bottom"/>
          </w:tcPr>
          <w:p>
            <w:pPr>
              <w:spacing w:after="0"/>
              <w:rPr>
                <w:sz w:val="19"/>
                <w:szCs w:val="19"/>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Dividend Per Share</w:t>
            </w:r>
          </w:p>
        </w:tc>
        <w:tc>
          <w:tcPr>
            <w:tcW w:w="180" w:type="dxa"/>
            <w:vAlign w:val="bottom"/>
          </w:tcPr>
          <w:p>
            <w:pPr>
              <w:spacing w:after="0"/>
              <w:rPr>
                <w:sz w:val="19"/>
                <w:szCs w:val="19"/>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Amount Declared</w:t>
            </w:r>
          </w:p>
        </w:tc>
        <w:tc>
          <w:tcPr>
            <w:tcW w:w="260" w:type="dxa"/>
            <w:vAlign w:val="bottom"/>
          </w:tcPr>
          <w:p>
            <w:pPr>
              <w:spacing w:after="0"/>
              <w:rPr>
                <w:sz w:val="19"/>
                <w:szCs w:val="19"/>
                <w:color w:val="auto"/>
              </w:rPr>
            </w:pPr>
          </w:p>
        </w:tc>
        <w:tc>
          <w:tcPr>
            <w:tcW w:w="152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Amount Paid</w:t>
            </w:r>
          </w:p>
        </w:tc>
      </w:tr>
      <w:tr>
        <w:trPr>
          <w:trHeight w:val="212"/>
        </w:trPr>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2/26/2026</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3/13/2026</w:t>
            </w:r>
          </w:p>
        </w:tc>
        <w:tc>
          <w:tcPr>
            <w:tcW w:w="1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3/31/2026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w:t>
            </w:r>
          </w:p>
        </w:tc>
      </w:tr>
      <w:tr>
        <w:trPr>
          <w:trHeight w:val="223"/>
        </w:trPr>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2/26/2026</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3/13/2026</w:t>
            </w:r>
          </w:p>
        </w:tc>
        <w:tc>
          <w:tcPr>
            <w:tcW w:w="10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3/31/2026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three months ended March 31, 2025, we declared and paid the following cash dividends (amount declared and amount paid in millions):</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Declaration Date</w:t>
            </w: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Record Date</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Payment Date</w:t>
            </w:r>
          </w:p>
        </w:tc>
        <w:tc>
          <w:tcPr>
            <w:tcW w:w="180" w:type="dxa"/>
            <w:vAlign w:val="bottom"/>
          </w:tcPr>
          <w:p>
            <w:pPr>
              <w:spacing w:after="0"/>
              <w:rPr>
                <w:sz w:val="19"/>
                <w:szCs w:val="19"/>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Dividend Per Share</w:t>
            </w:r>
          </w:p>
        </w:tc>
        <w:tc>
          <w:tcPr>
            <w:tcW w:w="180" w:type="dxa"/>
            <w:vAlign w:val="bottom"/>
          </w:tcPr>
          <w:p>
            <w:pPr>
              <w:spacing w:after="0"/>
              <w:rPr>
                <w:sz w:val="19"/>
                <w:szCs w:val="19"/>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Amount Declared</w:t>
            </w:r>
          </w:p>
        </w:tc>
        <w:tc>
          <w:tcPr>
            <w:tcW w:w="260" w:type="dxa"/>
            <w:vAlign w:val="bottom"/>
          </w:tcPr>
          <w:p>
            <w:pPr>
              <w:spacing w:after="0"/>
              <w:rPr>
                <w:sz w:val="19"/>
                <w:szCs w:val="19"/>
                <w:color w:val="auto"/>
              </w:rPr>
            </w:pPr>
          </w:p>
        </w:tc>
        <w:tc>
          <w:tcPr>
            <w:tcW w:w="152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Amount Paid</w:t>
            </w:r>
          </w:p>
        </w:tc>
      </w:tr>
      <w:tr>
        <w:trPr>
          <w:trHeight w:val="212"/>
        </w:trPr>
        <w:tc>
          <w:tcPr>
            <w:tcW w:w="1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2/27/2025</w:t>
            </w: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3/14/2025</w:t>
            </w:r>
          </w:p>
        </w:tc>
        <w:tc>
          <w:tcPr>
            <w:tcW w:w="1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3/31/2025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w:t>
            </w:r>
          </w:p>
        </w:tc>
      </w:tr>
      <w:tr>
        <w:trPr>
          <w:trHeight w:val="223"/>
        </w:trPr>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2/27/2025</w:t>
            </w:r>
          </w:p>
        </w:tc>
        <w:tc>
          <w:tcPr>
            <w:tcW w:w="12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3/14/2025</w:t>
            </w:r>
          </w:p>
        </w:tc>
        <w:tc>
          <w:tcPr>
            <w:tcW w:w="10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3/31/2025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r>
    </w:tbl>
    <w:p>
      <w:pPr>
        <w:spacing w:after="0" w:line="22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7"/>
          <w:szCs w:val="17"/>
          <w:color w:val="auto"/>
        </w:rPr>
        <w:t>During the three months ended March 31, 2026 and 2025, we declared and paid an annual variable dividend in addition to a quarterly dividend. The amount of dividends declared may vary from the amount of dividends paid in a period due to the vesting of restricted stock awards and performance share awards, which accrue dividend equivalent rights that are paid when the award vests. The payment of future dividends will be at the discretion of our board of directors and will depend on our future earnings, capital requirements, financial condition, future prospects, results of operations, contractual restrictions, legal requirements, and other factors deemed relevant by our board of directors.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INSTALLED BUILDING PRODUCTS,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13 - EMPLOYEE BENEFITS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Healthcare</w:t>
      </w:r>
    </w:p>
    <w:p>
      <w:pPr>
        <w:spacing w:after="0" w:line="16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We participate in multiple healthcare plans, the largest of which is partially self-funded with an insurance company paying benefits in excess of stop loss limits per individual/family. Our healthcare benefit expense (net of employee contributions) was $10.8 million and $7.9 million for the three months ended March 31, 2026 and 2025, respectively. An accrual for estimated healthcare claims incurred but not reported (“IBNR”) is included within accrued compensation on the Condensed Consolidated Balance Sheets and was $5.0 million and $4.9 million as of March 31, 2026 and December 31, 2025,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Workers’ Compensation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Workers’ compensation expense totaled $5.9 million and $6.4 million for the three months ended March 31, 2026 and 2025,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Workers’ compensation known claims and IBNR reserves included on the Condensed Consolidated Balance Sheets were as follows (in millions):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1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March 31, 2026</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December 31, 2025</w:t>
            </w:r>
          </w:p>
        </w:tc>
      </w:tr>
      <w:tr>
        <w:trPr>
          <w:trHeight w:val="212"/>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Included in other current liabilities</w:t>
            </w:r>
          </w:p>
        </w:tc>
        <w:tc>
          <w:tcPr>
            <w:tcW w:w="1560" w:type="dxa"/>
            <w:vAlign w:val="bottom"/>
            <w:shd w:val="clear" w:color="auto" w:fill="CCEEFF"/>
          </w:tcPr>
          <w:p>
            <w:pPr>
              <w:jc w:val="right"/>
              <w:ind w:right="1374"/>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19"/>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Included in other long-term liabilities</w:t>
            </w:r>
          </w:p>
        </w:tc>
        <w:tc>
          <w:tcPr>
            <w:tcW w:w="15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w:t>
            </w:r>
          </w:p>
        </w:tc>
      </w:tr>
      <w:tr>
        <w:trPr>
          <w:trHeight w:val="237"/>
        </w:trPr>
        <w:tc>
          <w:tcPr>
            <w:tcW w:w="71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ind w:right="1374"/>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7"/>
          <w:szCs w:val="17"/>
          <w:color w:val="auto"/>
        </w:rPr>
        <w:t>We also had insurance receivables included on the Condensed Consolidated Balance Sheets that, in aggregate, offset equal liabilities included within the reserve amounts noted above and were as follows (in millions):</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18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March 31, 2026</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December 31, 2025</w:t>
            </w:r>
          </w:p>
        </w:tc>
      </w:tr>
      <w:tr>
        <w:trPr>
          <w:trHeight w:val="212"/>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Included in other non-current assets</w:t>
            </w:r>
          </w:p>
        </w:tc>
        <w:tc>
          <w:tcPr>
            <w:tcW w:w="1600" w:type="dxa"/>
            <w:vAlign w:val="bottom"/>
            <w:shd w:val="clear" w:color="auto" w:fill="CCEEFF"/>
          </w:tcPr>
          <w:p>
            <w:pPr>
              <w:jc w:val="right"/>
              <w:ind w:right="1414"/>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Retirement Plans</w:t>
      </w:r>
    </w:p>
    <w:p>
      <w:pPr>
        <w:spacing w:after="0" w:line="165" w:lineRule="exact"/>
        <w:rPr>
          <w:sz w:val="20"/>
          <w:szCs w:val="20"/>
          <w:color w:val="auto"/>
        </w:rPr>
      </w:pPr>
    </w:p>
    <w:p>
      <w:pPr>
        <w:ind w:right="300"/>
        <w:spacing w:after="0" w:line="264" w:lineRule="auto"/>
        <w:rPr>
          <w:sz w:val="20"/>
          <w:szCs w:val="20"/>
          <w:color w:val="auto"/>
        </w:rPr>
      </w:pPr>
      <w:r>
        <w:rPr>
          <w:rFonts w:ascii="Times New Roman" w:cs="Times New Roman" w:eastAsia="Times New Roman" w:hAnsi="Times New Roman"/>
          <w:sz w:val="17"/>
          <w:szCs w:val="17"/>
          <w:color w:val="auto"/>
        </w:rPr>
        <w:t>We participate in multiple 401(k) plans, whereby we provide a matching contribution of wages deferred by employees and can also make discretionary contributions to each plan. Certain plans allow for discretionary employer contributions only. These plans cover substantially all our eligible employees. We recognized 401(k) plan expenses of $1.1 million during each of the three months ended March 31, 2026 and 2025, respectively. These expenses are included in administrative expenses on the accompanying Condensed Consolidated Statements of Operations and Comprehensive Income.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Multiemployer Pension Plans</w:t>
      </w:r>
    </w:p>
    <w:p>
      <w:pPr>
        <w:spacing w:after="0" w:line="16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We participate in various multiemployer pension plans under collective bargaining agreements in Washington, Oregon, California and Illinois with other companies in the construction industry. These plans cover our union-represented employees and contributions to these plans are expensed as incurred. These plans generally provide for retirement, death and/or termination benefits for eligible employees within the applicable collective bargaining units, based on specific eligibility/participation requirements, vesting periods and benefit formulas. We do not participate in any multiemployer pension plans that are considered to be individually significant.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Share-Based Compensation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Common Stock Awards</w:t>
      </w:r>
    </w:p>
    <w:p>
      <w:pPr>
        <w:spacing w:after="0" w:line="169"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We periodically grant shares of our common stock to non-employee members of our board of directors and our employees. During each of the three months ended March 31, 2026 and 2025, we did not grant any such shares under our 2023 Omnibus Incentive Plan to non-employee members of our board of directors. We granted approximately one thousand and 19 thousand shares of our common stock to employees during the three months ended March 31, 2026 and 2025, respectively.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INSTALLED BUILDING PRODUCTS,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Employees – Performance-Based Stock Awards</w:t>
      </w:r>
    </w:p>
    <w:p>
      <w:pPr>
        <w:spacing w:after="0" w:line="169"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7"/>
          <w:szCs w:val="17"/>
          <w:color w:val="auto"/>
        </w:rPr>
        <w:t>During the three months ended March 31, 2026, we issued approximately 43 thousand shares of our common stock to certain officers, which vest in two equal installments on each of April 20, 2027 and April 20, 2028. In addition, during the three months ended March 31, 2026, we established, and our board of directors approved, performance-based targets in connection with common stock awards to be issued to certain officers in 2027 contingent upon achievement of these targets.</w:t>
      </w:r>
    </w:p>
    <w:p>
      <w:pPr>
        <w:spacing w:after="0" w:line="12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In addition, there are various performance-based bonus plans for certain employees to be issued through the 2029 performance period that are accounted for as liability-based awards since they represent a predominantly-fixed monetary amount that will be settled with a variable number of common shares contingent upon achievement of certain performance targets. During the three months ended March 31, 2026, we issued approximately two thousand shares of our common stock to certain employees under one of the bonus plans that will vest in April 2030. In addition, during the three months ended March 31, 2026, we issued approximately eight thousand shares of our common stock under a bonus plan that will vest in April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Employees – Performance-Based Restricted Stock Units</w:t>
      </w:r>
    </w:p>
    <w:p>
      <w:pPr>
        <w:spacing w:after="0" w:line="169"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During 2025, we established, and our board of directors approved, performance-based restricted stock units in connection with common stock awards which were issued to certain employees in 2026 based upon achievement of a performance target. These units will be accounted for as equity-based awards that will be settled with a fixed number of common shares.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Share-Based Compensation Summary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Amounts and changes for each category of equity-based award were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gridSpan w:val="5"/>
          </w:tcPr>
          <w:p>
            <w:pPr>
              <w:jc w:val="center"/>
              <w:ind w:right="100"/>
              <w:spacing w:after="0"/>
              <w:rPr>
                <w:sz w:val="20"/>
                <w:szCs w:val="20"/>
                <w:color w:val="auto"/>
              </w:rPr>
            </w:pPr>
            <w:r>
              <w:rPr>
                <w:rFonts w:ascii="Times New Roman" w:cs="Times New Roman" w:eastAsia="Times New Roman" w:hAnsi="Times New Roman"/>
                <w:sz w:val="17"/>
                <w:szCs w:val="17"/>
                <w:color w:val="auto"/>
              </w:rPr>
              <w:t>Performance-</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gridSpan w:val="4"/>
          </w:tcPr>
          <w:p>
            <w:pPr>
              <w:jc w:val="right"/>
              <w:ind w:right="574"/>
              <w:spacing w:after="0"/>
              <w:rPr>
                <w:sz w:val="20"/>
                <w:szCs w:val="20"/>
                <w:color w:val="auto"/>
              </w:rPr>
            </w:pPr>
            <w:r>
              <w:rPr>
                <w:rFonts w:ascii="Times New Roman" w:cs="Times New Roman" w:eastAsia="Times New Roman" w:hAnsi="Times New Roman"/>
                <w:sz w:val="17"/>
                <w:szCs w:val="17"/>
                <w:color w:val="auto"/>
              </w:rPr>
              <w:t>Performance-</w:t>
            </w:r>
          </w:p>
        </w:tc>
        <w:tc>
          <w:tcPr>
            <w:tcW w:w="0" w:type="dxa"/>
            <w:vAlign w:val="bottom"/>
          </w:tcPr>
          <w:p>
            <w:pPr>
              <w:spacing w:after="0"/>
              <w:rPr>
                <w:sz w:val="1"/>
                <w:szCs w:val="1"/>
                <w:color w:val="auto"/>
              </w:rPr>
            </w:pPr>
          </w:p>
        </w:tc>
      </w:tr>
      <w:tr>
        <w:trPr>
          <w:trHeight w:val="232"/>
        </w:trPr>
        <w:tc>
          <w:tcPr>
            <w:tcW w:w="4220" w:type="dxa"/>
            <w:vAlign w:val="bottom"/>
          </w:tcPr>
          <w:p>
            <w:pPr>
              <w:spacing w:after="0"/>
              <w:rPr>
                <w:sz w:val="20"/>
                <w:szCs w:val="20"/>
                <w:color w:val="auto"/>
              </w:rPr>
            </w:pPr>
          </w:p>
        </w:tc>
        <w:tc>
          <w:tcPr>
            <w:tcW w:w="2380" w:type="dxa"/>
            <w:vAlign w:val="bottom"/>
            <w:gridSpan w:val="5"/>
          </w:tcPr>
          <w:p>
            <w:pPr>
              <w:ind w:left="320"/>
              <w:spacing w:after="0"/>
              <w:rPr>
                <w:sz w:val="20"/>
                <w:szCs w:val="20"/>
                <w:color w:val="auto"/>
              </w:rPr>
            </w:pPr>
            <w:r>
              <w:rPr>
                <w:rFonts w:ascii="Times New Roman" w:cs="Times New Roman" w:eastAsia="Times New Roman" w:hAnsi="Times New Roman"/>
                <w:sz w:val="17"/>
                <w:szCs w:val="17"/>
                <w:color w:val="auto"/>
              </w:rPr>
              <w:t>Common Stock Awards</w:t>
            </w:r>
          </w:p>
        </w:tc>
        <w:tc>
          <w:tcPr>
            <w:tcW w:w="2360" w:type="dxa"/>
            <w:vAlign w:val="bottom"/>
            <w:gridSpan w:val="5"/>
          </w:tcPr>
          <w:p>
            <w:pPr>
              <w:jc w:val="center"/>
              <w:ind w:right="100"/>
              <w:spacing w:after="0"/>
              <w:rPr>
                <w:sz w:val="20"/>
                <w:szCs w:val="20"/>
                <w:color w:val="auto"/>
              </w:rPr>
            </w:pPr>
            <w:r>
              <w:rPr>
                <w:rFonts w:ascii="Times New Roman" w:cs="Times New Roman" w:eastAsia="Times New Roman" w:hAnsi="Times New Roman"/>
                <w:sz w:val="17"/>
                <w:szCs w:val="17"/>
                <w:color w:val="auto"/>
              </w:rPr>
              <w:t>Based Stock Awards</w:t>
            </w:r>
          </w:p>
        </w:tc>
        <w:tc>
          <w:tcPr>
            <w:tcW w:w="2280" w:type="dxa"/>
            <w:vAlign w:val="bottom"/>
            <w:gridSpan w:val="6"/>
          </w:tcPr>
          <w:p>
            <w:pPr>
              <w:jc w:val="right"/>
              <w:ind w:right="54"/>
              <w:spacing w:after="0"/>
              <w:rPr>
                <w:sz w:val="20"/>
                <w:szCs w:val="20"/>
                <w:color w:val="auto"/>
              </w:rPr>
            </w:pPr>
            <w:r>
              <w:rPr>
                <w:rFonts w:ascii="Times New Roman" w:cs="Times New Roman" w:eastAsia="Times New Roman" w:hAnsi="Times New Roman"/>
                <w:sz w:val="17"/>
                <w:szCs w:val="17"/>
                <w:color w:val="auto"/>
              </w:rPr>
              <w:t>Based Restricted Stock Units</w:t>
            </w:r>
          </w:p>
        </w:tc>
        <w:tc>
          <w:tcPr>
            <w:tcW w:w="0" w:type="dxa"/>
            <w:vAlign w:val="bottom"/>
          </w:tcPr>
          <w:p>
            <w:pPr>
              <w:spacing w:after="0"/>
              <w:rPr>
                <w:sz w:val="1"/>
                <w:szCs w:val="1"/>
                <w:color w:val="auto"/>
              </w:rPr>
            </w:pPr>
          </w:p>
        </w:tc>
      </w:tr>
      <w:tr>
        <w:trPr>
          <w:trHeight w:val="160"/>
        </w:trPr>
        <w:tc>
          <w:tcPr>
            <w:tcW w:w="422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34"/>
              <w:spacing w:after="0" w:line="161" w:lineRule="exact"/>
              <w:rPr>
                <w:sz w:val="20"/>
                <w:szCs w:val="20"/>
                <w:color w:val="auto"/>
              </w:rPr>
            </w:pPr>
            <w:r>
              <w:rPr>
                <w:rFonts w:ascii="Times New Roman" w:cs="Times New Roman" w:eastAsia="Times New Roman" w:hAnsi="Times New Roman"/>
                <w:sz w:val="17"/>
                <w:szCs w:val="17"/>
                <w:color w:val="auto"/>
                <w:w w:val="99"/>
              </w:rPr>
              <w:t>Weighted</w:t>
            </w:r>
          </w:p>
        </w:tc>
        <w:tc>
          <w:tcPr>
            <w:tcW w:w="10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center"/>
              <w:ind w:right="14"/>
              <w:spacing w:after="0" w:line="161" w:lineRule="exact"/>
              <w:rPr>
                <w:sz w:val="20"/>
                <w:szCs w:val="20"/>
                <w:color w:val="auto"/>
              </w:rPr>
            </w:pPr>
            <w:r>
              <w:rPr>
                <w:rFonts w:ascii="Times New Roman" w:cs="Times New Roman" w:eastAsia="Times New Roman" w:hAnsi="Times New Roman"/>
                <w:sz w:val="17"/>
                <w:szCs w:val="17"/>
                <w:color w:val="auto"/>
                <w:w w:val="99"/>
              </w:rPr>
              <w:t>Weighted</w:t>
            </w:r>
          </w:p>
        </w:tc>
        <w:tc>
          <w:tcPr>
            <w:tcW w:w="8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34"/>
              <w:spacing w:after="0" w:line="161" w:lineRule="exact"/>
              <w:rPr>
                <w:sz w:val="20"/>
                <w:szCs w:val="20"/>
                <w:color w:val="auto"/>
              </w:rPr>
            </w:pPr>
            <w:r>
              <w:rPr>
                <w:rFonts w:ascii="Times New Roman" w:cs="Times New Roman" w:eastAsia="Times New Roman" w:hAnsi="Times New Roman"/>
                <w:sz w:val="17"/>
                <w:szCs w:val="17"/>
                <w:color w:val="auto"/>
                <w:w w:val="99"/>
              </w:rPr>
              <w:t>Weighted</w:t>
            </w:r>
          </w:p>
        </w:tc>
        <w:tc>
          <w:tcPr>
            <w:tcW w:w="0" w:type="dxa"/>
            <w:vAlign w:val="bottom"/>
          </w:tcPr>
          <w:p>
            <w:pPr>
              <w:spacing w:after="0"/>
              <w:rPr>
                <w:sz w:val="1"/>
                <w:szCs w:val="1"/>
                <w:color w:val="auto"/>
              </w:rPr>
            </w:pPr>
          </w:p>
        </w:tc>
      </w:tr>
      <w:tr>
        <w:trPr>
          <w:trHeight w:val="168"/>
        </w:trPr>
        <w:tc>
          <w:tcPr>
            <w:tcW w:w="4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center"/>
              <w:ind w:right="80"/>
              <w:spacing w:after="0" w:line="167" w:lineRule="exact"/>
              <w:rPr>
                <w:sz w:val="20"/>
                <w:szCs w:val="20"/>
                <w:color w:val="auto"/>
              </w:rPr>
            </w:pPr>
            <w:r>
              <w:rPr>
                <w:rFonts w:ascii="Times New Roman" w:cs="Times New Roman" w:eastAsia="Times New Roman" w:hAnsi="Times New Roman"/>
                <w:sz w:val="17"/>
                <w:szCs w:val="17"/>
                <w:color w:val="auto"/>
                <w:w w:val="99"/>
              </w:rPr>
              <w:t>Average Grant</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100"/>
              <w:spacing w:after="0" w:line="167" w:lineRule="exact"/>
              <w:rPr>
                <w:sz w:val="20"/>
                <w:szCs w:val="20"/>
                <w:color w:val="auto"/>
              </w:rPr>
            </w:pPr>
            <w:r>
              <w:rPr>
                <w:rFonts w:ascii="Times New Roman" w:cs="Times New Roman" w:eastAsia="Times New Roman" w:hAnsi="Times New Roman"/>
                <w:sz w:val="17"/>
                <w:szCs w:val="17"/>
                <w:color w:val="auto"/>
                <w:w w:val="99"/>
              </w:rPr>
              <w:t>Average Grant</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spacing w:after="0" w:line="167" w:lineRule="exact"/>
              <w:rPr>
                <w:sz w:val="20"/>
                <w:szCs w:val="20"/>
                <w:color w:val="auto"/>
              </w:rPr>
            </w:pPr>
            <w:r>
              <w:rPr>
                <w:rFonts w:ascii="Times New Roman" w:cs="Times New Roman" w:eastAsia="Times New Roman" w:hAnsi="Times New Roman"/>
                <w:sz w:val="17"/>
                <w:szCs w:val="17"/>
                <w:color w:val="auto"/>
                <w:w w:val="99"/>
              </w:rPr>
              <w:t>Average Grant</w:t>
            </w:r>
          </w:p>
        </w:tc>
        <w:tc>
          <w:tcPr>
            <w:tcW w:w="0" w:type="dxa"/>
            <w:vAlign w:val="bottom"/>
          </w:tcPr>
          <w:p>
            <w:pPr>
              <w:spacing w:after="0"/>
              <w:rPr>
                <w:sz w:val="1"/>
                <w:szCs w:val="1"/>
                <w:color w:val="auto"/>
              </w:rPr>
            </w:pPr>
          </w:p>
        </w:tc>
      </w:tr>
      <w:tr>
        <w:trPr>
          <w:trHeight w:val="177"/>
        </w:trPr>
        <w:tc>
          <w:tcPr>
            <w:tcW w:w="4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00"/>
              <w:spacing w:after="0" w:line="177" w:lineRule="exact"/>
              <w:rPr>
                <w:sz w:val="20"/>
                <w:szCs w:val="20"/>
                <w:color w:val="auto"/>
              </w:rPr>
            </w:pPr>
            <w:r>
              <w:rPr>
                <w:rFonts w:ascii="Times New Roman" w:cs="Times New Roman" w:eastAsia="Times New Roman" w:hAnsi="Times New Roman"/>
                <w:sz w:val="17"/>
                <w:szCs w:val="17"/>
                <w:color w:val="auto"/>
              </w:rPr>
              <w:t>Date Fair</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200"/>
              <w:spacing w:after="0" w:line="177" w:lineRule="exact"/>
              <w:rPr>
                <w:sz w:val="20"/>
                <w:szCs w:val="20"/>
                <w:color w:val="auto"/>
              </w:rPr>
            </w:pPr>
            <w:r>
              <w:rPr>
                <w:rFonts w:ascii="Times New Roman" w:cs="Times New Roman" w:eastAsia="Times New Roman" w:hAnsi="Times New Roman"/>
                <w:sz w:val="17"/>
                <w:szCs w:val="17"/>
                <w:color w:val="auto"/>
              </w:rPr>
              <w:t>Date Fair</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14"/>
              <w:spacing w:after="0" w:line="177" w:lineRule="exact"/>
              <w:rPr>
                <w:sz w:val="20"/>
                <w:szCs w:val="20"/>
                <w:color w:val="auto"/>
              </w:rPr>
            </w:pPr>
            <w:r>
              <w:rPr>
                <w:rFonts w:ascii="Times New Roman" w:cs="Times New Roman" w:eastAsia="Times New Roman" w:hAnsi="Times New Roman"/>
                <w:sz w:val="17"/>
                <w:szCs w:val="17"/>
                <w:color w:val="auto"/>
              </w:rPr>
              <w:t>Date Fair</w:t>
            </w: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20"/>
              <w:spacing w:after="0" w:line="172" w:lineRule="exact"/>
              <w:rPr>
                <w:sz w:val="20"/>
                <w:szCs w:val="20"/>
                <w:color w:val="auto"/>
              </w:rPr>
            </w:pPr>
            <w:r>
              <w:rPr>
                <w:rFonts w:ascii="Times New Roman" w:cs="Times New Roman" w:eastAsia="Times New Roman" w:hAnsi="Times New Roman"/>
                <w:sz w:val="17"/>
                <w:szCs w:val="17"/>
                <w:color w:val="auto"/>
                <w:w w:val="97"/>
              </w:rPr>
              <w:t>Value Per</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80"/>
              <w:spacing w:after="0" w:line="172" w:lineRule="exact"/>
              <w:rPr>
                <w:sz w:val="20"/>
                <w:szCs w:val="20"/>
                <w:color w:val="auto"/>
              </w:rPr>
            </w:pPr>
            <w:r>
              <w:rPr>
                <w:rFonts w:ascii="Times New Roman" w:cs="Times New Roman" w:eastAsia="Times New Roman" w:hAnsi="Times New Roman"/>
                <w:sz w:val="17"/>
                <w:szCs w:val="17"/>
                <w:color w:val="auto"/>
                <w:w w:val="97"/>
              </w:rPr>
              <w:t>Value Per</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34"/>
              <w:spacing w:after="0" w:line="172" w:lineRule="exact"/>
              <w:rPr>
                <w:sz w:val="20"/>
                <w:szCs w:val="20"/>
                <w:color w:val="auto"/>
              </w:rPr>
            </w:pPr>
            <w:r>
              <w:rPr>
                <w:rFonts w:ascii="Times New Roman" w:cs="Times New Roman" w:eastAsia="Times New Roman" w:hAnsi="Times New Roman"/>
                <w:sz w:val="17"/>
                <w:szCs w:val="17"/>
                <w:color w:val="auto"/>
                <w:w w:val="97"/>
              </w:rPr>
              <w:t>Value Per</w:t>
            </w:r>
          </w:p>
        </w:tc>
        <w:tc>
          <w:tcPr>
            <w:tcW w:w="0" w:type="dxa"/>
            <w:vAlign w:val="bottom"/>
          </w:tcPr>
          <w:p>
            <w:pPr>
              <w:spacing w:after="0"/>
              <w:rPr>
                <w:sz w:val="1"/>
                <w:szCs w:val="1"/>
                <w:color w:val="auto"/>
              </w:rPr>
            </w:pPr>
          </w:p>
        </w:tc>
      </w:tr>
      <w:tr>
        <w:trPr>
          <w:trHeight w:val="232"/>
        </w:trPr>
        <w:tc>
          <w:tcPr>
            <w:tcW w:w="4220" w:type="dxa"/>
            <w:vAlign w:val="bottom"/>
          </w:tcPr>
          <w:p>
            <w:pPr>
              <w:spacing w:after="0"/>
              <w:rPr>
                <w:sz w:val="20"/>
                <w:szCs w:val="20"/>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Awards</w:t>
            </w:r>
          </w:p>
        </w:tc>
        <w:tc>
          <w:tcPr>
            <w:tcW w:w="12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8"/>
              </w:rPr>
              <w:t>Share</w:t>
            </w: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Awards</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Share</w:t>
            </w:r>
          </w:p>
        </w:tc>
        <w:tc>
          <w:tcPr>
            <w:tcW w:w="118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auto"/>
              </w:rPr>
              <w:t>Units</w:t>
            </w:r>
          </w:p>
        </w:tc>
        <w:tc>
          <w:tcPr>
            <w:tcW w:w="120" w:type="dxa"/>
            <w:vAlign w:val="bottom"/>
          </w:tcPr>
          <w:p>
            <w:pPr>
              <w:spacing w:after="0"/>
              <w:rPr>
                <w:sz w:val="20"/>
                <w:szCs w:val="20"/>
                <w:color w:val="auto"/>
              </w:rPr>
            </w:pPr>
          </w:p>
        </w:tc>
        <w:tc>
          <w:tcPr>
            <w:tcW w:w="98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Share</w:t>
            </w:r>
          </w:p>
        </w:tc>
        <w:tc>
          <w:tcPr>
            <w:tcW w:w="0" w:type="dxa"/>
            <w:vAlign w:val="bottom"/>
          </w:tcPr>
          <w:p>
            <w:pPr>
              <w:spacing w:after="0"/>
              <w:rPr>
                <w:sz w:val="1"/>
                <w:szCs w:val="1"/>
                <w:color w:val="auto"/>
              </w:rPr>
            </w:pPr>
          </w:p>
        </w:tc>
      </w:tr>
      <w:tr>
        <w:trPr>
          <w:trHeight w:val="212"/>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awards/units at December 31, 2025</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91,788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170.70</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110,586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163.30</w:t>
            </w: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10,876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170.37</w:t>
            </w:r>
          </w:p>
        </w:tc>
        <w:tc>
          <w:tcPr>
            <w:tcW w:w="0" w:type="dxa"/>
            <w:vAlign w:val="bottom"/>
          </w:tcPr>
          <w:p>
            <w:pPr>
              <w:spacing w:after="0"/>
              <w:rPr>
                <w:sz w:val="1"/>
                <w:szCs w:val="1"/>
                <w:color w:val="auto"/>
              </w:rPr>
            </w:pPr>
          </w:p>
        </w:tc>
      </w:tr>
      <w:tr>
        <w:trPr>
          <w:trHeight w:val="219"/>
        </w:trPr>
        <w:tc>
          <w:tcPr>
            <w:tcW w:w="42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11,082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319.99</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29,236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319.99</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Vested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202.11</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170.37</w:t>
            </w:r>
          </w:p>
        </w:tc>
        <w:tc>
          <w:tcPr>
            <w:tcW w:w="0" w:type="dxa"/>
            <w:vAlign w:val="bottom"/>
          </w:tcPr>
          <w:p>
            <w:pPr>
              <w:spacing w:after="0"/>
              <w:rPr>
                <w:sz w:val="1"/>
                <w:szCs w:val="1"/>
                <w:color w:val="auto"/>
              </w:rPr>
            </w:pPr>
          </w:p>
        </w:tc>
      </w:tr>
      <w:tr>
        <w:trPr>
          <w:trHeight w:val="219"/>
        </w:trPr>
        <w:tc>
          <w:tcPr>
            <w:tcW w:w="42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Forfeited/Cancelled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(587)</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178.30</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170.99</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170.37</w:t>
            </w:r>
          </w:p>
        </w:tc>
        <w:tc>
          <w:tcPr>
            <w:tcW w:w="0" w:type="dxa"/>
            <w:vAlign w:val="bottom"/>
          </w:tcPr>
          <w:p>
            <w:pPr>
              <w:spacing w:after="0"/>
              <w:rPr>
                <w:sz w:val="1"/>
                <w:szCs w:val="1"/>
                <w:color w:val="auto"/>
              </w:rPr>
            </w:pPr>
          </w:p>
        </w:tc>
      </w:tr>
      <w:tr>
        <w:trPr>
          <w:trHeight w:val="237"/>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awards/units at March 31, 2026</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101,158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186.66</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139,683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196.08</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10,816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170.37</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778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The following table summarizes the share-based compensation expense recognized by award type (in millions):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4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60" w:type="dxa"/>
            <w:vAlign w:val="bottom"/>
            <w:tcBorders>
              <w:bottom w:val="single" w:sz="8" w:color="auto"/>
            </w:tcBorders>
            <w:gridSpan w:val="8"/>
          </w:tcPr>
          <w:p>
            <w:pPr>
              <w:jc w:val="right"/>
              <w:ind w:right="514"/>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0" w:type="dxa"/>
            <w:vAlign w:val="bottom"/>
          </w:tcPr>
          <w:p>
            <w:pPr>
              <w:spacing w:after="0"/>
              <w:rPr>
                <w:sz w:val="1"/>
                <w:szCs w:val="1"/>
                <w:color w:val="auto"/>
              </w:rPr>
            </w:pPr>
          </w:p>
        </w:tc>
      </w:tr>
      <w:tr>
        <w:trPr>
          <w:trHeight w:val="212"/>
        </w:trPr>
        <w:tc>
          <w:tcPr>
            <w:tcW w:w="42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2026</w:t>
            </w: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color w:val="auto"/>
                <w:w w:val="93"/>
              </w:rPr>
              <w:t>2025</w:t>
            </w:r>
          </w:p>
        </w:tc>
        <w:tc>
          <w:tcPr>
            <w:tcW w:w="0" w:type="dxa"/>
            <w:vAlign w:val="bottom"/>
          </w:tcPr>
          <w:p>
            <w:pPr>
              <w:spacing w:after="0"/>
              <w:rPr>
                <w:sz w:val="1"/>
                <w:szCs w:val="1"/>
                <w:color w:val="auto"/>
              </w:rPr>
            </w:pPr>
          </w:p>
        </w:tc>
      </w:tr>
      <w:tr>
        <w:trPr>
          <w:trHeight w:val="212"/>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Common Stock Awards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19"/>
        </w:trPr>
        <w:tc>
          <w:tcPr>
            <w:tcW w:w="4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Non-Employee Common Stock Awards</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1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Performance-Based Stock Awards</w:t>
            </w: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19"/>
        </w:trPr>
        <w:tc>
          <w:tcPr>
            <w:tcW w:w="4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Liability Performance-Based Stock Awards</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0" w:type="dxa"/>
            <w:vAlign w:val="bottom"/>
          </w:tcPr>
          <w:p>
            <w:pPr>
              <w:spacing w:after="0"/>
              <w:rPr>
                <w:sz w:val="1"/>
                <w:szCs w:val="1"/>
                <w:color w:val="auto"/>
              </w:rPr>
            </w:pPr>
          </w:p>
        </w:tc>
      </w:tr>
      <w:tr>
        <w:trPr>
          <w:trHeight w:val="21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Performance-Based Restricted Stock Units</w:t>
            </w: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0" w:type="dxa"/>
            <w:vAlign w:val="bottom"/>
          </w:tcPr>
          <w:p>
            <w:pPr>
              <w:spacing w:after="0"/>
              <w:rPr>
                <w:sz w:val="1"/>
                <w:szCs w:val="1"/>
                <w:color w:val="auto"/>
              </w:rPr>
            </w:pPr>
          </w:p>
        </w:tc>
      </w:tr>
      <w:tr>
        <w:trPr>
          <w:trHeight w:val="212"/>
        </w:trPr>
        <w:tc>
          <w:tcPr>
            <w:tcW w:w="4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Pr>
          <w:p>
            <w:pPr>
              <w:spacing w:after="0"/>
              <w:rPr>
                <w:sz w:val="18"/>
                <w:szCs w:val="18"/>
                <w:color w:val="auto"/>
              </w:rPr>
            </w:pPr>
          </w:p>
        </w:tc>
        <w:tc>
          <w:tcPr>
            <w:tcW w:w="4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vMerge w:val="restart"/>
          </w:tcPr>
          <w:p>
            <w:pPr>
              <w:jc w:val="right"/>
              <w:ind w:right="714"/>
              <w:spacing w:after="0"/>
              <w:rPr>
                <w:sz w:val="20"/>
                <w:szCs w:val="20"/>
                <w:color w:val="auto"/>
              </w:rPr>
            </w:pPr>
            <w:r>
              <w:rPr>
                <w:rFonts w:ascii="Times New Roman" w:cs="Times New Roman" w:eastAsia="Times New Roman" w:hAnsi="Times New Roman"/>
                <w:sz w:val="17"/>
                <w:szCs w:val="17"/>
                <w:color w:val="auto"/>
                <w:w w:val="93"/>
              </w:rPr>
              <w:t>20</w:t>
            </w: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6"/>
        </w:trPr>
        <w:tc>
          <w:tcPr>
            <w:tcW w:w="4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2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INSTALLED BUILDING PRODUCTS,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We recorded the following stock compensation expense by income statement category (in millions):</w:t>
            </w:r>
          </w:p>
        </w:tc>
        <w:tc>
          <w:tcPr>
            <w:tcW w:w="1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335"/>
        </w:trPr>
        <w:tc>
          <w:tcPr>
            <w:tcW w:w="7880" w:type="dxa"/>
            <w:vAlign w:val="bottom"/>
          </w:tcPr>
          <w:p>
            <w:pPr>
              <w:spacing w:after="0"/>
              <w:rPr>
                <w:sz w:val="24"/>
                <w:szCs w:val="24"/>
                <w:color w:val="auto"/>
              </w:rPr>
            </w:pPr>
          </w:p>
        </w:tc>
        <w:tc>
          <w:tcPr>
            <w:tcW w:w="2920" w:type="dxa"/>
            <w:vAlign w:val="bottom"/>
            <w:tcBorders>
              <w:bottom w:val="single" w:sz="8" w:color="auto"/>
            </w:tcBorders>
            <w:gridSpan w:val="4"/>
          </w:tcPr>
          <w:p>
            <w:pPr>
              <w:jc w:val="right"/>
              <w:ind w:right="74"/>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440" w:type="dxa"/>
            <w:vAlign w:val="bottom"/>
            <w:tcBorders>
              <w:bottom w:val="single" w:sz="8" w:color="auto"/>
            </w:tcBorders>
          </w:tcPr>
          <w:p>
            <w:pPr>
              <w:spacing w:after="0"/>
              <w:rPr>
                <w:sz w:val="24"/>
                <w:szCs w:val="24"/>
                <w:color w:val="auto"/>
              </w:rPr>
            </w:pPr>
          </w:p>
        </w:tc>
      </w:tr>
      <w:tr>
        <w:trPr>
          <w:trHeight w:val="212"/>
        </w:trPr>
        <w:tc>
          <w:tcPr>
            <w:tcW w:w="78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2026</w:t>
            </w: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2025</w:t>
            </w:r>
          </w:p>
        </w:tc>
        <w:tc>
          <w:tcPr>
            <w:tcW w:w="440" w:type="dxa"/>
            <w:vAlign w:val="bottom"/>
            <w:tcBorders>
              <w:bottom w:val="single" w:sz="8" w:color="auto"/>
            </w:tcBorders>
          </w:tcPr>
          <w:p>
            <w:pPr>
              <w:spacing w:after="0"/>
              <w:rPr>
                <w:sz w:val="18"/>
                <w:szCs w:val="18"/>
                <w:color w:val="auto"/>
              </w:rPr>
            </w:pPr>
          </w:p>
        </w:tc>
      </w:tr>
      <w:tr>
        <w:trPr>
          <w:trHeight w:val="212"/>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1180" w:type="dxa"/>
            <w:vAlign w:val="bottom"/>
            <w:shd w:val="clear" w:color="auto" w:fill="CCEEFF"/>
          </w:tcPr>
          <w:p>
            <w:pPr>
              <w:jc w:val="right"/>
              <w:ind w:right="99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99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1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w:t>
            </w:r>
          </w:p>
        </w:tc>
        <w:tc>
          <w:tcPr>
            <w:tcW w:w="11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Administrative</w:t>
            </w:r>
          </w:p>
        </w:tc>
        <w:tc>
          <w:tcPr>
            <w:tcW w:w="11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8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212"/>
        </w:trPr>
        <w:tc>
          <w:tcPr>
            <w:tcW w:w="7880" w:type="dxa"/>
            <w:vAlign w:val="bottom"/>
          </w:tcPr>
          <w:p>
            <w:pPr>
              <w:spacing w:after="0"/>
              <w:rPr>
                <w:sz w:val="18"/>
                <w:szCs w:val="18"/>
                <w:color w:val="auto"/>
              </w:rPr>
            </w:pPr>
          </w:p>
        </w:tc>
        <w:tc>
          <w:tcPr>
            <w:tcW w:w="1180" w:type="dxa"/>
            <w:vAlign w:val="bottom"/>
            <w:tcBorders>
              <w:bottom w:val="single" w:sz="8" w:color="auto"/>
            </w:tcBorders>
          </w:tcPr>
          <w:p>
            <w:pPr>
              <w:jc w:val="right"/>
              <w:ind w:right="99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ind w:right="994"/>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0"/>
        </w:trPr>
        <w:tc>
          <w:tcPr>
            <w:tcW w:w="78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right="700"/>
        <w:spacing w:after="0" w:line="287" w:lineRule="auto"/>
        <w:rPr>
          <w:sz w:val="20"/>
          <w:szCs w:val="20"/>
          <w:color w:val="auto"/>
        </w:rPr>
      </w:pPr>
      <w:r>
        <w:rPr>
          <w:rFonts w:ascii="Times New Roman" w:cs="Times New Roman" w:eastAsia="Times New Roman" w:hAnsi="Times New Roman"/>
          <w:sz w:val="17"/>
          <w:szCs w:val="17"/>
          <w:color w:val="auto"/>
        </w:rPr>
        <w:t>Administrative stock compensation expense includes all stock compensation earned by our administrative personnel, while cost of sales and selling stock compensation represent all stock compensation earned by our installation and sales employees, respectively.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Unrecognized share-based compensation expense related to unvested awards was as follows (in millions):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6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280" w:type="dxa"/>
            <w:vAlign w:val="bottom"/>
            <w:tcBorders>
              <w:bottom w:val="single" w:sz="8" w:color="auto"/>
            </w:tcBorders>
            <w:gridSpan w:val="3"/>
          </w:tcPr>
          <w:p>
            <w:pPr>
              <w:ind w:left="1280"/>
              <w:spacing w:after="0"/>
              <w:rPr>
                <w:sz w:val="20"/>
                <w:szCs w:val="20"/>
                <w:color w:val="auto"/>
              </w:rPr>
            </w:pPr>
            <w:r>
              <w:rPr>
                <w:rFonts w:ascii="Times New Roman" w:cs="Times New Roman" w:eastAsia="Times New Roman" w:hAnsi="Times New Roman"/>
                <w:sz w:val="17"/>
                <w:szCs w:val="17"/>
                <w:color w:val="auto"/>
              </w:rPr>
              <w:t>As of March 31, 2026</w:t>
            </w:r>
          </w:p>
        </w:tc>
      </w:tr>
      <w:tr>
        <w:trPr>
          <w:trHeight w:val="160"/>
        </w:trPr>
        <w:tc>
          <w:tcPr>
            <w:tcW w:w="6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tcPr>
          <w:p>
            <w:pPr>
              <w:jc w:val="center"/>
              <w:ind w:right="114"/>
              <w:spacing w:after="0" w:line="161" w:lineRule="exact"/>
              <w:rPr>
                <w:sz w:val="20"/>
                <w:szCs w:val="20"/>
                <w:color w:val="auto"/>
              </w:rPr>
            </w:pPr>
            <w:r>
              <w:rPr>
                <w:rFonts w:ascii="Times New Roman" w:cs="Times New Roman" w:eastAsia="Times New Roman" w:hAnsi="Times New Roman"/>
                <w:sz w:val="17"/>
                <w:szCs w:val="17"/>
                <w:color w:val="auto"/>
              </w:rPr>
              <w:t>Unrecognized</w:t>
            </w:r>
          </w:p>
        </w:tc>
        <w:tc>
          <w:tcPr>
            <w:tcW w:w="100" w:type="dxa"/>
            <w:vAlign w:val="bottom"/>
          </w:tcPr>
          <w:p>
            <w:pPr>
              <w:spacing w:after="0"/>
              <w:rPr>
                <w:sz w:val="13"/>
                <w:szCs w:val="13"/>
                <w:color w:val="auto"/>
              </w:rPr>
            </w:pPr>
          </w:p>
        </w:tc>
        <w:tc>
          <w:tcPr>
            <w:tcW w:w="2180" w:type="dxa"/>
            <w:vAlign w:val="bottom"/>
          </w:tcPr>
          <w:p>
            <w:pPr>
              <w:jc w:val="center"/>
              <w:spacing w:after="0" w:line="161" w:lineRule="exact"/>
              <w:rPr>
                <w:sz w:val="20"/>
                <w:szCs w:val="20"/>
                <w:color w:val="auto"/>
              </w:rPr>
            </w:pPr>
            <w:r>
              <w:rPr>
                <w:rFonts w:ascii="Times New Roman" w:cs="Times New Roman" w:eastAsia="Times New Roman" w:hAnsi="Times New Roman"/>
                <w:sz w:val="17"/>
                <w:szCs w:val="17"/>
                <w:color w:val="auto"/>
              </w:rPr>
              <w:t>Weighted Average</w:t>
            </w:r>
          </w:p>
        </w:tc>
      </w:tr>
      <w:tr>
        <w:trPr>
          <w:trHeight w:val="177"/>
        </w:trPr>
        <w:tc>
          <w:tcPr>
            <w:tcW w:w="6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tcPr>
          <w:p>
            <w:pPr>
              <w:jc w:val="center"/>
              <w:ind w:right="114"/>
              <w:spacing w:after="0" w:line="177" w:lineRule="exact"/>
              <w:rPr>
                <w:sz w:val="20"/>
                <w:szCs w:val="20"/>
                <w:color w:val="auto"/>
              </w:rPr>
            </w:pPr>
            <w:r>
              <w:rPr>
                <w:rFonts w:ascii="Times New Roman" w:cs="Times New Roman" w:eastAsia="Times New Roman" w:hAnsi="Times New Roman"/>
                <w:sz w:val="17"/>
                <w:szCs w:val="17"/>
                <w:color w:val="auto"/>
                <w:w w:val="99"/>
              </w:rPr>
              <w:t>Compensation Expense</w:t>
            </w:r>
          </w:p>
        </w:tc>
        <w:tc>
          <w:tcPr>
            <w:tcW w:w="100" w:type="dxa"/>
            <w:vAlign w:val="bottom"/>
          </w:tcPr>
          <w:p>
            <w:pPr>
              <w:spacing w:after="0"/>
              <w:rPr>
                <w:sz w:val="15"/>
                <w:szCs w:val="15"/>
                <w:color w:val="auto"/>
              </w:rPr>
            </w:pPr>
          </w:p>
        </w:tc>
        <w:tc>
          <w:tcPr>
            <w:tcW w:w="2180" w:type="dxa"/>
            <w:vAlign w:val="bottom"/>
          </w:tcPr>
          <w:p>
            <w:pPr>
              <w:jc w:val="center"/>
              <w:spacing w:after="0" w:line="177" w:lineRule="exact"/>
              <w:rPr>
                <w:sz w:val="20"/>
                <w:szCs w:val="20"/>
                <w:color w:val="auto"/>
              </w:rPr>
            </w:pPr>
            <w:r>
              <w:rPr>
                <w:rFonts w:ascii="Times New Roman" w:cs="Times New Roman" w:eastAsia="Times New Roman" w:hAnsi="Times New Roman"/>
                <w:sz w:val="17"/>
                <w:szCs w:val="17"/>
                <w:color w:val="auto"/>
              </w:rPr>
              <w:t>Remaining</w:t>
            </w:r>
          </w:p>
        </w:tc>
      </w:tr>
      <w:tr>
        <w:trPr>
          <w:trHeight w:val="223"/>
        </w:trPr>
        <w:tc>
          <w:tcPr>
            <w:tcW w:w="67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color w:val="auto"/>
              </w:rPr>
              <w:t>on Unvested Awards</w:t>
            </w:r>
          </w:p>
        </w:tc>
        <w:tc>
          <w:tcPr>
            <w:tcW w:w="100" w:type="dxa"/>
            <w:vAlign w:val="bottom"/>
            <w:tcBorders>
              <w:bottom w:val="single" w:sz="8" w:color="CCEEFF"/>
            </w:tcBorders>
          </w:tcPr>
          <w:p>
            <w:pPr>
              <w:spacing w:after="0"/>
              <w:rPr>
                <w:sz w:val="19"/>
                <w:szCs w:val="19"/>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Vesting Period</w:t>
            </w:r>
          </w:p>
        </w:tc>
      </w:tr>
      <w:tr>
        <w:trPr>
          <w:trHeight w:val="21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Common Stock Awards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7"/>
                <w:szCs w:val="17"/>
                <w:color w:val="auto"/>
              </w:rPr>
              <w:t>1.9 years</w:t>
            </w:r>
          </w:p>
        </w:tc>
      </w:tr>
      <w:tr>
        <w:trPr>
          <w:trHeight w:val="219"/>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Performance-Based Stock Awards</w:t>
            </w: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00" w:type="dxa"/>
            <w:vAlign w:val="bottom"/>
          </w:tcPr>
          <w:p>
            <w:pPr>
              <w:spacing w:after="0"/>
              <w:rPr>
                <w:sz w:val="19"/>
                <w:szCs w:val="19"/>
                <w:color w:val="auto"/>
              </w:rPr>
            </w:pPr>
          </w:p>
        </w:tc>
        <w:tc>
          <w:tcPr>
            <w:tcW w:w="2180" w:type="dxa"/>
            <w:vAlign w:val="bottom"/>
          </w:tcPr>
          <w:p>
            <w:pPr>
              <w:ind w:left="1540"/>
              <w:spacing w:after="0"/>
              <w:rPr>
                <w:sz w:val="20"/>
                <w:szCs w:val="20"/>
                <w:color w:val="auto"/>
              </w:rPr>
            </w:pPr>
            <w:r>
              <w:rPr>
                <w:rFonts w:ascii="Times New Roman" w:cs="Times New Roman" w:eastAsia="Times New Roman" w:hAnsi="Times New Roman"/>
                <w:sz w:val="17"/>
                <w:szCs w:val="17"/>
                <w:color w:val="auto"/>
              </w:rPr>
              <w:t>2.1 years</w:t>
            </w: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Performance-Based Restricted Stock Units</w:t>
            </w:r>
          </w:p>
        </w:tc>
        <w:tc>
          <w:tcPr>
            <w:tcW w:w="18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7"/>
                <w:szCs w:val="17"/>
                <w:color w:val="auto"/>
              </w:rPr>
              <w:t>0.0 years</w:t>
            </w:r>
          </w:p>
        </w:tc>
      </w:tr>
      <w:tr>
        <w:trPr>
          <w:trHeight w:val="212"/>
        </w:trPr>
        <w:tc>
          <w:tcPr>
            <w:tcW w:w="6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unrecognized compensation expense related to unvested awards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0"/>
        </w:trPr>
        <w:tc>
          <w:tcPr>
            <w:tcW w:w="6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Total unrecognized compensation expense is subject to future adjustments for forfeitures. This expense is expected to be recognized over the remaining weighted-average period shown above on a straight-line basis except for the Performance-Based Stock Awards which uses the graded-vesting method. Shares forfeited are returned as treasury shares and available for future issuances.</w:t>
      </w:r>
    </w:p>
    <w:p>
      <w:pPr>
        <w:spacing w:after="0" w:line="114"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During each of the three months ended March 31, 2026 and 2025, our employees surrendered approximately 0.3 thousand shares of our common stock to satisfy tax withholding obligations arising in connection with the vesting of common stock awards issued under our 2023 Omnibus Incentive Plans.</w:t>
      </w:r>
    </w:p>
    <w:p>
      <w:pPr>
        <w:spacing w:after="0" w:line="100"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7"/>
          <w:szCs w:val="17"/>
          <w:color w:val="auto"/>
        </w:rPr>
        <w:t>As of March 31, 2026, approximately 1.6 million of the 2.1 million shares of common stock authorized for issuance were available for issuance under the 2023 Omnibus Incentive Plan.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14 - INCOME TAXES</w:t>
      </w:r>
    </w:p>
    <w:p>
      <w:pPr>
        <w:spacing w:after="0" w:line="169"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7"/>
          <w:szCs w:val="17"/>
          <w:color w:val="auto"/>
        </w:rPr>
        <w:t>Our provision for income taxes as a percentage of pretax earnings is based on a current estimate of the annual effective income tax rate adjusted to reflect the impact of discrete items.</w:t>
      </w:r>
    </w:p>
    <w:p>
      <w:pPr>
        <w:spacing w:after="0" w:line="100"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During the three months ended March 31, 2026 and 2025, our effective tax rates were 26.1% and 25.9%, respectively. The rates for each of the three months ended March 31, 2026 and 2025 were based on estimated annual effective tax rates for federal, state and local tax expense.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15 - RELATED PARTY TRANSACTIONS</w:t>
      </w:r>
    </w:p>
    <w:p>
      <w:pPr>
        <w:spacing w:after="0" w:line="169"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We sell installation services to other companies related to us through common or affiliated ownership and/or board of directors and/or management relationships. We also purchase services and materials and pay rent to companies with common or affiliated ownership. We are relocating our corporate headquarters to a location that will be leased from a related party, and we expect to take possession of the new location in the second quarter of 2026. No associated rent payments were made during the three months ended March 31, 2026.</w:t>
      </w:r>
    </w:p>
    <w:p>
      <w:pPr>
        <w:spacing w:after="0" w:line="120"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7"/>
          <w:szCs w:val="17"/>
          <w:color w:val="auto"/>
        </w:rPr>
        <w:t>We lease our current headquarters and certain other facilities from related parties. See Note 8, Leases, for future minimum lease payments to be paid to these related parties.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INSTALLED BUILDING PRODUCTS,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amount of sales to common or related parties as well as the purchases from and rent expense paid to common or related parties were as follows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00" w:type="dxa"/>
            <w:vAlign w:val="bottom"/>
          </w:tcPr>
          <w:p>
            <w:pPr>
              <w:spacing w:after="0"/>
              <w:rPr>
                <w:sz w:val="19"/>
                <w:szCs w:val="19"/>
                <w:color w:val="auto"/>
              </w:rPr>
            </w:pPr>
          </w:p>
        </w:tc>
        <w:tc>
          <w:tcPr>
            <w:tcW w:w="350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540" w:type="dxa"/>
            <w:vAlign w:val="bottom"/>
            <w:tcBorders>
              <w:bottom w:val="single" w:sz="8" w:color="auto"/>
            </w:tcBorders>
          </w:tcPr>
          <w:p>
            <w:pPr>
              <w:spacing w:after="0"/>
              <w:rPr>
                <w:sz w:val="19"/>
                <w:szCs w:val="19"/>
                <w:color w:val="auto"/>
              </w:rPr>
            </w:pPr>
          </w:p>
        </w:tc>
      </w:tr>
      <w:tr>
        <w:trPr>
          <w:trHeight w:val="212"/>
        </w:trPr>
        <w:tc>
          <w:tcPr>
            <w:tcW w:w="72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2026</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2025</w:t>
            </w:r>
          </w:p>
        </w:tc>
        <w:tc>
          <w:tcPr>
            <w:tcW w:w="540" w:type="dxa"/>
            <w:vAlign w:val="bottom"/>
            <w:tcBorders>
              <w:bottom w:val="single" w:sz="8" w:color="auto"/>
            </w:tcBorders>
          </w:tcPr>
          <w:p>
            <w:pPr>
              <w:spacing w:after="0"/>
              <w:rPr>
                <w:sz w:val="18"/>
                <w:szCs w:val="18"/>
                <w:color w:val="auto"/>
              </w:rPr>
            </w:pPr>
          </w:p>
        </w:tc>
      </w:tr>
      <w:tr>
        <w:trPr>
          <w:trHeight w:val="212"/>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w:t>
            </w:r>
          </w:p>
        </w:tc>
        <w:tc>
          <w:tcPr>
            <w:tcW w:w="1440" w:type="dxa"/>
            <w:vAlign w:val="bottom"/>
            <w:shd w:val="clear" w:color="auto" w:fill="CCEEFF"/>
          </w:tcPr>
          <w:p>
            <w:pPr>
              <w:jc w:val="right"/>
              <w:ind w:right="1234"/>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23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19"/>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Purchases</w:t>
            </w:r>
          </w:p>
        </w:tc>
        <w:tc>
          <w:tcPr>
            <w:tcW w:w="1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Rent</w:t>
            </w:r>
          </w:p>
        </w:tc>
        <w:tc>
          <w:tcPr>
            <w:tcW w:w="14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r>
    </w:tbl>
    <w:p>
      <w:pPr>
        <w:spacing w:after="0" w:line="21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7"/>
          <w:szCs w:val="17"/>
          <w:color w:val="auto"/>
        </w:rPr>
        <w:t>We had related party balances of approximately $1.5 million and $1.6 million included in accounts receivable on our Condensed Consolidated Balance Sheets as of March 31, 2026 and December 31, 2025, respectively. These balances primarily represented trade accounts receivable arising during the normal course of business with various related parties. M/I Homes, Inc., a customer whose Chairman, Chief Executive Officer and President serves on our board of directors, accounted for $1.4 million and $1.5 million of the related party accounts receivable balances as of March 31, 2026 and December 31, 2025, respectively. Additionally, M/I Homes, Inc. accounted for a significant portion of our related party sales during the three months ended March 31, 2026 and 2025.</w:t>
      </w:r>
    </w:p>
    <w:p>
      <w:pPr>
        <w:spacing w:after="0" w:line="123"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On March 7, 2025, as part of our stock repurchase program, we completed a private share repurchase with PJAM IBP Holdings Inc., whose President is our Chief Executive Officer and is deemed a beneficial owner. We purchased 100 thousand shares of our common stock for a purchase price of approximately $16.9 million, or $168.75 price per share, which was the latest reported sales price of our common stock on March 6, 2025, less a discount of 3.0%.</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16 - COMMITMENTS AND CONTINGENCIES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Accrued General Liability and Auto Insurance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Accrued general liability and auto insurance reserves included on the Condensed Consolidated Balance Sheets were as follows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March 31, 2026</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December 31, 2025</w:t>
            </w:r>
          </w:p>
        </w:tc>
      </w:tr>
      <w:tr>
        <w:trPr>
          <w:trHeight w:val="212"/>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Included in other current liabilities</w:t>
            </w:r>
          </w:p>
        </w:tc>
        <w:tc>
          <w:tcPr>
            <w:tcW w:w="1580" w:type="dxa"/>
            <w:vAlign w:val="bottom"/>
            <w:shd w:val="clear" w:color="auto" w:fill="CCEEFF"/>
          </w:tcPr>
          <w:p>
            <w:pPr>
              <w:jc w:val="right"/>
              <w:ind w:right="137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219"/>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Included in other long-term liabilities</w:t>
            </w:r>
          </w:p>
        </w:tc>
        <w:tc>
          <w:tcPr>
            <w:tcW w:w="15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w:t>
            </w:r>
          </w:p>
        </w:tc>
      </w:tr>
      <w:tr>
        <w:trPr>
          <w:trHeight w:val="237"/>
        </w:trPr>
        <w:tc>
          <w:tcPr>
            <w:tcW w:w="72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137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7"/>
          <w:szCs w:val="17"/>
          <w:color w:val="auto"/>
        </w:rPr>
        <w:t>We also had insurance receivables and indemnification assets included on the Condensed Consolidated Balance Sheets that, in aggregate, offset equal liabilities included within the reserve amounts noted above. The amounts were as follows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March 31, 2026</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December 31, 2025</w:t>
            </w:r>
          </w:p>
        </w:tc>
      </w:tr>
      <w:tr>
        <w:trPr>
          <w:trHeight w:val="212"/>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Insurance receivables and indemnification assets for claims under fully insured policies</w:t>
            </w:r>
          </w:p>
        </w:tc>
        <w:tc>
          <w:tcPr>
            <w:tcW w:w="1580" w:type="dxa"/>
            <w:vAlign w:val="bottom"/>
            <w:shd w:val="clear" w:color="auto" w:fill="CCEEFF"/>
          </w:tcPr>
          <w:p>
            <w:pPr>
              <w:jc w:val="right"/>
              <w:ind w:right="137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19"/>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Insurance receivables for claims that exceeded the stop loss limit</w:t>
            </w:r>
          </w:p>
        </w:tc>
        <w:tc>
          <w:tcPr>
            <w:tcW w:w="15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37"/>
        </w:trPr>
        <w:tc>
          <w:tcPr>
            <w:tcW w:w="72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Total insurance receivables and indemnification assets included in other non-current assets</w:t>
            </w:r>
          </w:p>
        </w:tc>
        <w:tc>
          <w:tcPr>
            <w:tcW w:w="1580" w:type="dxa"/>
            <w:vAlign w:val="bottom"/>
            <w:tcBorders>
              <w:bottom w:val="single" w:sz="8" w:color="auto"/>
            </w:tcBorders>
            <w:shd w:val="clear" w:color="auto" w:fill="CCEEFF"/>
          </w:tcPr>
          <w:p>
            <w:pPr>
              <w:jc w:val="right"/>
              <w:ind w:right="137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Leases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 8, Leases, for further information regarding our lease commitments.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Other Commitments and Contingencies</w:t>
      </w:r>
    </w:p>
    <w:p>
      <w:pPr>
        <w:spacing w:after="0" w:line="165"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From time to time, various claims and litigation are asserted or commenced against us principally arising from contractual matters and personnel and employment disputes. In determining loss contingencies, management considers the likelihood of loss as well as the ability to reasonably estimate the amount of such loss or liability. An estimated loss is recorded when it is considered probable that such a liability has been incurred and when the amount of loss can be reasonably estimated. As litigation is subject to inherent uncertainties, we cannot be certain that we will prevail in these matters. However, we do not</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INSTALLED BUILDING PRODUCTS,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7"/>
          <w:szCs w:val="17"/>
          <w:color w:val="auto"/>
        </w:rPr>
        <w:t>believe that the ultimate outcome of any pending matters will have a material adverse effect on our consolidated financial position, results of operations or cash flows.</w:t>
      </w:r>
    </w:p>
    <w:p>
      <w:pPr>
        <w:spacing w:after="0" w:line="10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We have an agreement with one of our suppliers to purchase a portion of the materials we utilize in our business with variable pricing . This agreement is effective March 31, 2023 through May 15, 2026 with a purchase obligation of 12.0 million pounds for the period ending May 15, 2024, 14.4 million pounds for the period ending May 15, 2025 and 17.3 million pounds for the period ending May 15, 2026. In 2025, we entered into an amendment which reduced our 17.3 million pounds commitment to 12.3 million pounds and amended the period commitment to May 15, 2026. Through March 31, 2026, we purchased approximately 8.6 million pounds of materials under the agreement for the period ending May 15, 2026.</w:t>
      </w:r>
    </w:p>
    <w:p>
      <w:pPr>
        <w:spacing w:after="0" w:line="123"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We also have a contract with a supplier to purchase various products we employ in our business with fixed rate pricing. The agreement is effective January 1, 2025 through December 31, 2027 with a purchase obligation of 8.0 million pounds for each of the periods ending December 31, 2025, 2026 and 2027, and a total minimum commitment of $10.8 million. During the three months ended March 31, 2026, we purchased approximately 3.4 million pounds of materials under this agreement for the period ending December 31, 2026.</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we have a 5 year purchase agreement with one of our suppliers to purchase products with variable pricing terms. The volume commitment is</w:t>
      </w:r>
    </w:p>
    <w:p>
      <w:pPr>
        <w:spacing w:after="0" w:line="2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7"/>
          <w:szCs w:val="17"/>
          <w:color w:val="auto"/>
        </w:rPr>
        <w:t>89.1 million pounds in 2026 and is subject to conditional adjustments in future periods beyond 2026 based upon certain contingencies. During the three months ended March 31, 2026, we purchased approximately 22.6 million pounds of materials under this agreement for the period ending December 31, 2026.</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17 - BUSINESS COMBINATIONS</w:t>
      </w:r>
    </w:p>
    <w:p>
      <w:pPr>
        <w:spacing w:after="0" w:line="169"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7"/>
          <w:szCs w:val="17"/>
          <w:color w:val="auto"/>
        </w:rPr>
        <w:t>As part of our ongoing strategy to expand geographically and increase market share in certain markets, as well as diversify our products and end markets, we completed four business combinations and two insignificant bolt-on acquisitions merged into existing operations during the three months ended March 31, 2026 and one business combinations and one insignificant bolt-on acquisition merged into an existing operation during the three months ended March 31, 2025. The largest of these acquisitions was Thermo-Tech Mechanical Insulation, Inc. ("Thermo-Tech") in February 2026.</w:t>
      </w:r>
    </w:p>
    <w:p>
      <w:pPr>
        <w:spacing w:after="0" w:line="120"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Below is a summary of acquisitions in aggregate by year, including revenue and net (loss) income since date of acquisition shown for the year of acquisition. Net income includes amortization and taxes when appropriate.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three months ended March 31, 2026 (in millions):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gridSpan w:val="4"/>
          </w:tcPr>
          <w:p>
            <w:pPr>
              <w:jc w:val="right"/>
              <w:ind w:right="83"/>
              <w:spacing w:after="0"/>
              <w:rPr>
                <w:sz w:val="20"/>
                <w:szCs w:val="20"/>
                <w:color w:val="auto"/>
              </w:rPr>
            </w:pPr>
            <w:r>
              <w:rPr>
                <w:rFonts w:ascii="Times New Roman" w:cs="Times New Roman" w:eastAsia="Times New Roman" w:hAnsi="Times New Roman"/>
                <w:sz w:val="15"/>
                <w:szCs w:val="15"/>
                <w:color w:val="auto"/>
              </w:rPr>
              <w:t>Three months ended March 31,</w:t>
            </w:r>
          </w:p>
        </w:tc>
        <w:tc>
          <w:tcPr>
            <w:tcW w:w="0" w:type="dxa"/>
            <w:vAlign w:val="bottom"/>
          </w:tcPr>
          <w:p>
            <w:pPr>
              <w:spacing w:after="0"/>
              <w:rPr>
                <w:sz w:val="1"/>
                <w:szCs w:val="1"/>
                <w:color w:val="auto"/>
              </w:rPr>
            </w:pPr>
          </w:p>
        </w:tc>
      </w:tr>
      <w:tr>
        <w:trPr>
          <w:trHeight w:val="200"/>
        </w:trPr>
        <w:tc>
          <w:tcPr>
            <w:tcW w:w="3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3"/>
              <w:spacing w:after="0"/>
              <w:rPr>
                <w:sz w:val="20"/>
                <w:szCs w:val="20"/>
                <w:color w:val="auto"/>
              </w:rPr>
            </w:pPr>
            <w:r>
              <w:rPr>
                <w:rFonts w:ascii="Times New Roman" w:cs="Times New Roman" w:eastAsia="Times New Roman" w:hAnsi="Times New Roman"/>
                <w:sz w:val="15"/>
                <w:szCs w:val="15"/>
                <w:color w:val="auto"/>
              </w:rPr>
              <w:t>2026</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344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2026 Acquisitions</w:t>
            </w:r>
          </w:p>
        </w:tc>
        <w:tc>
          <w:tcPr>
            <w:tcW w:w="80" w:type="dxa"/>
            <w:vAlign w:val="bottom"/>
            <w:vMerge w:val="restart"/>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98"/>
              </w:rPr>
              <w:t>Date</w:t>
            </w:r>
          </w:p>
        </w:tc>
        <w:tc>
          <w:tcPr>
            <w:tcW w:w="80" w:type="dxa"/>
            <w:vAlign w:val="bottom"/>
            <w:vMerge w:val="restart"/>
          </w:tcPr>
          <w:p>
            <w:pPr>
              <w:spacing w:after="0"/>
              <w:rPr>
                <w:sz w:val="12"/>
                <w:szCs w:val="12"/>
                <w:color w:val="auto"/>
              </w:rPr>
            </w:pPr>
          </w:p>
        </w:tc>
        <w:tc>
          <w:tcPr>
            <w:tcW w:w="120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5"/>
                <w:szCs w:val="15"/>
                <w:color w:val="auto"/>
              </w:rPr>
              <w:t>Acquisition</w:t>
            </w:r>
          </w:p>
        </w:tc>
        <w:tc>
          <w:tcPr>
            <w:tcW w:w="120" w:type="dxa"/>
            <w:vAlign w:val="bottom"/>
          </w:tcPr>
          <w:p>
            <w:pPr>
              <w:spacing w:after="0"/>
              <w:rPr>
                <w:sz w:val="12"/>
                <w:szCs w:val="12"/>
                <w:color w:val="auto"/>
              </w:rPr>
            </w:pPr>
          </w:p>
        </w:tc>
        <w:tc>
          <w:tcPr>
            <w:tcW w:w="800" w:type="dxa"/>
            <w:vAlign w:val="bottom"/>
            <w:vMerge w:val="restart"/>
          </w:tcPr>
          <w:p>
            <w:pPr>
              <w:jc w:val="right"/>
              <w:ind w:right="83"/>
              <w:spacing w:after="0"/>
              <w:rPr>
                <w:sz w:val="20"/>
                <w:szCs w:val="20"/>
                <w:color w:val="auto"/>
              </w:rPr>
            </w:pPr>
            <w:r>
              <w:rPr>
                <w:rFonts w:ascii="Times New Roman" w:cs="Times New Roman" w:eastAsia="Times New Roman" w:hAnsi="Times New Roman"/>
                <w:sz w:val="15"/>
                <w:szCs w:val="15"/>
                <w:color w:val="auto"/>
              </w:rPr>
              <w:t>Cash Paid</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ind w:left="200"/>
              <w:spacing w:after="0" w:line="141" w:lineRule="exact"/>
              <w:rPr>
                <w:sz w:val="20"/>
                <w:szCs w:val="20"/>
                <w:color w:val="auto"/>
              </w:rPr>
            </w:pPr>
            <w:r>
              <w:rPr>
                <w:rFonts w:ascii="Times New Roman" w:cs="Times New Roman" w:eastAsia="Times New Roman" w:hAnsi="Times New Roman"/>
                <w:sz w:val="15"/>
                <w:szCs w:val="15"/>
                <w:color w:val="auto"/>
              </w:rPr>
              <w:t>Seller</w:t>
            </w:r>
          </w:p>
        </w:tc>
        <w:tc>
          <w:tcPr>
            <w:tcW w:w="1120" w:type="dxa"/>
            <w:vAlign w:val="bottom"/>
            <w:gridSpan w:val="3"/>
          </w:tcPr>
          <w:p>
            <w:pPr>
              <w:jc w:val="right"/>
              <w:ind w:right="160"/>
              <w:spacing w:after="0" w:line="141" w:lineRule="exact"/>
              <w:rPr>
                <w:sz w:val="20"/>
                <w:szCs w:val="20"/>
                <w:color w:val="auto"/>
              </w:rPr>
            </w:pPr>
            <w:r>
              <w:rPr>
                <w:rFonts w:ascii="Times New Roman" w:cs="Times New Roman" w:eastAsia="Times New Roman" w:hAnsi="Times New Roman"/>
                <w:sz w:val="15"/>
                <w:szCs w:val="15"/>
                <w:color w:val="auto"/>
              </w:rPr>
              <w:t>Total Purchase</w:t>
            </w:r>
          </w:p>
        </w:tc>
        <w:tc>
          <w:tcPr>
            <w:tcW w:w="120" w:type="dxa"/>
            <w:vAlign w:val="bottom"/>
          </w:tcPr>
          <w:p>
            <w:pPr>
              <w:spacing w:after="0"/>
              <w:rPr>
                <w:sz w:val="12"/>
                <w:szCs w:val="12"/>
                <w:color w:val="auto"/>
              </w:rPr>
            </w:pPr>
          </w:p>
        </w:tc>
        <w:tc>
          <w:tcPr>
            <w:tcW w:w="980" w:type="dxa"/>
            <w:vAlign w:val="bottom"/>
            <w:vMerge w:val="restart"/>
          </w:tcPr>
          <w:p>
            <w:pPr>
              <w:jc w:val="right"/>
              <w:ind w:right="203"/>
              <w:spacing w:after="0"/>
              <w:rPr>
                <w:sz w:val="20"/>
                <w:szCs w:val="20"/>
                <w:color w:val="auto"/>
              </w:rPr>
            </w:pPr>
            <w:r>
              <w:rPr>
                <w:rFonts w:ascii="Times New Roman" w:cs="Times New Roman" w:eastAsia="Times New Roman" w:hAnsi="Times New Roman"/>
                <w:sz w:val="15"/>
                <w:szCs w:val="15"/>
                <w:color w:val="auto"/>
              </w:rPr>
              <w:t>Revenue</w:t>
            </w:r>
          </w:p>
        </w:tc>
        <w:tc>
          <w:tcPr>
            <w:tcW w:w="8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restart"/>
          </w:tcPr>
          <w:p>
            <w:pPr>
              <w:jc w:val="right"/>
              <w:ind w:right="183"/>
              <w:spacing w:after="0"/>
              <w:rPr>
                <w:sz w:val="20"/>
                <w:szCs w:val="20"/>
                <w:color w:val="auto"/>
              </w:rPr>
            </w:pPr>
            <w:r>
              <w:rPr>
                <w:rFonts w:ascii="Times New Roman" w:cs="Times New Roman" w:eastAsia="Times New Roman" w:hAnsi="Times New Roman"/>
                <w:sz w:val="15"/>
                <w:szCs w:val="15"/>
                <w:color w:val="auto"/>
              </w:rPr>
              <w:t>Net Loss</w:t>
            </w:r>
          </w:p>
        </w:tc>
        <w:tc>
          <w:tcPr>
            <w:tcW w:w="0" w:type="dxa"/>
            <w:vAlign w:val="bottom"/>
          </w:tcPr>
          <w:p>
            <w:pPr>
              <w:spacing w:after="0"/>
              <w:rPr>
                <w:sz w:val="1"/>
                <w:szCs w:val="1"/>
                <w:color w:val="auto"/>
              </w:rPr>
            </w:pPr>
          </w:p>
        </w:tc>
      </w:tr>
      <w:tr>
        <w:trPr>
          <w:trHeight w:val="203"/>
        </w:trPr>
        <w:tc>
          <w:tcPr>
            <w:tcW w:w="34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Type</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Obligations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5"/>
                <w:szCs w:val="15"/>
                <w:color w:val="auto"/>
              </w:rPr>
              <w:t>Price</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Thermo-Tech</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2/2/2026</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Asset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0" w:type="dxa"/>
            <w:vAlign w:val="bottom"/>
          </w:tcPr>
          <w:p>
            <w:pPr>
              <w:spacing w:after="0"/>
              <w:rPr>
                <w:sz w:val="1"/>
                <w:szCs w:val="1"/>
                <w:color w:val="auto"/>
              </w:rPr>
            </w:pPr>
          </w:p>
        </w:tc>
      </w:tr>
      <w:tr>
        <w:trPr>
          <w:trHeight w:val="203"/>
        </w:trPr>
        <w:tc>
          <w:tcPr>
            <w:tcW w:w="3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Other</w:t>
            </w:r>
          </w:p>
        </w:tc>
        <w:tc>
          <w:tcPr>
            <w:tcW w:w="100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Various</w:t>
            </w:r>
          </w:p>
        </w:tc>
        <w:tc>
          <w:tcPr>
            <w:tcW w:w="120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Asset</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1.9</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0.0</w:t>
            </w:r>
          </w:p>
        </w:tc>
        <w:tc>
          <w:tcPr>
            <w:tcW w:w="0" w:type="dxa"/>
            <w:vAlign w:val="bottom"/>
          </w:tcPr>
          <w:p>
            <w:pPr>
              <w:spacing w:after="0"/>
              <w:rPr>
                <w:sz w:val="1"/>
                <w:szCs w:val="1"/>
                <w:color w:val="auto"/>
              </w:rPr>
            </w:pPr>
          </w:p>
        </w:tc>
      </w:tr>
      <w:tr>
        <w:trPr>
          <w:trHeight w:val="224"/>
        </w:trPr>
        <w:tc>
          <w:tcPr>
            <w:tcW w:w="34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3.4</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three months ended March 31, 2025 (in millions):</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gridSpan w:val="4"/>
          </w:tcPr>
          <w:p>
            <w:pPr>
              <w:jc w:val="right"/>
              <w:ind w:right="83"/>
              <w:spacing w:after="0"/>
              <w:rPr>
                <w:sz w:val="20"/>
                <w:szCs w:val="20"/>
                <w:color w:val="auto"/>
              </w:rPr>
            </w:pPr>
            <w:r>
              <w:rPr>
                <w:rFonts w:ascii="Times New Roman" w:cs="Times New Roman" w:eastAsia="Times New Roman" w:hAnsi="Times New Roman"/>
                <w:sz w:val="15"/>
                <w:szCs w:val="15"/>
                <w:color w:val="auto"/>
              </w:rPr>
              <w:t>Three months ended March 31,</w:t>
            </w:r>
          </w:p>
        </w:tc>
        <w:tc>
          <w:tcPr>
            <w:tcW w:w="0" w:type="dxa"/>
            <w:vAlign w:val="bottom"/>
          </w:tcPr>
          <w:p>
            <w:pPr>
              <w:spacing w:after="0"/>
              <w:rPr>
                <w:sz w:val="1"/>
                <w:szCs w:val="1"/>
                <w:color w:val="auto"/>
              </w:rPr>
            </w:pPr>
          </w:p>
        </w:tc>
      </w:tr>
      <w:tr>
        <w:trPr>
          <w:trHeight w:val="200"/>
        </w:trPr>
        <w:tc>
          <w:tcPr>
            <w:tcW w:w="3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color w:val="auto"/>
              </w:rPr>
              <w:t>2025</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2025 Acquisitions</w:t>
            </w:r>
          </w:p>
        </w:tc>
        <w:tc>
          <w:tcPr>
            <w:tcW w:w="100" w:type="dxa"/>
            <w:vAlign w:val="bottom"/>
            <w:vMerge w:val="restart"/>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Date</w:t>
            </w:r>
          </w:p>
        </w:tc>
        <w:tc>
          <w:tcPr>
            <w:tcW w:w="80" w:type="dxa"/>
            <w:vAlign w:val="bottom"/>
            <w:vMerge w:val="restart"/>
          </w:tcPr>
          <w:p>
            <w:pPr>
              <w:spacing w:after="0"/>
              <w:rPr>
                <w:sz w:val="12"/>
                <w:szCs w:val="12"/>
                <w:color w:val="auto"/>
              </w:rPr>
            </w:pPr>
          </w:p>
        </w:tc>
        <w:tc>
          <w:tcPr>
            <w:tcW w:w="11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5"/>
                <w:szCs w:val="15"/>
                <w:color w:val="auto"/>
              </w:rPr>
              <w:t>Acquisition</w:t>
            </w:r>
          </w:p>
        </w:tc>
        <w:tc>
          <w:tcPr>
            <w:tcW w:w="120" w:type="dxa"/>
            <w:vAlign w:val="bottom"/>
          </w:tcPr>
          <w:p>
            <w:pPr>
              <w:spacing w:after="0"/>
              <w:rPr>
                <w:sz w:val="12"/>
                <w:szCs w:val="12"/>
                <w:color w:val="auto"/>
              </w:rPr>
            </w:pPr>
          </w:p>
        </w:tc>
        <w:tc>
          <w:tcPr>
            <w:tcW w:w="800" w:type="dxa"/>
            <w:vAlign w:val="bottom"/>
            <w:vMerge w:val="restart"/>
          </w:tcPr>
          <w:p>
            <w:pPr>
              <w:jc w:val="right"/>
              <w:ind w:right="83"/>
              <w:spacing w:after="0"/>
              <w:rPr>
                <w:sz w:val="20"/>
                <w:szCs w:val="20"/>
                <w:color w:val="auto"/>
              </w:rPr>
            </w:pPr>
            <w:r>
              <w:rPr>
                <w:rFonts w:ascii="Times New Roman" w:cs="Times New Roman" w:eastAsia="Times New Roman" w:hAnsi="Times New Roman"/>
                <w:sz w:val="15"/>
                <w:szCs w:val="15"/>
                <w:color w:val="auto"/>
              </w:rPr>
              <w:t>Cash Paid</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5"/>
                <w:szCs w:val="15"/>
                <w:color w:val="auto"/>
              </w:rPr>
              <w:t>Seller</w:t>
            </w:r>
          </w:p>
        </w:tc>
        <w:tc>
          <w:tcPr>
            <w:tcW w:w="1120" w:type="dxa"/>
            <w:vAlign w:val="bottom"/>
            <w:gridSpan w:val="3"/>
          </w:tcPr>
          <w:p>
            <w:pPr>
              <w:jc w:val="right"/>
              <w:ind w:right="160"/>
              <w:spacing w:after="0" w:line="141" w:lineRule="exact"/>
              <w:rPr>
                <w:sz w:val="20"/>
                <w:szCs w:val="20"/>
                <w:color w:val="auto"/>
              </w:rPr>
            </w:pPr>
            <w:r>
              <w:rPr>
                <w:rFonts w:ascii="Times New Roman" w:cs="Times New Roman" w:eastAsia="Times New Roman" w:hAnsi="Times New Roman"/>
                <w:sz w:val="15"/>
                <w:szCs w:val="15"/>
                <w:color w:val="auto"/>
              </w:rPr>
              <w:t>Total Purchase</w:t>
            </w:r>
          </w:p>
        </w:tc>
        <w:tc>
          <w:tcPr>
            <w:tcW w:w="120" w:type="dxa"/>
            <w:vAlign w:val="bottom"/>
          </w:tcPr>
          <w:p>
            <w:pPr>
              <w:spacing w:after="0"/>
              <w:rPr>
                <w:sz w:val="12"/>
                <w:szCs w:val="12"/>
                <w:color w:val="auto"/>
              </w:rPr>
            </w:pPr>
          </w:p>
        </w:tc>
        <w:tc>
          <w:tcPr>
            <w:tcW w:w="960" w:type="dxa"/>
            <w:vAlign w:val="bottom"/>
            <w:vMerge w:val="restart"/>
          </w:tcPr>
          <w:p>
            <w:pPr>
              <w:jc w:val="right"/>
              <w:ind w:right="203"/>
              <w:spacing w:after="0"/>
              <w:rPr>
                <w:sz w:val="20"/>
                <w:szCs w:val="20"/>
                <w:color w:val="auto"/>
              </w:rPr>
            </w:pPr>
            <w:r>
              <w:rPr>
                <w:rFonts w:ascii="Times New Roman" w:cs="Times New Roman" w:eastAsia="Times New Roman" w:hAnsi="Times New Roman"/>
                <w:sz w:val="15"/>
                <w:szCs w:val="15"/>
                <w:color w:val="auto"/>
              </w:rPr>
              <w:t>Revenue</w:t>
            </w:r>
          </w:p>
        </w:tc>
        <w:tc>
          <w:tcPr>
            <w:tcW w:w="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Net Income</w:t>
            </w:r>
          </w:p>
        </w:tc>
        <w:tc>
          <w:tcPr>
            <w:tcW w:w="0" w:type="dxa"/>
            <w:vAlign w:val="bottom"/>
          </w:tcPr>
          <w:p>
            <w:pPr>
              <w:spacing w:after="0"/>
              <w:rPr>
                <w:sz w:val="1"/>
                <w:szCs w:val="1"/>
                <w:color w:val="auto"/>
              </w:rPr>
            </w:pPr>
          </w:p>
        </w:tc>
      </w:tr>
      <w:tr>
        <w:trPr>
          <w:trHeight w:val="203"/>
        </w:trPr>
        <w:tc>
          <w:tcPr>
            <w:tcW w:w="34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Type</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5"/>
                <w:szCs w:val="15"/>
                <w:color w:val="auto"/>
              </w:rPr>
              <w:t>Obligations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5"/>
                <w:szCs w:val="15"/>
                <w:color w:val="auto"/>
              </w:rPr>
              <w:t>Price</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w:t>
            </w:r>
          </w:p>
        </w:tc>
        <w:tc>
          <w:tcPr>
            <w:tcW w:w="9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3/17/2025</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Asset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0.0</w:t>
            </w: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Acquisition-related costs recorded within administrative expenses on the Condensed Consolidated Statements of Operations and Comprehensive Income amounted to $1.0 million and $0.5 million for the three months ended March 31, 2026 and 2025, respectively.</w:t>
      </w:r>
    </w:p>
    <w:p>
      <w:pPr>
        <w:spacing w:after="0" w:line="100"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The goodwill recognized in conjunction with these business combinations represents the excess cost of the acquired entity over the net amount assigned to assets acquired and liabilities assumed (including the identifiable intangible assets). The goodwill recognized for Thermo-Tech reflects the value of its mechanical insulation services, supplier relationships, commercial market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INSTALLED BUILDING PRODUCTS,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7"/>
          <w:szCs w:val="17"/>
          <w:color w:val="auto"/>
        </w:rPr>
        <w:t>expansion and other synergies that are expected to be realized from the acquisition. We expect to deduct approximately $9.4 million of goodwill for tax purposes as a result of 2026 acquisitions.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Purchase Price Allocations</w:t>
      </w:r>
    </w:p>
    <w:p>
      <w:pPr>
        <w:spacing w:after="0" w:line="165"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17"/>
          <w:szCs w:val="17"/>
          <w:color w:val="auto"/>
        </w:rPr>
        <w:t>The estimated fair values of the assets acquired and liabilities assumed for the acquisitions, as well as total purchase prices and cash paid, approximated the following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rPr>
              <w:t>Three months ended March</w:t>
            </w:r>
          </w:p>
        </w:tc>
      </w:tr>
      <w:tr>
        <w:trPr>
          <w:trHeight w:val="232"/>
        </w:trPr>
        <w:tc>
          <w:tcPr>
            <w:tcW w:w="4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6"/>
          </w:tcPr>
          <w:p>
            <w:pPr>
              <w:jc w:val="center"/>
              <w:ind w:left="634"/>
              <w:spacing w:after="0"/>
              <w:rPr>
                <w:sz w:val="20"/>
                <w:szCs w:val="20"/>
                <w:color w:val="auto"/>
              </w:rPr>
            </w:pPr>
            <w:r>
              <w:rPr>
                <w:rFonts w:ascii="Times New Roman" w:cs="Times New Roman" w:eastAsia="Times New Roman" w:hAnsi="Times New Roman"/>
                <w:sz w:val="17"/>
                <w:szCs w:val="17"/>
                <w:color w:val="auto"/>
              </w:rPr>
              <w:t>Three months ended March 31, 2026</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7"/>
                <w:szCs w:val="17"/>
                <w:color w:val="auto"/>
              </w:rPr>
              <w:t>31, 2025</w:t>
            </w:r>
          </w:p>
        </w:tc>
      </w:tr>
      <w:tr>
        <w:trPr>
          <w:trHeight w:val="212"/>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Thermo-Tech</w:t>
            </w:r>
          </w:p>
        </w:tc>
        <w:tc>
          <w:tcPr>
            <w:tcW w:w="30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color w:val="auto"/>
              </w:rPr>
              <w:t>Other</w:t>
            </w:r>
          </w:p>
        </w:tc>
        <w:tc>
          <w:tcPr>
            <w:tcW w:w="520" w:type="dxa"/>
            <w:vAlign w:val="bottom"/>
          </w:tcPr>
          <w:p>
            <w:pPr>
              <w:spacing w:after="0"/>
              <w:rPr>
                <w:sz w:val="18"/>
                <w:szCs w:val="18"/>
                <w:color w:val="auto"/>
              </w:rPr>
            </w:pPr>
          </w:p>
        </w:tc>
        <w:tc>
          <w:tcPr>
            <w:tcW w:w="86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w w:val="89"/>
              </w:rPr>
              <w:t>Total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Other</w:t>
            </w:r>
          </w:p>
        </w:tc>
      </w:tr>
      <w:tr>
        <w:trPr>
          <w:trHeight w:val="199"/>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Estimated fair values:</w:t>
            </w: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17"/>
                <w:szCs w:val="17"/>
                <w:color w:val="auto"/>
              </w:rPr>
            </w:pPr>
          </w:p>
        </w:tc>
      </w:tr>
      <w:tr>
        <w:trPr>
          <w:trHeight w:val="219"/>
        </w:trPr>
        <w:tc>
          <w:tcPr>
            <w:tcW w:w="4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receivable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tcPr>
          <w:p>
            <w:pPr>
              <w:spacing w:after="0"/>
              <w:rPr>
                <w:sz w:val="19"/>
                <w:szCs w:val="19"/>
                <w:color w:val="auto"/>
              </w:rPr>
            </w:pPr>
          </w:p>
        </w:tc>
        <w:tc>
          <w:tcPr>
            <w:tcW w:w="52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Inventories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19"/>
        </w:trPr>
        <w:tc>
          <w:tcPr>
            <w:tcW w:w="4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Property and equipment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1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lease right-of-use asset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Intangibles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21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Goodwill</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19"/>
        </w:trPr>
        <w:tc>
          <w:tcPr>
            <w:tcW w:w="4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non-current assets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 and other current liabilities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of assets acquired and purchase price</w:t>
            </w: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r>
      <w:tr>
        <w:trPr>
          <w:trHeight w:val="219"/>
        </w:trPr>
        <w:tc>
          <w:tcPr>
            <w:tcW w:w="4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Less seller obligations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37"/>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Contingent consideration, non-compete agreements and/or amounts based on working capital calculations are included as “seller obligations” in the above table or within “fair value of assets acquired” if subsequently paid during the period presented. Contingent consideration payments consist primarily of earnouts based on performance that are recorded at fair value at the time of acquisition. When these payments are expected to be made over one year from the acquisition date, the contingent consideration is discounted to net present value of future payments based on a weighted average of various future forecast scenarios.</w:t>
      </w:r>
    </w:p>
    <w:p>
      <w:pPr>
        <w:spacing w:after="0" w:line="12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Further adjustments to the allocation for each acquisition still under its measurement period are expected as third-party or internal valuations are finalized, certain tax aspects of the transaction are completed and customary post-closing reviews are concluded during the measurement period attributable to each individual business combination. As a result, adjustments to the fair value of assets acquired, and in some cases total purchase price, have been made to certain business combinations since the date of acquisition and future adjustments may be made through the end of each measurement period. Any acquisition acquired after March 31, 2025 is deemed to be within the measurement period and its purchase price considered preliminary.</w:t>
      </w:r>
    </w:p>
    <w:p>
      <w:pPr>
        <w:spacing w:after="0" w:line="123"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Goodwill and intangibles per the above table may not agree to the total gross increase of these assets as shown in Note 6, Goodwill and Intangibles, during each of the three months ended March 31, 2026 and 2025 due to adjustments to goodwill for the allocation of certain acquisitions still under measurement as well as other immaterial intangible assets added during the ordinary course of business. All acquisitions during the three months ended March 31, 2026 and 2025 had their respective goodwill assigned to our Installation operating segment.</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INSTALLED BUILDING PRODUCTS,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Estimates of acquired intangible assets related to the acquisitions are as follows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4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4"/>
          </w:tcPr>
          <w:p>
            <w:pPr>
              <w:jc w:val="right"/>
              <w:ind w:right="74"/>
              <w:spacing w:after="0"/>
              <w:rPr>
                <w:sz w:val="20"/>
                <w:szCs w:val="20"/>
                <w:color w:val="auto"/>
              </w:rPr>
            </w:pPr>
            <w:r>
              <w:rPr>
                <w:rFonts w:ascii="Times New Roman" w:cs="Times New Roman" w:eastAsia="Times New Roman" w:hAnsi="Times New Roman"/>
                <w:sz w:val="17"/>
                <w:szCs w:val="17"/>
                <w:color w:val="auto"/>
              </w:rPr>
              <w:t>For the three months ended March 31,</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1394"/>
              <w:spacing w:after="0"/>
              <w:rPr>
                <w:sz w:val="20"/>
                <w:szCs w:val="20"/>
                <w:color w:val="auto"/>
              </w:rPr>
            </w:pPr>
            <w:r>
              <w:rPr>
                <w:rFonts w:ascii="Times New Roman" w:cs="Times New Roman" w:eastAsia="Times New Roman" w:hAnsi="Times New Roman"/>
                <w:sz w:val="17"/>
                <w:szCs w:val="17"/>
                <w:color w:val="auto"/>
              </w:rPr>
              <w:t>2026</w:t>
            </w:r>
          </w:p>
        </w:tc>
        <w:tc>
          <w:tcPr>
            <w:tcW w:w="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2025</w:t>
            </w:r>
          </w:p>
        </w:tc>
        <w:tc>
          <w:tcPr>
            <w:tcW w:w="1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540" w:type="dxa"/>
            <w:vAlign w:val="bottom"/>
          </w:tcPr>
          <w:p>
            <w:pPr>
              <w:spacing w:after="0"/>
              <w:rPr>
                <w:sz w:val="13"/>
                <w:szCs w:val="13"/>
                <w:color w:val="auto"/>
              </w:rPr>
            </w:pPr>
          </w:p>
        </w:tc>
        <w:tc>
          <w:tcPr>
            <w:tcW w:w="138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auto"/>
              </w:rPr>
              <w:t>Estimated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jc w:val="center"/>
              <w:ind w:left="174"/>
              <w:spacing w:after="0" w:line="161" w:lineRule="exact"/>
              <w:rPr>
                <w:sz w:val="20"/>
                <w:szCs w:val="20"/>
                <w:color w:val="auto"/>
              </w:rPr>
            </w:pPr>
            <w:r>
              <w:rPr>
                <w:rFonts w:ascii="Times New Roman" w:cs="Times New Roman" w:eastAsia="Times New Roman" w:hAnsi="Times New Roman"/>
                <w:sz w:val="17"/>
                <w:szCs w:val="17"/>
                <w:color w:val="auto"/>
                <w:w w:val="98"/>
              </w:rPr>
              <w:t>Weighted Average</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color w:val="auto"/>
              </w:rPr>
              <w:t>Estimated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tcPr>
          <w:p>
            <w:pPr>
              <w:jc w:val="right"/>
              <w:ind w:right="214"/>
              <w:spacing w:after="0" w:line="161" w:lineRule="exact"/>
              <w:rPr>
                <w:sz w:val="20"/>
                <w:szCs w:val="20"/>
                <w:color w:val="auto"/>
              </w:rPr>
            </w:pPr>
            <w:r>
              <w:rPr>
                <w:rFonts w:ascii="Times New Roman" w:cs="Times New Roman" w:eastAsia="Times New Roman" w:hAnsi="Times New Roman"/>
                <w:sz w:val="17"/>
                <w:szCs w:val="17"/>
                <w:color w:val="auto"/>
              </w:rPr>
              <w:t>Weighted Average</w:t>
            </w:r>
          </w:p>
        </w:tc>
        <w:tc>
          <w:tcPr>
            <w:tcW w:w="0" w:type="dxa"/>
            <w:vAlign w:val="bottom"/>
          </w:tcPr>
          <w:p>
            <w:pPr>
              <w:spacing w:after="0"/>
              <w:rPr>
                <w:sz w:val="1"/>
                <w:szCs w:val="1"/>
                <w:color w:val="auto"/>
              </w:rPr>
            </w:pPr>
          </w:p>
        </w:tc>
      </w:tr>
      <w:tr>
        <w:trPr>
          <w:trHeight w:val="168"/>
        </w:trPr>
        <w:tc>
          <w:tcPr>
            <w:tcW w:w="354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ind w:left="154"/>
              <w:spacing w:after="0" w:line="167" w:lineRule="exact"/>
              <w:rPr>
                <w:sz w:val="20"/>
                <w:szCs w:val="20"/>
                <w:color w:val="auto"/>
              </w:rPr>
            </w:pPr>
            <w:r>
              <w:rPr>
                <w:rFonts w:ascii="Times New Roman" w:cs="Times New Roman" w:eastAsia="Times New Roman" w:hAnsi="Times New Roman"/>
                <w:sz w:val="17"/>
                <w:szCs w:val="17"/>
                <w:color w:val="auto"/>
                <w:w w:val="99"/>
              </w:rPr>
              <w:t>Estimated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right"/>
              <w:ind w:right="514"/>
              <w:spacing w:after="0" w:line="167" w:lineRule="exact"/>
              <w:rPr>
                <w:sz w:val="20"/>
                <w:szCs w:val="20"/>
                <w:color w:val="auto"/>
              </w:rPr>
            </w:pPr>
            <w:r>
              <w:rPr>
                <w:rFonts w:ascii="Times New Roman" w:cs="Times New Roman" w:eastAsia="Times New Roman" w:hAnsi="Times New Roman"/>
                <w:sz w:val="17"/>
                <w:szCs w:val="17"/>
                <w:color w:val="auto"/>
              </w:rPr>
              <w:t>Estimated</w:t>
            </w:r>
          </w:p>
        </w:tc>
        <w:tc>
          <w:tcPr>
            <w:tcW w:w="0" w:type="dxa"/>
            <w:vAlign w:val="bottom"/>
          </w:tcPr>
          <w:p>
            <w:pPr>
              <w:spacing w:after="0"/>
              <w:rPr>
                <w:sz w:val="1"/>
                <w:szCs w:val="1"/>
                <w:color w:val="auto"/>
              </w:rPr>
            </w:pPr>
          </w:p>
        </w:tc>
      </w:tr>
      <w:tr>
        <w:trPr>
          <w:trHeight w:val="232"/>
        </w:trPr>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Acquired intangibles assets</w:t>
            </w:r>
          </w:p>
        </w:tc>
        <w:tc>
          <w:tcPr>
            <w:tcW w:w="13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Fair Value</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center"/>
              <w:ind w:left="154"/>
              <w:spacing w:after="0"/>
              <w:rPr>
                <w:sz w:val="20"/>
                <w:szCs w:val="20"/>
                <w:color w:val="auto"/>
              </w:rPr>
            </w:pPr>
            <w:r>
              <w:rPr>
                <w:rFonts w:ascii="Times New Roman" w:cs="Times New Roman" w:eastAsia="Times New Roman" w:hAnsi="Times New Roman"/>
                <w:sz w:val="17"/>
                <w:szCs w:val="17"/>
                <w:color w:val="auto"/>
              </w:rPr>
              <w:t>Useful Life (yrs.)</w:t>
            </w: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Fair Value</w:t>
            </w: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Useful Life (yrs.)</w:t>
            </w:r>
          </w:p>
        </w:tc>
        <w:tc>
          <w:tcPr>
            <w:tcW w:w="0" w:type="dxa"/>
            <w:vAlign w:val="bottom"/>
          </w:tcPr>
          <w:p>
            <w:pPr>
              <w:spacing w:after="0"/>
              <w:rPr>
                <w:sz w:val="1"/>
                <w:szCs w:val="1"/>
                <w:color w:val="auto"/>
              </w:rPr>
            </w:pPr>
          </w:p>
        </w:tc>
      </w:tr>
      <w:tr>
        <w:trPr>
          <w:trHeight w:val="21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1380" w:type="dxa"/>
            <w:vAlign w:val="bottom"/>
            <w:shd w:val="clear" w:color="auto" w:fill="CCEEFF"/>
          </w:tcPr>
          <w:p>
            <w:pPr>
              <w:jc w:val="right"/>
              <w:ind w:right="119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234"/>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19"/>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Trademarks, tradenames and other</w:t>
            </w:r>
          </w:p>
        </w:tc>
        <w:tc>
          <w:tcPr>
            <w:tcW w:w="1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Non-competition agreements</w:t>
            </w:r>
          </w:p>
        </w:tc>
        <w:tc>
          <w:tcPr>
            <w:tcW w:w="13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23"/>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Backlog</w:t>
            </w:r>
          </w:p>
        </w:tc>
        <w:tc>
          <w:tcPr>
            <w:tcW w:w="1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40" w:type="dxa"/>
            <w:vAlign w:val="bottom"/>
            <w:gridSpan w:val="3"/>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Pro Forma Information</w:t>
      </w:r>
    </w:p>
    <w:p>
      <w:pPr>
        <w:spacing w:after="0" w:line="165"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The unaudited pro forma information for the combined results of the Company has been prepared as if the 2026 acquisitions had taken place on January 1, 2025 and the 2025 acquisitions had taken place on January 1, 2024. The unaudited pro forma information is not necessarily indicative of the results that we would have achieved had the transactions actually taken place on January 1, 2025 and 2024, respectively, and the unaudited pro forma information does not purport to be indicative of future financial operating results (in millions, except per share data):</w:t>
      </w:r>
    </w:p>
    <w:p>
      <w:pPr>
        <w:sectPr>
          <w:pgSz w:w="11900" w:h="16838" w:orient="portrait"/>
          <w:cols w:equalWidth="0" w:num="1">
            <w:col w:w="11240"/>
          </w:cols>
          <w:pgMar w:left="320" w:top="2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Net revenue</w:t>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Net income</w:t>
      </w:r>
    </w:p>
    <w:p>
      <w:pPr>
        <w:spacing w:after="0" w:line="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Basic net income per share</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Diluted net income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Unaudited pro forma for the 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794"/>
              <w:spacing w:after="0"/>
              <w:rPr>
                <w:sz w:val="20"/>
                <w:szCs w:val="20"/>
                <w:color w:val="auto"/>
              </w:rPr>
            </w:pPr>
            <w:r>
              <w:rPr>
                <w:rFonts w:ascii="Times New Roman" w:cs="Times New Roman" w:eastAsia="Times New Roman" w:hAnsi="Times New Roman"/>
                <w:sz w:val="17"/>
                <w:szCs w:val="17"/>
                <w:color w:val="auto"/>
              </w:rPr>
              <w:t>2026</w:t>
            </w: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color w:val="auto"/>
              </w:rPr>
              <w:t>2025</w:t>
            </w:r>
          </w:p>
        </w:tc>
      </w:tr>
      <w:tr>
        <w:trPr>
          <w:trHeight w:val="209"/>
        </w:trPr>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663.2</w:t>
            </w:r>
          </w:p>
        </w:tc>
        <w:tc>
          <w:tcPr>
            <w:tcW w:w="100" w:type="dxa"/>
            <w:vAlign w:val="bottom"/>
          </w:tcPr>
          <w:p>
            <w:pPr>
              <w:spacing w:after="0"/>
              <w:rPr>
                <w:sz w:val="18"/>
                <w:szCs w:val="18"/>
                <w:color w:val="auto"/>
              </w:rPr>
            </w:pP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702.9</w:t>
            </w:r>
          </w:p>
        </w:tc>
      </w:tr>
      <w:tr>
        <w:trPr>
          <w:trHeight w:val="219"/>
        </w:trPr>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w:t>
            </w:r>
          </w:p>
        </w:tc>
      </w:tr>
      <w:tr>
        <w:trPr>
          <w:trHeight w:val="219"/>
        </w:trPr>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w:t>
            </w:r>
          </w:p>
        </w:tc>
      </w:tr>
      <w:tr>
        <w:trPr>
          <w:trHeight w:val="223"/>
        </w:trPr>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-4417060</wp:posOffset>
            </wp:positionH>
            <wp:positionV relativeFrom="paragraph">
              <wp:posOffset>-564515</wp:posOffset>
            </wp:positionV>
            <wp:extent cx="7138670" cy="147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8670" cy="147320"/>
                    </a:xfrm>
                    <a:prstGeom prst="rect">
                      <a:avLst/>
                    </a:prstGeom>
                    <a:noFill/>
                  </pic:spPr>
                </pic:pic>
              </a:graphicData>
            </a:graphic>
          </wp:anchor>
        </w:drawing>
        <w:drawing>
          <wp:anchor simplePos="0" relativeHeight="251657728" behindDoc="1" locked="0" layoutInCell="0" allowOverlap="1">
            <wp:simplePos x="0" y="0"/>
            <wp:positionH relativeFrom="column">
              <wp:posOffset>-4417060</wp:posOffset>
            </wp:positionH>
            <wp:positionV relativeFrom="paragraph">
              <wp:posOffset>-278130</wp:posOffset>
            </wp:positionV>
            <wp:extent cx="7138670" cy="1390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40" w:space="720"/>
            <w:col w:w="4280"/>
          </w:cols>
          <w:pgMar w:left="320" w:top="278" w:right="339" w:bottom="1440" w:gutter="0" w:footer="0" w:header="0"/>
          <w:type w:val="continuous"/>
        </w:sectPr>
      </w:pPr>
    </w:p>
    <w:p>
      <w:pPr>
        <w:spacing w:after="0" w:line="28" w:lineRule="exact"/>
        <w:rPr>
          <w:sz w:val="20"/>
          <w:szCs w:val="20"/>
          <w:color w:val="auto"/>
        </w:rPr>
      </w:pPr>
    </w:p>
    <w:p>
      <w:pPr>
        <w:ind w:right="320"/>
        <w:spacing w:after="0" w:line="264" w:lineRule="auto"/>
        <w:rPr>
          <w:sz w:val="20"/>
          <w:szCs w:val="20"/>
          <w:color w:val="auto"/>
        </w:rPr>
      </w:pPr>
      <w:r>
        <w:rPr>
          <w:rFonts w:ascii="Times New Roman" w:cs="Times New Roman" w:eastAsia="Times New Roman" w:hAnsi="Times New Roman"/>
          <w:sz w:val="17"/>
          <w:szCs w:val="17"/>
          <w:color w:val="auto"/>
        </w:rPr>
        <w:t>Unaudited pro forma net income reflects additional intangible asset amortization expense of approximately $0.2 million and $1.1 million for the three months ended March 31, 2026 and 2025, respectively, as well as additional income tax (benefit) expense of approximately $(0.1) million and $0.4 million for the three months ended March 31, 2026 and 2025, respectively, that would have been recorded had the 2026 acquisitions taken place on January 1, 2025 and the 2025 acquisitions taken place on January 1, 2024.</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18 - INCOME PER COMMON SHARE</w:t>
      </w:r>
    </w:p>
    <w:p>
      <w:pPr>
        <w:spacing w:after="0" w:line="169"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7"/>
          <w:szCs w:val="17"/>
          <w:color w:val="auto"/>
        </w:rPr>
        <w:t>Basic net income per common share is calculated by dividing net income by the weighted average shares outstanding during the period, without consideration for common stock equivalents.</w:t>
      </w:r>
    </w:p>
    <w:p>
      <w:pPr>
        <w:spacing w:after="0" w:line="100"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7"/>
          <w:szCs w:val="17"/>
          <w:color w:val="auto"/>
        </w:rPr>
        <w:t>Diluted net income per common share is calculated by adjusting weighted average shares outstanding for the dilutive effect of common stock equivalents outstanding for the period, determined using the treasury stock method. Potential common stock is included in the diluted income per common share calculation when dilutive. The dilutive effect of outstanding restricted stock awards after application of the treasury stock method was approximately 167 thousand and 178 thousand shares for the three months ended March 31, 2026 and 2025, respectively. Approximately two thousand weighted average shares of potential common stock were not included in the calculation of diluted weighted average shares outstanding for the three months ended March 31, 2026 because the effect would have been anti-dilutive. Such shares were not material for the three months ended March 31, 2025.</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19 - SUBSEQUENT EVENTS</w:t>
      </w:r>
    </w:p>
    <w:p>
      <w:pPr>
        <w:spacing w:after="0" w:line="169"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We announced on May 7, 2026 that our board of directors declared a quarterly dividend, payable on June 30, 2026 to stockholders of record on June 15, 2026, at a rate of 39 cents per share.</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40" w:lineRule="exact"/>
        <w:rPr>
          <w:sz w:val="20"/>
          <w:szCs w:val="20"/>
          <w:color w:val="auto"/>
        </w:rPr>
      </w:pPr>
    </w:p>
    <w:p>
      <w:pPr>
        <w:ind w:right="320"/>
        <w:spacing w:after="0" w:line="323" w:lineRule="auto"/>
        <w:rPr>
          <w:sz w:val="20"/>
          <w:szCs w:val="20"/>
          <w:color w:val="auto"/>
        </w:rPr>
      </w:pPr>
      <w:r>
        <w:rPr>
          <w:rFonts w:ascii="Times New Roman" w:cs="Times New Roman" w:eastAsia="Times New Roman" w:hAnsi="Times New Roman"/>
          <w:sz w:val="17"/>
          <w:szCs w:val="17"/>
          <w:i w:val="1"/>
          <w:iCs w:val="1"/>
          <w:color w:val="auto"/>
        </w:rPr>
        <w:t>This Management’s Discussion and Analysis of Financial Condition and Results of Operations should be read in conjunction with our condensed consolidated financial statements and related notes in “Item 1. Financial Statements” of this Quarterly Report on Form 10-Q, as well as our 2025 Form 10-K.</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6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We are one of the nation’s largest insulation installers for the residential new construction market and are also a diversified installer of complementary building products throughout the United States, including waterproofing, fire-stopping and fireproofing, garage doors, rain gutters, window blinds, shower doors, closet shelving, mirrors and other products. We offer our portfolio of services for new and existing single-family and multi-family residential and commercial building projects in all 48 continental states and the District of Columbia from our national network of over 250 branch locations. During the three months ended March 31, 2026, 92% of our net revenue came from the service-based installation of these products across all of our end markets which forms our Installation operating segment and single reportable segment. In addition, we have regional distribution operations that serve the Midwest, Mountain West, Northeast and Mid-Atlantic regions of the United States, and we operate multiple cellulose insulation manufacturing facilities. We believe our business is well positioned to continue to profitably grow over the long-term due to our strong balance sheet, liquidity and our continuing acquisition strategy.</w:t>
      </w:r>
    </w:p>
    <w:p>
      <w:pPr>
        <w:spacing w:after="0" w:line="12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A large portion of our net revenue comes from the U.S. residential new construction market, which depends upon a number of economic factors, including demographic trends, interest rates, inflation, consumer confidence, employment rates, housing inventory levels and affordability, foreclosure rates, the health of the economy and availability of mortgage financing.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2026 First Quarter Highlights</w:t>
      </w:r>
    </w:p>
    <w:p>
      <w:pPr>
        <w:spacing w:after="0" w:line="16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Net revenue decreased 3.5%, or $24.3 million to $660.5 million, while gross profit decreased 5.1% to $212.3 million during the three months ended March 31, 2026 compared to the same period in 2025. The decrease in net revenue was primarily due to a 9.9% decline in Installation segment volume. The decrease in gross profit was primarily driven by higher labor costs, vehicle insurance, depreciation and other indirect costs from shifts in end market and product mix. Certain net revenue and industry metrics we use to monitor our operations are discussed in the "Key Measures of Performance" section below, and further details regarding results of our various end markets are discussed further in the "Net Revenue, Cost of Sales and Gross Profit" section below.</w:t>
      </w:r>
    </w:p>
    <w:p>
      <w:pPr>
        <w:spacing w:after="0" w:line="12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During the three months ended March 31, 2026, we amended and extended our asset-based lending credit agreement which included increasing the commitment on our revolving line of credit to $375.0 million. Additionally, we issued $500.0 million in aggregate principal amount of 5.625% senior unsecured notes due 2034. We used the net proceeds to redeem the outstanding principal and accrued interest on our 5.75% senior unsecured notes previously due 2028, pay fees and expenses relating to the offering and to increase cash reserves for general corporate use, including payments for future acquisitions. As a result of these transactions, we will have no significant debt maturity prior to 2031. For further information about our debt transactions, see Part I, Item 1. Financial Statements, Note 7, Long-Term Debt.</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As of March 31, 2026, we had $474.3 million of cash and cash equivalents and had not drawn on our revolving line of credit. This strong liquidity position allowed us to return capital to shareholders by increasing our regular quarterly dividend 5% over the first quarter of 2025 to $0.39 per share, or $10.5 million in the aggregate. We also increased our annual variable dividend from $1.70 a share paid in the first quarter of 2025 to $1.80 a share, or a 6% increase, during the three months ended March 31, 2026. Additionally, we repurchased $25.4 million of our outstanding common stock during the three months ended March 31, 2026 for a total capital return to shareholders of $84.6 million.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Key Measures of Performance</w:t>
      </w:r>
    </w:p>
    <w:p>
      <w:pPr>
        <w:spacing w:after="0" w:line="16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We utilize certain net revenue and industry metrics to monitor our operations. Key metrics include total sales growth and same branch growth metrics for our consolidated results, our Installation reportable segment and our Other category consisting of our Distribution and Manufacturing operating segments. We also monitor sales growth for our Installation segment by end market and track volume growth and price/mix growth. Furthermore, we now present additional volume and price/mix growth metrics that include the heavy commercial subset of the commercial end market due to the greater impact of that end market on our revenue and results of operations.</w:t>
      </w:r>
    </w:p>
    <w:p>
      <w:pPr>
        <w:spacing w:after="0" w:line="123"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7"/>
          <w:szCs w:val="17"/>
          <w:color w:val="auto"/>
        </w:rPr>
        <w:t>We believe the revenue growth measures are important indicators of how our business is performing, however, we may rely on different metrics in the future. We also utilize gross profit percentage as shown in the following section to monitor our most significant variable costs and to evaluate labor efficiency and success at passing increasing costs of materials to customers.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key measures of performance we utilize to evaluate our results:</w:t>
      </w:r>
    </w:p>
    <w:p>
      <w:pPr>
        <w:spacing w:after="0" w:line="144"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344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5"/>
                <w:szCs w:val="15"/>
                <w:color w:val="auto"/>
              </w:rPr>
              <w:t>Three months ended March 31,</w:t>
            </w:r>
          </w:p>
        </w:tc>
      </w:tr>
      <w:tr>
        <w:trPr>
          <w:trHeight w:val="199"/>
        </w:trPr>
        <w:tc>
          <w:tcPr>
            <w:tcW w:w="18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352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2026</w:t>
            </w: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2025</w:t>
            </w:r>
          </w:p>
        </w:tc>
      </w:tr>
      <w:tr>
        <w:trPr>
          <w:trHeight w:val="169"/>
        </w:trPr>
        <w:tc>
          <w:tcPr>
            <w:tcW w:w="1820" w:type="dxa"/>
            <w:vAlign w:val="bottom"/>
            <w:tcBorders>
              <w:bottom w:val="single" w:sz="8" w:color="auto"/>
            </w:tcBorders>
            <w:shd w:val="clear" w:color="auto" w:fill="CCEEFF"/>
          </w:tcPr>
          <w:p>
            <w:pPr>
              <w:spacing w:after="0" w:line="151" w:lineRule="exact"/>
              <w:rPr>
                <w:sz w:val="20"/>
                <w:szCs w:val="20"/>
                <w:color w:val="auto"/>
              </w:rPr>
            </w:pPr>
            <w:r>
              <w:rPr>
                <w:rFonts w:ascii="Times New Roman" w:cs="Times New Roman" w:eastAsia="Times New Roman" w:hAnsi="Times New Roman"/>
                <w:sz w:val="15"/>
                <w:szCs w:val="15"/>
                <w:b w:val="1"/>
                <w:bCs w:val="1"/>
                <w:color w:val="auto"/>
              </w:rPr>
              <w:t>Period-over-period Growth</w:t>
            </w:r>
          </w:p>
        </w:tc>
        <w:tc>
          <w:tcPr>
            <w:tcW w:w="4920" w:type="dxa"/>
            <w:vAlign w:val="bottom"/>
            <w:tcBorders>
              <w:bottom w:val="single" w:sz="8" w:color="CCEEFF"/>
            </w:tcBorders>
            <w:gridSpan w:val="5"/>
            <w:shd w:val="clear" w:color="auto" w:fill="CCEEFF"/>
          </w:tcPr>
          <w:p>
            <w:pPr>
              <w:spacing w:after="0"/>
              <w:rPr>
                <w:sz w:val="14"/>
                <w:szCs w:val="14"/>
                <w:color w:val="auto"/>
              </w:rPr>
            </w:pPr>
          </w:p>
        </w:tc>
        <w:tc>
          <w:tcPr>
            <w:tcW w:w="1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60" w:type="dxa"/>
            <w:vAlign w:val="bottom"/>
            <w:tcBorders>
              <w:bottom w:val="single" w:sz="8" w:color="CCEEFF"/>
            </w:tcBorders>
            <w:shd w:val="clear" w:color="auto" w:fill="CCEEFF"/>
          </w:tcPr>
          <w:p>
            <w:pPr>
              <w:spacing w:after="0"/>
              <w:rPr>
                <w:sz w:val="14"/>
                <w:szCs w:val="14"/>
                <w:color w:val="auto"/>
              </w:rPr>
            </w:pPr>
          </w:p>
        </w:tc>
      </w:tr>
      <w:tr>
        <w:trPr>
          <w:trHeight w:val="203"/>
        </w:trPr>
        <w:tc>
          <w:tcPr>
            <w:tcW w:w="674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Consolidated Sales Growth</w:t>
            </w:r>
          </w:p>
        </w:tc>
        <w:tc>
          <w:tcPr>
            <w:tcW w:w="1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(3.5)%</w:t>
            </w:r>
          </w:p>
        </w:tc>
        <w:tc>
          <w:tcPr>
            <w:tcW w:w="10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w:t>
            </w:r>
          </w:p>
        </w:tc>
      </w:tr>
      <w:tr>
        <w:trPr>
          <w:trHeight w:val="209"/>
        </w:trPr>
        <w:tc>
          <w:tcPr>
            <w:tcW w:w="6740" w:type="dxa"/>
            <w:vAlign w:val="bottom"/>
            <w:gridSpan w:val="6"/>
            <w:shd w:val="clear" w:color="auto" w:fill="CCEEFF"/>
          </w:tcPr>
          <w:p>
            <w:pPr>
              <w:spacing w:after="0" w:line="209" w:lineRule="exact"/>
              <w:rPr>
                <w:sz w:val="20"/>
                <w:szCs w:val="20"/>
                <w:color w:val="auto"/>
              </w:rPr>
            </w:pPr>
            <w:r>
              <w:rPr>
                <w:rFonts w:ascii="Times New Roman" w:cs="Times New Roman" w:eastAsia="Times New Roman" w:hAnsi="Times New Roman"/>
                <w:sz w:val="15"/>
                <w:szCs w:val="15"/>
                <w:color w:val="auto"/>
              </w:rPr>
              <w:t xml:space="preserve">Consolidated Same Branch Sales Growth </w:t>
            </w:r>
            <w:r>
              <w:rPr>
                <w:rFonts w:ascii="Times New Roman" w:cs="Times New Roman" w:eastAsia="Times New Roman" w:hAnsi="Times New Roman"/>
                <w:sz w:val="20"/>
                <w:szCs w:val="20"/>
                <w:color w:val="auto"/>
                <w:vertAlign w:val="superscript"/>
              </w:rPr>
              <w:t>(1)</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(5.9)%</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(4.2)%</w:t>
            </w:r>
          </w:p>
        </w:tc>
      </w:tr>
      <w:tr>
        <w:trPr>
          <w:trHeight w:val="206"/>
        </w:trPr>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86"/>
        </w:trPr>
        <w:tc>
          <w:tcPr>
            <w:tcW w:w="2300" w:type="dxa"/>
            <w:vAlign w:val="bottom"/>
            <w:tcBorders>
              <w:bottom w:val="single" w:sz="8" w:color="auto"/>
            </w:tcBorders>
            <w:gridSpan w:val="3"/>
            <w:shd w:val="clear" w:color="auto" w:fill="CCEEFF"/>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Installation Segment Sales Growth</w:t>
            </w:r>
          </w:p>
        </w:tc>
        <w:tc>
          <w:tcPr>
            <w:tcW w:w="4440" w:type="dxa"/>
            <w:vAlign w:val="bottom"/>
            <w:tcBorders>
              <w:bottom w:val="single" w:sz="8" w:color="CCEEFF"/>
            </w:tcBorders>
            <w:gridSpan w:val="3"/>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spacing w:after="0"/>
              <w:rPr>
                <w:sz w:val="16"/>
                <w:szCs w:val="16"/>
                <w:color w:val="auto"/>
              </w:rPr>
            </w:pPr>
          </w:p>
        </w:tc>
      </w:tr>
      <w:tr>
        <w:trPr>
          <w:trHeight w:val="206"/>
        </w:trPr>
        <w:tc>
          <w:tcPr>
            <w:tcW w:w="6740" w:type="dxa"/>
            <w:vAlign w:val="bottom"/>
            <w:gridSpan w:val="6"/>
          </w:tcPr>
          <w:p>
            <w:pPr>
              <w:spacing w:after="0" w:line="207" w:lineRule="exact"/>
              <w:rPr>
                <w:sz w:val="20"/>
                <w:szCs w:val="20"/>
                <w:color w:val="auto"/>
              </w:rPr>
            </w:pPr>
            <w:r>
              <w:rPr>
                <w:rFonts w:ascii="Times New Roman" w:cs="Times New Roman" w:eastAsia="Times New Roman" w:hAnsi="Times New Roman"/>
                <w:sz w:val="15"/>
                <w:szCs w:val="15"/>
                <w:color w:val="auto"/>
              </w:rPr>
              <w:t xml:space="preserve">Sales Growth </w:t>
            </w:r>
            <w:r>
              <w:rPr>
                <w:rFonts w:ascii="Times New Roman" w:cs="Times New Roman" w:eastAsia="Times New Roman" w:hAnsi="Times New Roman"/>
                <w:sz w:val="20"/>
                <w:szCs w:val="20"/>
                <w:color w:val="auto"/>
                <w:vertAlign w:val="superscript"/>
              </w:rPr>
              <w:t>(2)</w:t>
            </w:r>
          </w:p>
        </w:tc>
        <w:tc>
          <w:tcPr>
            <w:tcW w:w="1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(5.8)%</w:t>
            </w:r>
          </w:p>
        </w:tc>
        <w:tc>
          <w:tcPr>
            <w:tcW w:w="10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(1.3)%</w:t>
            </w:r>
          </w:p>
        </w:tc>
      </w:tr>
      <w:tr>
        <w:trPr>
          <w:trHeight w:val="206"/>
        </w:trPr>
        <w:tc>
          <w:tcPr>
            <w:tcW w:w="6740" w:type="dxa"/>
            <w:vAlign w:val="bottom"/>
            <w:gridSpan w:val="6"/>
            <w:shd w:val="clear" w:color="auto" w:fill="CCEEFF"/>
          </w:tcPr>
          <w:p>
            <w:pPr>
              <w:spacing w:after="0" w:line="207" w:lineRule="exact"/>
              <w:rPr>
                <w:sz w:val="20"/>
                <w:szCs w:val="20"/>
                <w:color w:val="auto"/>
              </w:rPr>
            </w:pPr>
            <w:r>
              <w:rPr>
                <w:rFonts w:ascii="Times New Roman" w:cs="Times New Roman" w:eastAsia="Times New Roman" w:hAnsi="Times New Roman"/>
                <w:sz w:val="15"/>
                <w:szCs w:val="15"/>
                <w:color w:val="auto"/>
              </w:rPr>
              <w:t xml:space="preserve">Residential Sales Growth </w:t>
            </w:r>
            <w:r>
              <w:rPr>
                <w:rFonts w:ascii="Times New Roman" w:cs="Times New Roman" w:eastAsia="Times New Roman" w:hAnsi="Times New Roman"/>
                <w:sz w:val="20"/>
                <w:szCs w:val="20"/>
                <w:color w:val="auto"/>
                <w:vertAlign w:val="superscript"/>
              </w:rPr>
              <w:t>(3)</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(10.3)%</w:t>
            </w: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(1.7)%</w:t>
            </w:r>
          </w:p>
        </w:tc>
      </w:tr>
      <w:tr>
        <w:trPr>
          <w:trHeight w:val="206"/>
        </w:trPr>
        <w:tc>
          <w:tcPr>
            <w:tcW w:w="6740" w:type="dxa"/>
            <w:vAlign w:val="bottom"/>
            <w:gridSpan w:val="6"/>
          </w:tcPr>
          <w:p>
            <w:pPr>
              <w:ind w:left="200"/>
              <w:spacing w:after="0" w:line="207" w:lineRule="exact"/>
              <w:rPr>
                <w:sz w:val="20"/>
                <w:szCs w:val="20"/>
                <w:color w:val="auto"/>
              </w:rPr>
            </w:pPr>
            <w:r>
              <w:rPr>
                <w:rFonts w:ascii="Times New Roman" w:cs="Times New Roman" w:eastAsia="Times New Roman" w:hAnsi="Times New Roman"/>
                <w:sz w:val="15"/>
                <w:szCs w:val="15"/>
                <w:color w:val="auto"/>
              </w:rPr>
              <w:t xml:space="preserve">Single-Family Sales Growth </w:t>
            </w:r>
            <w:r>
              <w:rPr>
                <w:rFonts w:ascii="Times New Roman" w:cs="Times New Roman" w:eastAsia="Times New Roman" w:hAnsi="Times New Roman"/>
                <w:sz w:val="20"/>
                <w:szCs w:val="20"/>
                <w:color w:val="auto"/>
                <w:vertAlign w:val="superscript"/>
              </w:rPr>
              <w:t>(4)</w:t>
            </w:r>
          </w:p>
        </w:tc>
        <w:tc>
          <w:tcPr>
            <w:tcW w:w="1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(10.1)%</w:t>
            </w:r>
          </w:p>
        </w:tc>
        <w:tc>
          <w:tcPr>
            <w:tcW w:w="10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w:t>
            </w:r>
          </w:p>
        </w:tc>
      </w:tr>
      <w:tr>
        <w:trPr>
          <w:trHeight w:val="206"/>
        </w:trPr>
        <w:tc>
          <w:tcPr>
            <w:tcW w:w="6740" w:type="dxa"/>
            <w:vAlign w:val="bottom"/>
            <w:gridSpan w:val="6"/>
            <w:shd w:val="clear" w:color="auto" w:fill="CCEEFF"/>
          </w:tcPr>
          <w:p>
            <w:pPr>
              <w:ind w:left="200"/>
              <w:spacing w:after="0" w:line="207" w:lineRule="exact"/>
              <w:rPr>
                <w:sz w:val="20"/>
                <w:szCs w:val="20"/>
                <w:color w:val="auto"/>
              </w:rPr>
            </w:pPr>
            <w:r>
              <w:rPr>
                <w:rFonts w:ascii="Times New Roman" w:cs="Times New Roman" w:eastAsia="Times New Roman" w:hAnsi="Times New Roman"/>
                <w:sz w:val="15"/>
                <w:szCs w:val="15"/>
                <w:color w:val="auto"/>
              </w:rPr>
              <w:t xml:space="preserve">Multi-Family Sales Growth </w:t>
            </w:r>
            <w:r>
              <w:rPr>
                <w:rFonts w:ascii="Times New Roman" w:cs="Times New Roman" w:eastAsia="Times New Roman" w:hAnsi="Times New Roman"/>
                <w:sz w:val="20"/>
                <w:szCs w:val="20"/>
                <w:color w:val="auto"/>
                <w:vertAlign w:val="superscript"/>
              </w:rPr>
              <w:t>(5)</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(11.0)%</w:t>
            </w: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(4.2)%</w:t>
            </w:r>
          </w:p>
        </w:tc>
      </w:tr>
      <w:tr>
        <w:trPr>
          <w:trHeight w:val="206"/>
        </w:trPr>
        <w:tc>
          <w:tcPr>
            <w:tcW w:w="6740" w:type="dxa"/>
            <w:vAlign w:val="bottom"/>
            <w:gridSpan w:val="6"/>
          </w:tcPr>
          <w:p>
            <w:pPr>
              <w:spacing w:after="0" w:line="207" w:lineRule="exact"/>
              <w:rPr>
                <w:sz w:val="20"/>
                <w:szCs w:val="20"/>
                <w:color w:val="auto"/>
              </w:rPr>
            </w:pPr>
            <w:r>
              <w:rPr>
                <w:rFonts w:ascii="Times New Roman" w:cs="Times New Roman" w:eastAsia="Times New Roman" w:hAnsi="Times New Roman"/>
                <w:sz w:val="15"/>
                <w:szCs w:val="15"/>
                <w:color w:val="auto"/>
              </w:rPr>
              <w:t xml:space="preserve">Commercial Sales Growth </w:t>
            </w:r>
            <w:r>
              <w:rPr>
                <w:rFonts w:ascii="Times New Roman" w:cs="Times New Roman" w:eastAsia="Times New Roman" w:hAnsi="Times New Roman"/>
                <w:sz w:val="20"/>
                <w:szCs w:val="20"/>
                <w:color w:val="auto"/>
                <w:vertAlign w:val="superscript"/>
              </w:rPr>
              <w:t>(6)</w:t>
            </w:r>
          </w:p>
        </w:tc>
        <w:tc>
          <w:tcPr>
            <w:tcW w:w="1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13.6%</w:t>
            </w:r>
          </w:p>
        </w:tc>
        <w:tc>
          <w:tcPr>
            <w:tcW w:w="10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(2.3)%</w:t>
            </w:r>
          </w:p>
        </w:tc>
      </w:tr>
      <w:tr>
        <w:trPr>
          <w:trHeight w:val="206"/>
        </w:trPr>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177"/>
        </w:trPr>
        <w:tc>
          <w:tcPr>
            <w:tcW w:w="6740" w:type="dxa"/>
            <w:vAlign w:val="bottom"/>
            <w:gridSpan w:val="6"/>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 xml:space="preserve">Installation Segment Same Branch Sales Growth </w:t>
            </w:r>
            <w:r>
              <w:rPr>
                <w:rFonts w:ascii="Times New Roman" w:cs="Times New Roman" w:eastAsia="Times New Roman" w:hAnsi="Times New Roman"/>
                <w:sz w:val="19"/>
                <w:szCs w:val="19"/>
                <w:color w:val="auto"/>
                <w:vertAlign w:val="superscript"/>
              </w:rPr>
              <w:t>(1)</w:t>
            </w: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16"/>
        </w:trPr>
        <w:tc>
          <w:tcPr>
            <w:tcW w:w="3220" w:type="dxa"/>
            <w:vAlign w:val="bottom"/>
            <w:tcBorders>
              <w:top w:val="single" w:sz="8" w:color="auto"/>
            </w:tcBorders>
            <w:gridSpan w:val="5"/>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 xml:space="preserve">Same Branch Sales Growth </w:t>
            </w:r>
            <w:r>
              <w:rPr>
                <w:rFonts w:ascii="Times New Roman" w:cs="Times New Roman" w:eastAsia="Times New Roman" w:hAnsi="Times New Roman"/>
                <w:sz w:val="20"/>
                <w:szCs w:val="20"/>
                <w:color w:val="auto"/>
                <w:vertAlign w:val="superscript"/>
              </w:rPr>
              <w:t>(2)</w:t>
            </w:r>
          </w:p>
        </w:tc>
        <w:tc>
          <w:tcPr>
            <w:tcW w:w="35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(7.0)%</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(3.7)%</w:t>
            </w:r>
          </w:p>
        </w:tc>
      </w:tr>
      <w:tr>
        <w:trPr>
          <w:trHeight w:val="206"/>
        </w:trPr>
        <w:tc>
          <w:tcPr>
            <w:tcW w:w="6740" w:type="dxa"/>
            <w:vAlign w:val="bottom"/>
            <w:gridSpan w:val="6"/>
          </w:tcPr>
          <w:p>
            <w:pPr>
              <w:spacing w:after="0" w:line="207" w:lineRule="exact"/>
              <w:rPr>
                <w:sz w:val="20"/>
                <w:szCs w:val="20"/>
                <w:color w:val="auto"/>
              </w:rPr>
            </w:pPr>
            <w:r>
              <w:rPr>
                <w:rFonts w:ascii="Times New Roman" w:cs="Times New Roman" w:eastAsia="Times New Roman" w:hAnsi="Times New Roman"/>
                <w:sz w:val="15"/>
                <w:szCs w:val="15"/>
                <w:color w:val="auto"/>
              </w:rPr>
              <w:t>Volume, Price/Mix Growth Including Heavy Commercial</w:t>
            </w:r>
            <w:r>
              <w:rPr>
                <w:rFonts w:ascii="Times New Roman" w:cs="Times New Roman" w:eastAsia="Times New Roman" w:hAnsi="Times New Roman"/>
                <w:sz w:val="20"/>
                <w:szCs w:val="20"/>
                <w:color w:val="auto"/>
                <w:vertAlign w:val="superscript"/>
              </w:rPr>
              <w:t>(7)</w:t>
            </w:r>
            <w:r>
              <w:rPr>
                <w:rFonts w:ascii="Times New Roman" w:cs="Times New Roman" w:eastAsia="Times New Roman" w:hAnsi="Times New Roman"/>
                <w:sz w:val="15"/>
                <w:szCs w:val="15"/>
                <w:color w:val="auto"/>
              </w:rPr>
              <w:t>:</w:t>
            </w: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6"/>
        </w:trPr>
        <w:tc>
          <w:tcPr>
            <w:tcW w:w="6740" w:type="dxa"/>
            <w:vAlign w:val="bottom"/>
            <w:gridSpan w:val="6"/>
            <w:shd w:val="clear" w:color="auto" w:fill="CCEEFF"/>
          </w:tcPr>
          <w:p>
            <w:pPr>
              <w:ind w:left="200"/>
              <w:spacing w:after="0" w:line="207" w:lineRule="exact"/>
              <w:rPr>
                <w:sz w:val="20"/>
                <w:szCs w:val="20"/>
                <w:color w:val="auto"/>
              </w:rPr>
            </w:pPr>
            <w:r>
              <w:rPr>
                <w:rFonts w:ascii="Times New Roman" w:cs="Times New Roman" w:eastAsia="Times New Roman" w:hAnsi="Times New Roman"/>
                <w:sz w:val="15"/>
                <w:szCs w:val="15"/>
                <w:color w:val="auto"/>
              </w:rPr>
              <w:t xml:space="preserve">Volume Growth </w:t>
            </w:r>
            <w:r>
              <w:rPr>
                <w:rFonts w:ascii="Times New Roman" w:cs="Times New Roman" w:eastAsia="Times New Roman" w:hAnsi="Times New Roman"/>
                <w:sz w:val="20"/>
                <w:szCs w:val="20"/>
                <w:color w:val="auto"/>
                <w:vertAlign w:val="superscript"/>
              </w:rPr>
              <w:t>(8)(11)</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(9.9)%</w:t>
            </w: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(6.0)%</w:t>
            </w:r>
          </w:p>
        </w:tc>
      </w:tr>
      <w:tr>
        <w:trPr>
          <w:trHeight w:val="206"/>
        </w:trPr>
        <w:tc>
          <w:tcPr>
            <w:tcW w:w="6740" w:type="dxa"/>
            <w:vAlign w:val="bottom"/>
            <w:gridSpan w:val="6"/>
          </w:tcPr>
          <w:p>
            <w:pPr>
              <w:ind w:left="200"/>
              <w:spacing w:after="0" w:line="207" w:lineRule="exact"/>
              <w:rPr>
                <w:sz w:val="20"/>
                <w:szCs w:val="20"/>
                <w:color w:val="auto"/>
              </w:rPr>
            </w:pPr>
            <w:r>
              <w:rPr>
                <w:rFonts w:ascii="Times New Roman" w:cs="Times New Roman" w:eastAsia="Times New Roman" w:hAnsi="Times New Roman"/>
                <w:sz w:val="15"/>
                <w:szCs w:val="15"/>
                <w:color w:val="auto"/>
              </w:rPr>
              <w:t xml:space="preserve">Price/Mix Growth </w:t>
            </w:r>
            <w:r>
              <w:rPr>
                <w:rFonts w:ascii="Times New Roman" w:cs="Times New Roman" w:eastAsia="Times New Roman" w:hAnsi="Times New Roman"/>
                <w:sz w:val="20"/>
                <w:szCs w:val="20"/>
                <w:color w:val="auto"/>
                <w:vertAlign w:val="superscript"/>
              </w:rPr>
              <w:t>(9)(11)</w:t>
            </w:r>
          </w:p>
        </w:tc>
        <w:tc>
          <w:tcPr>
            <w:tcW w:w="1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2.9%</w:t>
            </w:r>
          </w:p>
        </w:tc>
        <w:tc>
          <w:tcPr>
            <w:tcW w:w="10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2.3%</w:t>
            </w:r>
          </w:p>
        </w:tc>
      </w:tr>
      <w:tr>
        <w:trPr>
          <w:trHeight w:val="206"/>
        </w:trPr>
        <w:tc>
          <w:tcPr>
            <w:tcW w:w="6740" w:type="dxa"/>
            <w:vAlign w:val="bottom"/>
            <w:gridSpan w:val="6"/>
            <w:shd w:val="clear" w:color="auto" w:fill="CCEEFF"/>
          </w:tcPr>
          <w:p>
            <w:pPr>
              <w:spacing w:after="0" w:line="207" w:lineRule="exact"/>
              <w:rPr>
                <w:sz w:val="20"/>
                <w:szCs w:val="20"/>
                <w:color w:val="auto"/>
              </w:rPr>
            </w:pPr>
            <w:r>
              <w:rPr>
                <w:rFonts w:ascii="Times New Roman" w:cs="Times New Roman" w:eastAsia="Times New Roman" w:hAnsi="Times New Roman"/>
                <w:sz w:val="15"/>
                <w:szCs w:val="15"/>
                <w:color w:val="auto"/>
              </w:rPr>
              <w:t>Volume, Price/Mix Growth Excluding Heavy Commercial</w:t>
            </w:r>
            <w:r>
              <w:rPr>
                <w:rFonts w:ascii="Times New Roman" w:cs="Times New Roman" w:eastAsia="Times New Roman" w:hAnsi="Times New Roman"/>
                <w:sz w:val="20"/>
                <w:szCs w:val="20"/>
                <w:color w:val="auto"/>
                <w:vertAlign w:val="superscript"/>
              </w:rPr>
              <w:t>(7)</w:t>
            </w:r>
            <w:r>
              <w:rPr>
                <w:rFonts w:ascii="Times New Roman" w:cs="Times New Roman" w:eastAsia="Times New Roman" w:hAnsi="Times New Roman"/>
                <w:sz w:val="15"/>
                <w:szCs w:val="15"/>
                <w:color w:val="auto"/>
              </w:rPr>
              <w:t>:</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06"/>
        </w:trPr>
        <w:tc>
          <w:tcPr>
            <w:tcW w:w="6740" w:type="dxa"/>
            <w:vAlign w:val="bottom"/>
            <w:gridSpan w:val="6"/>
          </w:tcPr>
          <w:p>
            <w:pPr>
              <w:ind w:left="200"/>
              <w:spacing w:after="0" w:line="207" w:lineRule="exact"/>
              <w:rPr>
                <w:sz w:val="20"/>
                <w:szCs w:val="20"/>
                <w:color w:val="auto"/>
              </w:rPr>
            </w:pPr>
            <w:r>
              <w:rPr>
                <w:rFonts w:ascii="Times New Roman" w:cs="Times New Roman" w:eastAsia="Times New Roman" w:hAnsi="Times New Roman"/>
                <w:sz w:val="15"/>
                <w:szCs w:val="15"/>
                <w:color w:val="auto"/>
              </w:rPr>
              <w:t xml:space="preserve">Volume Growth </w:t>
            </w:r>
            <w:r>
              <w:rPr>
                <w:rFonts w:ascii="Times New Roman" w:cs="Times New Roman" w:eastAsia="Times New Roman" w:hAnsi="Times New Roman"/>
                <w:sz w:val="20"/>
                <w:szCs w:val="20"/>
                <w:color w:val="auto"/>
                <w:vertAlign w:val="superscript"/>
              </w:rPr>
              <w:t>(8)(11)</w:t>
            </w:r>
          </w:p>
        </w:tc>
        <w:tc>
          <w:tcPr>
            <w:tcW w:w="1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(10.0)%</w:t>
            </w:r>
          </w:p>
        </w:tc>
        <w:tc>
          <w:tcPr>
            <w:tcW w:w="10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(5.6)%</w:t>
            </w:r>
          </w:p>
        </w:tc>
      </w:tr>
      <w:tr>
        <w:trPr>
          <w:trHeight w:val="206"/>
        </w:trPr>
        <w:tc>
          <w:tcPr>
            <w:tcW w:w="6740" w:type="dxa"/>
            <w:vAlign w:val="bottom"/>
            <w:gridSpan w:val="6"/>
            <w:shd w:val="clear" w:color="auto" w:fill="CCEEFF"/>
          </w:tcPr>
          <w:p>
            <w:pPr>
              <w:ind w:left="200"/>
              <w:spacing w:after="0" w:line="207" w:lineRule="exact"/>
              <w:rPr>
                <w:sz w:val="20"/>
                <w:szCs w:val="20"/>
                <w:color w:val="auto"/>
              </w:rPr>
            </w:pPr>
            <w:r>
              <w:rPr>
                <w:rFonts w:ascii="Times New Roman" w:cs="Times New Roman" w:eastAsia="Times New Roman" w:hAnsi="Times New Roman"/>
                <w:sz w:val="15"/>
                <w:szCs w:val="15"/>
                <w:color w:val="auto"/>
              </w:rPr>
              <w:t xml:space="preserve">Price/Mix Growth </w:t>
            </w:r>
            <w:r>
              <w:rPr>
                <w:rFonts w:ascii="Times New Roman" w:cs="Times New Roman" w:eastAsia="Times New Roman" w:hAnsi="Times New Roman"/>
                <w:sz w:val="20"/>
                <w:szCs w:val="20"/>
                <w:color w:val="auto"/>
                <w:vertAlign w:val="superscript"/>
              </w:rPr>
              <w:t>(9)(11)</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1.5%</w:t>
            </w:r>
          </w:p>
        </w:tc>
      </w:tr>
      <w:tr>
        <w:trPr>
          <w:trHeight w:val="206"/>
        </w:trPr>
        <w:tc>
          <w:tcPr>
            <w:tcW w:w="6740" w:type="dxa"/>
            <w:vAlign w:val="bottom"/>
            <w:gridSpan w:val="6"/>
          </w:tcPr>
          <w:p>
            <w:pPr>
              <w:spacing w:after="0" w:line="207" w:lineRule="exact"/>
              <w:rPr>
                <w:sz w:val="20"/>
                <w:szCs w:val="20"/>
                <w:color w:val="auto"/>
              </w:rPr>
            </w:pPr>
            <w:r>
              <w:rPr>
                <w:rFonts w:ascii="Times New Roman" w:cs="Times New Roman" w:eastAsia="Times New Roman" w:hAnsi="Times New Roman"/>
                <w:sz w:val="15"/>
                <w:szCs w:val="15"/>
                <w:color w:val="auto"/>
              </w:rPr>
              <w:t xml:space="preserve">Residential Same Branch Sales Growth </w:t>
            </w:r>
            <w:r>
              <w:rPr>
                <w:rFonts w:ascii="Times New Roman" w:cs="Times New Roman" w:eastAsia="Times New Roman" w:hAnsi="Times New Roman"/>
                <w:sz w:val="20"/>
                <w:szCs w:val="20"/>
                <w:color w:val="auto"/>
                <w:vertAlign w:val="superscript"/>
              </w:rPr>
              <w:t>(3)</w:t>
            </w:r>
          </w:p>
        </w:tc>
        <w:tc>
          <w:tcPr>
            <w:tcW w:w="16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(11.2)%</w:t>
            </w:r>
          </w:p>
        </w:tc>
        <w:tc>
          <w:tcPr>
            <w:tcW w:w="10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(4.6)%</w:t>
            </w:r>
          </w:p>
        </w:tc>
      </w:tr>
      <w:tr>
        <w:trPr>
          <w:trHeight w:val="206"/>
        </w:trPr>
        <w:tc>
          <w:tcPr>
            <w:tcW w:w="6740" w:type="dxa"/>
            <w:vAlign w:val="bottom"/>
            <w:gridSpan w:val="6"/>
            <w:shd w:val="clear" w:color="auto" w:fill="CCEEFF"/>
          </w:tcPr>
          <w:p>
            <w:pPr>
              <w:ind w:left="200"/>
              <w:spacing w:after="0" w:line="207" w:lineRule="exact"/>
              <w:rPr>
                <w:sz w:val="20"/>
                <w:szCs w:val="20"/>
                <w:color w:val="auto"/>
              </w:rPr>
            </w:pPr>
            <w:r>
              <w:rPr>
                <w:rFonts w:ascii="Times New Roman" w:cs="Times New Roman" w:eastAsia="Times New Roman" w:hAnsi="Times New Roman"/>
                <w:sz w:val="15"/>
                <w:szCs w:val="15"/>
                <w:color w:val="auto"/>
              </w:rPr>
              <w:t xml:space="preserve">Single-Family Same Branch Sales Growth </w:t>
            </w:r>
            <w:r>
              <w:rPr>
                <w:rFonts w:ascii="Times New Roman" w:cs="Times New Roman" w:eastAsia="Times New Roman" w:hAnsi="Times New Roman"/>
                <w:sz w:val="20"/>
                <w:szCs w:val="20"/>
                <w:color w:val="auto"/>
                <w:vertAlign w:val="superscript"/>
              </w:rPr>
              <w:t>(4)</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(11.3)%</w:t>
            </w: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(4.5)%</w:t>
            </w:r>
          </w:p>
        </w:tc>
      </w:tr>
      <w:tr>
        <w:trPr>
          <w:trHeight w:val="206"/>
        </w:trPr>
        <w:tc>
          <w:tcPr>
            <w:tcW w:w="6740" w:type="dxa"/>
            <w:vAlign w:val="bottom"/>
            <w:gridSpan w:val="6"/>
          </w:tcPr>
          <w:p>
            <w:pPr>
              <w:ind w:left="200"/>
              <w:spacing w:after="0" w:line="207" w:lineRule="exact"/>
              <w:rPr>
                <w:sz w:val="20"/>
                <w:szCs w:val="20"/>
                <w:color w:val="auto"/>
              </w:rPr>
            </w:pPr>
            <w:r>
              <w:rPr>
                <w:rFonts w:ascii="Times New Roman" w:cs="Times New Roman" w:eastAsia="Times New Roman" w:hAnsi="Times New Roman"/>
                <w:sz w:val="15"/>
                <w:szCs w:val="15"/>
                <w:color w:val="auto"/>
              </w:rPr>
              <w:t xml:space="preserve">Multi-Family Same Branch Sales Growth </w:t>
            </w:r>
            <w:r>
              <w:rPr>
                <w:rFonts w:ascii="Times New Roman" w:cs="Times New Roman" w:eastAsia="Times New Roman" w:hAnsi="Times New Roman"/>
                <w:sz w:val="20"/>
                <w:szCs w:val="20"/>
                <w:color w:val="auto"/>
                <w:vertAlign w:val="superscript"/>
              </w:rPr>
              <w:t>(5)</w:t>
            </w:r>
          </w:p>
        </w:tc>
        <w:tc>
          <w:tcPr>
            <w:tcW w:w="16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(11.2)%</w:t>
            </w:r>
          </w:p>
        </w:tc>
        <w:tc>
          <w:tcPr>
            <w:tcW w:w="10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(5.0)%</w:t>
            </w:r>
          </w:p>
        </w:tc>
      </w:tr>
      <w:tr>
        <w:trPr>
          <w:trHeight w:val="206"/>
        </w:trPr>
        <w:tc>
          <w:tcPr>
            <w:tcW w:w="6740" w:type="dxa"/>
            <w:vAlign w:val="bottom"/>
            <w:gridSpan w:val="6"/>
            <w:shd w:val="clear" w:color="auto" w:fill="CCEEFF"/>
          </w:tcPr>
          <w:p>
            <w:pPr>
              <w:spacing w:after="0" w:line="207" w:lineRule="exact"/>
              <w:rPr>
                <w:sz w:val="20"/>
                <w:szCs w:val="20"/>
                <w:color w:val="auto"/>
              </w:rPr>
            </w:pPr>
            <w:r>
              <w:rPr>
                <w:rFonts w:ascii="Times New Roman" w:cs="Times New Roman" w:eastAsia="Times New Roman" w:hAnsi="Times New Roman"/>
                <w:sz w:val="15"/>
                <w:szCs w:val="15"/>
                <w:color w:val="auto"/>
              </w:rPr>
              <w:t xml:space="preserve">Commercial Same Branch Sales Growth </w:t>
            </w:r>
            <w:r>
              <w:rPr>
                <w:rFonts w:ascii="Times New Roman" w:cs="Times New Roman" w:eastAsia="Times New Roman" w:hAnsi="Times New Roman"/>
                <w:sz w:val="20"/>
                <w:szCs w:val="20"/>
                <w:color w:val="auto"/>
                <w:vertAlign w:val="superscript"/>
              </w:rPr>
              <w:t>(6)</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10.7%</w:t>
            </w: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(2.8)%</w:t>
            </w:r>
          </w:p>
        </w:tc>
      </w:tr>
      <w:tr>
        <w:trPr>
          <w:trHeight w:val="206"/>
        </w:trPr>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86"/>
        </w:trPr>
        <w:tc>
          <w:tcPr>
            <w:tcW w:w="6740" w:type="dxa"/>
            <w:vAlign w:val="bottom"/>
            <w:gridSpan w:val="6"/>
            <w:shd w:val="clear" w:color="auto" w:fill="CCEEFF"/>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Other Sales Growth (Net of Eliminations)</w:t>
            </w: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r>
      <w:tr>
        <w:trPr>
          <w:trHeight w:val="206"/>
        </w:trPr>
        <w:tc>
          <w:tcPr>
            <w:tcW w:w="2740" w:type="dxa"/>
            <w:vAlign w:val="bottom"/>
            <w:tcBorders>
              <w:top w:val="single" w:sz="8" w:color="auto"/>
            </w:tcBorders>
            <w:gridSpan w:val="4"/>
          </w:tcPr>
          <w:p>
            <w:pPr>
              <w:spacing w:after="0" w:line="207" w:lineRule="exact"/>
              <w:rPr>
                <w:sz w:val="20"/>
                <w:szCs w:val="20"/>
                <w:color w:val="auto"/>
              </w:rPr>
            </w:pPr>
            <w:r>
              <w:rPr>
                <w:rFonts w:ascii="Times New Roman" w:cs="Times New Roman" w:eastAsia="Times New Roman" w:hAnsi="Times New Roman"/>
                <w:sz w:val="15"/>
                <w:szCs w:val="15"/>
                <w:color w:val="auto"/>
              </w:rPr>
              <w:t xml:space="preserve">Sales Growth </w:t>
            </w:r>
            <w:r>
              <w:rPr>
                <w:rFonts w:ascii="Times New Roman" w:cs="Times New Roman" w:eastAsia="Times New Roman" w:hAnsi="Times New Roman"/>
                <w:sz w:val="20"/>
                <w:szCs w:val="20"/>
                <w:color w:val="auto"/>
                <w:vertAlign w:val="superscript"/>
              </w:rPr>
              <w:t>(10)(11)</w:t>
            </w:r>
          </w:p>
        </w:tc>
        <w:tc>
          <w:tcPr>
            <w:tcW w:w="4000" w:type="dxa"/>
            <w:vAlign w:val="bottom"/>
            <w:tcBorders>
              <w:top w:val="single" w:sz="8" w:color="CCEEFF"/>
            </w:tcBorders>
            <w:gridSpan w:val="2"/>
          </w:tcPr>
          <w:p>
            <w:pPr>
              <w:spacing w:after="0"/>
              <w:rPr>
                <w:sz w:val="17"/>
                <w:szCs w:val="17"/>
                <w:color w:val="auto"/>
              </w:rPr>
            </w:pPr>
          </w:p>
        </w:tc>
        <w:tc>
          <w:tcPr>
            <w:tcW w:w="16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rPr>
              <w:t>34.8%</w:t>
            </w:r>
          </w:p>
        </w:tc>
        <w:tc>
          <w:tcPr>
            <w:tcW w:w="100" w:type="dxa"/>
            <w:vAlign w:val="bottom"/>
            <w:tcBorders>
              <w:top w:val="single" w:sz="8" w:color="CCEEFF"/>
            </w:tcBorders>
          </w:tcPr>
          <w:p>
            <w:pPr>
              <w:spacing w:after="0"/>
              <w:rPr>
                <w:sz w:val="17"/>
                <w:szCs w:val="17"/>
                <w:color w:val="auto"/>
              </w:rPr>
            </w:pPr>
          </w:p>
        </w:tc>
        <w:tc>
          <w:tcPr>
            <w:tcW w:w="166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rPr>
              <w:t>1.6%</w:t>
            </w:r>
          </w:p>
        </w:tc>
      </w:tr>
      <w:tr>
        <w:trPr>
          <w:trHeight w:val="206"/>
        </w:trPr>
        <w:tc>
          <w:tcPr>
            <w:tcW w:w="6740" w:type="dxa"/>
            <w:vAlign w:val="bottom"/>
            <w:gridSpan w:val="6"/>
            <w:shd w:val="clear" w:color="auto" w:fill="CCEEFF"/>
          </w:tcPr>
          <w:p>
            <w:pPr>
              <w:spacing w:after="0" w:line="207" w:lineRule="exact"/>
              <w:rPr>
                <w:sz w:val="20"/>
                <w:szCs w:val="20"/>
                <w:color w:val="auto"/>
              </w:rPr>
            </w:pPr>
            <w:r>
              <w:rPr>
                <w:rFonts w:ascii="Times New Roman" w:cs="Times New Roman" w:eastAsia="Times New Roman" w:hAnsi="Times New Roman"/>
                <w:sz w:val="15"/>
                <w:szCs w:val="15"/>
                <w:color w:val="auto"/>
              </w:rPr>
              <w:t xml:space="preserve">Same Branch Sales Growth </w:t>
            </w:r>
            <w:r>
              <w:rPr>
                <w:rFonts w:ascii="Times New Roman" w:cs="Times New Roman" w:eastAsia="Times New Roman" w:hAnsi="Times New Roman"/>
                <w:sz w:val="20"/>
                <w:szCs w:val="20"/>
                <w:color w:val="auto"/>
                <w:vertAlign w:val="superscript"/>
              </w:rPr>
              <w:t>(1)(10)(11)</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13.6%</w:t>
            </w: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(12.7)%</w:t>
            </w:r>
          </w:p>
        </w:tc>
      </w:tr>
      <w:tr>
        <w:trPr>
          <w:trHeight w:val="206"/>
        </w:trPr>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86"/>
        </w:trPr>
        <w:tc>
          <w:tcPr>
            <w:tcW w:w="6740" w:type="dxa"/>
            <w:vAlign w:val="bottom"/>
            <w:gridSpan w:val="6"/>
            <w:shd w:val="clear" w:color="auto" w:fill="CCEEFF"/>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 xml:space="preserve">U.S. Housing Market Growth </w:t>
            </w:r>
            <w:r>
              <w:rPr>
                <w:rFonts w:ascii="Times New Roman" w:cs="Times New Roman" w:eastAsia="Times New Roman" w:hAnsi="Times New Roman"/>
                <w:sz w:val="19"/>
                <w:szCs w:val="19"/>
                <w:b w:val="1"/>
                <w:bCs w:val="1"/>
                <w:color w:val="auto"/>
                <w:vertAlign w:val="superscript"/>
              </w:rPr>
              <w:t>(12)</w:t>
            </w: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r>
      <w:tr>
        <w:trPr>
          <w:trHeight w:val="203"/>
        </w:trPr>
        <w:tc>
          <w:tcPr>
            <w:tcW w:w="19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Total Completions Growth</w:t>
            </w:r>
          </w:p>
        </w:tc>
        <w:tc>
          <w:tcPr>
            <w:tcW w:w="4780" w:type="dxa"/>
            <w:vAlign w:val="bottom"/>
            <w:tcBorders>
              <w:top w:val="single" w:sz="8" w:color="CCEEFF"/>
            </w:tcBorders>
            <w:gridSpan w:val="4"/>
          </w:tcPr>
          <w:p>
            <w:pPr>
              <w:spacing w:after="0"/>
              <w:rPr>
                <w:sz w:val="17"/>
                <w:szCs w:val="17"/>
                <w:color w:val="auto"/>
              </w:rPr>
            </w:pPr>
          </w:p>
        </w:tc>
        <w:tc>
          <w:tcPr>
            <w:tcW w:w="16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rPr>
              <w:t>(13.6)%</w:t>
            </w:r>
          </w:p>
        </w:tc>
        <w:tc>
          <w:tcPr>
            <w:tcW w:w="100" w:type="dxa"/>
            <w:vAlign w:val="bottom"/>
            <w:tcBorders>
              <w:top w:val="single" w:sz="8" w:color="CCEEFF"/>
            </w:tcBorders>
          </w:tcPr>
          <w:p>
            <w:pPr>
              <w:spacing w:after="0"/>
              <w:rPr>
                <w:sz w:val="17"/>
                <w:szCs w:val="17"/>
                <w:color w:val="auto"/>
              </w:rPr>
            </w:pPr>
          </w:p>
        </w:tc>
        <w:tc>
          <w:tcPr>
            <w:tcW w:w="166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rPr>
              <w:t>1.3%</w:t>
            </w:r>
          </w:p>
        </w:tc>
      </w:tr>
      <w:tr>
        <w:trPr>
          <w:trHeight w:val="209"/>
        </w:trPr>
        <w:tc>
          <w:tcPr>
            <w:tcW w:w="674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Single-Family Completions Growth</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(12.3)%</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4.6%</w:t>
            </w:r>
          </w:p>
        </w:tc>
      </w:tr>
      <w:tr>
        <w:trPr>
          <w:trHeight w:val="201"/>
        </w:trPr>
        <w:tc>
          <w:tcPr>
            <w:tcW w:w="6740" w:type="dxa"/>
            <w:vAlign w:val="bottom"/>
            <w:gridSpan w:val="6"/>
          </w:tcPr>
          <w:p>
            <w:pPr>
              <w:ind w:left="200"/>
              <w:spacing w:after="0"/>
              <w:rPr>
                <w:sz w:val="20"/>
                <w:szCs w:val="20"/>
                <w:color w:val="auto"/>
              </w:rPr>
            </w:pPr>
            <w:r>
              <w:rPr>
                <w:rFonts w:ascii="Times New Roman" w:cs="Times New Roman" w:eastAsia="Times New Roman" w:hAnsi="Times New Roman"/>
                <w:sz w:val="15"/>
                <w:szCs w:val="15"/>
                <w:color w:val="auto"/>
              </w:rPr>
              <w:t>Multi-Family Completions Growth</w:t>
            </w:r>
          </w:p>
        </w:tc>
        <w:tc>
          <w:tcPr>
            <w:tcW w:w="1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(16.7)%</w:t>
            </w:r>
          </w:p>
        </w:tc>
        <w:tc>
          <w:tcPr>
            <w:tcW w:w="10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(4.2)%</w:t>
            </w:r>
          </w:p>
        </w:tc>
      </w:tr>
    </w:tbl>
    <w:p>
      <w:pPr>
        <w:spacing w:after="0" w:line="264" w:lineRule="exact"/>
        <w:rPr>
          <w:sz w:val="20"/>
          <w:szCs w:val="20"/>
          <w:color w:val="auto"/>
        </w:rPr>
      </w:pPr>
    </w:p>
    <w:p>
      <w:pPr>
        <w:ind w:left="480" w:hanging="232"/>
        <w:spacing w:after="0"/>
        <w:tabs>
          <w:tab w:leader="none" w:pos="4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Same-branch basis represents period-over-period change in sales for branch locations owned greater than 12 months as of each financial statement date.</w:t>
      </w:r>
    </w:p>
    <w:p>
      <w:pPr>
        <w:spacing w:after="0" w:line="33" w:lineRule="exact"/>
        <w:rPr>
          <w:rFonts w:ascii="Times New Roman" w:cs="Times New Roman" w:eastAsia="Times New Roman" w:hAnsi="Times New Roman"/>
          <w:sz w:val="15"/>
          <w:szCs w:val="15"/>
          <w:color w:val="auto"/>
        </w:rPr>
      </w:pPr>
    </w:p>
    <w:p>
      <w:pPr>
        <w:ind w:left="480" w:hanging="232"/>
        <w:spacing w:after="0"/>
        <w:tabs>
          <w:tab w:leader="none" w:pos="4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Calculated based on period-over-period change in sales of all end markets for our Installation segment.</w:t>
      </w:r>
    </w:p>
    <w:p>
      <w:pPr>
        <w:spacing w:after="0" w:line="33" w:lineRule="exact"/>
        <w:rPr>
          <w:rFonts w:ascii="Times New Roman" w:cs="Times New Roman" w:eastAsia="Times New Roman" w:hAnsi="Times New Roman"/>
          <w:sz w:val="15"/>
          <w:szCs w:val="15"/>
          <w:color w:val="auto"/>
        </w:rPr>
      </w:pPr>
    </w:p>
    <w:p>
      <w:pPr>
        <w:ind w:left="480" w:hanging="232"/>
        <w:spacing w:after="0"/>
        <w:tabs>
          <w:tab w:leader="none" w:pos="4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Calculated based on period-over-period change in sales in the residential new construction end market for our Installation segment.</w:t>
      </w:r>
    </w:p>
    <w:p>
      <w:pPr>
        <w:spacing w:after="0" w:line="33" w:lineRule="exact"/>
        <w:rPr>
          <w:rFonts w:ascii="Times New Roman" w:cs="Times New Roman" w:eastAsia="Times New Roman" w:hAnsi="Times New Roman"/>
          <w:sz w:val="15"/>
          <w:szCs w:val="15"/>
          <w:color w:val="auto"/>
        </w:rPr>
      </w:pPr>
    </w:p>
    <w:p>
      <w:pPr>
        <w:ind w:left="480" w:hanging="232"/>
        <w:spacing w:after="0"/>
        <w:tabs>
          <w:tab w:leader="none" w:pos="4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Calculated based on period-over-period change in sales in the single-family subset of the residential new construction end market for our Installation segment.</w:t>
      </w:r>
    </w:p>
    <w:p>
      <w:pPr>
        <w:spacing w:after="0" w:line="33" w:lineRule="exact"/>
        <w:rPr>
          <w:rFonts w:ascii="Times New Roman" w:cs="Times New Roman" w:eastAsia="Times New Roman" w:hAnsi="Times New Roman"/>
          <w:sz w:val="15"/>
          <w:szCs w:val="15"/>
          <w:color w:val="auto"/>
        </w:rPr>
      </w:pPr>
    </w:p>
    <w:p>
      <w:pPr>
        <w:ind w:left="480" w:hanging="232"/>
        <w:spacing w:after="0"/>
        <w:tabs>
          <w:tab w:leader="none" w:pos="4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Calculated based on period-over-period change in sales in the multi-family subset of the residential new construction end market for our Installation segment.</w:t>
      </w:r>
    </w:p>
    <w:p>
      <w:pPr>
        <w:spacing w:after="0" w:line="33" w:lineRule="exact"/>
        <w:rPr>
          <w:rFonts w:ascii="Times New Roman" w:cs="Times New Roman" w:eastAsia="Times New Roman" w:hAnsi="Times New Roman"/>
          <w:sz w:val="15"/>
          <w:szCs w:val="15"/>
          <w:color w:val="auto"/>
        </w:rPr>
      </w:pPr>
    </w:p>
    <w:p>
      <w:pPr>
        <w:ind w:left="480" w:right="180" w:hanging="232"/>
        <w:spacing w:after="0" w:line="251" w:lineRule="auto"/>
        <w:tabs>
          <w:tab w:leader="none" w:pos="4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Calculated based on period-over-period change in sales in the total commercial end market for our Installation segment. Our commercial end market consists of heavy and light commercial projects.</w:t>
      </w:r>
    </w:p>
    <w:p>
      <w:pPr>
        <w:ind w:left="480" w:right="160" w:hanging="232"/>
        <w:spacing w:after="0" w:line="269" w:lineRule="auto"/>
        <w:tabs>
          <w:tab w:leader="none" w:pos="4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heavy commercial end market, a subset of our total commercial end market, comprises projects that are much larger than our average installation job. As such, per-job revenue is much larger than the average job in all other end markets.</w:t>
      </w:r>
    </w:p>
    <w:p>
      <w:pPr>
        <w:ind w:left="480" w:hanging="232"/>
        <w:spacing w:after="0"/>
        <w:tabs>
          <w:tab w:leader="none" w:pos="4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Calculated as period-over-period change in the number of completed same-branch jobs within our Installation segment for all markets.</w:t>
      </w:r>
    </w:p>
    <w:p>
      <w:pPr>
        <w:spacing w:after="0" w:line="46" w:lineRule="exact"/>
        <w:rPr>
          <w:rFonts w:ascii="Times New Roman" w:cs="Times New Roman" w:eastAsia="Times New Roman" w:hAnsi="Times New Roman"/>
          <w:sz w:val="15"/>
          <w:szCs w:val="15"/>
          <w:color w:val="auto"/>
        </w:rPr>
      </w:pPr>
    </w:p>
    <w:p>
      <w:pPr>
        <w:ind w:left="480" w:right="100" w:hanging="232"/>
        <w:spacing w:after="0" w:line="251" w:lineRule="auto"/>
        <w:tabs>
          <w:tab w:leader="none" w:pos="4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Defined as change in the mix of products sold and related pricing changes and calculated as the change in period-over-period average selling price per same-branch jobs within our Installation segment for all markets we serve, multiplied by total current year jobs. The mix of end customer and product would have an impact on the year-over-year price per job.</w:t>
      </w:r>
    </w:p>
    <w:p>
      <w:pPr>
        <w:ind w:left="480" w:hanging="309"/>
        <w:spacing w:after="0" w:line="278" w:lineRule="auto"/>
        <w:tabs>
          <w:tab w:leader="none" w:pos="4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Calculated based on period-over-period gross sales change, excluding intercompany transactions, in our Other category which consists of our Manufacturing and Distribution operating segments.</w:t>
      </w:r>
    </w:p>
    <w:p>
      <w:pPr>
        <w:ind w:left="480" w:hanging="303"/>
        <w:spacing w:after="0"/>
        <w:tabs>
          <w:tab w:leader="none" w:pos="4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revised this calculation to exclude certain intercompany sales. Percentages in all periods presented conform to this revised method.</w:t>
      </w:r>
    </w:p>
    <w:p>
      <w:pPr>
        <w:spacing w:after="0" w:line="33" w:lineRule="exact"/>
        <w:rPr>
          <w:rFonts w:ascii="Times New Roman" w:cs="Times New Roman" w:eastAsia="Times New Roman" w:hAnsi="Times New Roman"/>
          <w:sz w:val="15"/>
          <w:szCs w:val="15"/>
          <w:color w:val="auto"/>
        </w:rPr>
      </w:pPr>
    </w:p>
    <w:p>
      <w:pPr>
        <w:ind w:left="480" w:hanging="309"/>
        <w:spacing w:after="0"/>
        <w:tabs>
          <w:tab w:leader="none" w:pos="4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 Census Bureau data, as revised.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95"/>
        </w:trPr>
        <w:tc>
          <w:tcPr>
            <w:tcW w:w="6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6040" w:type="dxa"/>
            <w:vAlign w:val="bottom"/>
            <w:gridSpan w:val="3"/>
          </w:tcPr>
          <w:p>
            <w:pPr>
              <w:spacing w:after="0"/>
              <w:rPr>
                <w:sz w:val="20"/>
                <w:szCs w:val="20"/>
                <w:color w:val="auto"/>
              </w:rPr>
            </w:pPr>
            <w:r>
              <w:rPr>
                <w:rFonts w:ascii="Times New Roman" w:cs="Times New Roman" w:eastAsia="Times New Roman" w:hAnsi="Times New Roman"/>
                <w:sz w:val="17"/>
                <w:szCs w:val="17"/>
                <w:i w:val="1"/>
                <w:iCs w:val="1"/>
                <w:color w:val="auto"/>
              </w:rPr>
              <w:t>Net Revenue, Cost of Sales and Gross Profit</w:t>
            </w: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6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 components of gross profit were as follows (in millions):</w:t>
            </w: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center"/>
              <w:ind w:left="34"/>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2026</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Change</w:t>
            </w:r>
          </w:p>
        </w:tc>
        <w:tc>
          <w:tcPr>
            <w:tcW w:w="560" w:type="dxa"/>
            <w:vAlign w:val="bottom"/>
          </w:tcPr>
          <w:p>
            <w:pPr>
              <w:spacing w:after="0"/>
              <w:rPr>
                <w:sz w:val="18"/>
                <w:szCs w:val="18"/>
                <w:color w:val="auto"/>
              </w:rPr>
            </w:pPr>
          </w:p>
        </w:tc>
        <w:tc>
          <w:tcPr>
            <w:tcW w:w="1260" w:type="dxa"/>
            <w:vAlign w:val="bottom"/>
          </w:tcPr>
          <w:p>
            <w:pPr>
              <w:jc w:val="right"/>
              <w:ind w:right="654"/>
              <w:spacing w:after="0"/>
              <w:rPr>
                <w:sz w:val="20"/>
                <w:szCs w:val="20"/>
                <w:color w:val="auto"/>
              </w:rPr>
            </w:pPr>
            <w:r>
              <w:rPr>
                <w:rFonts w:ascii="Times New Roman" w:cs="Times New Roman" w:eastAsia="Times New Roman" w:hAnsi="Times New Roman"/>
                <w:sz w:val="17"/>
                <w:szCs w:val="17"/>
                <w:color w:val="auto"/>
              </w:rPr>
              <w:t>2025</w:t>
            </w: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58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revenue</w:t>
            </w:r>
          </w:p>
        </w:tc>
        <w:tc>
          <w:tcPr>
            <w:tcW w:w="1160" w:type="dxa"/>
            <w:vAlign w:val="bottom"/>
            <w:tcBorders>
              <w:top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660.5</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684.8</w:t>
            </w:r>
          </w:p>
        </w:tc>
        <w:tc>
          <w:tcPr>
            <w:tcW w:w="0" w:type="dxa"/>
            <w:vAlign w:val="bottom"/>
          </w:tcPr>
          <w:p>
            <w:pPr>
              <w:spacing w:after="0"/>
              <w:rPr>
                <w:sz w:val="1"/>
                <w:szCs w:val="1"/>
                <w:color w:val="auto"/>
              </w:rPr>
            </w:pPr>
          </w:p>
        </w:tc>
      </w:tr>
      <w:tr>
        <w:trPr>
          <w:trHeight w:val="219"/>
        </w:trPr>
        <w:tc>
          <w:tcPr>
            <w:tcW w:w="180" w:type="dxa"/>
            <w:vAlign w:val="bottom"/>
          </w:tcPr>
          <w:p>
            <w:pPr>
              <w:spacing w:after="0"/>
              <w:rPr>
                <w:sz w:val="19"/>
                <w:szCs w:val="19"/>
                <w:color w:val="auto"/>
              </w:rPr>
            </w:pPr>
          </w:p>
        </w:tc>
        <w:tc>
          <w:tcPr>
            <w:tcW w:w="58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7"/>
                <w:szCs w:val="17"/>
                <w:color w:val="auto"/>
              </w:rPr>
              <w:t>Cost of sales</w:t>
            </w: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448.2</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461.1</w:t>
            </w: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160" w:type="dxa"/>
            <w:vAlign w:val="bottom"/>
            <w:tcBorders>
              <w:bottom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212.3</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223.7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6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Times New Roman" w:cs="Times New Roman" w:eastAsia="Times New Roman" w:hAnsi="Times New Roman"/>
                <w:sz w:val="17"/>
                <w:szCs w:val="17"/>
                <w:color w:val="auto"/>
              </w:rPr>
              <w:t>Gross profit percentage</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80" w:type="dxa"/>
            <w:vAlign w:val="bottom"/>
          </w:tcPr>
          <w:p>
            <w:pPr>
              <w:spacing w:after="0"/>
              <w:rPr>
                <w:sz w:val="16"/>
                <w:szCs w:val="16"/>
                <w:color w:val="auto"/>
              </w:rPr>
            </w:pPr>
          </w:p>
        </w:tc>
        <w:tc>
          <w:tcPr>
            <w:tcW w:w="5860" w:type="dxa"/>
            <w:vAlign w:val="bottom"/>
            <w:gridSpan w:val="2"/>
            <w:vMerge w:val="continue"/>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32.1 %</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32.7 %</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Net revenue decreased during the three months ended March 31, 2026 over the same period in 2025 primarily due to the decline in residential job volume. Same branch sales from our single-family end market declined 11.3% while same branch sales from our multi-family end market decreased 11.2%, outpacing the 16.7% decline in national multi-family completions. These markets combined for a residential same branch sales decline of 11.2% for the three months ended March 31, 2026 over the same period in 2025. The net revenue decline was partially offset by our commercial end market increasing 10.7% on a same branch basis for the three months ended March 31, 2026 over the same period in 2025. Lastly, sales within our Distribution and Manufacturing businesses increased 34.8% during the three months ended March 31, 2026 which aligns with our strategy to enhance our procurement efforts through vertical integration in select product and end markets.</w:t>
      </w:r>
    </w:p>
    <w:p>
      <w:pPr>
        <w:spacing w:after="0" w:line="12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7"/>
          <w:szCs w:val="17"/>
          <w:color w:val="auto"/>
        </w:rPr>
        <w:t>During the three months ended March 31, 2026, gross profit as a percentage of net revenue decreased as compared to the same period in 2025, primarily due to higher labor costs and other indirect costs from shifts in product and end market mix, increased vehicle costs, including depreciation expense and auto insurance, and increased freight and shipping costs from higher Manufacturing and Distribution activity. The decline in gross profit percentage was partially offset by lower material costs from changes in end market and supplier mix. We will continue to work with our suppliers to lessen the impact on our margins and with our customers to offset further cost increases through selling price adjustments.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1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Operating Expenses</w:t>
            </w:r>
          </w:p>
        </w:tc>
        <w:tc>
          <w:tcPr>
            <w:tcW w:w="1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5"/>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 were as follows (in millions):</w:t>
            </w: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22"/>
        </w:trPr>
        <w:tc>
          <w:tcPr>
            <w:tcW w:w="618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center"/>
              <w:ind w:left="14"/>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1260" w:type="dxa"/>
            <w:vAlign w:val="bottom"/>
            <w:tcBorders>
              <w:bottom w:val="single" w:sz="8" w:color="auto"/>
            </w:tcBorders>
          </w:tcPr>
          <w:p>
            <w:pPr>
              <w:spacing w:after="0"/>
              <w:rPr>
                <w:sz w:val="24"/>
                <w:szCs w:val="24"/>
                <w:color w:val="auto"/>
              </w:rPr>
            </w:pPr>
          </w:p>
        </w:tc>
      </w:tr>
      <w:tr>
        <w:trPr>
          <w:trHeight w:val="212"/>
        </w:trPr>
        <w:tc>
          <w:tcPr>
            <w:tcW w:w="6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2026</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Change</w:t>
            </w:r>
          </w:p>
        </w:tc>
        <w:tc>
          <w:tcPr>
            <w:tcW w:w="560" w:type="dxa"/>
            <w:vAlign w:val="bottom"/>
          </w:tcPr>
          <w:p>
            <w:pPr>
              <w:spacing w:after="0"/>
              <w:rPr>
                <w:sz w:val="18"/>
                <w:szCs w:val="18"/>
                <w:color w:val="auto"/>
              </w:rPr>
            </w:pPr>
          </w:p>
        </w:tc>
        <w:tc>
          <w:tcPr>
            <w:tcW w:w="1260" w:type="dxa"/>
            <w:vAlign w:val="bottom"/>
          </w:tcPr>
          <w:p>
            <w:pPr>
              <w:jc w:val="right"/>
              <w:ind w:right="654"/>
              <w:spacing w:after="0"/>
              <w:rPr>
                <w:sz w:val="20"/>
                <w:szCs w:val="20"/>
                <w:color w:val="auto"/>
              </w:rPr>
            </w:pPr>
            <w:r>
              <w:rPr>
                <w:rFonts w:ascii="Times New Roman" w:cs="Times New Roman" w:eastAsia="Times New Roman" w:hAnsi="Times New Roman"/>
                <w:sz w:val="17"/>
                <w:szCs w:val="17"/>
                <w:color w:val="auto"/>
              </w:rPr>
              <w:t>2025</w:t>
            </w:r>
          </w:p>
        </w:tc>
      </w:tr>
      <w:tr>
        <w:trPr>
          <w:trHeight w:val="212"/>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w:t>
            </w:r>
          </w:p>
        </w:tc>
        <w:tc>
          <w:tcPr>
            <w:tcW w:w="1160" w:type="dxa"/>
            <w:vAlign w:val="bottom"/>
            <w:tcBorders>
              <w:top w:val="single" w:sz="8" w:color="auto"/>
            </w:tcBorders>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34.0</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35.4</w:t>
            </w:r>
          </w:p>
        </w:tc>
      </w:tr>
      <w:tr>
        <w:trPr>
          <w:trHeight w:val="219"/>
        </w:trPr>
        <w:tc>
          <w:tcPr>
            <w:tcW w:w="61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Percentage of total net revenue</w:t>
            </w: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5.1 %</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5.2 %</w:t>
            </w:r>
          </w:p>
        </w:tc>
      </w:tr>
      <w:tr>
        <w:trPr>
          <w:trHeight w:val="21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Administrative</w:t>
            </w:r>
          </w:p>
        </w:tc>
        <w:tc>
          <w:tcPr>
            <w:tcW w:w="116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110.2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108.4</w:t>
            </w:r>
          </w:p>
        </w:tc>
      </w:tr>
      <w:tr>
        <w:trPr>
          <w:trHeight w:val="219"/>
        </w:trPr>
        <w:tc>
          <w:tcPr>
            <w:tcW w:w="61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Percentage of total net revenue</w:t>
            </w: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16.7 %</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15.8 %</w:t>
            </w:r>
          </w:p>
        </w:tc>
      </w:tr>
      <w:tr>
        <w:trPr>
          <w:trHeight w:val="21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w:t>
            </w:r>
          </w:p>
        </w:tc>
        <w:tc>
          <w:tcPr>
            <w:tcW w:w="116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10.1</w:t>
            </w:r>
          </w:p>
        </w:tc>
      </w:tr>
      <w:tr>
        <w:trPr>
          <w:trHeight w:val="223"/>
        </w:trPr>
        <w:tc>
          <w:tcPr>
            <w:tcW w:w="61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Percentage of total net revenue</w:t>
            </w: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1.5 %</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Selling</w:t>
      </w:r>
    </w:p>
    <w:p>
      <w:pPr>
        <w:spacing w:after="0" w:line="165"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The decrease in selling expenses on both a dollar and percentage of net revenue basis for the three months ended March 31, 2026 compared to 2025 was primarily driven by a decrease in selling compensation on lower revenues.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Administrative</w:t>
      </w:r>
    </w:p>
    <w:p>
      <w:pPr>
        <w:spacing w:after="0" w:line="127"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The dollar increase in administrative expenses for the three months ended March 31, 2026 compared to 2025 was primarily due to an increase in medical benefits and liability insurance costs. In addition, facility costs increased due to inflationary pressures and acquisitions. Administrative expenses increased as a percentage of net revenue for the three months ended March 31, 2026 compared to 2025 primarily due to inflationary pressures on insurance costs, partially offset by organizational optimization cost savings and lower transaction fees.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Amortization</w:t>
      </w:r>
    </w:p>
    <w:p>
      <w:pPr>
        <w:spacing w:after="0" w:line="140"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7"/>
          <w:szCs w:val="17"/>
          <w:color w:val="auto"/>
        </w:rPr>
        <w:t>Amortization expense for the three months ended March 31, 2026 compared to 2025 increased primarily due to the acquisition of more finite-lived intangible assets.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95"/>
        </w:trPr>
        <w:tc>
          <w:tcPr>
            <w:tcW w:w="6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
        </w:trPr>
        <w:tc>
          <w:tcPr>
            <w:tcW w:w="1220" w:type="dxa"/>
            <w:vAlign w:val="bottom"/>
            <w:shd w:val="clear" w:color="auto" w:fill="0000FF"/>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960"/>
        </w:trPr>
        <w:tc>
          <w:tcPr>
            <w:tcW w:w="638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Other Expense, Net</w:t>
            </w: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22"/>
        </w:trPr>
        <w:tc>
          <w:tcPr>
            <w:tcW w:w="6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expense, net was as follows (in millions):</w:t>
            </w: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5"/>
        </w:trPr>
        <w:tc>
          <w:tcPr>
            <w:tcW w:w="12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right"/>
              <w:ind w:right="74"/>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1200" w:type="dxa"/>
            <w:vAlign w:val="bottom"/>
            <w:tcBorders>
              <w:bottom w:val="single" w:sz="8" w:color="auto"/>
            </w:tcBorders>
          </w:tcPr>
          <w:p>
            <w:pPr>
              <w:spacing w:after="0"/>
              <w:rPr>
                <w:sz w:val="24"/>
                <w:szCs w:val="24"/>
                <w:color w:val="auto"/>
              </w:rPr>
            </w:pPr>
          </w:p>
        </w:tc>
      </w:tr>
      <w:tr>
        <w:trPr>
          <w:trHeight w:val="212"/>
        </w:trPr>
        <w:tc>
          <w:tcPr>
            <w:tcW w:w="12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2026</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gridSpan w:val="3"/>
          </w:tcPr>
          <w:p>
            <w:pPr>
              <w:jc w:val="right"/>
              <w:ind w:right="874"/>
              <w:spacing w:after="0"/>
              <w:rPr>
                <w:sz w:val="20"/>
                <w:szCs w:val="20"/>
                <w:color w:val="auto"/>
              </w:rPr>
            </w:pPr>
            <w:r>
              <w:rPr>
                <w:rFonts w:ascii="Times New Roman" w:cs="Times New Roman" w:eastAsia="Times New Roman" w:hAnsi="Times New Roman"/>
                <w:sz w:val="17"/>
                <w:szCs w:val="17"/>
                <w:color w:val="auto"/>
              </w:rPr>
              <w:t>Change</w:t>
            </w:r>
          </w:p>
        </w:tc>
        <w:tc>
          <w:tcPr>
            <w:tcW w:w="1200" w:type="dxa"/>
            <w:vAlign w:val="bottom"/>
          </w:tcPr>
          <w:p>
            <w:pPr>
              <w:jc w:val="right"/>
              <w:ind w:right="594"/>
              <w:spacing w:after="0"/>
              <w:rPr>
                <w:sz w:val="20"/>
                <w:szCs w:val="20"/>
                <w:color w:val="auto"/>
              </w:rPr>
            </w:pPr>
            <w:r>
              <w:rPr>
                <w:rFonts w:ascii="Times New Roman" w:cs="Times New Roman" w:eastAsia="Times New Roman" w:hAnsi="Times New Roman"/>
                <w:sz w:val="17"/>
                <w:szCs w:val="17"/>
                <w:color w:val="auto"/>
              </w:rPr>
              <w:t>2025</w:t>
            </w:r>
          </w:p>
        </w:tc>
      </w:tr>
      <w:tr>
        <w:trPr>
          <w:trHeight w:val="212"/>
        </w:trPr>
        <w:tc>
          <w:tcPr>
            <w:tcW w:w="63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1180" w:type="dxa"/>
            <w:vAlign w:val="bottom"/>
            <w:tcBorders>
              <w:top w:val="single" w:sz="8" w:color="auto"/>
            </w:tcBorders>
            <w:shd w:val="clear" w:color="auto" w:fill="CCEEFF"/>
          </w:tcPr>
          <w:p>
            <w:pPr>
              <w:jc w:val="right"/>
              <w:ind w:right="99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24.1 %</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r>
      <w:tr>
        <w:trPr>
          <w:trHeight w:val="219"/>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expense</w:t>
            </w:r>
          </w:p>
        </w:tc>
        <w:tc>
          <w:tcPr>
            <w:tcW w:w="1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Pr>
          <w:p>
            <w:pPr>
              <w:spacing w:after="0"/>
              <w:rPr>
                <w:sz w:val="19"/>
                <w:szCs w:val="19"/>
                <w:color w:val="auto"/>
              </w:rPr>
            </w:pPr>
          </w:p>
        </w:tc>
        <w:tc>
          <w:tcPr>
            <w:tcW w:w="1860" w:type="dxa"/>
            <w:vAlign w:val="bottom"/>
            <w:gridSpan w:val="3"/>
          </w:tcPr>
          <w:p>
            <w:pPr>
              <w:jc w:val="right"/>
              <w:ind w:right="534"/>
              <w:spacing w:after="0"/>
              <w:rPr>
                <w:sz w:val="20"/>
                <w:szCs w:val="20"/>
                <w:color w:val="auto"/>
              </w:rPr>
            </w:pPr>
            <w:r>
              <w:rPr>
                <w:rFonts w:ascii="Times New Roman" w:cs="Times New Roman" w:eastAsia="Times New Roman" w:hAnsi="Times New Roman"/>
                <w:sz w:val="17"/>
                <w:szCs w:val="17"/>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37"/>
        </w:trPr>
        <w:tc>
          <w:tcPr>
            <w:tcW w:w="6380" w:type="dxa"/>
            <w:vAlign w:val="bottom"/>
            <w:tcBorders>
              <w:top w:val="single" w:sz="8" w:color="CCEEFF"/>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other expense, net</w:t>
            </w:r>
          </w:p>
        </w:tc>
        <w:tc>
          <w:tcPr>
            <w:tcW w:w="1180" w:type="dxa"/>
            <w:vAlign w:val="bottom"/>
            <w:tcBorders>
              <w:top w:val="single" w:sz="8" w:color="auto"/>
              <w:bottom w:val="single" w:sz="8" w:color="auto"/>
            </w:tcBorders>
            <w:shd w:val="clear" w:color="auto" w:fill="CCEEFF"/>
          </w:tcPr>
          <w:p>
            <w:pPr>
              <w:jc w:val="right"/>
              <w:ind w:right="99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Interest expense, net increased during the three months ended March 31, 2026 compared to the same period in 2025 primarily due to higher debt levels and write-offs of debt issuance costs resulting from our January 2026 transactions related to the Senior Notes (as defined below), partially offset by increased interest income on money market accounts. See Part I, Item 1. Financial Statements, Note 7, Long-Term Debt, for more information on the January 2026 debt transactions.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 Provision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Income tax provision and effective tax rates were as follows (in millions):</w:t>
      </w:r>
    </w:p>
    <w:p>
      <w:pPr>
        <w:spacing w:after="0" w:line="140"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7"/>
          <w:szCs w:val="17"/>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4725670</wp:posOffset>
            </wp:positionH>
            <wp:positionV relativeFrom="paragraph">
              <wp:posOffset>17145</wp:posOffset>
            </wp:positionV>
            <wp:extent cx="24149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14905" cy="8255"/>
                    </a:xfrm>
                    <a:prstGeom prst="rect">
                      <a:avLst/>
                    </a:prstGeom>
                    <a:noFill/>
                  </pic:spPr>
                </pic:pic>
              </a:graphicData>
            </a:graphic>
          </wp:anchor>
        </w:drawing>
      </w:r>
    </w:p>
    <w:p>
      <w:pPr>
        <w:spacing w:after="0" w:line="17" w:lineRule="exact"/>
        <w:rPr>
          <w:sz w:val="20"/>
          <w:szCs w:val="20"/>
          <w:color w:val="auto"/>
        </w:rPr>
      </w:pPr>
    </w:p>
    <w:p>
      <w:pPr>
        <w:ind w:left="8200"/>
        <w:spacing w:after="0"/>
        <w:tabs>
          <w:tab w:leader="none" w:pos="10120" w:val="left"/>
        </w:tabs>
        <w:rPr>
          <w:sz w:val="20"/>
          <w:szCs w:val="20"/>
          <w:color w:val="auto"/>
        </w:rPr>
      </w:pPr>
      <w:r>
        <w:rPr>
          <w:rFonts w:ascii="Times New Roman" w:cs="Times New Roman" w:eastAsia="Times New Roman" w:hAnsi="Times New Roman"/>
          <w:sz w:val="17"/>
          <w:szCs w:val="17"/>
          <w:color w:val="auto"/>
        </w:rPr>
        <w:t>2026</w:t>
      </w:r>
      <w:r>
        <w:rPr>
          <w:sz w:val="20"/>
          <w:szCs w:val="20"/>
          <w:color w:val="auto"/>
        </w:rPr>
        <w:tab/>
      </w:r>
      <w:r>
        <w:rPr>
          <w:rFonts w:ascii="Times New Roman" w:cs="Times New Roman" w:eastAsia="Times New Roman" w:hAnsi="Times New Roman"/>
          <w:sz w:val="17"/>
          <w:szCs w:val="17"/>
          <w:color w:val="auto"/>
        </w:rPr>
        <w:t>2025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provision</w:t>
            </w:r>
          </w:p>
        </w:tc>
        <w:tc>
          <w:tcPr>
            <w:tcW w:w="720" w:type="dxa"/>
            <w:vAlign w:val="bottom"/>
            <w:tcBorders>
              <w:top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12.3</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15.9</w:t>
            </w:r>
          </w:p>
        </w:tc>
      </w:tr>
      <w:tr>
        <w:trPr>
          <w:trHeight w:val="223"/>
        </w:trPr>
        <w:tc>
          <w:tcPr>
            <w:tcW w:w="7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Effective tax rate</w:t>
            </w:r>
          </w:p>
        </w:tc>
        <w:tc>
          <w:tcPr>
            <w:tcW w:w="720" w:type="dxa"/>
            <w:vAlign w:val="bottom"/>
          </w:tcPr>
          <w:p>
            <w:pPr>
              <w:spacing w:after="0"/>
              <w:rPr>
                <w:sz w:val="19"/>
                <w:szCs w:val="19"/>
                <w:color w:val="auto"/>
              </w:rPr>
            </w:pPr>
          </w:p>
        </w:tc>
        <w:tc>
          <w:tcPr>
            <w:tcW w:w="11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26.1 %</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ind w:left="620"/>
              <w:spacing w:after="0"/>
              <w:rPr>
                <w:sz w:val="20"/>
                <w:szCs w:val="20"/>
                <w:color w:val="auto"/>
              </w:rPr>
            </w:pPr>
            <w:r>
              <w:rPr>
                <w:rFonts w:ascii="Times New Roman" w:cs="Times New Roman" w:eastAsia="Times New Roman" w:hAnsi="Times New Roman"/>
                <w:sz w:val="17"/>
                <w:szCs w:val="17"/>
                <w:color w:val="auto"/>
                <w:w w:val="99"/>
              </w:rPr>
              <w:t>25.9 %</w:t>
            </w:r>
          </w:p>
        </w:tc>
      </w:tr>
    </w:tbl>
    <w:p>
      <w:pPr>
        <w:spacing w:after="0" w:line="212"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7"/>
          <w:szCs w:val="17"/>
          <w:color w:val="auto"/>
        </w:rPr>
        <w:t>The effective tax rates for the three months ended March 31, 2026 and 2025 were based on an estimated annual effective tax rate for federal, state and local tax expense.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Comprehensive Income (Loss), Net of Tax</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comprehensive income (loss), net of tax was as follows (in millions):</w:t>
      </w:r>
    </w:p>
    <w:p>
      <w:pPr>
        <w:spacing w:after="0" w:line="127"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7"/>
          <w:szCs w:val="17"/>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4856480</wp:posOffset>
            </wp:positionH>
            <wp:positionV relativeFrom="paragraph">
              <wp:posOffset>17145</wp:posOffset>
            </wp:positionV>
            <wp:extent cx="22840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84095" cy="8255"/>
                    </a:xfrm>
                    <a:prstGeom prst="rect">
                      <a:avLst/>
                    </a:prstGeom>
                    <a:noFill/>
                  </pic:spPr>
                </pic:pic>
              </a:graphicData>
            </a:graphic>
          </wp:anchor>
        </w:drawing>
      </w:r>
    </w:p>
    <w:p>
      <w:pPr>
        <w:spacing w:after="0" w:line="17" w:lineRule="exact"/>
        <w:rPr>
          <w:sz w:val="20"/>
          <w:szCs w:val="20"/>
          <w:color w:val="auto"/>
        </w:rPr>
      </w:pPr>
    </w:p>
    <w:p>
      <w:pPr>
        <w:ind w:left="8360"/>
        <w:spacing w:after="0"/>
        <w:tabs>
          <w:tab w:leader="none" w:pos="10180" w:val="left"/>
        </w:tabs>
        <w:rPr>
          <w:sz w:val="20"/>
          <w:szCs w:val="20"/>
          <w:color w:val="auto"/>
        </w:rPr>
      </w:pPr>
      <w:r>
        <w:rPr>
          <w:rFonts w:ascii="Times New Roman" w:cs="Times New Roman" w:eastAsia="Times New Roman" w:hAnsi="Times New Roman"/>
          <w:sz w:val="17"/>
          <w:szCs w:val="17"/>
          <w:color w:val="auto"/>
        </w:rPr>
        <w:t>2026</w:t>
      </w:r>
      <w:r>
        <w:rPr>
          <w:sz w:val="20"/>
          <w:szCs w:val="20"/>
          <w:color w:val="auto"/>
        </w:rPr>
        <w:tab/>
      </w:r>
      <w:r>
        <w:rPr>
          <w:rFonts w:ascii="Times New Roman" w:cs="Times New Roman" w:eastAsia="Times New Roman" w:hAnsi="Times New Roman"/>
          <w:sz w:val="17"/>
          <w:szCs w:val="17"/>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47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8" w:lineRule="exact"/>
        <w:rPr>
          <w:sz w:val="20"/>
          <w:szCs w:val="20"/>
          <w:color w:val="auto"/>
        </w:rPr>
      </w:pPr>
    </w:p>
    <w:p>
      <w:pPr>
        <w:ind w:left="20"/>
        <w:spacing w:after="0"/>
        <w:tabs>
          <w:tab w:leader="none" w:pos="7640" w:val="left"/>
          <w:tab w:leader="none" w:pos="9100" w:val="left"/>
          <w:tab w:leader="none" w:pos="9480" w:val="left"/>
          <w:tab w:leader="none" w:pos="10880" w:val="left"/>
        </w:tabs>
        <w:rPr>
          <w:sz w:val="20"/>
          <w:szCs w:val="20"/>
          <w:color w:val="auto"/>
        </w:rPr>
      </w:pPr>
      <w:r>
        <w:rPr>
          <w:rFonts w:ascii="Times New Roman" w:cs="Times New Roman" w:eastAsia="Times New Roman" w:hAnsi="Times New Roman"/>
          <w:sz w:val="17"/>
          <w:szCs w:val="17"/>
          <w:color w:val="auto"/>
        </w:rPr>
        <w:t>Net change on cash flow hedges, net of taxes</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0.3</w:t>
        <w:tab/>
        <w:t>$</w:t>
      </w:r>
      <w:r>
        <w:rPr>
          <w:sz w:val="20"/>
          <w:szCs w:val="20"/>
          <w:color w:val="auto"/>
        </w:rPr>
        <w:tab/>
      </w:r>
      <w:r>
        <w:rPr>
          <w:rFonts w:ascii="Times New Roman" w:cs="Times New Roman" w:eastAsia="Times New Roman" w:hAnsi="Times New Roman"/>
          <w:sz w:val="16"/>
          <w:szCs w:val="16"/>
          <w:color w:val="auto"/>
        </w:rPr>
        <w:t>(5.3)</w:t>
      </w:r>
    </w:p>
    <w:p>
      <w:pPr>
        <w:spacing w:after="0" w:line="265"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During the three months ended March 31, 2026 and 2025, we recorded an unrealized gain of $1.6 million and an unrealized loss of $6.1 million, respectively, net of taxes, on our cash flow hedges due to the changes in the market's expectations for future long-term interest rates.</w:t>
      </w:r>
    </w:p>
    <w:p>
      <w:pPr>
        <w:spacing w:after="0" w:line="100"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During the three months ended March 31, 2026 and 2025, we amortized $1.7 million of our remaining unrealized gains and a net impact of $(1.1) million of our remaining unrealized gains, losses and off-market terms, respectively, on our amended and terminated cash flow hedges to interest expense, not including the offsetting tax effects of $(0.4) million and $0.3 million for the three months ended March 31, 2026 and 2025, respectively.</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FACTORS AFFECTING OUR OPERATING RESULTS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Inflation, Housing Affordability and Mortgage Interest Rates</w:t>
      </w:r>
    </w:p>
    <w:p>
      <w:pPr>
        <w:spacing w:after="0" w:line="16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Inflation has affected the economy as a whole since 2022, but began moderating in 2023 as the Federal Reserve took actions to stabilize inflation by raising the federal funds rate multiple times through July 2023. These rate hikes indirectly affected the 30-year fixed rate mortgage average in the United States, resulting in mortgage rates peaking above 7% in recent years. These rate-driven pressures have curtailed housing demand as mortgage financing affordability has been reduced. Inflation rates in 2026 have remained above the 2% stated target, and the Iranian conflict in the Middle East has significantly raised oil prices which could push inflation higher and cause the Federal Reserve to continue to pause rate cuts or institute new rate hikes. While a more accommodating Federal Reserve monetary policy does not directly determine mortgage rates, any easing of the federal funds rate would likely contribute to a downward trend in mortgage rates. We expect to continue to be impacted by the current elevated rates in 2026 but anticipate pressures to lessen over time if mortgage rates are further reduced.</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In addition, housing affordability is impacted by international trade as certain housing inputs such as lumber are more reliant on imports than domestic production. While we purchase the large majority of the products we install and sell domestically, our business could be impacted if overall home affordability is further reduced by higher material prices due to increased tariffs.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Trends in the Construction Industry</w:t>
      </w:r>
    </w:p>
    <w:p>
      <w:pPr>
        <w:spacing w:after="0" w:line="16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Elevated home prices, high mortgage rates, recent economic uncertainty and rising new home inventory were the primary contributors to the decline in demand of new homes in the first quarter of 2026. Activity slowed in the residential homebuilding market as non-seasonally adjusted single-family starts, our largest end market, decreased 5.5% according to the U.S. Census during the three months ended March 31, 2026 compared to the same period in 2025. Employment remains stable and continues to support demand for residential new construction activity despite the affordability concerns and recent economic uncertainty. As a result, while we expect cyclicality to continue in the housing industry, we believe the long-term opportunities in our residential and commercial end markets are favorable. Our largest customers are publicly traded homebuilders, and these builders have been able to increase affordability by offering mortgage rate buydowns as incentives to their customers. Regarding the repair and remodel markets, many existing homeowners are locked into low interest mortgages and an aging housing stock exists in many areas of the United States, bolstering demand in this end market.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and Availability of Materials</w:t>
      </w:r>
    </w:p>
    <w:p>
      <w:pPr>
        <w:spacing w:after="0" w:line="16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We typically purchase the materials we use in our business directly from manufacturers. The largest fiberglass manufacturers have cut production capacity during past business cycles which has caused periods of industry-wide supply allocations. While we are not currently experiencing material supply shortages, we could incur such shortages in the remainder of 2026 and beyond if these manufacturers reduce production this year. We also experience price increases from our suppliers from time to time, and we may have more difficulty raising selling prices to offset any material price increases in 2026 if housing demand slows. We could be subject to increased material pricing on some of the complementary building products we install and sell due to tariffs imposed on goods imported from certain foreign nations. The extent of these increases will depend on a variety of factors including the magnitude of each tariff, the extent our vendors pass on the tariffs they incur, and the number of countries subject to tariffs in the future. Additionally, we may be subject to increased shipping and freight costs on inventory if the recent spike in oil prices continues and those costs are passed onto us from our suppliers. Increased market pricing, regardless of the catalyst, has and could continue to impact our results of operations in 2026, to the extent that price increases cannot be passed on to our customers. We will continue to work with our customers to adjust selling prices to offset higher costs as they occur.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Labor</w:t>
      </w:r>
    </w:p>
    <w:p>
      <w:pPr>
        <w:spacing w:after="0" w:line="16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Our business is labor intensive and the majority of our employees work as installers on local construction sites. We anticipate a slower hiring pace in 2026, but still expect to spend more to hire, train and retain installers to support our business as tight labor availability continues within the construction industry. Our workers’ compensation costs also continue to rise as we increase our coverage for additional personnel.</w:t>
      </w:r>
    </w:p>
    <w:p>
      <w:pPr>
        <w:spacing w:after="0" w:line="11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Our employee retention rates remained better than industry averages in the three months ended March 31, 2026. We believe this is a result of our strong culture and the various programs meant to benefit our employees, including our financial wellness plan, emotional well-being coaching, longevity stock compensation plan and comprehensive benefit packages we offer. We also provide assistance from the Installed Building Products Foundation meant to benefit our employees, their families and their communities. While improved retention drives lower costs to recruit and train new employees, resulting in greater installer productivity, these improvements are somewhat offset by the additional costs of these incentives.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69" w:lineRule="exact"/>
        <w:rPr>
          <w:sz w:val="20"/>
          <w:szCs w:val="20"/>
          <w:color w:val="auto"/>
        </w:rPr>
      </w:pPr>
    </w:p>
    <w:p>
      <w:pPr>
        <w:jc w:val="both"/>
        <w:ind w:right="200"/>
        <w:spacing w:after="0" w:line="264" w:lineRule="auto"/>
        <w:rPr>
          <w:sz w:val="20"/>
          <w:szCs w:val="20"/>
          <w:color w:val="auto"/>
        </w:rPr>
      </w:pPr>
      <w:r>
        <w:rPr>
          <w:rFonts w:ascii="Times New Roman" w:cs="Times New Roman" w:eastAsia="Times New Roman" w:hAnsi="Times New Roman"/>
          <w:sz w:val="17"/>
          <w:szCs w:val="17"/>
          <w:color w:val="auto"/>
        </w:rPr>
        <w:t>Our capital resources primarily consist of cash from operations and borrowings under our various debt agreements and capital equipment leases and loans. As of March 31, 2026, we had cash and cash equivalents of $474.3 million as well as access to $375.0 million under our asset-based lending credit facility (as defined below), less $3.9 million of outstanding letters of credit, resulting in total liquidity of $845.4 million. Liquidity may also be limited in the future by certain cash collateral limitations under our asset-based credit facility (as defined below), depending on the status of our borrowing base availability.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Short-Term Material Cash Requirements</w:t>
      </w:r>
    </w:p>
    <w:p>
      <w:pPr>
        <w:spacing w:after="0" w:line="169"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Our primary capital requirements are to fund working capital needs, operating expenses, acquisitions and capital expenditures, to meet debt and leasing principal and interest obligations and to make required income tax payments. We may also use our resources to fund our optional stock repurchase program and pay quarterly and annual dividends. We expect to spend cash and</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right="120"/>
        <w:spacing w:after="0" w:line="287" w:lineRule="auto"/>
        <w:rPr>
          <w:sz w:val="20"/>
          <w:szCs w:val="20"/>
          <w:color w:val="auto"/>
        </w:rPr>
      </w:pPr>
      <w:r>
        <w:rPr>
          <w:rFonts w:ascii="Times New Roman" w:cs="Times New Roman" w:eastAsia="Times New Roman" w:hAnsi="Times New Roman"/>
          <w:sz w:val="17"/>
          <w:szCs w:val="17"/>
          <w:color w:val="auto"/>
        </w:rPr>
        <w:t>cash equivalents to acquire various companies with at least $100.0 million in aggregate net revenue each fiscal year. The amount of cash paid for an acquisition is dependent on various factors, including the size and determined value of the business being acquired.</w:t>
      </w:r>
    </w:p>
    <w:p>
      <w:pPr>
        <w:spacing w:after="0" w:line="100"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7"/>
          <w:szCs w:val="17"/>
          <w:color w:val="auto"/>
        </w:rPr>
        <w:t>We expect to meet our short-term liquidity requirements primarily through net cash flows from operations, our cash and cash equivalents on hand and borrowings from various lenders under equipment and loan agreements. Additional sources of funds, should we need them, include borrowing capacity under our asset-based lending credit facility (as defined below).</w:t>
      </w:r>
    </w:p>
    <w:p>
      <w:pPr>
        <w:spacing w:after="0" w:line="11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We believe that our cash flows from operations, combined with our current cash levels and available borrowing capacity, will be adequate to support our ongoing operations and to fund our business needs, commitments and contractual obligations for at least the next 12 months as evidenced by our net positive cash flows from operations for the three months ended March 31, 2026. We believe that we have access to additional funds, if needed, through the capital markets to obtain further debt financing under the current market conditions, but we cannot guarantee that such financing will be available on favorable terms, or at all. In the short-term, we expect the seasonal trends we typically experience to return, including higher sales in the spring, summer and fall than in the winter. This could affect the timing of cash collections and payments during the rest of 2026.</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Long-Term Material Cash Requirements</w:t>
      </w:r>
    </w:p>
    <w:p>
      <w:pPr>
        <w:spacing w:after="0" w:line="16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Beyond the next twelve months, our principal demands for funds will be to fund working capital needs and operating expenses, to meet principal and interest obligations on our long-term debts and finance leases as they become due or mature, and to make required income tax payments. Additional funds may be spent on acquisitions, stock repurchases, capital improvements and dividend payments, at our discretion.</w:t>
      </w:r>
    </w:p>
    <w:p>
      <w:pPr>
        <w:spacing w:after="0" w:line="114"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On a long-term basis, we may refinance existing debt or obtain further debt financing to the extent that our sources of capital are insufficient to meet our operating needs and/or growth strategy.</w:t>
      </w:r>
    </w:p>
    <w:p>
      <w:pPr>
        <w:spacing w:after="0" w:line="1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In "Management's Discussion and Analysis of Financial Condition and Results of Operations" included in our 2025 Form 10-K, we disclosed that we had $1.1 billion aggregate long-term material cash requirements as of December 31, 2025. Our long-term commitments have since changed materially due to the issuance of $500.0 million in aggregate principal amount of 5.625% senior unsecured notes due 2034 and using a portion of the proceeds to redeem in full the outstanding principal and interest on our $300.0 million senior unsecured notes due 2028. This transaction reduced the principal payments included in the 2028 known obligations by $300.0 million and increased the thereafter known obligations by $500.0 million. The increased principal and extended maturity of the 2034 Senior Notes (as defined below) will also increase the amount of interest we will be required to pay in 2026 and beyond. There were no other material changes to our cash requirements during the period covered by this Quarterly Report on Form 10-Q outside of the normal course of our business. For further information about our debt transactions, see Part I, Item 1. Financial Statements, Note 7, Long-Term Debt.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Sources and Uses of Cash and Related Trends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Working Capital</w:t>
      </w:r>
    </w:p>
    <w:p>
      <w:pPr>
        <w:spacing w:after="0" w:line="16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We carefully manage our working capital and operating expenses. As of March 31, 2026 and December 31, 2025, our working capital including cash and cash equivalents was $820.3 million and $698.4 million, respectively. The increase in 2026 was primarily driven by the increase in cash due to the net borrowings of our 2034 Senior Notes (as defined below). The increase was partially offset by accounts receivable decreasing $17.7 million on lower job volume and other current assets decreasing $9.9 million, the majority of which was a result of the amortization of prepaid expenses including insurance. We continue to look for opportunities to reduce our working capital as a percentage of net revenue.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95"/>
        </w:trPr>
        <w:tc>
          <w:tcPr>
            <w:tcW w:w="76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1220" w:type="dxa"/>
            <w:vAlign w:val="bottom"/>
            <w:shd w:val="clear" w:color="auto" w:fill="0000FF"/>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909"/>
        </w:trPr>
        <w:tc>
          <w:tcPr>
            <w:tcW w:w="7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following table summarizes our cash flow activity (in millions):</w:t>
            </w: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35"/>
        </w:trPr>
        <w:tc>
          <w:tcPr>
            <w:tcW w:w="12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302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560" w:type="dxa"/>
            <w:vAlign w:val="bottom"/>
            <w:tcBorders>
              <w:bottom w:val="single" w:sz="8" w:color="auto"/>
            </w:tcBorders>
          </w:tcPr>
          <w:p>
            <w:pPr>
              <w:spacing w:after="0"/>
              <w:rPr>
                <w:sz w:val="24"/>
                <w:szCs w:val="24"/>
                <w:color w:val="auto"/>
              </w:rPr>
            </w:pPr>
          </w:p>
        </w:tc>
      </w:tr>
      <w:tr>
        <w:trPr>
          <w:trHeight w:val="212"/>
        </w:trPr>
        <w:tc>
          <w:tcPr>
            <w:tcW w:w="1220" w:type="dxa"/>
            <w:vAlign w:val="bottom"/>
            <w:tcBorders>
              <w:bottom w:val="single" w:sz="8" w:color="CCEEFF"/>
            </w:tcBorders>
          </w:tcPr>
          <w:p>
            <w:pPr>
              <w:spacing w:after="0"/>
              <w:rPr>
                <w:sz w:val="18"/>
                <w:szCs w:val="18"/>
                <w:color w:val="auto"/>
              </w:rPr>
            </w:pPr>
          </w:p>
        </w:tc>
        <w:tc>
          <w:tcPr>
            <w:tcW w:w="644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7"/>
                <w:szCs w:val="17"/>
                <w:color w:val="auto"/>
              </w:rPr>
              <w:t>2026</w:t>
            </w: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2025</w:t>
            </w:r>
          </w:p>
        </w:tc>
        <w:tc>
          <w:tcPr>
            <w:tcW w:w="560" w:type="dxa"/>
            <w:vAlign w:val="bottom"/>
            <w:tcBorders>
              <w:bottom w:val="single" w:sz="8" w:color="auto"/>
            </w:tcBorders>
          </w:tcPr>
          <w:p>
            <w:pPr>
              <w:spacing w:after="0"/>
              <w:rPr>
                <w:sz w:val="18"/>
                <w:szCs w:val="18"/>
                <w:color w:val="auto"/>
              </w:rPr>
            </w:pPr>
          </w:p>
        </w:tc>
      </w:tr>
      <w:tr>
        <w:trPr>
          <w:trHeight w:val="212"/>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180" w:type="dxa"/>
            <w:vAlign w:val="bottom"/>
            <w:shd w:val="clear" w:color="auto" w:fill="CCEEFF"/>
          </w:tcPr>
          <w:p>
            <w:pPr>
              <w:jc w:val="right"/>
              <w:ind w:right="994"/>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center"/>
              <w:ind w:left="54"/>
              <w:spacing w:after="0"/>
              <w:rPr>
                <w:sz w:val="20"/>
                <w:szCs w:val="20"/>
                <w:color w:val="auto"/>
              </w:rPr>
            </w:pPr>
            <w:r>
              <w:rPr>
                <w:rFonts w:ascii="Times New Roman" w:cs="Times New Roman" w:eastAsia="Times New Roman" w:hAnsi="Times New Roman"/>
                <w:sz w:val="17"/>
                <w:szCs w:val="17"/>
                <w:color w:val="auto"/>
              </w:rPr>
              <w:t>92.1</w:t>
            </w:r>
          </w:p>
        </w:tc>
      </w:tr>
      <w:tr>
        <w:trPr>
          <w:trHeight w:val="219"/>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rPr>
              <w:t>(26.1)</w:t>
            </w:r>
          </w:p>
        </w:tc>
      </w:tr>
      <w:tr>
        <w:trPr>
          <w:trHeight w:val="219"/>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6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rPr>
              <w:t>(94.9)</w:t>
            </w: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Operating Activities</w:t>
      </w:r>
    </w:p>
    <w:p>
      <w:pPr>
        <w:spacing w:after="0" w:line="169"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Our primary source of cash provided by operations is revenues generated from installing or selling building products and the resulting operating income generated by these revenues. Operating income is adjusted for certain non-cash items, and our cash flows from operations can be impacted by the timing of our cash collections on sales and collection of retainage amounts.</w:t>
      </w:r>
    </w:p>
    <w:p>
      <w:pPr>
        <w:spacing w:after="0" w:line="114" w:lineRule="exact"/>
        <w:rPr>
          <w:sz w:val="20"/>
          <w:szCs w:val="20"/>
          <w:color w:val="auto"/>
        </w:rPr>
      </w:pPr>
    </w:p>
    <w:p>
      <w:pPr>
        <w:ind w:right="760"/>
        <w:spacing w:after="0" w:line="287" w:lineRule="auto"/>
        <w:rPr>
          <w:sz w:val="20"/>
          <w:szCs w:val="20"/>
          <w:color w:val="auto"/>
        </w:rPr>
      </w:pPr>
      <w:r>
        <w:rPr>
          <w:rFonts w:ascii="Times New Roman" w:cs="Times New Roman" w:eastAsia="Times New Roman" w:hAnsi="Times New Roman"/>
          <w:sz w:val="17"/>
          <w:szCs w:val="17"/>
          <w:color w:val="auto"/>
        </w:rPr>
        <w:t>Our primary uses of cash from operating activities include payments for inventory, compensation costs, leases, income taxes and other general corporate expenditures included in net income.</w:t>
      </w:r>
    </w:p>
    <w:p>
      <w:pPr>
        <w:spacing w:after="0" w:line="100"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7"/>
          <w:szCs w:val="17"/>
          <w:color w:val="auto"/>
        </w:rPr>
        <w:t>Net cash provided by operating activities increased from 2025 to 2026 primarily due to higher non-cash adjustments, a decrease in other current assets and lower accounts receivable due to lower job volume partially offset by a decrease in accrued compensation and an increase in other non-current assets.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Investing Activities</w:t>
      </w:r>
    </w:p>
    <w:p>
      <w:pPr>
        <w:spacing w:after="0" w:line="169"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Sources of cash from investing activities consist primarily of proceeds from the sales of property and equipment and, periodically, maturities from short term investments. Cash used in investing activities consists primarily of purchases of property and equipment, payments for acquisitions and, periodically, purchases of short term investments.</w:t>
      </w:r>
    </w:p>
    <w:p>
      <w:pPr>
        <w:spacing w:after="0" w:line="114"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7"/>
          <w:szCs w:val="17"/>
          <w:color w:val="auto"/>
        </w:rPr>
        <w:t>Net cash used in investing activities increased from 2025 to 2026 primarily due to increased spending on acquisitions of businesses in 2026 compared to 2025, partially offset by fewer purchases of property and equipment during the three months ended March 31, 2026.</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Financing Activities</w:t>
      </w:r>
    </w:p>
    <w:p>
      <w:pPr>
        <w:spacing w:after="0" w:line="169"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7"/>
          <w:szCs w:val="17"/>
          <w:color w:val="auto"/>
        </w:rPr>
        <w:t>Our sources of cash from financing activities consist of proceeds from the issuances of vehicle and equipment notes payable and, periodically, other sources of debt financing. Cash used in financing activities consists primarily of debt repayments, acquisition-related obligations, dividends and stock repurchases.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cash provided by (used in) financing activities increased from 2025 to 2026 primarily due to the net proceeds on the 2034 Senior Notes (as defined below).</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increases were partially offset by less proceeds from vehicle and equipment notes during the three months ended March 31, 2026. See Part I, Item 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Financial Statements, Note 7, Long-Term Debt, for more information on the senior notes.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Debt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5.625% Senior Notes due 2034</w:t>
      </w:r>
    </w:p>
    <w:p>
      <w:pPr>
        <w:spacing w:after="0" w:line="16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In January 2026, we issued $500.0 million in aggregate principal amount of 5.625% senior unsecured notes (the "2034 Senior Notes"). The 2034 Senior Notes will mature on February 1, 2034 and interest will accrue at a rate of 5.625% per annum from the date of original issuance and be payable semi-annually in cash in arrears on February 1 and August 1 of each year, commencing on August 1, 2026. The net proceeds from the 2034 Senior Notes offering were approximately $492.4 million after deducting fees and offering expenses. We used approximately $308.2 million of the net proceeds to redeem the outstanding principal and accrued interest on our 5.75% senior unsecured notes due 2028 (the "2028 Senior Notes" and, together with the 2034 Senior Notes, the “Senior Notes”). The remaining net proceeds will be used for general corporate purposes.</w:t>
      </w:r>
    </w:p>
    <w:p>
      <w:pPr>
        <w:spacing w:after="0" w:line="12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The indenture covering the 2034 Senior Notes contains restrictive covenants that, among other things, limit the ability of the Company and certain of our subsidiaries (subject to certain exceptions) to: (i) pay dividends on, redeem or repurchase stock; (ii) prepay subordinated debt; (iii) apply net proceeds from certain asset sales; (iv) engage in transactions with affiliates; (v) merge, consolidate or sell substantially all of its assets; and (vi) pay dividends and make other distributions from subsidiaries.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Credit Facilities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Term Loan Facility</w:t>
      </w:r>
    </w:p>
    <w:p>
      <w:pPr>
        <w:spacing w:after="0" w:line="16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We have a term loan credit agreement with Royal Bank of Canada as the administrative agent and collateral agent thereunder (the “Term Loan Agreement”), dated as of December 14, 2021 (as amended by the First Amendment thereto dated April 28, 2023, by the Second Amendment thereto dated August 14, 2023, by the Third Amendment thereto dated March 28, 2024, and by the Fourth Amendment thereto dated November 26, 2024). The Third Amendment allowed for the issuance of a new term loan (the "Term Loan") in the amount of $500.0 million which will mature on March 28, 2031. Net proceeds of the Term Loan were used to refinance the remaining principal on our previous term loan, pay fees and increase working capital. The Term Loan bears interest, at our option, at a rate equal to either: the adjusted Term SOFR plus 1.75% per annum, or an alternative base rate plus 0.75%.</w:t>
      </w:r>
    </w:p>
    <w:p>
      <w:pPr>
        <w:spacing w:after="0" w:line="122"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7"/>
          <w:szCs w:val="17"/>
          <w:color w:val="auto"/>
        </w:rPr>
        <w:t>The Term Loan amortizes in quarterly principal payments of $1.25 million, with any remaining unpaid balances due on the maturity date of March 28, 2031. As of March 31, 2026, we had $487.0 million, net of unamortized debt issuance costs, due on our Term Loan.</w:t>
      </w:r>
    </w:p>
    <w:p>
      <w:pPr>
        <w:spacing w:after="0" w:line="10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Subject to certain exceptions, the Term Loan will be subject to mandatory prepayments of (i) 100% of the net cash proceeds from issuances or incurrence of debt by the Company or any of its restricted subsidiaries (other than with respect to certain permitted indebtedness (excluding any refinancing indebtedness); (ii) 100% (with step-downs to 50% and 0% based on achievement of specified net leverage ratios) of the net cash proceeds from certain sales or dispositions of assets by the Company or any of its restricted subsidiaries in excess of a certain amount and subject to reinvestment provision and certain other exception; and (iii) 50% (with step-downs to 25% and 0% based upon achievement of specified net leverage ratios) of excess cash flow of the Company and its restricted subsidiaries in excess of $15.0 million, subject to certain exceptions and limitations.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Asset-based Lending Credit Agreement</w:t>
      </w:r>
    </w:p>
    <w:p>
      <w:pPr>
        <w:spacing w:after="0" w:line="165"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In January 2026, we amended and extended the term of our asset-based lending credit agreement (the "ABL Credit Agreement"). The ABL Credit Agreement transaction increased the commitment under the asset-based lending credit facility (the "ABL Revolver") from $250.0 million to $375.0 million and extended the maturity date to January 21, 2031. Terms include a springing maturity 91 days ahead of the maturity date of any material indebtedness.</w:t>
      </w:r>
    </w:p>
    <w:p>
      <w:pPr>
        <w:spacing w:after="0" w:line="114"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The ABL Revolver now bears interest at either the Secured Overnight Financing Rates ("Term SOFR") or the base rate, at our election, plus a margin of 1.00% or 1.25% per annum in the case of Term SOFR advances or 0.00% or 0.25% per annum in the case of base rate loans (in each case based on a measure of availability under the ABL Credit Agreement). The ABL Credit Agreement contains a financial covenant requiring the satisfaction of a minimum of fixed charge coverage ratio of 1.0x in the event that we do not meet a minimum measure of availability under the ABL Revolver.</w:t>
      </w:r>
    </w:p>
    <w:p>
      <w:pPr>
        <w:spacing w:after="0" w:line="120"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The ABL Revolver also provides incremental revolving credit facility commitments of up to $105.0 million. The ABL Revolver also allows for the issuance of letters of credit of up to $100.0 million in aggregate and borrowing of swingline loans of up to $50.0 million in aggregate. Including outstanding letters of credit, our remaining availability under the ABL Revolver as of March 31, 2026 was $371.1 million.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March 31, 2026, we were in compliance with all applicable covenants under the Term Loan Agreement, ABL Credit Agreement and the 2034 Senior Notes.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Derivative Instruments</w:t>
      </w:r>
    </w:p>
    <w:p>
      <w:pPr>
        <w:spacing w:after="0" w:line="169" w:lineRule="exact"/>
        <w:rPr>
          <w:sz w:val="20"/>
          <w:szCs w:val="20"/>
          <w:color w:val="auto"/>
        </w:rPr>
      </w:pPr>
    </w:p>
    <w:p>
      <w:pPr>
        <w:jc w:val="both"/>
        <w:ind w:right="120"/>
        <w:spacing w:after="0" w:line="264" w:lineRule="auto"/>
        <w:rPr>
          <w:sz w:val="20"/>
          <w:szCs w:val="20"/>
          <w:color w:val="auto"/>
        </w:rPr>
      </w:pPr>
      <w:r>
        <w:rPr>
          <w:rFonts w:ascii="Times New Roman" w:cs="Times New Roman" w:eastAsia="Times New Roman" w:hAnsi="Times New Roman"/>
          <w:sz w:val="17"/>
          <w:szCs w:val="17"/>
          <w:color w:val="auto"/>
        </w:rPr>
        <w:t>As of March 31, 2026, we had two active interest rate swaps with maturity dates of December 14, 2028. When combined, these interest rate swaps serve to hedge $400.0 million of the variable cash flows on our Term Loan through December 14, 2028. For further information about our interest rate swaps, see Part I, Item 1. Financial Statements, Note 11, Derivatives and Hedging Activities. The assets associated with the interest rate swaps are included in current assets and other non-current assets on the Consolidated Balance Sheets at their fair value amounts as described in Note 9, Fair Value Measurements.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Vehicle and Equipment Notes</w:t>
      </w:r>
    </w:p>
    <w:p>
      <w:pPr>
        <w:spacing w:after="0" w:line="169"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We are party to a Master Loan and Security Agreement (“Master Loan and Security Agreement”), a Master Equipment Lease Agreement (“Master Equipment Agreement”) and one or more Master Loan Agreements (“Master Loan Agreements” and together with the Master Loan and Security Agreement and Master Equipment Agreement, the “Master Loan and Equipment Agreements”) with various lenders to provide financing for the purpose of purchasing or leasing vehicles and equipment used in</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7"/>
          <w:szCs w:val="17"/>
          <w:color w:val="auto"/>
        </w:rPr>
        <w:t>the normal course of business. Vehicles and equipment purchased or leased under each financing arrangement serve as collateral for the note applicable to such financing arrangement. Regular payments are due under each note for a period of typically 60 consecutive months after the incurrence of the obligation.</w:t>
      </w:r>
    </w:p>
    <w:p>
      <w:pPr>
        <w:spacing w:after="0" w:line="100"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Total outstanding loan balances relating to our Master Loan and Equipment Agreements were $90.2 million as of March 31, 2026 and $98.5 million as of December 31, 2025. Depreciation of assets held under these agreements is included within cost of sales on the Condensed Consolidated Statements of Operations and Comprehensive Income included herein.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Letters of Credit and Bonds</w:t>
      </w:r>
    </w:p>
    <w:p>
      <w:pPr>
        <w:spacing w:after="0" w:line="169" w:lineRule="exact"/>
        <w:rPr>
          <w:sz w:val="20"/>
          <w:szCs w:val="20"/>
          <w:color w:val="auto"/>
        </w:rPr>
      </w:pPr>
    </w:p>
    <w:p>
      <w:pPr>
        <w:jc w:val="both"/>
        <w:ind w:right="320"/>
        <w:spacing w:after="0" w:line="264" w:lineRule="auto"/>
        <w:rPr>
          <w:sz w:val="20"/>
          <w:szCs w:val="20"/>
          <w:color w:val="auto"/>
        </w:rPr>
      </w:pPr>
      <w:r>
        <w:rPr>
          <w:rFonts w:ascii="Times New Roman" w:cs="Times New Roman" w:eastAsia="Times New Roman" w:hAnsi="Times New Roman"/>
          <w:sz w:val="17"/>
          <w:szCs w:val="17"/>
          <w:color w:val="auto"/>
        </w:rPr>
        <w:t>We may use performance bonds to ensure completion of our work on certain larger customer contracts that can span multiple accounting periods. Performance bonds are generally released as the contractual performance is completed. In addition, we occasionally use letters of credit and cash to secure our performance under our general liability, workers’ compensation and auto insurance programs. Permit and license bonds are typically issued for one year and are required by certain states and municipalities when we obtain licenses and permits to perform work in their jurisdictions.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following table summarizes our outstanding bonds, letters of credit and cash-collateral (in millions):</w:t>
            </w:r>
          </w:p>
        </w:tc>
        <w:tc>
          <w:tcPr>
            <w:tcW w:w="28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335"/>
        </w:trPr>
        <w:tc>
          <w:tcPr>
            <w:tcW w:w="20" w:type="dxa"/>
            <w:vAlign w:val="bottom"/>
          </w:tcPr>
          <w:p>
            <w:pPr>
              <w:spacing w:after="0"/>
              <w:rPr>
                <w:sz w:val="24"/>
                <w:szCs w:val="24"/>
                <w:color w:val="auto"/>
              </w:rPr>
            </w:pPr>
          </w:p>
        </w:tc>
        <w:tc>
          <w:tcPr>
            <w:tcW w:w="88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rPr>
              <w:t>As of March 31, 2026</w:t>
            </w:r>
          </w:p>
        </w:tc>
      </w:tr>
      <w:tr>
        <w:trPr>
          <w:trHeight w:val="212"/>
        </w:trPr>
        <w:tc>
          <w:tcPr>
            <w:tcW w:w="20" w:type="dxa"/>
            <w:vAlign w:val="bottom"/>
          </w:tcPr>
          <w:p>
            <w:pPr>
              <w:spacing w:after="0"/>
              <w:rPr>
                <w:sz w:val="18"/>
                <w:szCs w:val="18"/>
                <w:color w:val="auto"/>
              </w:rPr>
            </w:pPr>
          </w:p>
        </w:tc>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Performance bonds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187.6</w:t>
            </w:r>
          </w:p>
        </w:tc>
      </w:tr>
      <w:tr>
        <w:trPr>
          <w:trHeight w:val="219"/>
        </w:trPr>
        <w:tc>
          <w:tcPr>
            <w:tcW w:w="20" w:type="dxa"/>
            <w:vAlign w:val="bottom"/>
          </w:tcPr>
          <w:p>
            <w:pPr>
              <w:spacing w:after="0"/>
              <w:rPr>
                <w:sz w:val="19"/>
                <w:szCs w:val="19"/>
                <w:color w:val="auto"/>
              </w:rPr>
            </w:pPr>
          </w:p>
        </w:tc>
        <w:tc>
          <w:tcPr>
            <w:tcW w:w="8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Insurance letters of credit and cash collateral</w:t>
            </w:r>
          </w:p>
        </w:tc>
        <w:tc>
          <w:tcPr>
            <w:tcW w:w="28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w:t>
            </w:r>
          </w:p>
        </w:tc>
      </w:tr>
      <w:tr>
        <w:trPr>
          <w:trHeight w:val="219"/>
        </w:trPr>
        <w:tc>
          <w:tcPr>
            <w:tcW w:w="20" w:type="dxa"/>
            <w:vAlign w:val="bottom"/>
          </w:tcPr>
          <w:p>
            <w:pPr>
              <w:spacing w:after="0"/>
              <w:rPr>
                <w:sz w:val="19"/>
                <w:szCs w:val="19"/>
                <w:color w:val="auto"/>
              </w:rPr>
            </w:pPr>
          </w:p>
        </w:tc>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Permit and license bonds</w:t>
            </w:r>
          </w:p>
        </w:tc>
        <w:tc>
          <w:tcPr>
            <w:tcW w:w="28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r>
      <w:tr>
        <w:trPr>
          <w:trHeight w:val="212"/>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bonds and letters of credit</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272.1</w:t>
            </w: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$65.3 million included in our insurance letters of credit in the above table that are unsecured and therefore do not reduce total liquidity.</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6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Management’s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estimates and assumptions that affect the reported amounts of assets, liabilities, revenues and expenses and related disclosure of contingent assets and liabilities. Certain accounting policies involve judgments and uncertainties to such an extent that there is a reasonable likelihood that materially different amounts could have been reported using different assumptions or under different conditions. We evaluate our estimates and assumptions on a regular basis. We base our estimates on historical experience and various other assumptions that are believed to be reasonable under the circumstances, the results of which form the basis for making judgments about the carrying values of our assets and liabilities that are not readily apparent from other sources. Actual results may differ from these estimates and assumptions used in preparation of our consolidated financial statements. There have been no significant changes to our critical accounting policies and estimates during the three months ended March 31, 2026 from those disclosed in the “Management’s Discussion and Analysis of Financial Condition and Results of Operations” section of our 2025 Form 10-K.</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69"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7"/>
          <w:szCs w:val="17"/>
          <w:color w:val="auto"/>
        </w:rPr>
        <w:t>For a description of recently issued and/or adopted accounting pronouncements, see Note 2, Significant Accounting Policies, to our audited consolidated financial statements included in our 2025 Form 10-K.</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0"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the federal securities laws, including with respect to the housing market and the commercial market, our operations, economic and industry conditions, our financial and business model, payment of dividends, the demand for our services and product offerings, trends in the commercial business, expansion of our national footprint and diversification, our ability to grow and strengthen our market position, our ability to pursue and integrate value-enhancing acquisitions, our ability to improve sales and profitability, our efforts to navigate the material pricing environment, our ability to increase selling prices, our material and labor costs, supply chain and material constraints, impacts of inflation and interest rate trends, our hiring practices and expectations for demand for our services and our earnings in 2026. Forward-looking statements may generally be identified by the use of words such as “anticipate,” “believe,” “estimate,” “project,” “predict,” “possible,” “forecast,” “may,” “could,” “would,” “should,” “expect,” “intends,” “plan,” and “will” or, in each case, their negative, or other variations or comparable terminology. These forward-looking statements include all matters that are not historical facts. By their nature, forward-looking statements involve risks and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uncertainties because they relate to events and depend on circumstances that may or may not occur in the future. Any forward-looking statements that we make herein and in any future reports and statements are not guarantees of future performance, and actual results may differ materially from those expressed in or suggested by such forward-looking statements as a result of various factors, including, without limitation the general economic and industry conditions; increases in mortgage interest rates and rising home prices; inflation and interest rates; the material price and supply environment; increased tariffs; uncertainty regarding the federal government’s changes in fiscal, trade, monetary or regulatory policy; geopolitical conflicts, including the conflict in Iran; the timing of increases in our selling prices; the risk that the Company may reduce, suspend or eliminate dividend payments in the future; and the factors discussed in the “Risk Factors” section of our 2025 Form 10-K, as the same may be updated from time to time in our subsequent filings with the SEC. In addition, any future declaration of dividends will be subject to the final determination of our Board of Directors. Any forward-looking statement made by the Company in this report speaks only as of the date hereof. New risks and uncertainties arise from time to time and it is impossible for the Company to predict these events or how they may affect it. The Company has no obligation, and does not intend, to update any forward-looking statements after the date hereof, except as required by federal securities laws.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6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We are exposed to market risks related to fluctuations in interest rates on our outstanding variable rate debt. As of March 31, 2026, we had $490.0 million outstanding on our Term Loan, gross of unamortized debt issuance costs, no outstanding borrowings on our ABL Revolver and no outstanding borrowings under finance leases subject to variable interest rates. As of March 31, 2026, we had two active interest rate swaps which, when combined, serve to hedge $400.0 million of the variable cash flows on our Term Loan through December 14, 2028. As a result, total variable rate debt of $90.0 million was exposed to market risks as of March 31, 2026. A hypothetical one percentage point increase (decrease) in interest rates on our variable rate debt would increase (decrease) our annual interest expense by approximately $0.9 million. The 2034 Senior Notes accrue interest at a fixed rate of 5.625%.</w:t>
      </w:r>
    </w:p>
    <w:p>
      <w:pPr>
        <w:spacing w:after="0" w:line="122"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7"/>
          <w:szCs w:val="17"/>
          <w:color w:val="auto"/>
        </w:rPr>
        <w:t>For variable rate debt, interest rate changes generally do not affect the fair value of the debt instrument, but do impact future earnings and cash flows, assuming other factors are held constant. We have not entered into and currently do not hold derivatives for trading or speculative purposes.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69"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7"/>
          <w:szCs w:val="17"/>
          <w:color w:val="auto"/>
        </w:rPr>
        <w:t>We have evaluated the effectiveness of our disclosure controls and procedures as of the end of the period covered by this report with the participation of our Chief Executive Officer (“CEO”) and Chief Financial Officer (“CFO”) as required by Exchange Act Rules 13a-15(e) and 15d-15(e). Based on that evaluation, our CEO and CFO concluded that our disclosure controls and procedures were effective as of March 31, 2026.</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69"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during the three months ended March 31, 2026 that materially affected, or are reasonably likely to materially affect, our internal control over financial reporting.</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69"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See Part I, Item 1. Financial Statements, Note 16, Commitments and Contingencies – Other Commitments and Contingencies, for information about existing legal proceedings.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the date of this report, there have been no material changes from the risk factors disclosed in our 2025 Form 10-K.</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169"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The following table shows the stock repurchase activity, including shares surrendered by employees in connection with the vesting of restricted stock awards, for the three months ended March 31, 2026:</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00" w:type="dxa"/>
            <w:vAlign w:val="bottom"/>
          </w:tcPr>
          <w:p>
            <w:pPr>
              <w:spacing w:after="0"/>
              <w:rPr>
                <w:sz w:val="17"/>
                <w:szCs w:val="17"/>
                <w:color w:val="auto"/>
              </w:rPr>
            </w:pPr>
          </w:p>
        </w:tc>
        <w:tc>
          <w:tcPr>
            <w:tcW w:w="1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auto"/>
              </w:rPr>
              <w:t>Total Number</w:t>
            </w:r>
          </w:p>
        </w:tc>
        <w:tc>
          <w:tcPr>
            <w:tcW w:w="320" w:type="dxa"/>
            <w:vAlign w:val="bottom"/>
          </w:tcPr>
          <w:p>
            <w:pPr>
              <w:spacing w:after="0"/>
              <w:rPr>
                <w:sz w:val="17"/>
                <w:szCs w:val="17"/>
                <w:color w:val="auto"/>
              </w:rPr>
            </w:pPr>
          </w:p>
        </w:tc>
        <w:tc>
          <w:tcPr>
            <w:tcW w:w="15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7"/>
                <w:szCs w:val="17"/>
                <w:color w:val="auto"/>
                <w:w w:val="97"/>
              </w:rPr>
              <w:t>Average</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Total Number of</w:t>
            </w:r>
          </w:p>
        </w:tc>
        <w:tc>
          <w:tcPr>
            <w:tcW w:w="140" w:type="dxa"/>
            <w:vAlign w:val="bottom"/>
          </w:tcPr>
          <w:p>
            <w:pPr>
              <w:spacing w:after="0"/>
              <w:rPr>
                <w:sz w:val="17"/>
                <w:szCs w:val="17"/>
                <w:color w:val="auto"/>
              </w:rPr>
            </w:pPr>
          </w:p>
        </w:tc>
        <w:tc>
          <w:tcPr>
            <w:tcW w:w="240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Approximate Dollar</w:t>
            </w:r>
          </w:p>
        </w:tc>
        <w:tc>
          <w:tcPr>
            <w:tcW w:w="0" w:type="dxa"/>
            <w:vAlign w:val="bottom"/>
          </w:tcPr>
          <w:p>
            <w:pPr>
              <w:spacing w:after="0"/>
              <w:rPr>
                <w:sz w:val="1"/>
                <w:szCs w:val="1"/>
                <w:color w:val="auto"/>
              </w:rPr>
            </w:pPr>
          </w:p>
        </w:tc>
      </w:tr>
      <w:tr>
        <w:trPr>
          <w:trHeight w:val="168"/>
        </w:trPr>
        <w:tc>
          <w:tcPr>
            <w:tcW w:w="310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880" w:type="dxa"/>
            <w:vAlign w:val="bottom"/>
            <w:gridSpan w:val="2"/>
          </w:tcPr>
          <w:p>
            <w:pPr>
              <w:jc w:val="center"/>
              <w:ind w:right="120"/>
              <w:spacing w:after="0" w:line="167" w:lineRule="exact"/>
              <w:rPr>
                <w:sz w:val="20"/>
                <w:szCs w:val="20"/>
                <w:color w:val="auto"/>
              </w:rPr>
            </w:pPr>
            <w:r>
              <w:rPr>
                <w:rFonts w:ascii="Times New Roman" w:cs="Times New Roman" w:eastAsia="Times New Roman" w:hAnsi="Times New Roman"/>
                <w:sz w:val="17"/>
                <w:szCs w:val="17"/>
                <w:color w:val="auto"/>
              </w:rPr>
              <w:t>Shares Purchased as Part</w:t>
            </w:r>
          </w:p>
        </w:tc>
        <w:tc>
          <w:tcPr>
            <w:tcW w:w="140" w:type="dxa"/>
            <w:vAlign w:val="bottom"/>
          </w:tcPr>
          <w:p>
            <w:pPr>
              <w:spacing w:after="0"/>
              <w:rPr>
                <w:sz w:val="14"/>
                <w:szCs w:val="14"/>
                <w:color w:val="auto"/>
              </w:rPr>
            </w:pPr>
          </w:p>
        </w:tc>
        <w:tc>
          <w:tcPr>
            <w:tcW w:w="2400" w:type="dxa"/>
            <w:vAlign w:val="bottom"/>
          </w:tcPr>
          <w:p>
            <w:pPr>
              <w:jc w:val="center"/>
              <w:ind w:right="34"/>
              <w:spacing w:after="0" w:line="167" w:lineRule="exact"/>
              <w:rPr>
                <w:sz w:val="20"/>
                <w:szCs w:val="20"/>
                <w:color w:val="auto"/>
              </w:rPr>
            </w:pPr>
            <w:r>
              <w:rPr>
                <w:rFonts w:ascii="Times New Roman" w:cs="Times New Roman" w:eastAsia="Times New Roman" w:hAnsi="Times New Roman"/>
                <w:sz w:val="17"/>
                <w:szCs w:val="17"/>
                <w:color w:val="auto"/>
                <w:w w:val="99"/>
              </w:rPr>
              <w:t>Value of Shares that May Yet Be</w:t>
            </w:r>
          </w:p>
        </w:tc>
        <w:tc>
          <w:tcPr>
            <w:tcW w:w="0" w:type="dxa"/>
            <w:vAlign w:val="bottom"/>
          </w:tcPr>
          <w:p>
            <w:pPr>
              <w:spacing w:after="0"/>
              <w:rPr>
                <w:sz w:val="1"/>
                <w:szCs w:val="1"/>
                <w:color w:val="auto"/>
              </w:rPr>
            </w:pPr>
          </w:p>
        </w:tc>
      </w:tr>
      <w:tr>
        <w:trPr>
          <w:trHeight w:val="168"/>
        </w:trPr>
        <w:tc>
          <w:tcPr>
            <w:tcW w:w="3100" w:type="dxa"/>
            <w:vAlign w:val="bottom"/>
          </w:tcPr>
          <w:p>
            <w:pPr>
              <w:spacing w:after="0"/>
              <w:rPr>
                <w:sz w:val="14"/>
                <w:szCs w:val="14"/>
                <w:color w:val="auto"/>
              </w:rPr>
            </w:pPr>
          </w:p>
        </w:tc>
        <w:tc>
          <w:tcPr>
            <w:tcW w:w="1860" w:type="dxa"/>
            <w:vAlign w:val="bottom"/>
            <w:gridSpan w:val="2"/>
          </w:tcPr>
          <w:p>
            <w:pPr>
              <w:jc w:val="center"/>
              <w:ind w:right="100"/>
              <w:spacing w:after="0" w:line="167" w:lineRule="exact"/>
              <w:rPr>
                <w:sz w:val="20"/>
                <w:szCs w:val="20"/>
                <w:color w:val="auto"/>
              </w:rPr>
            </w:pPr>
            <w:r>
              <w:rPr>
                <w:rFonts w:ascii="Times New Roman" w:cs="Times New Roman" w:eastAsia="Times New Roman" w:hAnsi="Times New Roman"/>
                <w:sz w:val="17"/>
                <w:szCs w:val="17"/>
                <w:color w:val="auto"/>
              </w:rPr>
              <w:t>of Shares</w:t>
            </w:r>
          </w:p>
        </w:tc>
        <w:tc>
          <w:tcPr>
            <w:tcW w:w="320" w:type="dxa"/>
            <w:vAlign w:val="bottom"/>
          </w:tcPr>
          <w:p>
            <w:pPr>
              <w:spacing w:after="0"/>
              <w:rPr>
                <w:sz w:val="14"/>
                <w:szCs w:val="14"/>
                <w:color w:val="auto"/>
              </w:rPr>
            </w:pPr>
          </w:p>
        </w:tc>
        <w:tc>
          <w:tcPr>
            <w:tcW w:w="1540" w:type="dxa"/>
            <w:vAlign w:val="bottom"/>
            <w:gridSpan w:val="2"/>
          </w:tcPr>
          <w:p>
            <w:pPr>
              <w:jc w:val="center"/>
              <w:ind w:right="440"/>
              <w:spacing w:after="0" w:line="167" w:lineRule="exact"/>
              <w:rPr>
                <w:sz w:val="20"/>
                <w:szCs w:val="20"/>
                <w:color w:val="auto"/>
              </w:rPr>
            </w:pPr>
            <w:r>
              <w:rPr>
                <w:rFonts w:ascii="Times New Roman" w:cs="Times New Roman" w:eastAsia="Times New Roman" w:hAnsi="Times New Roman"/>
                <w:sz w:val="17"/>
                <w:szCs w:val="17"/>
                <w:color w:val="auto"/>
              </w:rPr>
              <w:t>Price Paid</w:t>
            </w:r>
          </w:p>
        </w:tc>
        <w:tc>
          <w:tcPr>
            <w:tcW w:w="1880" w:type="dxa"/>
            <w:vAlign w:val="bottom"/>
            <w:gridSpan w:val="2"/>
          </w:tcPr>
          <w:p>
            <w:pPr>
              <w:jc w:val="center"/>
              <w:ind w:right="120"/>
              <w:spacing w:after="0" w:line="167" w:lineRule="exact"/>
              <w:rPr>
                <w:sz w:val="20"/>
                <w:szCs w:val="20"/>
                <w:color w:val="auto"/>
              </w:rPr>
            </w:pPr>
            <w:r>
              <w:rPr>
                <w:rFonts w:ascii="Times New Roman" w:cs="Times New Roman" w:eastAsia="Times New Roman" w:hAnsi="Times New Roman"/>
                <w:sz w:val="17"/>
                <w:szCs w:val="17"/>
                <w:color w:val="auto"/>
              </w:rPr>
              <w:t>of Publicly Announced</w:t>
            </w:r>
          </w:p>
        </w:tc>
        <w:tc>
          <w:tcPr>
            <w:tcW w:w="140" w:type="dxa"/>
            <w:vAlign w:val="bottom"/>
          </w:tcPr>
          <w:p>
            <w:pPr>
              <w:spacing w:after="0"/>
              <w:rPr>
                <w:sz w:val="14"/>
                <w:szCs w:val="14"/>
                <w:color w:val="auto"/>
              </w:rPr>
            </w:pPr>
          </w:p>
        </w:tc>
        <w:tc>
          <w:tcPr>
            <w:tcW w:w="2400" w:type="dxa"/>
            <w:vAlign w:val="bottom"/>
          </w:tcPr>
          <w:p>
            <w:pPr>
              <w:jc w:val="center"/>
              <w:ind w:right="34"/>
              <w:spacing w:after="0" w:line="167" w:lineRule="exact"/>
              <w:rPr>
                <w:sz w:val="20"/>
                <w:szCs w:val="20"/>
                <w:color w:val="auto"/>
              </w:rPr>
            </w:pPr>
            <w:r>
              <w:rPr>
                <w:rFonts w:ascii="Times New Roman" w:cs="Times New Roman" w:eastAsia="Times New Roman" w:hAnsi="Times New Roman"/>
                <w:sz w:val="17"/>
                <w:szCs w:val="17"/>
                <w:color w:val="auto"/>
              </w:rPr>
              <w:t>Purchased under the</w:t>
            </w:r>
          </w:p>
        </w:tc>
        <w:tc>
          <w:tcPr>
            <w:tcW w:w="0" w:type="dxa"/>
            <w:vAlign w:val="bottom"/>
          </w:tcPr>
          <w:p>
            <w:pPr>
              <w:spacing w:after="0"/>
              <w:rPr>
                <w:sz w:val="1"/>
                <w:szCs w:val="1"/>
                <w:color w:val="auto"/>
              </w:rPr>
            </w:pPr>
          </w:p>
        </w:tc>
      </w:tr>
      <w:tr>
        <w:trPr>
          <w:trHeight w:val="232"/>
        </w:trPr>
        <w:tc>
          <w:tcPr>
            <w:tcW w:w="3100" w:type="dxa"/>
            <w:vAlign w:val="bottom"/>
          </w:tcPr>
          <w:p>
            <w:pPr>
              <w:spacing w:after="0"/>
              <w:rPr>
                <w:sz w:val="20"/>
                <w:szCs w:val="20"/>
                <w:color w:val="auto"/>
              </w:rPr>
            </w:pPr>
          </w:p>
        </w:tc>
        <w:tc>
          <w:tcPr>
            <w:tcW w:w="1860" w:type="dxa"/>
            <w:vAlign w:val="bottom"/>
            <w:gridSpan w:val="2"/>
          </w:tcPr>
          <w:p>
            <w:pPr>
              <w:jc w:val="center"/>
              <w:ind w:right="100"/>
              <w:spacing w:after="0" w:line="232" w:lineRule="exact"/>
              <w:rPr>
                <w:sz w:val="20"/>
                <w:szCs w:val="20"/>
                <w:color w:val="auto"/>
              </w:rPr>
            </w:pPr>
            <w:r>
              <w:rPr>
                <w:rFonts w:ascii="Times New Roman" w:cs="Times New Roman" w:eastAsia="Times New Roman" w:hAnsi="Times New Roman"/>
                <w:sz w:val="17"/>
                <w:szCs w:val="17"/>
                <w:color w:val="auto"/>
                <w:w w:val="96"/>
              </w:rPr>
              <w:t xml:space="preserve">Purchased </w:t>
            </w:r>
            <w:r>
              <w:rPr>
                <w:rFonts w:ascii="Times New Roman" w:cs="Times New Roman" w:eastAsia="Times New Roman" w:hAnsi="Times New Roman"/>
                <w:sz w:val="22"/>
                <w:szCs w:val="22"/>
                <w:color w:val="auto"/>
                <w:w w:val="96"/>
                <w:vertAlign w:val="superscript"/>
              </w:rPr>
              <w:t>(2)</w:t>
            </w:r>
          </w:p>
        </w:tc>
        <w:tc>
          <w:tcPr>
            <w:tcW w:w="320" w:type="dxa"/>
            <w:vAlign w:val="bottom"/>
          </w:tcPr>
          <w:p>
            <w:pPr>
              <w:spacing w:after="0"/>
              <w:rPr>
                <w:sz w:val="20"/>
                <w:szCs w:val="20"/>
                <w:color w:val="auto"/>
              </w:rPr>
            </w:pPr>
          </w:p>
        </w:tc>
        <w:tc>
          <w:tcPr>
            <w:tcW w:w="154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color w:val="auto"/>
              </w:rPr>
              <w:t>Per Share</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Plans or Programs</w:t>
            </w:r>
          </w:p>
        </w:tc>
        <w:tc>
          <w:tcPr>
            <w:tcW w:w="140" w:type="dxa"/>
            <w:vAlign w:val="bottom"/>
          </w:tcPr>
          <w:p>
            <w:pPr>
              <w:spacing w:after="0"/>
              <w:rPr>
                <w:sz w:val="20"/>
                <w:szCs w:val="20"/>
                <w:color w:val="auto"/>
              </w:rPr>
            </w:pPr>
          </w:p>
        </w:tc>
        <w:tc>
          <w:tcPr>
            <w:tcW w:w="2400" w:type="dxa"/>
            <w:vAlign w:val="bottom"/>
          </w:tcPr>
          <w:p>
            <w:pPr>
              <w:jc w:val="center"/>
              <w:ind w:right="34"/>
              <w:spacing w:after="0" w:line="232" w:lineRule="exact"/>
              <w:rPr>
                <w:sz w:val="20"/>
                <w:szCs w:val="20"/>
                <w:color w:val="auto"/>
              </w:rPr>
            </w:pPr>
            <w:r>
              <w:rPr>
                <w:rFonts w:ascii="Times New Roman" w:cs="Times New Roman" w:eastAsia="Times New Roman" w:hAnsi="Times New Roman"/>
                <w:sz w:val="17"/>
                <w:szCs w:val="17"/>
                <w:color w:val="auto"/>
                <w:w w:val="98"/>
              </w:rPr>
              <w:t xml:space="preserve">Plans or Programs </w:t>
            </w:r>
            <w:r>
              <w:rPr>
                <w:rFonts w:ascii="Times New Roman" w:cs="Times New Roman" w:eastAsia="Times New Roman" w:hAnsi="Times New Roman"/>
                <w:sz w:val="22"/>
                <w:szCs w:val="22"/>
                <w:color w:val="auto"/>
                <w:w w:val="98"/>
                <w:vertAlign w:val="superscript"/>
              </w:rPr>
              <w:t>(1)</w:t>
            </w:r>
          </w:p>
        </w:tc>
        <w:tc>
          <w:tcPr>
            <w:tcW w:w="0" w:type="dxa"/>
            <w:vAlign w:val="bottom"/>
          </w:tcPr>
          <w:p>
            <w:pPr>
              <w:spacing w:after="0"/>
              <w:rPr>
                <w:sz w:val="1"/>
                <w:szCs w:val="1"/>
                <w:color w:val="auto"/>
              </w:rPr>
            </w:pPr>
          </w:p>
        </w:tc>
      </w:tr>
      <w:tr>
        <w:trPr>
          <w:trHeight w:val="212"/>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January 1 - January 31, 2026</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267.45</w:t>
            </w:r>
          </w:p>
        </w:tc>
        <w:tc>
          <w:tcPr>
            <w:tcW w:w="1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400" w:type="dxa"/>
            <w:vAlign w:val="bottom"/>
            <w:tcBorders>
              <w:top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327.4 million</w:t>
            </w:r>
          </w:p>
        </w:tc>
        <w:tc>
          <w:tcPr>
            <w:tcW w:w="0" w:type="dxa"/>
            <w:vAlign w:val="bottom"/>
          </w:tcPr>
          <w:p>
            <w:pPr>
              <w:spacing w:after="0"/>
              <w:rPr>
                <w:sz w:val="1"/>
                <w:szCs w:val="1"/>
                <w:color w:val="auto"/>
              </w:rPr>
            </w:pPr>
          </w:p>
        </w:tc>
      </w:tr>
      <w:tr>
        <w:trPr>
          <w:trHeight w:val="219"/>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1 - February 28, 2026</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326.26</w:t>
            </w:r>
          </w:p>
        </w:tc>
        <w:tc>
          <w:tcPr>
            <w:tcW w:w="120" w:type="dxa"/>
            <w:vAlign w:val="bottom"/>
          </w:tcPr>
          <w:p>
            <w:pPr>
              <w:spacing w:after="0"/>
              <w:rPr>
                <w:sz w:val="19"/>
                <w:szCs w:val="19"/>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2400" w:type="dxa"/>
            <w:vAlign w:val="bottom"/>
          </w:tcPr>
          <w:p>
            <w:pPr>
              <w:ind w:left="1400"/>
              <w:spacing w:after="0"/>
              <w:rPr>
                <w:sz w:val="20"/>
                <w:szCs w:val="20"/>
                <w:color w:val="auto"/>
              </w:rPr>
            </w:pPr>
            <w:r>
              <w:rPr>
                <w:rFonts w:ascii="Times New Roman" w:cs="Times New Roman" w:eastAsia="Times New Roman" w:hAnsi="Times New Roman"/>
                <w:sz w:val="17"/>
                <w:szCs w:val="17"/>
                <w:color w:val="auto"/>
              </w:rPr>
              <w:t>500.0 million</w:t>
            </w:r>
          </w:p>
        </w:tc>
        <w:tc>
          <w:tcPr>
            <w:tcW w:w="0" w:type="dxa"/>
            <w:vAlign w:val="bottom"/>
          </w:tcPr>
          <w:p>
            <w:pPr>
              <w:spacing w:after="0"/>
              <w:rPr>
                <w:sz w:val="1"/>
                <w:szCs w:val="1"/>
                <w:color w:val="auto"/>
              </w:rPr>
            </w:pPr>
          </w:p>
        </w:tc>
      </w:tr>
      <w:tr>
        <w:trPr>
          <w:trHeight w:val="219"/>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1 - March 31, 2026</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90,785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280.66</w:t>
            </w:r>
          </w:p>
        </w:tc>
        <w:tc>
          <w:tcPr>
            <w:tcW w:w="12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90,653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474.6 million</w:t>
            </w:r>
          </w:p>
        </w:tc>
        <w:tc>
          <w:tcPr>
            <w:tcW w:w="0" w:type="dxa"/>
            <w:vAlign w:val="bottom"/>
          </w:tcPr>
          <w:p>
            <w:pPr>
              <w:spacing w:after="0"/>
              <w:rPr>
                <w:sz w:val="1"/>
                <w:szCs w:val="1"/>
                <w:color w:val="auto"/>
              </w:rPr>
            </w:pPr>
          </w:p>
        </w:tc>
      </w:tr>
      <w:tr>
        <w:trPr>
          <w:trHeight w:val="212"/>
        </w:trPr>
        <w:tc>
          <w:tcPr>
            <w:tcW w:w="3100" w:type="dxa"/>
            <w:vAlign w:val="bottom"/>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90,907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280.69</w:t>
            </w:r>
          </w:p>
        </w:tc>
        <w:tc>
          <w:tcPr>
            <w:tcW w:w="120" w:type="dxa"/>
            <w:vAlign w:val="bottom"/>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90,653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40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7"/>
                <w:szCs w:val="17"/>
                <w:color w:val="auto"/>
              </w:rPr>
              <w:t>474.6 million</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320" w:right="160" w:hanging="317"/>
        <w:spacing w:after="0" w:line="264" w:lineRule="auto"/>
        <w:tabs>
          <w:tab w:leader="none" w:pos="31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February 26, 2026, we announced that our board of directors authorized a new stock repurchase program that allows for the repurchase of up to $500.0 million of our outstanding common stock. The new program replaces the previous program and is in effect through March 1, 2027. We repurchased $25.4 million and $34.3 million of common stock under our stock repurchase programs during the three months ended March 31, 2026 and 2025, respectively. For further information about our stock repurchase program, see Part I, Item 1. Financial Statements, Note 12, Stockholders' Equity.</w:t>
      </w:r>
    </w:p>
    <w:p>
      <w:pPr>
        <w:spacing w:after="0" w:line="119" w:lineRule="exact"/>
        <w:rPr>
          <w:rFonts w:ascii="Times New Roman" w:cs="Times New Roman" w:eastAsia="Times New Roman" w:hAnsi="Times New Roman"/>
          <w:sz w:val="17"/>
          <w:szCs w:val="17"/>
          <w:color w:val="auto"/>
        </w:rPr>
      </w:pPr>
    </w:p>
    <w:p>
      <w:pPr>
        <w:ind w:left="320" w:right="100" w:hanging="317"/>
        <w:spacing w:after="0" w:line="287" w:lineRule="auto"/>
        <w:tabs>
          <w:tab w:leader="none" w:pos="31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254 shares surrendered to the Company by employees to satisfy tax withholding obligations arising in connection with the vesting of 1,143 shares of restricted stock awarded under our 2023 Omnibus Incentive Plan.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have been no material defaults in senior securities.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69"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During the three months ended March 31, 2026,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(a)(3) Exhibits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exhibits are being filed as part of this Quarterly Report on Form 10-Q:</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2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w w:val="99"/>
              </w:rPr>
              <w:t>Description</w:t>
            </w:r>
          </w:p>
        </w:tc>
        <w:tc>
          <w:tcPr>
            <w:tcW w:w="2480" w:type="dxa"/>
            <w:vAlign w:val="bottom"/>
            <w:vMerge w:val="restart"/>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80" w:type="dxa"/>
            <w:vAlign w:val="bottom"/>
          </w:tcPr>
          <w:p>
            <w:pPr>
              <w:spacing w:after="0"/>
              <w:rPr>
                <w:sz w:val="16"/>
                <w:szCs w:val="16"/>
                <w:color w:val="auto"/>
              </w:rPr>
            </w:pPr>
          </w:p>
        </w:tc>
        <w:tc>
          <w:tcPr>
            <w:tcW w:w="1460" w:type="dxa"/>
            <w:vAlign w:val="bottom"/>
            <w:gridSpan w:val="2"/>
          </w:tcPr>
          <w:p>
            <w:pPr>
              <w:ind w:left="80"/>
              <w:spacing w:after="0" w:line="161" w:lineRule="exact"/>
              <w:rPr>
                <w:sz w:val="20"/>
                <w:szCs w:val="20"/>
                <w:color w:val="auto"/>
              </w:rPr>
            </w:pPr>
            <w:r>
              <w:rPr>
                <w:rFonts w:ascii="Times New Roman" w:cs="Times New Roman" w:eastAsia="Times New Roman" w:hAnsi="Times New Roman"/>
                <w:sz w:val="17"/>
                <w:szCs w:val="17"/>
                <w:b w:val="1"/>
                <w:bCs w:val="1"/>
                <w:color w:val="auto"/>
              </w:rPr>
              <w:t>Number</w:t>
            </w:r>
          </w:p>
        </w:tc>
        <w:tc>
          <w:tcPr>
            <w:tcW w:w="2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248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0"/>
        </w:trPr>
        <w:tc>
          <w:tcPr>
            <w:tcW w:w="9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4.1</w:t>
            </w:r>
          </w:p>
        </w:tc>
        <w:tc>
          <w:tcPr>
            <w:tcW w:w="760" w:type="dxa"/>
            <w:vAlign w:val="bottom"/>
          </w:tcPr>
          <w:p>
            <w:pPr>
              <w:spacing w:after="0"/>
              <w:rPr>
                <w:sz w:val="24"/>
                <w:szCs w:val="24"/>
                <w:color w:val="auto"/>
              </w:rPr>
            </w:pPr>
          </w:p>
        </w:tc>
        <w:tc>
          <w:tcPr>
            <w:tcW w:w="9460" w:type="dxa"/>
            <w:vAlign w:val="bottom"/>
            <w:gridSpan w:val="20"/>
          </w:tcPr>
          <w:p>
            <w:pPr>
              <w:spacing w:after="0"/>
              <w:rPr>
                <w:rFonts w:ascii="Times New Roman" w:cs="Times New Roman" w:eastAsia="Times New Roman" w:hAnsi="Times New Roman"/>
                <w:sz w:val="17"/>
                <w:szCs w:val="17"/>
                <w:color w:val="0000FF"/>
              </w:rPr>
            </w:pPr>
            <w:hyperlink r:id="rId66">
              <w:r>
                <w:rPr>
                  <w:rFonts w:ascii="Times New Roman" w:cs="Times New Roman" w:eastAsia="Times New Roman" w:hAnsi="Times New Roman"/>
                  <w:sz w:val="17"/>
                  <w:szCs w:val="17"/>
                  <w:color w:val="0000FF"/>
                </w:rPr>
                <w:t>Indenture, dated January 21, 2026, among Installed Building Products, Inc., the guarantors named therein and U.S. Bank Trust Company</w:t>
              </w:r>
            </w:hyperlink>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0" w:type="dxa"/>
            <w:vAlign w:val="bottom"/>
            <w:tcBorders>
              <w:top w:val="single" w:sz="8" w:color="0000FF"/>
              <w:bottom w:val="single" w:sz="8" w:color="0000FF"/>
            </w:tcBorders>
            <w:gridSpan w:val="17"/>
          </w:tcPr>
          <w:p>
            <w:pPr>
              <w:spacing w:after="0" w:line="148" w:lineRule="exact"/>
              <w:rPr>
                <w:rFonts w:ascii="Times New Roman" w:cs="Times New Roman" w:eastAsia="Times New Roman" w:hAnsi="Times New Roman"/>
                <w:sz w:val="17"/>
                <w:szCs w:val="17"/>
                <w:color w:val="0000FF"/>
              </w:rPr>
            </w:pPr>
            <w:hyperlink r:id="rId66">
              <w:r>
                <w:rPr>
                  <w:rFonts w:ascii="Times New Roman" w:cs="Times New Roman" w:eastAsia="Times New Roman" w:hAnsi="Times New Roman"/>
                  <w:sz w:val="17"/>
                  <w:szCs w:val="17"/>
                  <w:color w:val="0000FF"/>
                </w:rPr>
                <w:t>National Association, as Trustee (including the Form of Note), incorporated by reference to Exhibit 4.1 to the Company’s Current Report</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40" w:type="dxa"/>
            <w:vAlign w:val="bottom"/>
            <w:gridSpan w:val="6"/>
          </w:tcPr>
          <w:p>
            <w:pPr>
              <w:spacing w:after="0" w:line="148" w:lineRule="exact"/>
              <w:rPr>
                <w:rFonts w:ascii="Times New Roman" w:cs="Times New Roman" w:eastAsia="Times New Roman" w:hAnsi="Times New Roman"/>
                <w:sz w:val="17"/>
                <w:szCs w:val="17"/>
                <w:color w:val="0000FF"/>
              </w:rPr>
            </w:pPr>
            <w:hyperlink r:id="rId66">
              <w:r>
                <w:rPr>
                  <w:rFonts w:ascii="Times New Roman" w:cs="Times New Roman" w:eastAsia="Times New Roman" w:hAnsi="Times New Roman"/>
                  <w:sz w:val="17"/>
                  <w:szCs w:val="17"/>
                  <w:color w:val="0000FF"/>
                </w:rPr>
                <w:t>on Form 8-K filed on January 22, 2026.</w:t>
              </w:r>
            </w:hyperlink>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9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10.1</w:t>
            </w:r>
          </w:p>
        </w:tc>
        <w:tc>
          <w:tcPr>
            <w:tcW w:w="760" w:type="dxa"/>
            <w:vAlign w:val="bottom"/>
          </w:tcPr>
          <w:p>
            <w:pPr>
              <w:spacing w:after="0"/>
              <w:rPr>
                <w:sz w:val="24"/>
                <w:szCs w:val="24"/>
                <w:color w:val="auto"/>
              </w:rPr>
            </w:pPr>
          </w:p>
        </w:tc>
        <w:tc>
          <w:tcPr>
            <w:tcW w:w="9260" w:type="dxa"/>
            <w:vAlign w:val="bottom"/>
            <w:tcBorders>
              <w:bottom w:val="single" w:sz="8" w:color="0000FF"/>
            </w:tcBorders>
            <w:gridSpan w:val="12"/>
          </w:tcPr>
          <w:p>
            <w:pPr>
              <w:spacing w:after="0"/>
              <w:rPr>
                <w:rFonts w:ascii="Times New Roman" w:cs="Times New Roman" w:eastAsia="Times New Roman" w:hAnsi="Times New Roman"/>
                <w:sz w:val="17"/>
                <w:szCs w:val="17"/>
                <w:color w:val="0000FF"/>
              </w:rPr>
            </w:pPr>
            <w:hyperlink r:id="rId67">
              <w:r>
                <w:rPr>
                  <w:rFonts w:ascii="Times New Roman" w:cs="Times New Roman" w:eastAsia="Times New Roman" w:hAnsi="Times New Roman"/>
                  <w:sz w:val="17"/>
                  <w:szCs w:val="17"/>
                  <w:color w:val="0000FF"/>
                </w:rPr>
                <w:t>Amendment No. 4 to Credit Agreement, dated January 21, 2026, among Installed Building Products, Inc., the guarantors party thereto,</w:t>
              </w:r>
            </w:hyperlink>
          </w:p>
        </w:tc>
        <w:tc>
          <w:tcPr>
            <w:tcW w:w="2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60" w:type="dxa"/>
            <w:vAlign w:val="bottom"/>
            <w:gridSpan w:val="20"/>
          </w:tcPr>
          <w:p>
            <w:pPr>
              <w:spacing w:after="0" w:line="148" w:lineRule="exact"/>
              <w:rPr>
                <w:rFonts w:ascii="Times New Roman" w:cs="Times New Roman" w:eastAsia="Times New Roman" w:hAnsi="Times New Roman"/>
                <w:sz w:val="17"/>
                <w:szCs w:val="17"/>
                <w:color w:val="0000FF"/>
              </w:rPr>
            </w:pPr>
            <w:hyperlink r:id="rId67">
              <w:r>
                <w:rPr>
                  <w:rFonts w:ascii="Times New Roman" w:cs="Times New Roman" w:eastAsia="Times New Roman" w:hAnsi="Times New Roman"/>
                  <w:sz w:val="17"/>
                  <w:szCs w:val="17"/>
                  <w:color w:val="0000FF"/>
                </w:rPr>
                <w:t>the lenders party thereto and Bank of America, N.A., as issuing bank, swing bank, administrative agent, joint-lead arranger and joint-lead</w:t>
              </w:r>
            </w:hyperlink>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40" w:type="dxa"/>
            <w:vAlign w:val="bottom"/>
            <w:tcBorders>
              <w:top w:val="single" w:sz="8" w:color="0000FF"/>
            </w:tcBorders>
            <w:gridSpan w:val="19"/>
          </w:tcPr>
          <w:p>
            <w:pPr>
              <w:spacing w:after="0" w:line="148" w:lineRule="exact"/>
              <w:rPr>
                <w:rFonts w:ascii="Times New Roman" w:cs="Times New Roman" w:eastAsia="Times New Roman" w:hAnsi="Times New Roman"/>
                <w:sz w:val="17"/>
                <w:szCs w:val="17"/>
                <w:color w:val="0000FF"/>
              </w:rPr>
            </w:pPr>
            <w:hyperlink r:id="rId67">
              <w:r>
                <w:rPr>
                  <w:rFonts w:ascii="Times New Roman" w:cs="Times New Roman" w:eastAsia="Times New Roman" w:hAnsi="Times New Roman"/>
                  <w:sz w:val="17"/>
                  <w:szCs w:val="17"/>
                  <w:color w:val="0000FF"/>
                </w:rPr>
                <w:t>bookrunner, with JPMorgan Chase Bank, N.A., RBC Capital Markets and KeyBank National Association, each as a joint-lead arranger</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300" w:type="dxa"/>
            <w:vAlign w:val="bottom"/>
            <w:tcBorders>
              <w:top w:val="single" w:sz="8" w:color="0000FF"/>
            </w:tcBorders>
            <w:gridSpan w:val="14"/>
          </w:tcPr>
          <w:p>
            <w:pPr>
              <w:spacing w:after="0" w:line="161" w:lineRule="exact"/>
              <w:rPr>
                <w:rFonts w:ascii="Times New Roman" w:cs="Times New Roman" w:eastAsia="Times New Roman" w:hAnsi="Times New Roman"/>
                <w:sz w:val="17"/>
                <w:szCs w:val="17"/>
                <w:color w:val="0000FF"/>
              </w:rPr>
            </w:pPr>
            <w:hyperlink r:id="rId67">
              <w:r>
                <w:rPr>
                  <w:rFonts w:ascii="Times New Roman" w:cs="Times New Roman" w:eastAsia="Times New Roman" w:hAnsi="Times New Roman"/>
                  <w:sz w:val="17"/>
                  <w:szCs w:val="17"/>
                  <w:color w:val="0000FF"/>
                </w:rPr>
                <w:t>and a joint book runner and U.S. Bank National Association, as the syndication agent, incorporated by reference to Exhibit 10.1 to the</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900" w:type="dxa"/>
            <w:vAlign w:val="bottom"/>
            <w:tcBorders>
              <w:top w:val="single" w:sz="8" w:color="0000FF"/>
              <w:bottom w:val="single" w:sz="8" w:color="0000FF"/>
            </w:tcBorders>
            <w:gridSpan w:val="4"/>
          </w:tcPr>
          <w:p>
            <w:pPr>
              <w:spacing w:after="0" w:line="148" w:lineRule="exact"/>
              <w:rPr>
                <w:rFonts w:ascii="Times New Roman" w:cs="Times New Roman" w:eastAsia="Times New Roman" w:hAnsi="Times New Roman"/>
                <w:sz w:val="17"/>
                <w:szCs w:val="17"/>
                <w:color w:val="0000FF"/>
              </w:rPr>
            </w:pPr>
            <w:hyperlink r:id="rId67">
              <w:r>
                <w:rPr>
                  <w:rFonts w:ascii="Times New Roman" w:cs="Times New Roman" w:eastAsia="Times New Roman" w:hAnsi="Times New Roman"/>
                  <w:sz w:val="17"/>
                  <w:szCs w:val="17"/>
                  <w:color w:val="0000FF"/>
                </w:rPr>
                <w:t>Company’s Current Report on Form 8-K filed on January 22, 2026.***</w:t>
              </w:r>
            </w:hyperlink>
          </w:p>
        </w:tc>
        <w:tc>
          <w:tcPr>
            <w:tcW w:w="2740" w:type="dxa"/>
            <w:vAlign w:val="bottom"/>
            <w:tcBorders>
              <w:top w:val="single" w:sz="8" w:color="0000FF"/>
            </w:tcBorders>
            <w:gridSpan w:val="2"/>
          </w:tcPr>
          <w:p>
            <w:pPr>
              <w:spacing w:after="0"/>
              <w:rPr>
                <w:sz w:val="12"/>
                <w:szCs w:val="12"/>
                <w:color w:val="auto"/>
              </w:rPr>
            </w:pPr>
          </w:p>
        </w:tc>
        <w:tc>
          <w:tcPr>
            <w:tcW w:w="10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5"/>
        </w:trPr>
        <w:tc>
          <w:tcPr>
            <w:tcW w:w="9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10.2</w:t>
            </w:r>
          </w:p>
        </w:tc>
        <w:tc>
          <w:tcPr>
            <w:tcW w:w="760" w:type="dxa"/>
            <w:vAlign w:val="bottom"/>
          </w:tcPr>
          <w:p>
            <w:pPr>
              <w:spacing w:after="0"/>
              <w:rPr>
                <w:sz w:val="24"/>
                <w:szCs w:val="24"/>
                <w:color w:val="auto"/>
              </w:rPr>
            </w:pPr>
          </w:p>
        </w:tc>
        <w:tc>
          <w:tcPr>
            <w:tcW w:w="9460" w:type="dxa"/>
            <w:vAlign w:val="bottom"/>
            <w:gridSpan w:val="20"/>
          </w:tcPr>
          <w:p>
            <w:pPr>
              <w:spacing w:after="0"/>
              <w:rPr>
                <w:rFonts w:ascii="Times New Roman" w:cs="Times New Roman" w:eastAsia="Times New Roman" w:hAnsi="Times New Roman"/>
                <w:sz w:val="17"/>
                <w:szCs w:val="17"/>
                <w:color w:val="0000FF"/>
              </w:rPr>
            </w:pPr>
            <w:hyperlink r:id="rId68">
              <w:r>
                <w:rPr>
                  <w:rFonts w:ascii="Times New Roman" w:cs="Times New Roman" w:eastAsia="Times New Roman" w:hAnsi="Times New Roman"/>
                  <w:sz w:val="17"/>
                  <w:szCs w:val="17"/>
                  <w:color w:val="0000FF"/>
                </w:rPr>
                <w:t>ABL/Term Loan Intercreditor Agreement, dated January 21, 2026, among Installed Building Products, Inc., Bank of America, N.A., as</w:t>
              </w:r>
            </w:hyperlink>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80" w:type="dxa"/>
            <w:vAlign w:val="bottom"/>
            <w:tcBorders>
              <w:top w:val="single" w:sz="8" w:color="0000FF"/>
              <w:bottom w:val="single" w:sz="8" w:color="0000FF"/>
            </w:tcBorders>
            <w:gridSpan w:val="13"/>
          </w:tcPr>
          <w:p>
            <w:pPr>
              <w:spacing w:after="0" w:line="148" w:lineRule="exact"/>
              <w:rPr>
                <w:rFonts w:ascii="Times New Roman" w:cs="Times New Roman" w:eastAsia="Times New Roman" w:hAnsi="Times New Roman"/>
                <w:sz w:val="17"/>
                <w:szCs w:val="17"/>
                <w:color w:val="0000FF"/>
                <w:w w:val="99"/>
              </w:rPr>
            </w:pPr>
            <w:hyperlink r:id="rId68">
              <w:r>
                <w:rPr>
                  <w:rFonts w:ascii="Times New Roman" w:cs="Times New Roman" w:eastAsia="Times New Roman" w:hAnsi="Times New Roman"/>
                  <w:sz w:val="17"/>
                  <w:szCs w:val="17"/>
                  <w:color w:val="0000FF"/>
                  <w:w w:val="99"/>
                </w:rPr>
                <w:t>agent for the ABL Secured Parties referred to therein, Royal Bank of Canada, as administrative agent for the Term Loan Secured Parties</w:t>
              </w:r>
            </w:hyperlink>
          </w:p>
        </w:tc>
        <w:tc>
          <w:tcPr>
            <w:tcW w:w="8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360" w:type="dxa"/>
            <w:vAlign w:val="bottom"/>
            <w:tcBorders>
              <w:bottom w:val="single" w:sz="8" w:color="0000FF"/>
            </w:tcBorders>
            <w:gridSpan w:val="15"/>
          </w:tcPr>
          <w:p>
            <w:pPr>
              <w:spacing w:after="0" w:line="148" w:lineRule="exact"/>
              <w:rPr>
                <w:rFonts w:ascii="Times New Roman" w:cs="Times New Roman" w:eastAsia="Times New Roman" w:hAnsi="Times New Roman"/>
                <w:sz w:val="17"/>
                <w:szCs w:val="17"/>
                <w:color w:val="0000FF"/>
              </w:rPr>
            </w:pPr>
            <w:hyperlink r:id="rId68">
              <w:r>
                <w:rPr>
                  <w:rFonts w:ascii="Times New Roman" w:cs="Times New Roman" w:eastAsia="Times New Roman" w:hAnsi="Times New Roman"/>
                  <w:sz w:val="17"/>
                  <w:szCs w:val="17"/>
                  <w:color w:val="0000FF"/>
                </w:rPr>
                <w:t>referred to therein, and the guarantors party thereto, incorporated by reference to Exhibit 10.2 to the Company's Current Report on Form</w:t>
              </w:r>
            </w:hyperlink>
          </w:p>
        </w:tc>
        <w:tc>
          <w:tcPr>
            <w:tcW w:w="20" w:type="dxa"/>
            <w:vAlign w:val="bottom"/>
            <w:tcBorders>
              <w:bottom w:val="single" w:sz="8" w:color="0000FF"/>
            </w:tcBorders>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100" w:type="dxa"/>
            <w:vAlign w:val="bottom"/>
            <w:tcBorders>
              <w:bottom w:val="single" w:sz="8" w:color="0000FF"/>
            </w:tcBorders>
          </w:tcPr>
          <w:p>
            <w:pPr>
              <w:spacing w:after="0" w:line="161" w:lineRule="exact"/>
              <w:rPr>
                <w:rFonts w:ascii="Times New Roman" w:cs="Times New Roman" w:eastAsia="Times New Roman" w:hAnsi="Times New Roman"/>
                <w:sz w:val="17"/>
                <w:szCs w:val="17"/>
                <w:color w:val="0000FF"/>
                <w:w w:val="99"/>
              </w:rPr>
            </w:pPr>
            <w:hyperlink r:id="rId68">
              <w:r>
                <w:rPr>
                  <w:rFonts w:ascii="Times New Roman" w:cs="Times New Roman" w:eastAsia="Times New Roman" w:hAnsi="Times New Roman"/>
                  <w:sz w:val="17"/>
                  <w:szCs w:val="17"/>
                  <w:color w:val="0000FF"/>
                  <w:w w:val="99"/>
                </w:rPr>
                <w:t>8-K filed on January 22, 2026.</w:t>
              </w:r>
            </w:hyperlink>
          </w:p>
        </w:tc>
        <w:tc>
          <w:tcPr>
            <w:tcW w:w="5540" w:type="dxa"/>
            <w:vAlign w:val="bottom"/>
            <w:gridSpan w:val="5"/>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5"/>
        </w:trPr>
        <w:tc>
          <w:tcPr>
            <w:tcW w:w="9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31.1*</w:t>
            </w:r>
          </w:p>
        </w:tc>
        <w:tc>
          <w:tcPr>
            <w:tcW w:w="760" w:type="dxa"/>
            <w:vAlign w:val="bottom"/>
          </w:tcPr>
          <w:p>
            <w:pPr>
              <w:spacing w:after="0"/>
              <w:rPr>
                <w:sz w:val="24"/>
                <w:szCs w:val="24"/>
                <w:color w:val="auto"/>
              </w:rPr>
            </w:pPr>
          </w:p>
        </w:tc>
        <w:tc>
          <w:tcPr>
            <w:tcW w:w="91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CEO Certification pursuant to Exchange Act Rule 13a-14(a), as adopted pursuant to Section 302 of the Sarbanes-Oxley Act of 2002.</w:t>
            </w:r>
          </w:p>
        </w:tc>
        <w:tc>
          <w:tcPr>
            <w:tcW w:w="3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31.2*</w:t>
            </w:r>
          </w:p>
        </w:tc>
        <w:tc>
          <w:tcPr>
            <w:tcW w:w="760" w:type="dxa"/>
            <w:vAlign w:val="bottom"/>
          </w:tcPr>
          <w:p>
            <w:pPr>
              <w:spacing w:after="0"/>
              <w:rPr>
                <w:sz w:val="24"/>
                <w:szCs w:val="24"/>
                <w:color w:val="auto"/>
              </w:rPr>
            </w:pPr>
          </w:p>
        </w:tc>
        <w:tc>
          <w:tcPr>
            <w:tcW w:w="91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CFO Certification pursuant to Exchange Act Rule 13a-14(a), as adopted pursuant to Section 302 of the Sarbanes-Oxley Act of 2002.</w:t>
            </w:r>
          </w:p>
        </w:tc>
        <w:tc>
          <w:tcPr>
            <w:tcW w:w="3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32.1*</w:t>
            </w:r>
          </w:p>
        </w:tc>
        <w:tc>
          <w:tcPr>
            <w:tcW w:w="760" w:type="dxa"/>
            <w:vAlign w:val="bottom"/>
          </w:tcPr>
          <w:p>
            <w:pPr>
              <w:spacing w:after="0"/>
              <w:rPr>
                <w:sz w:val="24"/>
                <w:szCs w:val="24"/>
                <w:color w:val="auto"/>
              </w:rPr>
            </w:pPr>
          </w:p>
        </w:tc>
        <w:tc>
          <w:tcPr>
            <w:tcW w:w="87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CEO Certification pursuant to 18 U.S.C. Section 1350, as adopted pursuant to Section 906 of the Sarbanes-Oxley Act of 2002.</w:t>
            </w:r>
          </w:p>
        </w:tc>
        <w:tc>
          <w:tcPr>
            <w:tcW w:w="7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32.2*</w:t>
            </w:r>
          </w:p>
        </w:tc>
        <w:tc>
          <w:tcPr>
            <w:tcW w:w="760" w:type="dxa"/>
            <w:vAlign w:val="bottom"/>
          </w:tcPr>
          <w:p>
            <w:pPr>
              <w:spacing w:after="0"/>
              <w:rPr>
                <w:sz w:val="24"/>
                <w:szCs w:val="24"/>
                <w:color w:val="auto"/>
              </w:rPr>
            </w:pPr>
          </w:p>
        </w:tc>
        <w:tc>
          <w:tcPr>
            <w:tcW w:w="946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CFO 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80" w:type="dxa"/>
            <w:vAlign w:val="bottom"/>
            <w:gridSpan w:val="7"/>
            <w:shd w:val="clear" w:color="auto" w:fill="0000FF"/>
          </w:tcPr>
          <w:p>
            <w:pPr>
              <w:spacing w:after="0" w:line="20" w:lineRule="exact"/>
              <w:rPr>
                <w:sz w:val="1"/>
                <w:szCs w:val="1"/>
                <w:color w:val="auto"/>
              </w:rPr>
            </w:pPr>
          </w:p>
        </w:tc>
        <w:tc>
          <w:tcPr>
            <w:tcW w:w="78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9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101**</w:t>
            </w:r>
          </w:p>
        </w:tc>
        <w:tc>
          <w:tcPr>
            <w:tcW w:w="760" w:type="dxa"/>
            <w:vAlign w:val="bottom"/>
          </w:tcPr>
          <w:p>
            <w:pPr>
              <w:spacing w:after="0"/>
              <w:rPr>
                <w:sz w:val="24"/>
                <w:szCs w:val="24"/>
                <w:color w:val="auto"/>
              </w:rPr>
            </w:pPr>
          </w:p>
        </w:tc>
        <w:tc>
          <w:tcPr>
            <w:tcW w:w="9460" w:type="dxa"/>
            <w:vAlign w:val="bottom"/>
            <w:gridSpan w:val="20"/>
          </w:tcPr>
          <w:p>
            <w:pPr>
              <w:spacing w:after="0"/>
              <w:rPr>
                <w:sz w:val="20"/>
                <w:szCs w:val="20"/>
                <w:color w:val="auto"/>
              </w:rPr>
            </w:pPr>
            <w:r>
              <w:rPr>
                <w:rFonts w:ascii="Times New Roman" w:cs="Times New Roman" w:eastAsia="Times New Roman" w:hAnsi="Times New Roman"/>
                <w:sz w:val="17"/>
                <w:szCs w:val="17"/>
                <w:color w:val="auto"/>
              </w:rPr>
              <w:t>The following financial statements from the Company's Quarterly Report on Form 10-Q for the period ended March 31, 2026, formatted</w:t>
            </w: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60" w:type="dxa"/>
            <w:vAlign w:val="bottom"/>
            <w:gridSpan w:val="20"/>
          </w:tcPr>
          <w:p>
            <w:pPr>
              <w:spacing w:after="0" w:line="167" w:lineRule="exact"/>
              <w:rPr>
                <w:sz w:val="20"/>
                <w:szCs w:val="20"/>
                <w:color w:val="auto"/>
              </w:rPr>
            </w:pPr>
            <w:r>
              <w:rPr>
                <w:rFonts w:ascii="Times New Roman" w:cs="Times New Roman" w:eastAsia="Times New Roman" w:hAnsi="Times New Roman"/>
                <w:sz w:val="17"/>
                <w:szCs w:val="17"/>
                <w:color w:val="auto"/>
              </w:rPr>
              <w:t>in inline XBRL, include: (i) Condensed Consolidated Balance Sheets, (ii) Condensed Consolidated Statements of Operations and</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60" w:type="dxa"/>
            <w:vAlign w:val="bottom"/>
            <w:gridSpan w:val="20"/>
          </w:tcPr>
          <w:p>
            <w:pPr>
              <w:spacing w:after="0" w:line="177" w:lineRule="exact"/>
              <w:rPr>
                <w:sz w:val="20"/>
                <w:szCs w:val="20"/>
                <w:color w:val="auto"/>
              </w:rPr>
            </w:pPr>
            <w:r>
              <w:rPr>
                <w:rFonts w:ascii="Times New Roman" w:cs="Times New Roman" w:eastAsia="Times New Roman" w:hAnsi="Times New Roman"/>
                <w:sz w:val="17"/>
                <w:szCs w:val="17"/>
                <w:color w:val="auto"/>
              </w:rPr>
              <w:t>Comprehensive Income, (iii) Condensed Consolidated Statements of Stockholders’ Equity, (iv) Condensed Consolidated Statements of</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4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Cash Flows and (v) the Notes to the Condensed Consolidated Financial Statements.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9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104**</w:t>
            </w:r>
          </w:p>
        </w:tc>
        <w:tc>
          <w:tcPr>
            <w:tcW w:w="760" w:type="dxa"/>
            <w:vAlign w:val="bottom"/>
          </w:tcPr>
          <w:p>
            <w:pPr>
              <w:spacing w:after="0"/>
              <w:rPr>
                <w:sz w:val="24"/>
                <w:szCs w:val="24"/>
                <w:color w:val="auto"/>
              </w:rPr>
            </w:pPr>
          </w:p>
        </w:tc>
        <w:tc>
          <w:tcPr>
            <w:tcW w:w="764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in Inline XBRL and contained in Exhibit 101).</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17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Filed herewith.</w:t>
            </w:r>
          </w:p>
        </w:tc>
        <w:tc>
          <w:tcPr>
            <w:tcW w:w="2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938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  Submitted electronically with the report.</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938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  Certain of the exhibits and schedules to the ABL Amendment do not contain material information and have been omitted</w:t>
            </w:r>
          </w:p>
        </w:tc>
        <w:tc>
          <w:tcPr>
            <w:tcW w:w="1820" w:type="dxa"/>
            <w:vAlign w:val="bottom"/>
            <w:gridSpan w:val="14"/>
          </w:tcPr>
          <w:p>
            <w:pPr>
              <w:ind w:left="620"/>
              <w:spacing w:after="0"/>
              <w:rPr>
                <w:sz w:val="20"/>
                <w:szCs w:val="20"/>
                <w:color w:val="auto"/>
              </w:rPr>
            </w:pPr>
            <w:r>
              <w:rPr>
                <w:rFonts w:ascii="Times New Roman" w:cs="Times New Roman" w:eastAsia="Times New Roman" w:hAnsi="Times New Roman"/>
                <w:sz w:val="17"/>
                <w:szCs w:val="17"/>
                <w:color w:val="auto"/>
              </w:rPr>
              <w:t>from this filing</w:t>
            </w:r>
          </w:p>
        </w:tc>
        <w:tc>
          <w:tcPr>
            <w:tcW w:w="0" w:type="dxa"/>
            <w:vAlign w:val="bottom"/>
          </w:tcPr>
          <w:p>
            <w:pPr>
              <w:spacing w:after="0"/>
              <w:rPr>
                <w:sz w:val="1"/>
                <w:szCs w:val="1"/>
                <w:color w:val="auto"/>
              </w:rPr>
            </w:pPr>
          </w:p>
        </w:tc>
      </w:tr>
    </w:tbl>
    <w:p>
      <w:pPr>
        <w:ind w:right="80"/>
        <w:spacing w:after="0" w:line="266" w:lineRule="auto"/>
        <w:rPr>
          <w:sz w:val="20"/>
          <w:szCs w:val="20"/>
          <w:color w:val="auto"/>
        </w:rPr>
      </w:pPr>
      <w:r>
        <w:rPr>
          <w:rFonts w:ascii="Times New Roman" w:cs="Times New Roman" w:eastAsia="Times New Roman" w:hAnsi="Times New Roman"/>
          <w:sz w:val="17"/>
          <w:szCs w:val="17"/>
          <w:color w:val="auto"/>
        </w:rPr>
        <w:t>pursuant to item 601(a)(5) of Regulation S-K. The Company will furnish copies of such exhibits and schedules to the Securities and Exchange Commission upon request.</w:t>
      </w: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278" w:right="3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00" w:lineRule="exact"/>
        <w:rPr>
          <w:sz w:val="20"/>
          <w:szCs w:val="20"/>
          <w:color w:val="auto"/>
        </w:rPr>
      </w:pPr>
    </w:p>
    <w:p>
      <w:pPr>
        <w:spacing w:after="0" w:line="356"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7, 2026</w:t>
      </w:r>
    </w:p>
    <w:p>
      <w:pPr>
        <w:spacing w:after="0" w:line="200" w:lineRule="exact"/>
        <w:rPr>
          <w:sz w:val="20"/>
          <w:szCs w:val="20"/>
          <w:color w:val="auto"/>
        </w:rPr>
      </w:pPr>
    </w:p>
    <w:p>
      <w:pPr>
        <w:spacing w:after="0" w:line="32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INSTALLED BUILDING PRODUCTS, INC.</w:t>
      </w:r>
    </w:p>
    <w:p>
      <w:pPr>
        <w:spacing w:after="0" w:line="282" w:lineRule="exact"/>
        <w:rPr>
          <w:sz w:val="20"/>
          <w:szCs w:val="20"/>
          <w:color w:val="auto"/>
        </w:rPr>
      </w:pPr>
    </w:p>
    <w:tbl>
      <w:tblPr>
        <w:tblLayout w:type="fixed"/>
        <w:tblInd w:w="5680" w:type="dxa"/>
        <w:tblCellMar>
          <w:top w:w="0" w:type="dxa"/>
          <w:left w:w="0" w:type="dxa"/>
          <w:bottom w:w="0" w:type="dxa"/>
          <w:right w:w="0" w:type="dxa"/>
        </w:tblCellMar>
      </w:tblPr>
      <w:tr>
        <w:trPr>
          <w:trHeight w:val="223"/>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Jeffrey W. Edwards</w:t>
            </w:r>
          </w:p>
        </w:tc>
      </w:tr>
      <w:tr>
        <w:trPr>
          <w:trHeight w:val="209"/>
        </w:trPr>
        <w:tc>
          <w:tcPr>
            <w:tcW w:w="76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Jeffrey W. Edwards</w:t>
            </w:r>
          </w:p>
        </w:tc>
      </w:tr>
      <w:tr>
        <w:trPr>
          <w:trHeight w:val="223"/>
        </w:trPr>
        <w:tc>
          <w:tcPr>
            <w:tcW w:w="76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477"/>
        </w:trPr>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Michael T. Miller</w:t>
            </w:r>
          </w:p>
        </w:tc>
      </w:tr>
      <w:tr>
        <w:trPr>
          <w:trHeight w:val="209"/>
        </w:trPr>
        <w:tc>
          <w:tcPr>
            <w:tcW w:w="76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Michael T. Miller</w:t>
            </w:r>
          </w:p>
        </w:tc>
      </w:tr>
      <w:tr>
        <w:trPr>
          <w:trHeight w:val="223"/>
        </w:trPr>
        <w:tc>
          <w:tcPr>
            <w:tcW w:w="76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ectPr>
          <w:pgSz w:w="11900" w:h="16838" w:orient="portrait"/>
          <w:cols w:equalWidth="0" w:num="1">
            <w:col w:w="11240"/>
          </w:cols>
          <w:pgMar w:left="320" w:top="278"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INSTALLED BUILDING PRODUCTS,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Required by Rule 13a-14(a) or 15d-14(a)</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of the Securities Exchange Act of 1934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Jeffrey W. Edwards, certify that:</w:t>
      </w:r>
    </w:p>
    <w:p>
      <w:pPr>
        <w:spacing w:after="0" w:line="217" w:lineRule="exact"/>
        <w:rPr>
          <w:sz w:val="20"/>
          <w:szCs w:val="20"/>
          <w:color w:val="auto"/>
        </w:rPr>
      </w:pPr>
    </w:p>
    <w:p>
      <w:pPr>
        <w:ind w:left="320" w:hanging="317"/>
        <w:spacing w:after="0"/>
        <w:tabs>
          <w:tab w:leader="none" w:pos="3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Installed Building Products, Inc.;</w:t>
      </w:r>
    </w:p>
    <w:p>
      <w:pPr>
        <w:spacing w:after="0" w:line="217" w:lineRule="exact"/>
        <w:rPr>
          <w:rFonts w:ascii="Times New Roman" w:cs="Times New Roman" w:eastAsia="Times New Roman" w:hAnsi="Times New Roman"/>
          <w:sz w:val="17"/>
          <w:szCs w:val="17"/>
          <w:color w:val="auto"/>
        </w:rPr>
      </w:pPr>
    </w:p>
    <w:p>
      <w:pPr>
        <w:ind w:left="320" w:right="160" w:hanging="317"/>
        <w:spacing w:after="0" w:line="287" w:lineRule="auto"/>
        <w:tabs>
          <w:tab w:leader="none" w:pos="3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left="320" w:right="260" w:hanging="317"/>
        <w:spacing w:after="0" w:line="287" w:lineRule="auto"/>
        <w:tabs>
          <w:tab w:leader="none" w:pos="3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jc w:val="both"/>
        <w:ind w:left="320" w:right="60" w:hanging="317"/>
        <w:spacing w:after="0" w:line="270" w:lineRule="auto"/>
        <w:tabs>
          <w:tab w:leader="none" w:pos="3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Times New Roman" w:cs="Times New Roman" w:eastAsia="Times New Roman" w:hAnsi="Times New Roman"/>
          <w:sz w:val="17"/>
          <w:szCs w:val="17"/>
          <w:color w:val="auto"/>
        </w:rPr>
      </w:pPr>
    </w:p>
    <w:p>
      <w:pPr>
        <w:ind w:left="940" w:right="120" w:hanging="318"/>
        <w:spacing w:after="0" w:line="270" w:lineRule="auto"/>
        <w:tabs>
          <w:tab w:leader="none" w:pos="930" w:val="left"/>
        </w:tabs>
        <w:numPr>
          <w:ilvl w:val="2"/>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Times New Roman" w:cs="Times New Roman" w:eastAsia="Times New Roman" w:hAnsi="Times New Roman"/>
          <w:sz w:val="17"/>
          <w:szCs w:val="17"/>
          <w:color w:val="auto"/>
        </w:rPr>
      </w:pPr>
    </w:p>
    <w:p>
      <w:pPr>
        <w:ind w:left="940" w:right="100" w:hanging="318"/>
        <w:spacing w:after="0" w:line="270" w:lineRule="auto"/>
        <w:tabs>
          <w:tab w:leader="none" w:pos="940" w:val="left"/>
        </w:tabs>
        <w:numPr>
          <w:ilvl w:val="2"/>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Times New Roman" w:cs="Times New Roman" w:eastAsia="Times New Roman" w:hAnsi="Times New Roman"/>
          <w:sz w:val="17"/>
          <w:szCs w:val="17"/>
          <w:color w:val="auto"/>
        </w:rPr>
      </w:pPr>
    </w:p>
    <w:p>
      <w:pPr>
        <w:ind w:left="940" w:right="140" w:hanging="318"/>
        <w:spacing w:after="0" w:line="287" w:lineRule="auto"/>
        <w:tabs>
          <w:tab w:leader="none" w:pos="930" w:val="left"/>
        </w:tabs>
        <w:numPr>
          <w:ilvl w:val="2"/>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Times New Roman" w:cs="Times New Roman" w:eastAsia="Times New Roman" w:hAnsi="Times New Roman"/>
          <w:sz w:val="17"/>
          <w:szCs w:val="17"/>
          <w:color w:val="auto"/>
        </w:rPr>
      </w:pPr>
    </w:p>
    <w:p>
      <w:pPr>
        <w:jc w:val="both"/>
        <w:ind w:left="940" w:right="180" w:hanging="318"/>
        <w:spacing w:after="0" w:line="270" w:lineRule="auto"/>
        <w:tabs>
          <w:tab w:leader="none" w:pos="940" w:val="left"/>
        </w:tabs>
        <w:numPr>
          <w:ilvl w:val="2"/>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7"/>
          <w:szCs w:val="17"/>
          <w:color w:val="auto"/>
        </w:rPr>
      </w:pPr>
    </w:p>
    <w:p>
      <w:pPr>
        <w:ind w:left="620" w:right="520" w:hanging="307"/>
        <w:spacing w:after="0" w:line="287" w:lineRule="auto"/>
        <w:tabs>
          <w:tab w:leader="none" w:pos="62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left="1240" w:right="220" w:hanging="309"/>
        <w:spacing w:after="0" w:line="287" w:lineRule="auto"/>
        <w:tabs>
          <w:tab w:leader="none" w:pos="1230" w:val="left"/>
        </w:tabs>
        <w:numPr>
          <w:ilvl w:val="3"/>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7"/>
          <w:szCs w:val="17"/>
          <w:color w:val="auto"/>
        </w:rPr>
      </w:pPr>
    </w:p>
    <w:p>
      <w:pPr>
        <w:ind w:left="1240" w:right="160" w:hanging="309"/>
        <w:spacing w:after="0" w:line="287" w:lineRule="auto"/>
        <w:tabs>
          <w:tab w:leader="none" w:pos="1240" w:val="left"/>
        </w:tabs>
        <w:numPr>
          <w:ilvl w:val="3"/>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93" w:lineRule="exact"/>
        <w:rPr>
          <w:sz w:val="20"/>
          <w:szCs w:val="20"/>
          <w:color w:val="auto"/>
        </w:rPr>
      </w:pPr>
    </w:p>
    <w:p>
      <w:pPr>
        <w:ind w:left="20"/>
        <w:spacing w:after="0"/>
        <w:tabs>
          <w:tab w:leader="none" w:pos="960" w:val="left"/>
          <w:tab w:leader="none" w:pos="7100" w:val="left"/>
          <w:tab w:leader="none" w:pos="7720" w:val="left"/>
        </w:tabs>
        <w:rPr>
          <w:sz w:val="20"/>
          <w:szCs w:val="20"/>
          <w:color w:val="auto"/>
        </w:rPr>
      </w:pPr>
      <w:r>
        <w:rPr>
          <w:rFonts w:ascii="Times New Roman" w:cs="Times New Roman" w:eastAsia="Times New Roman" w:hAnsi="Times New Roman"/>
          <w:sz w:val="17"/>
          <w:szCs w:val="17"/>
          <w:color w:val="auto"/>
        </w:rPr>
        <w:t>Dated:</w:t>
      </w:r>
      <w:r>
        <w:rPr>
          <w:sz w:val="20"/>
          <w:szCs w:val="20"/>
          <w:color w:val="auto"/>
        </w:rPr>
        <w:tab/>
      </w:r>
      <w:r>
        <w:rPr>
          <w:rFonts w:ascii="Times New Roman" w:cs="Times New Roman" w:eastAsia="Times New Roman" w:hAnsi="Times New Roman"/>
          <w:sz w:val="17"/>
          <w:szCs w:val="17"/>
          <w:color w:val="auto"/>
        </w:rPr>
        <w:t>May 7, 2026</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FFFFFF"/>
        </w:rPr>
        <w:t>/</w:t>
      </w:r>
      <w:r>
        <w:rPr>
          <w:rFonts w:ascii="Times New Roman" w:cs="Times New Roman" w:eastAsia="Times New Roman" w:hAnsi="Times New Roman"/>
          <w:sz w:val="17"/>
          <w:szCs w:val="17"/>
          <w:color w:val="000000"/>
        </w:rPr>
        <w:t>s/ Jeffrey 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4905375</wp:posOffset>
            </wp:positionH>
            <wp:positionV relativeFrom="paragraph">
              <wp:posOffset>33655</wp:posOffset>
            </wp:positionV>
            <wp:extent cx="22104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2210435" cy="8255"/>
                    </a:xfrm>
                    <a:prstGeom prst="rect">
                      <a:avLst/>
                    </a:prstGeom>
                    <a:noFill/>
                  </pic:spPr>
                </pic:pic>
              </a:graphicData>
            </a:graphic>
          </wp:anchor>
        </w:drawing>
      </w:r>
    </w:p>
    <w:p>
      <w:pPr>
        <w:spacing w:after="0" w:line="55"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7"/>
          <w:szCs w:val="17"/>
          <w:color w:val="auto"/>
        </w:rPr>
        <w:t>Jeffrey W. Edwards</w:t>
      </w:r>
    </w:p>
    <w:p>
      <w:pPr>
        <w:spacing w:after="0" w:line="62"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ectPr>
          <w:pgSz w:w="11900" w:h="16838" w:orient="portrait"/>
          <w:cols w:equalWidth="0" w:num="1">
            <w:col w:w="11240"/>
          </w:cols>
          <w:pgMar w:left="320" w:top="854"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INSTALLED BUILDING PRODUCTS,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Required by Rule 13a-14(a) or 15d-14(a)</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of the Securities Exchange Act of 1934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Michael T. Miller, certify that:</w:t>
      </w:r>
    </w:p>
    <w:p>
      <w:pPr>
        <w:spacing w:after="0" w:line="217" w:lineRule="exact"/>
        <w:rPr>
          <w:sz w:val="20"/>
          <w:szCs w:val="20"/>
          <w:color w:val="auto"/>
        </w:rPr>
      </w:pPr>
    </w:p>
    <w:p>
      <w:pPr>
        <w:ind w:left="320" w:hanging="317"/>
        <w:spacing w:after="0"/>
        <w:tabs>
          <w:tab w:leader="none" w:pos="3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Installed Building Products, Inc.;</w:t>
      </w:r>
    </w:p>
    <w:p>
      <w:pPr>
        <w:spacing w:after="0" w:line="217" w:lineRule="exact"/>
        <w:rPr>
          <w:rFonts w:ascii="Times New Roman" w:cs="Times New Roman" w:eastAsia="Times New Roman" w:hAnsi="Times New Roman"/>
          <w:sz w:val="17"/>
          <w:szCs w:val="17"/>
          <w:color w:val="auto"/>
        </w:rPr>
      </w:pPr>
    </w:p>
    <w:p>
      <w:pPr>
        <w:ind w:left="320" w:right="160" w:hanging="317"/>
        <w:spacing w:after="0" w:line="287" w:lineRule="auto"/>
        <w:tabs>
          <w:tab w:leader="none" w:pos="3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left="320" w:right="260" w:hanging="317"/>
        <w:spacing w:after="0" w:line="287" w:lineRule="auto"/>
        <w:tabs>
          <w:tab w:leader="none" w:pos="3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jc w:val="both"/>
        <w:ind w:left="320" w:right="60" w:hanging="317"/>
        <w:spacing w:after="0" w:line="270" w:lineRule="auto"/>
        <w:tabs>
          <w:tab w:leader="none" w:pos="3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Times New Roman" w:cs="Times New Roman" w:eastAsia="Times New Roman" w:hAnsi="Times New Roman"/>
          <w:sz w:val="17"/>
          <w:szCs w:val="17"/>
          <w:color w:val="auto"/>
        </w:rPr>
      </w:pPr>
    </w:p>
    <w:p>
      <w:pPr>
        <w:ind w:left="940" w:right="120" w:hanging="318"/>
        <w:spacing w:after="0" w:line="270" w:lineRule="auto"/>
        <w:tabs>
          <w:tab w:leader="none" w:pos="930" w:val="left"/>
        </w:tabs>
        <w:numPr>
          <w:ilvl w:val="2"/>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Times New Roman" w:cs="Times New Roman" w:eastAsia="Times New Roman" w:hAnsi="Times New Roman"/>
          <w:sz w:val="17"/>
          <w:szCs w:val="17"/>
          <w:color w:val="auto"/>
        </w:rPr>
      </w:pPr>
    </w:p>
    <w:p>
      <w:pPr>
        <w:ind w:left="940" w:right="100" w:hanging="318"/>
        <w:spacing w:after="0" w:line="270" w:lineRule="auto"/>
        <w:tabs>
          <w:tab w:leader="none" w:pos="940" w:val="left"/>
        </w:tabs>
        <w:numPr>
          <w:ilvl w:val="2"/>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Times New Roman" w:cs="Times New Roman" w:eastAsia="Times New Roman" w:hAnsi="Times New Roman"/>
          <w:sz w:val="17"/>
          <w:szCs w:val="17"/>
          <w:color w:val="auto"/>
        </w:rPr>
      </w:pPr>
    </w:p>
    <w:p>
      <w:pPr>
        <w:ind w:left="940" w:right="140" w:hanging="318"/>
        <w:spacing w:after="0" w:line="287" w:lineRule="auto"/>
        <w:tabs>
          <w:tab w:leader="none" w:pos="930" w:val="left"/>
        </w:tabs>
        <w:numPr>
          <w:ilvl w:val="2"/>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Times New Roman" w:cs="Times New Roman" w:eastAsia="Times New Roman" w:hAnsi="Times New Roman"/>
          <w:sz w:val="17"/>
          <w:szCs w:val="17"/>
          <w:color w:val="auto"/>
        </w:rPr>
      </w:pPr>
    </w:p>
    <w:p>
      <w:pPr>
        <w:jc w:val="both"/>
        <w:ind w:left="940" w:right="180" w:hanging="318"/>
        <w:spacing w:after="0" w:line="270" w:lineRule="auto"/>
        <w:tabs>
          <w:tab w:leader="none" w:pos="940" w:val="left"/>
        </w:tabs>
        <w:numPr>
          <w:ilvl w:val="2"/>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7"/>
          <w:szCs w:val="17"/>
          <w:color w:val="auto"/>
        </w:rPr>
      </w:pPr>
    </w:p>
    <w:p>
      <w:pPr>
        <w:ind w:left="620" w:right="520" w:hanging="307"/>
        <w:spacing w:after="0" w:line="287" w:lineRule="auto"/>
        <w:tabs>
          <w:tab w:leader="none" w:pos="62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left="1240" w:right="220" w:hanging="309"/>
        <w:spacing w:after="0" w:line="287" w:lineRule="auto"/>
        <w:tabs>
          <w:tab w:leader="none" w:pos="1230" w:val="left"/>
        </w:tabs>
        <w:numPr>
          <w:ilvl w:val="3"/>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7"/>
          <w:szCs w:val="17"/>
          <w:color w:val="auto"/>
        </w:rPr>
      </w:pPr>
    </w:p>
    <w:p>
      <w:pPr>
        <w:ind w:left="1240" w:right="160" w:hanging="309"/>
        <w:spacing w:after="0" w:line="287" w:lineRule="auto"/>
        <w:tabs>
          <w:tab w:leader="none" w:pos="1240" w:val="left"/>
        </w:tabs>
        <w:numPr>
          <w:ilvl w:val="3"/>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Dated:</w:t>
            </w:r>
          </w:p>
        </w:tc>
        <w:tc>
          <w:tcPr>
            <w:tcW w:w="30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May 7, 2026</w:t>
            </w:r>
          </w:p>
        </w:tc>
        <w:tc>
          <w:tcPr>
            <w:tcW w:w="2600" w:type="dxa"/>
            <w:vAlign w:val="bottom"/>
          </w:tcPr>
          <w:p>
            <w:pPr>
              <w:ind w:left="1980"/>
              <w:spacing w:after="0"/>
              <w:rPr>
                <w:sz w:val="20"/>
                <w:szCs w:val="20"/>
                <w:color w:val="auto"/>
              </w:rPr>
            </w:pPr>
            <w:r>
              <w:rPr>
                <w:rFonts w:ascii="Times New Roman" w:cs="Times New Roman" w:eastAsia="Times New Roman" w:hAnsi="Times New Roman"/>
                <w:sz w:val="17"/>
                <w:szCs w:val="17"/>
                <w:color w:val="auto"/>
              </w:rPr>
              <w:t>By:</w:t>
            </w: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Michael T. Miller</w:t>
            </w:r>
          </w:p>
        </w:tc>
      </w:tr>
      <w:tr>
        <w:trPr>
          <w:trHeight w:val="209"/>
        </w:trPr>
        <w:tc>
          <w:tcPr>
            <w:tcW w:w="7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7"/>
                <w:szCs w:val="17"/>
                <w:color w:val="auto"/>
              </w:rPr>
              <w:t>Michael T. Miller</w:t>
            </w:r>
          </w:p>
        </w:tc>
      </w:tr>
      <w:tr>
        <w:trPr>
          <w:trHeight w:val="223"/>
        </w:trPr>
        <w:tc>
          <w:tcPr>
            <w:tcW w:w="7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bl>
    <w:p>
      <w:pPr>
        <w:sectPr>
          <w:pgSz w:w="11900" w:h="16838" w:orient="portrait"/>
          <w:cols w:equalWidth="0" w:num="1">
            <w:col w:w="11240"/>
          </w:cols>
          <w:pgMar w:left="320" w:top="854"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INSTALLED BUILDING PRODUCTS,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Required by Rule 13a-14(b) or 15d-14(b)</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of the Securities Exchange Act of 1934 and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1350 of Chapter 63 of Title 18 of the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United States Code</w:t>
      </w:r>
    </w:p>
    <w:p>
      <w:pPr>
        <w:spacing w:after="0" w:line="200"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7"/>
          <w:szCs w:val="17"/>
          <w:color w:val="auto"/>
        </w:rPr>
        <w:t>The certification set forth below is being submitted in connection with the Installed Building Products, Inc. Quarterly Report on Form 10-Q for the quarterly period ended March 31, 2026 (the “Report”) for the purpose of complying with Rule 13a-14(b) or Rule 15d-14(b) of the Securities Exchange Act of 1934 (the “Exchange Act”) and Section 1350 of Chapter 63 of Title 18 of the United States Code.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Jeffrey W. Edwards, the President and Chief Executive Officer, of Installed Building Products, Inc., certifies that, to the best of his knowledge:</w:t>
      </w:r>
    </w:p>
    <w:p>
      <w:pPr>
        <w:spacing w:after="0" w:line="217" w:lineRule="exact"/>
        <w:rPr>
          <w:sz w:val="20"/>
          <w:szCs w:val="20"/>
          <w:color w:val="auto"/>
        </w:rPr>
      </w:pPr>
    </w:p>
    <w:p>
      <w:pPr>
        <w:ind w:left="620" w:hanging="307"/>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7"/>
          <w:szCs w:val="17"/>
          <w:color w:val="auto"/>
        </w:rPr>
      </w:pPr>
    </w:p>
    <w:p>
      <w:pPr>
        <w:ind w:left="620" w:right="100" w:hanging="307"/>
        <w:spacing w:after="0" w:line="287" w:lineRule="auto"/>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consolidated financial condition and results of operations of Installed Building Products, Inc.</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Dated:</w:t>
            </w:r>
          </w:p>
        </w:tc>
        <w:tc>
          <w:tcPr>
            <w:tcW w:w="37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May 7, 2026</w:t>
            </w:r>
          </w:p>
        </w:tc>
        <w:tc>
          <w:tcPr>
            <w:tcW w:w="3240" w:type="dxa"/>
            <w:vAlign w:val="bottom"/>
          </w:tcPr>
          <w:p>
            <w:pPr>
              <w:ind w:left="2640"/>
              <w:spacing w:after="0"/>
              <w:rPr>
                <w:sz w:val="20"/>
                <w:szCs w:val="20"/>
                <w:color w:val="auto"/>
              </w:rPr>
            </w:pPr>
            <w:r>
              <w:rPr>
                <w:rFonts w:ascii="Times New Roman" w:cs="Times New Roman" w:eastAsia="Times New Roman" w:hAnsi="Times New Roman"/>
                <w:sz w:val="17"/>
                <w:szCs w:val="17"/>
                <w:color w:val="auto"/>
              </w:rPr>
              <w:t>By:</w:t>
            </w:r>
          </w:p>
        </w:tc>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Jeffrey W. Edwards</w:t>
            </w:r>
          </w:p>
        </w:tc>
      </w:tr>
      <w:tr>
        <w:trPr>
          <w:trHeight w:val="209"/>
        </w:trPr>
        <w:tc>
          <w:tcPr>
            <w:tcW w:w="7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Jeffrey W. Edwards</w:t>
            </w:r>
          </w:p>
        </w:tc>
      </w:tr>
      <w:tr>
        <w:trPr>
          <w:trHeight w:val="223"/>
        </w:trPr>
        <w:tc>
          <w:tcPr>
            <w:tcW w:w="7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bl>
    <w:p>
      <w:pPr>
        <w:sectPr>
          <w:pgSz w:w="11900" w:h="16838" w:orient="portrait"/>
          <w:cols w:equalWidth="0" w:num="1">
            <w:col w:w="11240"/>
          </w:cols>
          <w:pgMar w:left="320" w:top="854"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INSTALLED BUILDING PRODUCTS,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Required by Rule 13a-14(b) or 15d-14(b)</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of the Securities Exchange Act of 1934 and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1350 of Chapter 63 of Title 18 of the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United States Code</w:t>
      </w:r>
    </w:p>
    <w:p>
      <w:pPr>
        <w:spacing w:after="0" w:line="200"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7"/>
          <w:szCs w:val="17"/>
          <w:color w:val="auto"/>
        </w:rPr>
        <w:t>The certification set forth below is being submitted in connection with the Installed Building Products, Inc. Quarterly Report on Form 10-Q for the quarterly period ended March 31, 2026 (the “Report”) for the purpose of complying with Rule 13a-14(b) or Rule 15d-14(b) of the Securities Exchange Act of 1934 (the “Exchange Act”) and Section 1350 of Chapter 63 of Title 18 of the United States Code.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Michael T. Miller, the Executive Vice President and Chief Financial Officer, of Installed Building Products, Inc., certifies that, to the best of his knowledge:</w:t>
      </w:r>
    </w:p>
    <w:p>
      <w:pPr>
        <w:spacing w:after="0" w:line="217" w:lineRule="exact"/>
        <w:rPr>
          <w:sz w:val="20"/>
          <w:szCs w:val="20"/>
          <w:color w:val="auto"/>
        </w:rPr>
      </w:pPr>
    </w:p>
    <w:p>
      <w:pPr>
        <w:ind w:left="660" w:hanging="347"/>
        <w:spacing w:after="0"/>
        <w:tabs>
          <w:tab w:leader="none" w:pos="6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7"/>
          <w:szCs w:val="17"/>
          <w:color w:val="auto"/>
        </w:rPr>
      </w:pPr>
    </w:p>
    <w:p>
      <w:pPr>
        <w:ind w:left="620" w:right="100" w:hanging="307"/>
        <w:spacing w:after="0" w:line="287" w:lineRule="auto"/>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consolidated financial condition and results of operations of Installed Building Products, Inc.</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Dated:</w:t>
            </w:r>
          </w:p>
        </w:tc>
        <w:tc>
          <w:tcPr>
            <w:tcW w:w="30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May 7, 2026</w:t>
            </w:r>
          </w:p>
        </w:tc>
        <w:tc>
          <w:tcPr>
            <w:tcW w:w="2600" w:type="dxa"/>
            <w:vAlign w:val="bottom"/>
          </w:tcPr>
          <w:p>
            <w:pPr>
              <w:ind w:left="1980"/>
              <w:spacing w:after="0"/>
              <w:rPr>
                <w:sz w:val="20"/>
                <w:szCs w:val="20"/>
                <w:color w:val="auto"/>
              </w:rPr>
            </w:pPr>
            <w:r>
              <w:rPr>
                <w:rFonts w:ascii="Times New Roman" w:cs="Times New Roman" w:eastAsia="Times New Roman" w:hAnsi="Times New Roman"/>
                <w:sz w:val="17"/>
                <w:szCs w:val="17"/>
                <w:color w:val="auto"/>
              </w:rPr>
              <w:t>By:</w:t>
            </w: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Michael T. Miller</w:t>
            </w:r>
          </w:p>
        </w:tc>
      </w:tr>
      <w:tr>
        <w:trPr>
          <w:trHeight w:val="209"/>
        </w:trPr>
        <w:tc>
          <w:tcPr>
            <w:tcW w:w="7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7"/>
                <w:szCs w:val="17"/>
                <w:color w:val="auto"/>
              </w:rPr>
              <w:t>Michael T. Miller</w:t>
            </w:r>
          </w:p>
        </w:tc>
      </w:tr>
      <w:tr>
        <w:trPr>
          <w:trHeight w:val="223"/>
        </w:trPr>
        <w:tc>
          <w:tcPr>
            <w:tcW w:w="7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8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lvl w:ilvl="3">
      <w:lvlJc w:val="left"/>
      <w:lvlText w:val="%4."/>
      <w:numFmt w:val="lowerLetter"/>
      <w:start w:val="1"/>
    </w:lvl>
  </w:abstractNum>
  <w:abstractNum w:abstractNumId="8">
    <w:nsid w:val="4DB127F8"/>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lvl w:ilvl="3">
      <w:lvlJc w:val="left"/>
      <w:lvlText w:val="%4."/>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66" Type="http://schemas.openxmlformats.org/officeDocument/2006/relationships/hyperlink" Target="https://www.sec.gov/Archives/edgar/data/1580905/000162828026003102/a41ibp-indenture2026exec.htm" TargetMode="External"/><Relationship Id="rId67" Type="http://schemas.openxmlformats.org/officeDocument/2006/relationships/hyperlink" Target="https://www.sec.gov/Archives/edgar/data/1580905/000162828026003102/a101ibp-amendmentno4tocr.htm" TargetMode="External"/><Relationship Id="rId68" Type="http://schemas.openxmlformats.org/officeDocument/2006/relationships/hyperlink" Target="https://www.sec.gov/Archives/edgar/data/1580905/000162828026003102/a102ibp-2026intercredit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2026-05-07T14:54:18Z</dcterms:created>
  <dcterms:modified xsi:type="dcterms:W3CDTF">2026-05-07T14:54:18Z</dcterms:modified>
</cp:coreProperties>
</file>