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0"/>
          <w:szCs w:val="30"/>
          <w:b w:val="1"/>
          <w:bCs w:val="1"/>
          <w:color w:val="auto"/>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FORM 10-K</w:t>
      </w:r>
    </w:p>
    <w:p>
      <w:pPr>
        <w:spacing w:after="0" w:line="8"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12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001-36307</w:t>
      </w:r>
    </w:p>
    <w:p>
      <w:pPr>
        <w:spacing w:after="0" w:line="11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75" w:lineRule="exact"/>
        <w:rPr>
          <w:sz w:val="24"/>
          <w:szCs w:val="24"/>
          <w:color w:val="auto"/>
        </w:rPr>
      </w:pPr>
    </w:p>
    <w:p>
      <w:pPr>
        <w:jc w:val="center"/>
        <w:ind w:right="-39"/>
        <w:spacing w:after="0"/>
        <w:rPr>
          <w:sz w:val="20"/>
          <w:szCs w:val="20"/>
          <w:color w:val="auto"/>
        </w:rPr>
      </w:pPr>
      <w:r>
        <w:rPr>
          <w:rFonts w:ascii="Arial" w:cs="Arial" w:eastAsia="Arial" w:hAnsi="Arial"/>
          <w:sz w:val="37"/>
          <w:szCs w:val="37"/>
          <w:b w:val="1"/>
          <w:bCs w:val="1"/>
          <w:color w:val="auto"/>
        </w:rPr>
        <w:t>Installed Building Products, Inc.</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126" w:lineRule="exact"/>
        <w:rPr>
          <w:sz w:val="24"/>
          <w:szCs w:val="24"/>
          <w:color w:val="auto"/>
        </w:rPr>
      </w:pPr>
    </w:p>
    <w:tbl>
      <w:tblPr>
        <w:tblLayout w:type="fixed"/>
        <w:tblInd w:w="1300" w:type="dxa"/>
        <w:tblCellMar>
          <w:top w:w="0" w:type="dxa"/>
          <w:left w:w="0" w:type="dxa"/>
          <w:bottom w:w="0" w:type="dxa"/>
          <w:right w:w="0" w:type="dxa"/>
        </w:tblCellMar>
      </w:tblPr>
      <w:tr>
        <w:trPr>
          <w:trHeight w:val="23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right"/>
              <w:ind w:right="170"/>
              <w:spacing w:after="0"/>
              <w:rPr>
                <w:sz w:val="20"/>
                <w:szCs w:val="20"/>
                <w:color w:val="auto"/>
              </w:rPr>
            </w:pPr>
            <w:r>
              <w:rPr>
                <w:rFonts w:ascii="Arial" w:cs="Arial" w:eastAsia="Arial" w:hAnsi="Arial"/>
                <w:sz w:val="18"/>
                <w:szCs w:val="18"/>
                <w:b w:val="1"/>
                <w:bCs w:val="1"/>
                <w:color w:val="auto"/>
              </w:rPr>
              <w:t>45-3707650</w:t>
            </w:r>
          </w:p>
        </w:tc>
      </w:tr>
      <w:tr>
        <w:trPr>
          <w:trHeight w:val="180"/>
        </w:trPr>
        <w:tc>
          <w:tcPr>
            <w:tcW w:w="4720" w:type="dxa"/>
            <w:vAlign w:val="bottom"/>
          </w:tcPr>
          <w:p>
            <w:pPr>
              <w:jc w:val="center"/>
              <w:ind w:right="1650"/>
              <w:spacing w:after="0" w:line="181" w:lineRule="exact"/>
              <w:rPr>
                <w:sz w:val="20"/>
                <w:szCs w:val="20"/>
                <w:color w:val="auto"/>
              </w:rPr>
            </w:pPr>
            <w:r>
              <w:rPr>
                <w:rFonts w:ascii="Arial" w:cs="Arial" w:eastAsia="Arial" w:hAnsi="Arial"/>
                <w:sz w:val="18"/>
                <w:szCs w:val="18"/>
                <w:b w:val="1"/>
                <w:bCs w:val="1"/>
                <w:color w:val="auto"/>
                <w:w w:val="91"/>
              </w:rPr>
              <w:t>(State or other jurisdiction of</w:t>
            </w:r>
          </w:p>
        </w:tc>
        <w:tc>
          <w:tcPr>
            <w:tcW w:w="3140" w:type="dxa"/>
            <w:vAlign w:val="bottom"/>
          </w:tcPr>
          <w:p>
            <w:pPr>
              <w:jc w:val="center"/>
              <w:ind w:left="1630"/>
              <w:spacing w:after="0" w:line="18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incorporation or organization)</w:t>
            </w:r>
          </w:p>
        </w:tc>
        <w:tc>
          <w:tcPr>
            <w:tcW w:w="314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Identification No.)</w:t>
            </w:r>
          </w:p>
        </w:tc>
      </w:tr>
      <w:tr>
        <w:trPr>
          <w:trHeight w:val="274"/>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495 South High Street, Suite 50</w:t>
            </w:r>
          </w:p>
        </w:tc>
        <w:tc>
          <w:tcPr>
            <w:tcW w:w="3140" w:type="dxa"/>
            <w:vAlign w:val="bottom"/>
          </w:tcPr>
          <w:p>
            <w:pPr>
              <w:spacing w:after="0"/>
              <w:rPr>
                <w:sz w:val="23"/>
                <w:szCs w:val="23"/>
                <w:color w:val="auto"/>
              </w:rPr>
            </w:pPr>
          </w:p>
        </w:tc>
      </w:tr>
      <w:tr>
        <w:trPr>
          <w:trHeight w:val="23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Columbus, Ohio</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43215</w:t>
            </w:r>
          </w:p>
        </w:tc>
      </w:tr>
      <w:tr>
        <w:trPr>
          <w:trHeight w:val="234"/>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4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(Zip Code)</w:t>
            </w:r>
          </w:p>
        </w:tc>
      </w:tr>
    </w:tbl>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(614) 221-3399</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00"/>
          </w:cols>
          <w:pgMar w:left="320" w:top="1440" w:right="379" w:bottom="0" w:gutter="0" w:footer="0" w:header="0"/>
        </w:sectPr>
      </w:pPr>
    </w:p>
    <w:p>
      <w:pPr>
        <w:spacing w:after="0" w:line="130" w:lineRule="exact"/>
        <w:rPr>
          <w:sz w:val="24"/>
          <w:szCs w:val="24"/>
          <w:color w:val="auto"/>
        </w:rPr>
      </w:pPr>
    </w:p>
    <w:p>
      <w:pPr>
        <w:ind w:left="172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51" w:lineRule="exact"/>
        <w:rPr>
          <w:sz w:val="24"/>
          <w:szCs w:val="24"/>
          <w:color w:val="auto"/>
        </w:rPr>
      </w:pPr>
    </w:p>
    <w:p>
      <w:pPr>
        <w:sectPr>
          <w:pgSz w:w="11900" w:h="16838" w:orient="portrait"/>
          <w:cols w:equalWidth="0" w:num="3">
            <w:col w:w="4340" w:space="720"/>
            <w:col w:w="1960" w:space="720"/>
            <w:col w:w="3460"/>
          </w:cols>
          <w:pgMar w:left="320" w:top="1440" w:right="379" w:bottom="0" w:gutter="0" w:footer="0" w:header="0"/>
          <w:type w:val="continuous"/>
        </w:sectPr>
      </w:pPr>
    </w:p>
    <w:p>
      <w:pPr>
        <w:ind w:left="66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IBP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New York Stock Exchange</w:t>
      </w:r>
    </w:p>
    <w:p>
      <w:pPr>
        <w:spacing w:after="0" w:line="211" w:lineRule="exact"/>
        <w:rPr>
          <w:sz w:val="24"/>
          <w:szCs w:val="24"/>
          <w:color w:val="auto"/>
        </w:rPr>
      </w:pPr>
    </w:p>
    <w:p>
      <w:pPr>
        <w:sectPr>
          <w:pgSz w:w="11900" w:h="16838" w:orient="portrait"/>
          <w:cols w:equalWidth="0" w:num="3">
            <w:col w:w="4740" w:space="720"/>
            <w:col w:w="1640" w:space="720"/>
            <w:col w:w="3380"/>
          </w:cols>
          <w:pgMar w:left="320" w:top="1440" w:right="379" w:bottom="0" w:gutter="0" w:footer="0" w:header="0"/>
          <w:type w:val="continuous"/>
        </w:sectPr>
      </w:pP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43" w:lineRule="exact"/>
        <w:rPr>
          <w:sz w:val="24"/>
          <w:szCs w:val="24"/>
          <w:color w:val="auto"/>
        </w:rPr>
      </w:pPr>
    </w:p>
    <w:p>
      <w:pPr>
        <w:ind w:right="1520"/>
        <w:spacing w:after="0" w:line="28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w:t>
      </w:r>
    </w:p>
    <w:p>
      <w:pPr>
        <w:spacing w:after="0" w:line="23" w:lineRule="exact"/>
        <w:rPr>
          <w:sz w:val="24"/>
          <w:szCs w:val="24"/>
          <w:color w:val="auto"/>
        </w:rPr>
      </w:pPr>
    </w:p>
    <w:p>
      <w:pPr>
        <w:ind w:right="320"/>
        <w:spacing w:after="0" w:line="226" w:lineRule="exact"/>
        <w:rPr>
          <w:sz w:val="20"/>
          <w:szCs w:val="20"/>
          <w:color w:val="auto"/>
        </w:rPr>
      </w:pPr>
      <w:r>
        <w:rPr>
          <w:rFonts w:ascii="Arial" w:cs="Arial" w:eastAsia="Arial" w:hAnsi="Arial"/>
          <w:sz w:val="18"/>
          <w:szCs w:val="18"/>
          <w:color w:val="auto"/>
        </w:rPr>
        <w:t xml:space="preserve">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510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51"/>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320"/>
              <w:spacing w:after="0" w:line="201" w:lineRule="exact"/>
              <w:rPr>
                <w:sz w:val="20"/>
                <w:szCs w:val="20"/>
                <w:color w:val="auto"/>
              </w:rPr>
            </w:pPr>
            <w:r>
              <w:rPr>
                <w:rFonts w:ascii="MS PGothic" w:cs="MS PGothic" w:eastAsia="MS PGothic" w:hAnsi="MS PGothic"/>
                <w:sz w:val="20"/>
                <w:szCs w:val="20"/>
                <w:color w:val="auto"/>
              </w:rPr>
              <w:t>☐</w:t>
            </w:r>
          </w:p>
        </w:tc>
        <w:tc>
          <w:tcPr>
            <w:tcW w:w="510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51"/>
        </w:trPr>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10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176"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line="196" w:lineRule="exact"/>
        <w:tabs>
          <w:tab w:leader="none" w:pos="81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200"/>
          </w:cols>
          <w:pgMar w:left="320" w:top="1440" w:right="379" w:bottom="0" w:gutter="0" w:footer="0" w:header="0"/>
          <w:type w:val="continuous"/>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on June 30, 2021 was $2,891,660,953.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On February 17, 2022, the registrant had 33,271,659 shares of common stock, par value $0.01 per share, outstanding.</w:t>
      </w:r>
    </w:p>
    <w:p>
      <w:pPr>
        <w:spacing w:after="0" w:line="14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Portions of the registrant’s Definitive Proxy Statement relating to the 2022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10"/>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PART I</w:t>
            </w:r>
          </w:p>
        </w:tc>
        <w:tc>
          <w:tcPr>
            <w:tcW w:w="740" w:type="dxa"/>
            <w:vAlign w:val="bottom"/>
            <w:vMerge w:val="restart"/>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1</w:t>
              </w:r>
            </w:hyperlink>
          </w:p>
        </w:tc>
        <w:tc>
          <w:tcPr>
            <w:tcW w:w="0" w:type="dxa"/>
            <w:vAlign w:val="bottom"/>
          </w:tcPr>
          <w:p>
            <w:pPr>
              <w:spacing w:after="0"/>
              <w:rPr>
                <w:sz w:val="1"/>
                <w:szCs w:val="1"/>
                <w:color w:val="auto"/>
              </w:rPr>
            </w:pPr>
          </w:p>
        </w:tc>
      </w:tr>
      <w:tr>
        <w:trPr>
          <w:trHeight w:val="229"/>
        </w:trPr>
        <w:tc>
          <w:tcPr>
            <w:tcW w:w="1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Item 1.</w:t>
            </w:r>
          </w:p>
        </w:tc>
        <w:tc>
          <w:tcPr>
            <w:tcW w:w="9240" w:type="dxa"/>
            <w:vAlign w:val="bottom"/>
            <w:gridSpan w:val="23"/>
            <w:vMerge w:val="restart"/>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Business</w:t>
              </w:r>
            </w:hyperlink>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180" w:type="dxa"/>
            <w:vAlign w:val="bottom"/>
            <w:vMerge w:val="continue"/>
          </w:tcPr>
          <w:p>
            <w:pPr>
              <w:spacing w:after="0"/>
              <w:rPr>
                <w:sz w:val="4"/>
                <w:szCs w:val="4"/>
                <w:color w:val="auto"/>
              </w:rPr>
            </w:pPr>
          </w:p>
        </w:tc>
        <w:tc>
          <w:tcPr>
            <w:tcW w:w="9240" w:type="dxa"/>
            <w:vAlign w:val="bottom"/>
            <w:gridSpan w:val="23"/>
            <w:vMerge w:val="continue"/>
          </w:tcPr>
          <w:p>
            <w:pPr>
              <w:spacing w:after="0"/>
              <w:rPr>
                <w:sz w:val="4"/>
                <w:szCs w:val="4"/>
                <w:color w:val="auto"/>
              </w:rPr>
            </w:pPr>
          </w:p>
        </w:tc>
        <w:tc>
          <w:tcPr>
            <w:tcW w:w="740" w:type="dxa"/>
            <w:vAlign w:val="bottom"/>
            <w:vMerge w:val="restart"/>
          </w:tcPr>
          <w:p>
            <w:pPr>
              <w:jc w:val="right"/>
              <w:spacing w:after="0"/>
              <w:rPr>
                <w:rFonts w:ascii="Arial" w:cs="Arial" w:eastAsia="Arial" w:hAnsi="Arial"/>
                <w:sz w:val="18"/>
                <w:szCs w:val="18"/>
                <w:b w:val="1"/>
                <w:bCs w:val="1"/>
                <w:color w:val="auto"/>
              </w:rPr>
            </w:pPr>
            <w:hyperlink w:anchor="page15">
              <w:r>
                <w:rPr>
                  <w:rFonts w:ascii="Arial" w:cs="Arial" w:eastAsia="Arial" w:hAnsi="Arial"/>
                  <w:sz w:val="18"/>
                  <w:szCs w:val="18"/>
                  <w:b w:val="1"/>
                  <w:bCs w:val="1"/>
                  <w:color w:val="auto"/>
                </w:rPr>
                <w:t>11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vMerge w:val="restart"/>
          </w:tcPr>
          <w:p>
            <w:pPr>
              <w:spacing w:after="0"/>
              <w:rPr>
                <w:rFonts w:ascii="Arial" w:cs="Arial" w:eastAsia="Arial" w:hAnsi="Arial"/>
                <w:sz w:val="18"/>
                <w:szCs w:val="18"/>
                <w:b w:val="1"/>
                <w:bCs w:val="1"/>
                <w:color w:val="0000FF"/>
                <w:w w:val="88"/>
              </w:rPr>
            </w:pPr>
            <w:hyperlink w:anchor="page15">
              <w:r>
                <w:rPr>
                  <w:rFonts w:ascii="Arial" w:cs="Arial" w:eastAsia="Arial" w:hAnsi="Arial"/>
                  <w:sz w:val="18"/>
                  <w:szCs w:val="18"/>
                  <w:b w:val="1"/>
                  <w:bCs w:val="1"/>
                  <w:color w:val="0000FF"/>
                  <w:w w:val="88"/>
                </w:rPr>
                <w:t>Risk Factors</w:t>
              </w:r>
            </w:hyperlink>
          </w:p>
        </w:tc>
        <w:tc>
          <w:tcPr>
            <w:tcW w:w="8260" w:type="dxa"/>
            <w:vAlign w:val="bottom"/>
            <w:gridSpan w:val="19"/>
            <w:vMerge w:val="restart"/>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1180" w:type="dxa"/>
            <w:vAlign w:val="bottom"/>
            <w:vMerge w:val="continue"/>
          </w:tcPr>
          <w:p>
            <w:pPr>
              <w:spacing w:after="0"/>
              <w:rPr>
                <w:sz w:val="2"/>
                <w:szCs w:val="2"/>
                <w:color w:val="auto"/>
              </w:rPr>
            </w:pPr>
          </w:p>
        </w:tc>
        <w:tc>
          <w:tcPr>
            <w:tcW w:w="980" w:type="dxa"/>
            <w:vAlign w:val="bottom"/>
            <w:tcBorders>
              <w:bottom w:val="single" w:sz="8" w:color="0000FF"/>
            </w:tcBorders>
            <w:gridSpan w:val="4"/>
            <w:vMerge w:val="continue"/>
          </w:tcPr>
          <w:p>
            <w:pPr>
              <w:spacing w:after="0"/>
              <w:rPr>
                <w:sz w:val="2"/>
                <w:szCs w:val="2"/>
                <w:color w:val="auto"/>
              </w:rPr>
            </w:pPr>
          </w:p>
        </w:tc>
        <w:tc>
          <w:tcPr>
            <w:tcW w:w="8260" w:type="dxa"/>
            <w:vAlign w:val="bottom"/>
            <w:gridSpan w:val="19"/>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11"/>
            <w:vMerge w:val="restart"/>
          </w:tcPr>
          <w:p>
            <w:pPr>
              <w:spacing w:after="0"/>
              <w:rPr>
                <w:rFonts w:ascii="Arial" w:cs="Arial" w:eastAsia="Arial" w:hAnsi="Arial"/>
                <w:sz w:val="18"/>
                <w:szCs w:val="18"/>
                <w:b w:val="1"/>
                <w:bCs w:val="1"/>
                <w:color w:val="0000FF"/>
                <w:w w:val="88"/>
              </w:rPr>
            </w:pPr>
            <w:hyperlink w:anchor="page33">
              <w:r>
                <w:rPr>
                  <w:rFonts w:ascii="Arial" w:cs="Arial" w:eastAsia="Arial" w:hAnsi="Arial"/>
                  <w:sz w:val="18"/>
                  <w:szCs w:val="18"/>
                  <w:b w:val="1"/>
                  <w:bCs w:val="1"/>
                  <w:color w:val="0000FF"/>
                  <w:w w:val="88"/>
                </w:rPr>
                <w:t>Unresolved Staff Comments</w:t>
              </w:r>
            </w:hyperlink>
          </w:p>
        </w:tc>
        <w:tc>
          <w:tcPr>
            <w:tcW w:w="7080" w:type="dxa"/>
            <w:vAlign w:val="bottom"/>
            <w:gridSpan w:val="12"/>
            <w:vMerge w:val="restart"/>
          </w:tcPr>
          <w:p>
            <w:pPr>
              <w:spacing w:after="0"/>
              <w:rPr>
                <w:sz w:val="24"/>
                <w:szCs w:val="24"/>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29</w:t>
              </w:r>
            </w:hyperlink>
          </w:p>
        </w:tc>
        <w:tc>
          <w:tcPr>
            <w:tcW w:w="0" w:type="dxa"/>
            <w:vAlign w:val="bottom"/>
          </w:tcPr>
          <w:p>
            <w:pPr>
              <w:spacing w:after="0"/>
              <w:rPr>
                <w:sz w:val="1"/>
                <w:szCs w:val="1"/>
                <w:color w:val="auto"/>
              </w:rPr>
            </w:pPr>
          </w:p>
        </w:tc>
      </w:tr>
      <w:tr>
        <w:trPr>
          <w:trHeight w:val="32"/>
        </w:trPr>
        <w:tc>
          <w:tcPr>
            <w:tcW w:w="1180" w:type="dxa"/>
            <w:vAlign w:val="bottom"/>
            <w:vMerge w:val="continue"/>
          </w:tcPr>
          <w:p>
            <w:pPr>
              <w:spacing w:after="0"/>
              <w:rPr>
                <w:sz w:val="2"/>
                <w:szCs w:val="2"/>
                <w:color w:val="auto"/>
              </w:rPr>
            </w:pPr>
          </w:p>
        </w:tc>
        <w:tc>
          <w:tcPr>
            <w:tcW w:w="2160" w:type="dxa"/>
            <w:vAlign w:val="bottom"/>
            <w:tcBorders>
              <w:bottom w:val="single" w:sz="8" w:color="0000FF"/>
            </w:tcBorders>
            <w:gridSpan w:val="11"/>
            <w:vMerge w:val="continue"/>
          </w:tcPr>
          <w:p>
            <w:pPr>
              <w:spacing w:after="0"/>
              <w:rPr>
                <w:sz w:val="2"/>
                <w:szCs w:val="2"/>
                <w:color w:val="auto"/>
              </w:rPr>
            </w:pPr>
          </w:p>
        </w:tc>
        <w:tc>
          <w:tcPr>
            <w:tcW w:w="7080" w:type="dxa"/>
            <w:vAlign w:val="bottom"/>
            <w:gridSpan w:val="12"/>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Item 2.</w:t>
            </w:r>
          </w:p>
        </w:tc>
        <w:tc>
          <w:tcPr>
            <w:tcW w:w="800" w:type="dxa"/>
            <w:vAlign w:val="bottom"/>
            <w:gridSpan w:val="2"/>
            <w:vMerge w:val="restart"/>
          </w:tcPr>
          <w:p>
            <w:pPr>
              <w:spacing w:after="0"/>
              <w:rPr>
                <w:rFonts w:ascii="Arial" w:cs="Arial" w:eastAsia="Arial" w:hAnsi="Arial"/>
                <w:sz w:val="18"/>
                <w:szCs w:val="18"/>
                <w:b w:val="1"/>
                <w:bCs w:val="1"/>
                <w:color w:val="0000FF"/>
                <w:w w:val="87"/>
              </w:rPr>
            </w:pPr>
            <w:hyperlink w:anchor="page33">
              <w:r>
                <w:rPr>
                  <w:rFonts w:ascii="Arial" w:cs="Arial" w:eastAsia="Arial" w:hAnsi="Arial"/>
                  <w:sz w:val="18"/>
                  <w:szCs w:val="18"/>
                  <w:b w:val="1"/>
                  <w:bCs w:val="1"/>
                  <w:color w:val="0000FF"/>
                  <w:w w:val="87"/>
                </w:rPr>
                <w:t>Properties</w:t>
              </w:r>
            </w:hyperlink>
          </w:p>
        </w:tc>
        <w:tc>
          <w:tcPr>
            <w:tcW w:w="8440" w:type="dxa"/>
            <w:vAlign w:val="bottom"/>
            <w:gridSpan w:val="21"/>
            <w:vMerge w:val="restart"/>
          </w:tcPr>
          <w:p>
            <w:pPr>
              <w:spacing w:after="0"/>
              <w:rPr>
                <w:sz w:val="24"/>
                <w:szCs w:val="24"/>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30</w:t>
              </w:r>
            </w:hyperlink>
          </w:p>
        </w:tc>
        <w:tc>
          <w:tcPr>
            <w:tcW w:w="0" w:type="dxa"/>
            <w:vAlign w:val="bottom"/>
          </w:tcPr>
          <w:p>
            <w:pPr>
              <w:spacing w:after="0"/>
              <w:rPr>
                <w:sz w:val="1"/>
                <w:szCs w:val="1"/>
                <w:color w:val="auto"/>
              </w:rPr>
            </w:pPr>
          </w:p>
        </w:tc>
      </w:tr>
      <w:tr>
        <w:trPr>
          <w:trHeight w:val="32"/>
        </w:trPr>
        <w:tc>
          <w:tcPr>
            <w:tcW w:w="1180" w:type="dxa"/>
            <w:vAlign w:val="bottom"/>
            <w:vMerge w:val="continue"/>
          </w:tcPr>
          <w:p>
            <w:pPr>
              <w:spacing w:after="0"/>
              <w:rPr>
                <w:sz w:val="2"/>
                <w:szCs w:val="2"/>
                <w:color w:val="auto"/>
              </w:rPr>
            </w:pPr>
          </w:p>
        </w:tc>
        <w:tc>
          <w:tcPr>
            <w:tcW w:w="800" w:type="dxa"/>
            <w:vAlign w:val="bottom"/>
            <w:tcBorders>
              <w:bottom w:val="single" w:sz="8" w:color="0000FF"/>
            </w:tcBorders>
            <w:gridSpan w:val="2"/>
            <w:vMerge w:val="continue"/>
          </w:tcPr>
          <w:p>
            <w:pPr>
              <w:spacing w:after="0"/>
              <w:rPr>
                <w:sz w:val="2"/>
                <w:szCs w:val="2"/>
                <w:color w:val="auto"/>
              </w:rPr>
            </w:pPr>
          </w:p>
        </w:tc>
        <w:tc>
          <w:tcPr>
            <w:tcW w:w="8440" w:type="dxa"/>
            <w:vAlign w:val="bottom"/>
            <w:gridSpan w:val="21"/>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Item 3.</w:t>
            </w:r>
          </w:p>
        </w:tc>
        <w:tc>
          <w:tcPr>
            <w:tcW w:w="9240" w:type="dxa"/>
            <w:vAlign w:val="bottom"/>
            <w:gridSpan w:val="23"/>
            <w:vMerge w:val="restart"/>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Legal Proceedings</w:t>
              </w:r>
            </w:hyperlink>
          </w:p>
        </w:tc>
        <w:tc>
          <w:tcPr>
            <w:tcW w:w="740" w:type="dxa"/>
            <w:vAlign w:val="bottom"/>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30</w:t>
              </w:r>
            </w:hyperlink>
          </w:p>
        </w:tc>
        <w:tc>
          <w:tcPr>
            <w:tcW w:w="0" w:type="dxa"/>
            <w:vAlign w:val="bottom"/>
          </w:tcPr>
          <w:p>
            <w:pPr>
              <w:spacing w:after="0"/>
              <w:rPr>
                <w:sz w:val="1"/>
                <w:szCs w:val="1"/>
                <w:color w:val="auto"/>
              </w:rPr>
            </w:pPr>
          </w:p>
        </w:tc>
      </w:tr>
      <w:tr>
        <w:trPr>
          <w:trHeight w:val="27"/>
        </w:trPr>
        <w:tc>
          <w:tcPr>
            <w:tcW w:w="1180" w:type="dxa"/>
            <w:vAlign w:val="bottom"/>
            <w:vMerge w:val="continue"/>
          </w:tcPr>
          <w:p>
            <w:pPr>
              <w:spacing w:after="0"/>
              <w:rPr>
                <w:sz w:val="2"/>
                <w:szCs w:val="2"/>
                <w:color w:val="auto"/>
              </w:rPr>
            </w:pPr>
          </w:p>
        </w:tc>
        <w:tc>
          <w:tcPr>
            <w:tcW w:w="9240" w:type="dxa"/>
            <w:vAlign w:val="bottom"/>
            <w:gridSpan w:val="23"/>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vMerge w:val="restart"/>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30</w:t>
              </w:r>
            </w:hyperlink>
          </w:p>
        </w:tc>
        <w:tc>
          <w:tcPr>
            <w:tcW w:w="0" w:type="dxa"/>
            <w:vAlign w:val="bottom"/>
          </w:tcPr>
          <w:p>
            <w:pPr>
              <w:spacing w:after="0" w:line="20" w:lineRule="exact"/>
              <w:rPr>
                <w:sz w:val="1"/>
                <w:szCs w:val="1"/>
                <w:color w:val="auto"/>
              </w:rPr>
            </w:pPr>
          </w:p>
        </w:tc>
      </w:tr>
      <w:tr>
        <w:trPr>
          <w:trHeight w:val="277"/>
        </w:trPr>
        <w:tc>
          <w:tcPr>
            <w:tcW w:w="11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Item 4.</w:t>
            </w:r>
          </w:p>
        </w:tc>
        <w:tc>
          <w:tcPr>
            <w:tcW w:w="9240" w:type="dxa"/>
            <w:vAlign w:val="bottom"/>
            <w:gridSpan w:val="23"/>
            <w:vMerge w:val="restart"/>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Mine Safety Disclosures</w:t>
              </w:r>
            </w:hyperlink>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80" w:type="dxa"/>
            <w:vAlign w:val="bottom"/>
            <w:vMerge w:val="continue"/>
          </w:tcPr>
          <w:p>
            <w:pPr>
              <w:spacing w:after="0"/>
              <w:rPr>
                <w:sz w:val="2"/>
                <w:szCs w:val="2"/>
                <w:color w:val="auto"/>
              </w:rPr>
            </w:pPr>
          </w:p>
        </w:tc>
        <w:tc>
          <w:tcPr>
            <w:tcW w:w="9240" w:type="dxa"/>
            <w:vAlign w:val="bottom"/>
            <w:gridSpan w:val="23"/>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1"/>
        </w:trPr>
        <w:tc>
          <w:tcPr>
            <w:tcW w:w="1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w w:val="99"/>
              </w:rPr>
              <w:t>PART II</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680" w:type="dxa"/>
            <w:vAlign w:val="bottom"/>
            <w:tcBorders>
              <w:bottom w:val="single" w:sz="8" w:color="0000FF"/>
            </w:tcBorders>
            <w:gridSpan w:val="22"/>
          </w:tcPr>
          <w:p>
            <w:pPr>
              <w:spacing w:after="0"/>
              <w:rPr>
                <w:rFonts w:ascii="Arial" w:cs="Arial" w:eastAsia="Arial" w:hAnsi="Arial"/>
                <w:sz w:val="18"/>
                <w:szCs w:val="18"/>
                <w:b w:val="1"/>
                <w:bCs w:val="1"/>
                <w:color w:val="0000FF"/>
                <w:w w:val="90"/>
              </w:rPr>
            </w:pPr>
            <w:hyperlink w:anchor="page35">
              <w:r>
                <w:rPr>
                  <w:rFonts w:ascii="Arial" w:cs="Arial" w:eastAsia="Arial" w:hAnsi="Arial"/>
                  <w:sz w:val="18"/>
                  <w:szCs w:val="18"/>
                  <w:b w:val="1"/>
                  <w:bCs w:val="1"/>
                  <w:color w:val="0000FF"/>
                  <w:w w:val="90"/>
                </w:rPr>
                <w:t>Market for Registrant’s Common Equity, Related Stockholder Matters and Issuer Purchases of Equity Securities</w:t>
              </w:r>
            </w:hyperlink>
          </w:p>
        </w:tc>
        <w:tc>
          <w:tcPr>
            <w:tcW w:w="560" w:type="dxa"/>
            <w:vAlign w:val="bottom"/>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31</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9240" w:type="dxa"/>
            <w:vAlign w:val="bottom"/>
            <w:gridSpan w:val="23"/>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[Reserved]</w:t>
              </w:r>
            </w:hyperlink>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FF"/>
            </w:tcBorders>
            <w:gridSpan w:val="19"/>
          </w:tcPr>
          <w:p>
            <w:pPr>
              <w:spacing w:after="0"/>
              <w:rPr>
                <w:rFonts w:ascii="Arial" w:cs="Arial" w:eastAsia="Arial" w:hAnsi="Arial"/>
                <w:sz w:val="18"/>
                <w:szCs w:val="18"/>
                <w:b w:val="1"/>
                <w:bCs w:val="1"/>
                <w:color w:val="0000FF"/>
                <w:w w:val="89"/>
              </w:rPr>
            </w:pPr>
            <w:hyperlink w:anchor="page36">
              <w:r>
                <w:rPr>
                  <w:rFonts w:ascii="Arial" w:cs="Arial" w:eastAsia="Arial" w:hAnsi="Arial"/>
                  <w:sz w:val="18"/>
                  <w:szCs w:val="18"/>
                  <w:b w:val="1"/>
                  <w:bCs w:val="1"/>
                  <w:color w:val="0000FF"/>
                  <w:w w:val="89"/>
                </w:rPr>
                <w:t>Management’s Discussion and Analysis of Financial Condition and Results of Operations</w:t>
              </w:r>
            </w:hyperlink>
          </w:p>
        </w:tc>
        <w:tc>
          <w:tcPr>
            <w:tcW w:w="2400" w:type="dxa"/>
            <w:vAlign w:val="bottom"/>
            <w:gridSpan w:val="4"/>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32</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7A.</w:t>
            </w:r>
          </w:p>
        </w:tc>
        <w:tc>
          <w:tcPr>
            <w:tcW w:w="9240" w:type="dxa"/>
            <w:vAlign w:val="bottom"/>
            <w:gridSpan w:val="23"/>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740" w:type="dxa"/>
            <w:vAlign w:val="bottom"/>
          </w:tcPr>
          <w:p>
            <w:pPr>
              <w:jc w:val="right"/>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45</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8.</w:t>
            </w:r>
          </w:p>
        </w:tc>
        <w:tc>
          <w:tcPr>
            <w:tcW w:w="4620" w:type="dxa"/>
            <w:vAlign w:val="bottom"/>
            <w:tcBorders>
              <w:top w:val="single" w:sz="8" w:color="0000FF"/>
            </w:tcBorders>
            <w:gridSpan w:val="16"/>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Financial Statements and Supplementary Data</w:t>
              </w:r>
            </w:hyperlink>
          </w:p>
        </w:tc>
        <w:tc>
          <w:tcPr>
            <w:tcW w:w="4620" w:type="dxa"/>
            <w:vAlign w:val="bottom"/>
            <w:gridSpan w:val="7"/>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46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FF"/>
            </w:tcBorders>
            <w:gridSpan w:val="20"/>
          </w:tcPr>
          <w:p>
            <w:pPr>
              <w:spacing w:after="0"/>
              <w:rPr>
                <w:rFonts w:ascii="Arial" w:cs="Arial" w:eastAsia="Arial" w:hAnsi="Arial"/>
                <w:sz w:val="18"/>
                <w:szCs w:val="18"/>
                <w:b w:val="1"/>
                <w:bCs w:val="1"/>
                <w:color w:val="0000FF"/>
                <w:w w:val="88"/>
              </w:rPr>
            </w:pPr>
            <w:hyperlink w:anchor="page85">
              <w:r>
                <w:rPr>
                  <w:rFonts w:ascii="Arial" w:cs="Arial" w:eastAsia="Arial" w:hAnsi="Arial"/>
                  <w:sz w:val="18"/>
                  <w:szCs w:val="18"/>
                  <w:b w:val="1"/>
                  <w:bCs w:val="1"/>
                  <w:color w:val="0000FF"/>
                  <w:w w:val="88"/>
                </w:rPr>
                <w:t>Changes in and Disagreements with Accountants on Accounting and Financial Disclosure</w:t>
              </w:r>
            </w:hyperlink>
          </w:p>
        </w:tc>
        <w:tc>
          <w:tcPr>
            <w:tcW w:w="2380" w:type="dxa"/>
            <w:vAlign w:val="bottom"/>
            <w:gridSpan w:val="3"/>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85">
              <w:r>
                <w:rPr>
                  <w:rFonts w:ascii="Arial" w:cs="Arial" w:eastAsia="Arial" w:hAnsi="Arial"/>
                  <w:sz w:val="18"/>
                  <w:szCs w:val="18"/>
                  <w:b w:val="1"/>
                  <w:bCs w:val="1"/>
                  <w:color w:val="auto"/>
                </w:rPr>
                <w:t>82</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bottom w:val="single" w:sz="8" w:color="0000FF"/>
            </w:tcBorders>
            <w:gridSpan w:val="10"/>
          </w:tcPr>
          <w:p>
            <w:pPr>
              <w:spacing w:after="0"/>
              <w:rPr>
                <w:rFonts w:ascii="Arial" w:cs="Arial" w:eastAsia="Arial" w:hAnsi="Arial"/>
                <w:sz w:val="18"/>
                <w:szCs w:val="18"/>
                <w:b w:val="1"/>
                <w:bCs w:val="1"/>
                <w:color w:val="0000FF"/>
                <w:w w:val="88"/>
              </w:rPr>
            </w:pPr>
            <w:hyperlink w:anchor="page86">
              <w:r>
                <w:rPr>
                  <w:rFonts w:ascii="Arial" w:cs="Arial" w:eastAsia="Arial" w:hAnsi="Arial"/>
                  <w:sz w:val="18"/>
                  <w:szCs w:val="18"/>
                  <w:b w:val="1"/>
                  <w:bCs w:val="1"/>
                  <w:color w:val="0000FF"/>
                  <w:w w:val="88"/>
                </w:rPr>
                <w:t>Controls and Procedures</w:t>
              </w:r>
            </w:hyperlink>
          </w:p>
        </w:tc>
        <w:tc>
          <w:tcPr>
            <w:tcW w:w="7320" w:type="dxa"/>
            <w:vAlign w:val="bottom"/>
            <w:gridSpan w:val="13"/>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86">
              <w:r>
                <w:rPr>
                  <w:rFonts w:ascii="Arial" w:cs="Arial" w:eastAsia="Arial" w:hAnsi="Arial"/>
                  <w:sz w:val="18"/>
                  <w:szCs w:val="18"/>
                  <w:b w:val="1"/>
                  <w:bCs w:val="1"/>
                  <w:color w:val="auto"/>
                </w:rPr>
                <w:t>82</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9B.</w:t>
            </w:r>
          </w:p>
        </w:tc>
        <w:tc>
          <w:tcPr>
            <w:tcW w:w="9240" w:type="dxa"/>
            <w:vAlign w:val="bottom"/>
            <w:gridSpan w:val="23"/>
          </w:tcPr>
          <w:p>
            <w:pPr>
              <w:spacing w:after="0"/>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Other Information</w:t>
              </w:r>
            </w:hyperlink>
          </w:p>
        </w:tc>
        <w:tc>
          <w:tcPr>
            <w:tcW w:w="740" w:type="dxa"/>
            <w:vAlign w:val="bottom"/>
          </w:tcPr>
          <w:p>
            <w:pPr>
              <w:jc w:val="right"/>
              <w:spacing w:after="0"/>
              <w:rPr>
                <w:rFonts w:ascii="Arial" w:cs="Arial" w:eastAsia="Arial" w:hAnsi="Arial"/>
                <w:sz w:val="18"/>
                <w:szCs w:val="18"/>
                <w:b w:val="1"/>
                <w:bCs w:val="1"/>
                <w:color w:val="auto"/>
              </w:rPr>
            </w:pPr>
            <w:hyperlink w:anchor="page87">
              <w:r>
                <w:rPr>
                  <w:rFonts w:ascii="Arial" w:cs="Arial" w:eastAsia="Arial" w:hAnsi="Arial"/>
                  <w:sz w:val="18"/>
                  <w:szCs w:val="18"/>
                  <w:b w:val="1"/>
                  <w:bCs w:val="1"/>
                  <w:color w:val="auto"/>
                </w:rPr>
                <w:t>83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9C.</w:t>
            </w:r>
          </w:p>
        </w:tc>
        <w:tc>
          <w:tcPr>
            <w:tcW w:w="5240" w:type="dxa"/>
            <w:vAlign w:val="bottom"/>
            <w:tcBorders>
              <w:bottom w:val="single" w:sz="8" w:color="0000FF"/>
            </w:tcBorders>
            <w:gridSpan w:val="17"/>
          </w:tcPr>
          <w:p>
            <w:pPr>
              <w:spacing w:after="0"/>
              <w:rPr>
                <w:rFonts w:ascii="Arial" w:cs="Arial" w:eastAsia="Arial" w:hAnsi="Arial"/>
                <w:sz w:val="18"/>
                <w:szCs w:val="18"/>
                <w:b w:val="1"/>
                <w:bCs w:val="1"/>
                <w:color w:val="0000FF"/>
                <w:w w:val="88"/>
              </w:rPr>
            </w:pPr>
            <w:hyperlink w:anchor="page87">
              <w:r>
                <w:rPr>
                  <w:rFonts w:ascii="Arial" w:cs="Arial" w:eastAsia="Arial" w:hAnsi="Arial"/>
                  <w:sz w:val="18"/>
                  <w:szCs w:val="18"/>
                  <w:b w:val="1"/>
                  <w:bCs w:val="1"/>
                  <w:color w:val="0000FF"/>
                  <w:w w:val="88"/>
                </w:rPr>
                <w:t>Disclosure Regarding Foreign Jurisdictions that Prevent Inspections</w:t>
              </w:r>
            </w:hyperlink>
          </w:p>
        </w:tc>
        <w:tc>
          <w:tcPr>
            <w:tcW w:w="4000" w:type="dxa"/>
            <w:vAlign w:val="bottom"/>
            <w:gridSpan w:val="6"/>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87">
              <w:r>
                <w:rPr>
                  <w:rFonts w:ascii="Arial" w:cs="Arial" w:eastAsia="Arial" w:hAnsi="Arial"/>
                  <w:sz w:val="18"/>
                  <w:szCs w:val="18"/>
                  <w:b w:val="1"/>
                  <w:bCs w:val="1"/>
                  <w:color w:val="auto"/>
                </w:rPr>
                <w:t>83</w:t>
              </w:r>
            </w:hyperlink>
          </w:p>
        </w:tc>
        <w:tc>
          <w:tcPr>
            <w:tcW w:w="0" w:type="dxa"/>
            <w:vAlign w:val="bottom"/>
          </w:tcPr>
          <w:p>
            <w:pPr>
              <w:spacing w:after="0"/>
              <w:rPr>
                <w:sz w:val="1"/>
                <w:szCs w:val="1"/>
                <w:color w:val="auto"/>
              </w:rPr>
            </w:pPr>
          </w:p>
        </w:tc>
      </w:tr>
      <w:tr>
        <w:trPr>
          <w:trHeight w:val="502"/>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PART III</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Item 10.</w:t>
            </w:r>
          </w:p>
        </w:tc>
        <w:tc>
          <w:tcPr>
            <w:tcW w:w="4380" w:type="dxa"/>
            <w:vAlign w:val="bottom"/>
            <w:tcBorders>
              <w:bottom w:val="single" w:sz="8" w:color="0000FF"/>
            </w:tcBorders>
            <w:gridSpan w:val="15"/>
          </w:tcPr>
          <w:p>
            <w:pPr>
              <w:spacing w:after="0" w:line="194" w:lineRule="exact"/>
              <w:rPr>
                <w:rFonts w:ascii="Arial" w:cs="Arial" w:eastAsia="Arial" w:hAnsi="Arial"/>
                <w:sz w:val="18"/>
                <w:szCs w:val="18"/>
                <w:b w:val="1"/>
                <w:bCs w:val="1"/>
                <w:color w:val="0000FF"/>
                <w:w w:val="90"/>
              </w:rPr>
            </w:pPr>
            <w:hyperlink w:anchor="page90">
              <w:r>
                <w:rPr>
                  <w:rFonts w:ascii="Arial" w:cs="Arial" w:eastAsia="Arial" w:hAnsi="Arial"/>
                  <w:sz w:val="18"/>
                  <w:szCs w:val="18"/>
                  <w:b w:val="1"/>
                  <w:bCs w:val="1"/>
                  <w:color w:val="0000FF"/>
                  <w:w w:val="90"/>
                </w:rPr>
                <w:t>Directors, Executive Officers and Corporate Governance</w:t>
              </w:r>
            </w:hyperlink>
          </w:p>
        </w:tc>
        <w:tc>
          <w:tcPr>
            <w:tcW w:w="4860" w:type="dxa"/>
            <w:vAlign w:val="bottom"/>
            <w:gridSpan w:val="8"/>
          </w:tcPr>
          <w:p>
            <w:pPr>
              <w:spacing w:after="0"/>
              <w:rPr>
                <w:sz w:val="16"/>
                <w:szCs w:val="16"/>
                <w:color w:val="auto"/>
              </w:rPr>
            </w:pPr>
          </w:p>
        </w:tc>
        <w:tc>
          <w:tcPr>
            <w:tcW w:w="740" w:type="dxa"/>
            <w:vAlign w:val="bottom"/>
          </w:tcPr>
          <w:p>
            <w:pPr>
              <w:jc w:val="right"/>
              <w:spacing w:after="0" w:line="194" w:lineRule="exact"/>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86</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11.</w:t>
            </w:r>
          </w:p>
        </w:tc>
        <w:tc>
          <w:tcPr>
            <w:tcW w:w="9240" w:type="dxa"/>
            <w:vAlign w:val="bottom"/>
            <w:gridSpan w:val="23"/>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Executive Compensation</w:t>
              </w:r>
            </w:hyperlink>
          </w:p>
        </w:tc>
        <w:tc>
          <w:tcPr>
            <w:tcW w:w="740" w:type="dxa"/>
            <w:vAlign w:val="bottom"/>
          </w:tcPr>
          <w:p>
            <w:pPr>
              <w:jc w:val="right"/>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86</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12.</w:t>
            </w:r>
          </w:p>
        </w:tc>
        <w:tc>
          <w:tcPr>
            <w:tcW w:w="9240" w:type="dxa"/>
            <w:vAlign w:val="bottom"/>
            <w:gridSpan w:val="23"/>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Security Ownership of Certain Beneficial Owners and Management and Related Stockholder Matters</w:t>
              </w:r>
            </w:hyperlink>
          </w:p>
        </w:tc>
        <w:tc>
          <w:tcPr>
            <w:tcW w:w="740" w:type="dxa"/>
            <w:vAlign w:val="bottom"/>
          </w:tcPr>
          <w:p>
            <w:pPr>
              <w:jc w:val="right"/>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86</w:t>
              </w:r>
            </w:hyperlink>
          </w:p>
        </w:tc>
        <w:tc>
          <w:tcPr>
            <w:tcW w:w="0" w:type="dxa"/>
            <w:vAlign w:val="bottom"/>
          </w:tcPr>
          <w:p>
            <w:pPr>
              <w:spacing w:after="0"/>
              <w:rPr>
                <w:sz w:val="1"/>
                <w:szCs w:val="1"/>
                <w:color w:val="auto"/>
              </w:rPr>
            </w:pPr>
          </w:p>
        </w:tc>
      </w:tr>
      <w:tr>
        <w:trPr>
          <w:trHeight w:val="210"/>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13.</w:t>
            </w:r>
          </w:p>
        </w:tc>
        <w:tc>
          <w:tcPr>
            <w:tcW w:w="7800" w:type="dxa"/>
            <w:vAlign w:val="bottom"/>
            <w:tcBorders>
              <w:top w:val="single" w:sz="8" w:color="0000FF"/>
            </w:tcBorders>
            <w:gridSpan w:val="21"/>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Certain Relationships and Related Transactions, and Director Independence</w:t>
              </w:r>
            </w:hyperlink>
          </w:p>
        </w:tc>
        <w:tc>
          <w:tcPr>
            <w:tcW w:w="1440" w:type="dxa"/>
            <w:vAlign w:val="bottom"/>
            <w:gridSpan w:val="2"/>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86</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14.</w:t>
            </w:r>
          </w:p>
        </w:tc>
        <w:tc>
          <w:tcPr>
            <w:tcW w:w="5860" w:type="dxa"/>
            <w:vAlign w:val="bottom"/>
            <w:tcBorders>
              <w:top w:val="single" w:sz="8" w:color="0000FF"/>
            </w:tcBorders>
            <w:gridSpan w:val="18"/>
          </w:tcPr>
          <w:p>
            <w:pPr>
              <w:spacing w:after="0"/>
              <w:rPr>
                <w:rFonts w:ascii="Arial" w:cs="Arial" w:eastAsia="Arial" w:hAnsi="Arial"/>
                <w:sz w:val="18"/>
                <w:szCs w:val="18"/>
                <w:b w:val="1"/>
                <w:bCs w:val="1"/>
                <w:color w:val="0000FF"/>
              </w:rPr>
            </w:pPr>
            <w:hyperlink w:anchor="page90">
              <w:r>
                <w:rPr>
                  <w:rFonts w:ascii="Arial" w:cs="Arial" w:eastAsia="Arial" w:hAnsi="Arial"/>
                  <w:sz w:val="18"/>
                  <w:szCs w:val="18"/>
                  <w:b w:val="1"/>
                  <w:bCs w:val="1"/>
                  <w:color w:val="0000FF"/>
                </w:rPr>
                <w:t>Principal Accounting Fees and Services</w:t>
              </w:r>
            </w:hyperlink>
          </w:p>
        </w:tc>
        <w:tc>
          <w:tcPr>
            <w:tcW w:w="3380" w:type="dxa"/>
            <w:vAlign w:val="bottom"/>
            <w:gridSpan w:val="5"/>
          </w:tcPr>
          <w:p>
            <w:pPr>
              <w:spacing w:after="0"/>
              <w:rPr>
                <w:sz w:val="18"/>
                <w:szCs w:val="18"/>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90">
              <w:r>
                <w:rPr>
                  <w:rFonts w:ascii="Arial" w:cs="Arial" w:eastAsia="Arial" w:hAnsi="Arial"/>
                  <w:sz w:val="18"/>
                  <w:szCs w:val="18"/>
                  <w:b w:val="1"/>
                  <w:bCs w:val="1"/>
                  <w:color w:val="auto"/>
                </w:rPr>
                <w:t>86</w:t>
              </w:r>
            </w:hyperlink>
          </w:p>
        </w:tc>
        <w:tc>
          <w:tcPr>
            <w:tcW w:w="0" w:type="dxa"/>
            <w:vAlign w:val="bottom"/>
          </w:tcPr>
          <w:p>
            <w:pPr>
              <w:spacing w:after="0"/>
              <w:rPr>
                <w:sz w:val="1"/>
                <w:szCs w:val="1"/>
                <w:color w:val="auto"/>
              </w:rPr>
            </w:pPr>
          </w:p>
        </w:tc>
      </w:tr>
      <w:tr>
        <w:trPr>
          <w:trHeight w:val="502"/>
        </w:trPr>
        <w:tc>
          <w:tcPr>
            <w:tcW w:w="1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rPr>
              <w:t>PART IV</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40"/>
              <w:spacing w:after="0" w:line="194" w:lineRule="exact"/>
              <w:rPr>
                <w:sz w:val="20"/>
                <w:szCs w:val="20"/>
                <w:color w:val="auto"/>
              </w:rPr>
            </w:pPr>
            <w:r>
              <w:rPr>
                <w:rFonts w:ascii="Arial" w:cs="Arial" w:eastAsia="Arial" w:hAnsi="Arial"/>
                <w:sz w:val="18"/>
                <w:szCs w:val="18"/>
                <w:b w:val="1"/>
                <w:bCs w:val="1"/>
                <w:color w:val="auto"/>
              </w:rPr>
              <w:t>Item 15.</w:t>
            </w:r>
          </w:p>
        </w:tc>
        <w:tc>
          <w:tcPr>
            <w:tcW w:w="3300" w:type="dxa"/>
            <w:vAlign w:val="bottom"/>
            <w:tcBorders>
              <w:bottom w:val="single" w:sz="8" w:color="0000FF"/>
            </w:tcBorders>
            <w:gridSpan w:val="13"/>
          </w:tcPr>
          <w:p>
            <w:pPr>
              <w:spacing w:after="0" w:line="194" w:lineRule="exact"/>
              <w:rPr>
                <w:rFonts w:ascii="Arial" w:cs="Arial" w:eastAsia="Arial" w:hAnsi="Arial"/>
                <w:sz w:val="18"/>
                <w:szCs w:val="18"/>
                <w:b w:val="1"/>
                <w:bCs w:val="1"/>
                <w:color w:val="0000FF"/>
                <w:w w:val="89"/>
              </w:rPr>
            </w:pPr>
            <w:hyperlink w:anchor="page91">
              <w:r>
                <w:rPr>
                  <w:rFonts w:ascii="Arial" w:cs="Arial" w:eastAsia="Arial" w:hAnsi="Arial"/>
                  <w:sz w:val="18"/>
                  <w:szCs w:val="18"/>
                  <w:b w:val="1"/>
                  <w:bCs w:val="1"/>
                  <w:color w:val="0000FF"/>
                  <w:w w:val="89"/>
                </w:rPr>
                <w:t>Exhibits and Financial Statement Schedule</w:t>
              </w:r>
            </w:hyperlink>
          </w:p>
        </w:tc>
        <w:tc>
          <w:tcPr>
            <w:tcW w:w="5940" w:type="dxa"/>
            <w:vAlign w:val="bottom"/>
            <w:gridSpan w:val="10"/>
          </w:tcPr>
          <w:p>
            <w:pPr>
              <w:spacing w:after="0"/>
              <w:rPr>
                <w:sz w:val="16"/>
                <w:szCs w:val="16"/>
                <w:color w:val="auto"/>
              </w:rPr>
            </w:pPr>
          </w:p>
        </w:tc>
        <w:tc>
          <w:tcPr>
            <w:tcW w:w="740" w:type="dxa"/>
            <w:vAlign w:val="bottom"/>
          </w:tcPr>
          <w:p>
            <w:pPr>
              <w:jc w:val="right"/>
              <w:spacing w:after="0" w:line="194" w:lineRule="exact"/>
              <w:rPr>
                <w:rFonts w:ascii="Arial" w:cs="Arial" w:eastAsia="Arial" w:hAnsi="Arial"/>
                <w:sz w:val="18"/>
                <w:szCs w:val="18"/>
                <w:b w:val="1"/>
                <w:bCs w:val="1"/>
                <w:color w:val="auto"/>
              </w:rPr>
            </w:pPr>
            <w:hyperlink w:anchor="page91">
              <w:r>
                <w:rPr>
                  <w:rFonts w:ascii="Arial" w:cs="Arial" w:eastAsia="Arial" w:hAnsi="Arial"/>
                  <w:sz w:val="18"/>
                  <w:szCs w:val="18"/>
                  <w:b w:val="1"/>
                  <w:bCs w:val="1"/>
                  <w:color w:val="auto"/>
                </w:rPr>
                <w:t>87</w:t>
              </w:r>
            </w:hyperlink>
          </w:p>
        </w:tc>
        <w:tc>
          <w:tcPr>
            <w:tcW w:w="0" w:type="dxa"/>
            <w:vAlign w:val="bottom"/>
          </w:tcPr>
          <w:p>
            <w:pPr>
              <w:spacing w:after="0"/>
              <w:rPr>
                <w:sz w:val="1"/>
                <w:szCs w:val="1"/>
                <w:color w:val="auto"/>
              </w:rPr>
            </w:pPr>
          </w:p>
        </w:tc>
      </w:tr>
      <w:tr>
        <w:trPr>
          <w:trHeight w:val="209"/>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16.</w:t>
            </w:r>
          </w:p>
        </w:tc>
        <w:tc>
          <w:tcPr>
            <w:tcW w:w="9240" w:type="dxa"/>
            <w:vAlign w:val="bottom"/>
            <w:gridSpan w:val="23"/>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Form 10-K Summary</w:t>
              </w:r>
            </w:hyperlink>
          </w:p>
        </w:tc>
        <w:tc>
          <w:tcPr>
            <w:tcW w:w="740" w:type="dxa"/>
            <w:vAlign w:val="bottom"/>
          </w:tcPr>
          <w:p>
            <w:pPr>
              <w:jc w:val="right"/>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89</w:t>
              </w:r>
            </w:hyperlink>
          </w:p>
        </w:tc>
        <w:tc>
          <w:tcPr>
            <w:tcW w:w="0" w:type="dxa"/>
            <w:vAlign w:val="bottom"/>
          </w:tcPr>
          <w:p>
            <w:pPr>
              <w:spacing w:after="0"/>
              <w:rPr>
                <w:sz w:val="1"/>
                <w:szCs w:val="1"/>
                <w:color w:val="auto"/>
              </w:rPr>
            </w:pPr>
          </w:p>
        </w:tc>
      </w:tr>
      <w:tr>
        <w:trPr>
          <w:trHeight w:val="250"/>
        </w:trPr>
        <w:tc>
          <w:tcPr>
            <w:tcW w:w="1180" w:type="dxa"/>
            <w:vAlign w:val="bottom"/>
            <w:vMerge w:val="restart"/>
          </w:tcPr>
          <w:p>
            <w:pPr>
              <w:spacing w:after="0"/>
              <w:rPr>
                <w:rFonts w:ascii="Arial" w:cs="Arial" w:eastAsia="Arial" w:hAnsi="Arial"/>
                <w:sz w:val="18"/>
                <w:szCs w:val="18"/>
                <w:b w:val="1"/>
                <w:bCs w:val="1"/>
                <w:color w:val="0000FF"/>
                <w:w w:val="98"/>
              </w:rPr>
            </w:pPr>
            <w:hyperlink w:anchor="page93">
              <w:r>
                <w:rPr>
                  <w:rFonts w:ascii="Arial" w:cs="Arial" w:eastAsia="Arial" w:hAnsi="Arial"/>
                  <w:sz w:val="18"/>
                  <w:szCs w:val="18"/>
                  <w:b w:val="1"/>
                  <w:bCs w:val="1"/>
                  <w:color w:val="0000FF"/>
                  <w:w w:val="98"/>
                </w:rPr>
                <w:t>SIGNATURES</w:t>
              </w:r>
            </w:hyperlink>
          </w:p>
        </w:tc>
        <w:tc>
          <w:tcPr>
            <w:tcW w:w="6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right"/>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90</w:t>
              </w:r>
            </w:hyperlink>
          </w:p>
        </w:tc>
        <w:tc>
          <w:tcPr>
            <w:tcW w:w="0" w:type="dxa"/>
            <w:vAlign w:val="bottom"/>
          </w:tcPr>
          <w:p>
            <w:pPr>
              <w:spacing w:after="0"/>
              <w:rPr>
                <w:sz w:val="1"/>
                <w:szCs w:val="1"/>
                <w:color w:val="auto"/>
              </w:rPr>
            </w:pPr>
          </w:p>
        </w:tc>
      </w:tr>
      <w:tr>
        <w:trPr>
          <w:trHeight w:val="135"/>
        </w:trPr>
        <w:tc>
          <w:tcPr>
            <w:tcW w:w="11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80"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Information Regarding Forward-Looking Statements and Risk Factors Summary</w:t>
      </w:r>
    </w:p>
    <w:p>
      <w:pPr>
        <w:spacing w:after="0" w:line="1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Annual Report on Form 10-K (“Form 10-K”) contains forward-looking statements within the meaning of the federal securities laws, including with respect to the housing market and the commercial market, industry conditions, our financial and business model, payment of dividends, the impact of COVID-19 on our business, end markets, and financial results, our efforts to navigate the material pricing environment, our ability to increase selling prices, supply chain and material constraints, our material and labor costs, demand for our services and product offerings, expansion of our national footprint and diversification, our ability to grow and strengthen our market position, our ability to pursue and integrate value-enhancing acquisitions, our ability to improve sales and profitability and expectations for demand for our services and our earnings in 2022. Forward-looking statements may generally be identified by the use of words such as “anticipate,” “believe,” “estimate,” “project,” “predict,” “possible,” “forecast,” “may,” “could,” “would,” “should,”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the duration, effect and severity of the COVID-19 crisis; any recurrence of COVID-19, including through any new variant strains of the virus, and the related surges in positive COVID-19 cases; vaccination rates; the adverse impact of the COVID-19 crisis on our business and financial results, our supply chain, the economy and the markets we serve, as well as the factors discussed in the “Risk Factors” section of this Form 10-K, as the same may be updated from time to time in our subsequent filings with the Securities and Exchange Commission ("SEC"). Any forward-looking statement made by the Company in this report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Important factors that could cause our results to vary from expectations include, but are not limited to:</w:t>
      </w:r>
    </w:p>
    <w:p>
      <w:pPr>
        <w:spacing w:after="0" w:line="10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the economy, the housing market, the level of new residential and commercial construction activity and the credit markets;</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and seasonal nature of our business;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economy or slowing of the housing market recovery that could lead to significant impairment charges;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fragmented and competitive nature of our industry;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shortages or the loss of key suppliers;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costs and availability of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train and retain qualified employees while controlling labor costs;</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scrutiny and expectations from stakeholders regarding our environmental, social and governance ("ESG") practices;</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effect on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severe weather conditions;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 including cybersecurity incidents;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continue to successfully expand into new products or geographic markets;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acquire and integrate other businesses;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expand into the commercial construction market or other lines of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claims arising from our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employment and/or immigration laws or failure to properly verify the employment eligibility of our employees;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product liability, workmanship warranty, casualty, construction defect and other claims and legal proceedings;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failure to comply with, federal, state, local and other regulations;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 maintain effective internal control over financial reporting;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the restrictions imposed on us by its terms and our exposure to interest rate changes;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reduction, suspension or elimination of dividend payments;</w:t>
      </w:r>
    </w:p>
    <w:p>
      <w:pPr>
        <w:spacing w:after="0" w:line="36" w:lineRule="exact"/>
        <w:rPr>
          <w:rFonts w:ascii="Arial" w:cs="Arial" w:eastAsia="Arial" w:hAnsi="Arial"/>
          <w:sz w:val="18"/>
          <w:szCs w:val="18"/>
          <w:color w:val="auto"/>
        </w:rPr>
      </w:pPr>
    </w:p>
    <w:p>
      <w:pPr>
        <w:ind w:left="660" w:right="660" w:hanging="328"/>
        <w:spacing w:after="0" w:line="27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factors discussed under Item 1, Business; Item 1A, Risk Factors; and Part II, Item 7, Management’s Discussion and Analysis of Financial Condition and Results of Operations, of this Form 10-K;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that the Company may not have currently identified or quantified.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Installed Building Products, Inc. (“IBP”) and its wholly-owned subsidiaries (collectively referred to as the “Company” and “we,” “us” and “our”) primarily install insulation for residential and commercial builders located in the continental United States. We are also a diversified installer of complementary building products including waterproofing, fire-stopping, fireproofing, garage doors, rain gutters, window blinds, shower doors, closet shelving and mirrors and other products.</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offer our portfolio of services from our national network of over 210 branch locations serving all 48 continental states and the District of Columbia. The vast majority of our sales are derived from the service-based installation of various products in the residential new construction, repair and remodel and commercial construction end markets. Each of our branches has the capacity to serve all of our end markets. We believe we have the number one or two market position for new single-family insulation installation in more than half of the markets in which we operate based on permits issued in those markets. We are committed to delivering quality installation with a commitment to safety, corporate social responsibility and total customer satisfaction.</w:t>
      </w:r>
    </w:p>
    <w:p>
      <w:pPr>
        <w:spacing w:after="0" w:line="10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IBP was formed as a Delaware corporation on October 28, 2011, however our business began in 1977 with one location in Columbus, Ohio. In the late 1990s, we began our acquisition strategy with the goal of creating a national platform and have grown to become one of the nation's largest installers of insulation in the residential new construction market. Since 1999, we have successfully completed and integrated over 180 acquisitions, which has allowed us to generate significant scale and to diversify our product offerings while expanding into some of the most attractive new construction markets in the United States. We believe we are well positioned to continue to profitably grow our business due to our strong balance sheet, liquidity and acquisition strategy. For a further discussion of our industry and trends affecting our industry, please refer to Item 7, Management’s Discussion and Analysis of Financial Condition, "Key Factors Affecting our Operating Results" in this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manage all aspects of the installation process for our customers, from our direct purchase and receipt of materials from national manufacturers to our timely supply of materials to job sites and quality installation. Installation of insulation is a critical phase in the construction process, as certain interior work cannot begin until the insulation phase passes inspection.</w:t>
      </w:r>
    </w:p>
    <w:p>
      <w:pPr>
        <w:spacing w:after="0" w:line="13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business model is differentiated and creates value by streamlining the typical value chain. In a typical building products value chain, manufacturers rely on multiple distributors to purchase product. Distributors serve multiple wholesale and retail accounts who in turn sell to local contractors that perform the installation. We buy most of the products that we use in our business direct from manufacturers which are delivered to our local installation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a provider of energy efficiency solutions to our customers through our primary line of business of installing insulation. Insulation installation comprised approximately 64% of our net revenue of $2.0 billion, $1.7 billion and $1.5 billion for the years ended December 31, 2021, 2020 and 2019, respectively. We handle every stage of the installation process, including material procurement, project scheduling and logistics, multi-phase professional installation, quality inspection, waste management and recycling.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Insulation Materials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offer a wide range of insulation materials consisting of:</w:t>
      </w:r>
    </w:p>
    <w:p>
      <w:pPr>
        <w:spacing w:after="0" w:line="171" w:lineRule="exact"/>
        <w:rPr>
          <w:sz w:val="20"/>
          <w:szCs w:val="20"/>
          <w:color w:val="auto"/>
        </w:rPr>
      </w:pPr>
    </w:p>
    <w:p>
      <w:pPr>
        <w:ind w:left="660" w:right="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Fiberglass and Cellulose Insulation – Fiberglass insulation is made of fibrous glass that is held together by a thermoset resin creating insulating air pockets. It is typically comprised of an average of 50% recycled material, with some products containing up to 80% recycled material. It is primarily available in two forms: batts (also referred to as blankets) and loosefill (also referred to as blown in). Fiberglass is the most widely used residential insulation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 w:name="page6"/>
    <w:bookmarkEnd w:id="5"/>
    <w:p>
      <w:pPr>
        <w:ind w:left="660" w:right="120"/>
        <w:spacing w:after="0" w:line="263" w:lineRule="auto"/>
        <w:rPr>
          <w:sz w:val="20"/>
          <w:szCs w:val="20"/>
          <w:color w:val="auto"/>
        </w:rPr>
      </w:pPr>
      <w:r>
        <w:rPr>
          <w:rFonts w:ascii="Arial" w:cs="Arial" w:eastAsia="Arial" w:hAnsi="Arial"/>
          <w:sz w:val="18"/>
          <w:szCs w:val="18"/>
          <w:color w:val="auto"/>
        </w:rPr>
        <w:t>in the United States. Cellulose insulation is made primarily of waste paper and cardboard and has a composition of at least 75% recycled content. Cellulose is only available in loosefill form and is blown into the structure with specialized equipment. Fiberglass and cellulose insulation accounted for approximately 85% of our insulation sales for the year ended December 31, 2021.</w:t>
      </w:r>
    </w:p>
    <w:p>
      <w:pPr>
        <w:spacing w:after="0" w:line="130" w:lineRule="exact"/>
        <w:rPr>
          <w:sz w:val="20"/>
          <w:szCs w:val="20"/>
          <w:color w:val="auto"/>
        </w:rPr>
      </w:pPr>
    </w:p>
    <w:p>
      <w:pPr>
        <w:ind w:left="660" w:right="10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Spray Foam Insulation – Spray foam insulation, which is generally a polyurethane foam, is applied at a job site by mixing two chemical components together in specialized application equipment. While typically having the highest insulating value per inch and sealing effectiveness of all insulation materials that we offer, spray foam is also typically the most expensive on an installed basis. Spray foam insulation accounted for approximately 15% of our insulation sales for the year ended December 31,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Insulation Installation Applications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Local building codes typically require the installation of insulation in multiple areas of a structure. Each of these areas is frequently referred to as a phase of the insulation installation process and requires a separate trip to the job site by our installers at different points in the construction of a structure. Building practice and the inspection process differ geographically and require our involvement at different times during the construction process. We assist the builders with coordinating inspections. We install insulation and sealant materials in many areas of a structure, including: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Basement and Crawl Space – These spaces often account for the second most energy loss in a residential structure.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Envelope – We insulate the exterior walls of both residential and commercial structures by applying insulation on the wall or between the studs.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Attic – We insulate the attics of new and existing residential structures. The attic is the area where the most energy may be lost in a home.</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Acoustical – Many builder or architect specifications call for acoustical insulation for sound reduction purposes in both residential and commercial structures. This product is generally installed in the interior walls to minimize sound transmission.</w:t>
      </w:r>
    </w:p>
    <w:p>
      <w:pPr>
        <w:spacing w:after="0" w:line="11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each of these applications, we typically use fiberglass batts, except in attic installations where we typically install loosefill fiberglass or cellulose. We also install a wide variety of advanced caulk and sealant products that control air infiltration in residential and commercial buildings to enhance energy efficiency, improve comfort and meet increasingly stringent energy code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Waterproofing</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Some of our locations install waterproofing, caulking and moisture protection systems for commercial and industrial construction projects. We offer a variety of waterproofing options, including, but not limited to, sheet and hot applied waterproofing membranes, deck coating systems, bentonite systems and air &amp; vapor systems. The installation and service of waterproofing comprised approximately 7% of our net revenue for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Shower Doors, Closet Shelving and Mirrors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locations install a variety of shower enclosures, ranging from basic sliding door designs to complex custom designs. We have the ability to meet our customers’ diverse needs by customizing shower enclosures by size and style according to their specifications, including framing, hardware and glass options. We design and install closet shelving systems in select markets utilizing some of the highest quality products available from national brands. We also offer standard and custom designed mirrors for our customers. Shower doors, closet shelving and mirror installations comprised approximately 7% of our net revenue for the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Garage Doors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Some of our locations install and service garage doors and openers for new residential construction builders, homeowners and commercial customers. We offer a variety of options from some of the best-known garage door brands. We offer steel, aluminum, wood and vinyl garage doors as well as opener systems. Unlike the other products we install, the garage door business has an ongoing aftermarket service component, which represented approximately one-quarter of the net revenue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ind w:right="280"/>
        <w:spacing w:after="0" w:line="277" w:lineRule="auto"/>
        <w:rPr>
          <w:sz w:val="20"/>
          <w:szCs w:val="20"/>
          <w:color w:val="auto"/>
        </w:rPr>
      </w:pPr>
      <w:r>
        <w:rPr>
          <w:rFonts w:ascii="Arial" w:cs="Arial" w:eastAsia="Arial" w:hAnsi="Arial"/>
          <w:sz w:val="18"/>
          <w:szCs w:val="18"/>
          <w:color w:val="auto"/>
        </w:rPr>
        <w:t>resulting from garage doors for the year ended December 31, 2021. The installation and service of garage doors comprised approximately 5% of our net revenue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Rain Gutters</w:t>
      </w:r>
    </w:p>
    <w:p>
      <w:pPr>
        <w:spacing w:after="0" w:line="17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Some of our locations install a wide range of rain gutters, which direct water from a home’s roof away from the structure and foundation. Rain gutters are typically constructed from aluminum or copper and are available in a wide variety of colors, shapes and widths. They are generally assembled on the job site using specialized equipment. The installation of rain gutters comprised approximately 4% of our net revenue for the year ended December 31,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Fire-stopping and Fireproofing</w:t>
      </w:r>
    </w:p>
    <w:p>
      <w:pPr>
        <w:spacing w:after="0" w:line="17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Some of our locations install fire-stopping systems, including fire-rated joint assemblies, perimeter fire containment, and smoke and fire containment systems. Fire-stopping is a passive fire protection approach that relies on compartmentalization of various building components, including fire-rated walls, joints, and floors. The installation of these products collectively comprised approximately 3% of our net revenue for the year ended December 31,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Window Blinds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of our locations install different types of window blinds, including cordless blinds, shades and shutters. The installation of window blinds comprised approximately 3% of our net revenue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Building Products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Some of our locations install other complementary building products, none of which is an individually significant percentage of net revenue. Installation of other building products comprised approximately 7% of our net revenue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seek to attract and retain customers through exceptional customer service, superior installation quality, broad service offerings and competitive pricing. Our strategy is centered on building and maintaining strong customer relationships. We also capitalize on cross-selling opportunities from existing customer relationships and identifying situations where customers may benefit from more than one of our installation service offerings. By executing this strategy, we believe we can continue to generate incremental sales volumes with new and existing customers.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Experienced sales and service professionals are important to our customer growth and increasing our profitability. Retaining and motivating local employees has been an important component of our acquisition and operating strategies. As of December 31, 2021, we employed approximately 700 sales professionals and our sales force has spent an average of approximately ten years with our operations. The local sales staff, which is generally led by the branch manager, is responsible for maintaining relationships with our customers. These local teams work diligently to increase sales by supporting our existing customers with excellent service and value while also pursuing new customers with competitive offerings. In addition to the efforts of our sales staff, we market our product and service offerings on the internet, in the local yellow pages, on the radio and through advertisements in trade journals. We primarily conduct our marketing using local trademarks and trade names.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seek to differentiate ourselves in areas where we believe we have a competitive advantage, including:</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National scale with a strong local presence. </w:t>
      </w:r>
      <w:r>
        <w:rPr>
          <w:rFonts w:ascii="Arial" w:cs="Arial" w:eastAsia="Arial" w:hAnsi="Arial"/>
          <w:sz w:val="18"/>
          <w:szCs w:val="18"/>
          <w:color w:val="auto"/>
        </w:rPr>
        <w:t>Our national scale gives us access to the best products, training and innovation available, while our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teams provide best in class training and installation services and outstanding customer service. Our customers generally select their building products installer based on quality and timeliness of service, knowledge of local building codes, product application expertise, pricing, relationships and reputation in the market. For these reasons, we emphasize the importance of developing and maintaining strong customer relationships at the local level based on the knowledge and experience of our branch management and staff.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Diversified product lines, end markets and geographies. </w:t>
      </w:r>
      <w:r>
        <w:rPr>
          <w:rFonts w:ascii="Arial" w:cs="Arial" w:eastAsia="Arial" w:hAnsi="Arial"/>
          <w:sz w:val="17"/>
          <w:szCs w:val="17"/>
          <w:color w:val="auto"/>
        </w:rPr>
        <w:t>Diversifying our product line offerings provides us opportunity to increase sales to end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leverage our branch costs to improve profitability. We continue to generate revenue synergies by taking advantage of cross-selling opportunities with our existing customers in markets where we install multiple products. We have successfully diversified our product offering from the year ended December 31, 2013, when insulation installation comprised approximately 74% of revenues, to the year ended December 31, 2021, where it comprised 64% of revenues. We service the residential new construction and repair and remodel markets, both of which consist of single-family and multi-family dwellings, as well as the commercial construction market. We have diversified our end customer demographic from the year ended December 31, 2013, when revenue from the commercial end market comprised approximately 11% of revenues, to the year ended December 31, 2021 where it comprised 17% of revenues. Our growing exposure to commercial end markets diversifies our customer base and makes our business less dependent on residential new construction. Commercial construction is also driven by longer term projects which tends to provide greater revenue visibility. In periods of declining insulation installation volumes, our sales force is able to leverage our diversity of products and reduce the impact of lost insulation sales by growing sales of complementary building products, further enhancing our ability to perform. Our national geographic footprint provides us a balanced business not concentrated in any single region.</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Engaged employees. </w:t>
      </w:r>
      <w:r>
        <w:rPr>
          <w:rFonts w:ascii="Arial" w:cs="Arial" w:eastAsia="Arial" w:hAnsi="Arial"/>
          <w:sz w:val="16"/>
          <w:szCs w:val="16"/>
          <w:color w:val="auto"/>
        </w:rPr>
        <w:t>We offer competitive benefits to our employees to ensure an engaged workforce. In addition to offering certain benefits to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including medical insurance, 401k and paid time off benefits, we also offer longevity stock awards, financial wellness training and savings matching in order to recruit and retain employees. Our retention efforts have reduced our employee turnover to a level below industry averages. Opportunity for professional growth, training and advancement are strongly encouraged. We focus on the well-being of our employees through our Positive Production Program. This micro-video program is designed to help employees thrive in all aspects of life through learning and practicing research-backed physical, intellectual and emotional skills. Engaged, long-tenured employees benefit our business by being highly skilled and efficient, which drives profitability and encourages repeat business and customer loyalty. Higher employee retention also benefits our business through lower recruitment and training expense. We also consider safety and risk management to be a core business objective. Significant staffing, funding and other resources are allocated to our management systems that enhances safety and quality for our employees and our customers. Our branch managers are held accountable for the safety of employees and quality of workmanship at their locations. We provide our employees with ongoing training and development programs necessary to improve safety performance and work quality. Our regional managers, local branch managers and sales force have significant experience in the industry and have spent an average of more than 11 years with our operations. We also created the Installed Building Products Foundation in 2019 as a separate, not-for-profit organization to help support our employees for their education, financial and philanthropic needs.</w:t>
      </w:r>
    </w:p>
    <w:p>
      <w:pPr>
        <w:spacing w:after="0" w:line="1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Financial strength, variable cost structure and strong free cash flow. </w:t>
      </w:r>
      <w:r>
        <w:rPr>
          <w:rFonts w:ascii="Arial" w:cs="Arial" w:eastAsia="Arial" w:hAnsi="Arial"/>
          <w:sz w:val="18"/>
          <w:szCs w:val="18"/>
          <w:color w:val="auto"/>
        </w:rPr>
        <w:t>We believe that we are among the most financially sound companies in our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place an emphasis on having a strong balance sheet which allows us to focus on our strategic initiatives and pursue growth opportunities, drive profitability and generate cash. We have a highly variable cost structure with a significant portion of operating expenses directly linked to volume. Our largest expenses are materials and labor and most of our installation employees are paid by completed job. Our minimal capital expenditure requirements support the generation of strong free cash flow.</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Execution excellence. </w:t>
      </w:r>
      <w:r>
        <w:rPr>
          <w:rFonts w:ascii="Arial" w:cs="Arial" w:eastAsia="Arial" w:hAnsi="Arial"/>
          <w:sz w:val="18"/>
          <w:szCs w:val="18"/>
          <w:color w:val="auto"/>
        </w:rPr>
        <w:t>We believe that our ability to consistently complete our installations within a customer’s production schedule is recognized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is a key component of our high level of service. We have a proven track record of customer satisfaction in managing all aspects of the installation process for our customers. Throughout the construction process, our branch sales and supervisory staff and installation teams make frequent site visits to ensure timely and proper installation and to provide general service support. We believe a high level of service is valued by our customers and generates customer loyalty.</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Broad and stable customer base. </w:t>
      </w:r>
      <w:r>
        <w:rPr>
          <w:rFonts w:ascii="Arial" w:cs="Arial" w:eastAsia="Arial" w:hAnsi="Arial"/>
          <w:sz w:val="18"/>
          <w:szCs w:val="18"/>
          <w:color w:val="auto"/>
        </w:rPr>
        <w:t>We benefit from a diverse customer base that includes production and custom homebuilders, multi-family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construction firms, homeowners and residential repair and remodeling contractors. We continue to enhance our long-standing relationships with some of the largest builders in the country. While we serve many national and regional builders across multiple markets, we compete for business at the local level. Given our emphasis on quality service, customer turnover is extremely low.</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Well established relationships with suppliers. </w:t>
      </w:r>
      <w:r>
        <w:rPr>
          <w:rFonts w:ascii="Arial" w:cs="Arial" w:eastAsia="Arial" w:hAnsi="Arial"/>
          <w:sz w:val="16"/>
          <w:szCs w:val="16"/>
          <w:color w:val="auto"/>
        </w:rPr>
        <w:t>We have strong long-standing relationships with many of the manufacturers of the materials we use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including the largest manufacturers of fiberglass and spray foam. The fiberglass insulation manufacturing market is highly consolidated and primarily served by four major manufacturers. We buy significant volume from all four manufacturers and have relationships with each company spanning more than two decades. Our national scale allows us to purchase volumes that account for a meaningful portion of the production for these suppliers allowing them to better plan their production schedules. Our relationships and purchasing power often allow us to negotiate preferred material supply terms and to keep purchases through distribution and retail to a minimum, giving us an advantage over our competitors.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8" w:name="page9"/>
    <w:bookmarkEnd w:id="8"/>
    <w:p>
      <w:pPr>
        <w:jc w:val="both"/>
        <w:ind w:right="540"/>
        <w:spacing w:after="0" w:line="311" w:lineRule="auto"/>
        <w:rPr>
          <w:sz w:val="20"/>
          <w:szCs w:val="20"/>
          <w:color w:val="auto"/>
        </w:rPr>
      </w:pPr>
      <w:r>
        <w:rPr>
          <w:rFonts w:ascii="Arial" w:cs="Arial" w:eastAsia="Arial" w:hAnsi="Arial"/>
          <w:sz w:val="16"/>
          <w:szCs w:val="16"/>
          <w:b w:val="1"/>
          <w:bCs w:val="1"/>
          <w:i w:val="1"/>
          <w:iCs w:val="1"/>
          <w:color w:val="auto"/>
        </w:rPr>
        <w:t xml:space="preserve">Highly experienced and incentivized management team. </w:t>
      </w:r>
      <w:r>
        <w:rPr>
          <w:rFonts w:ascii="Arial" w:cs="Arial" w:eastAsia="Arial" w:hAnsi="Arial"/>
          <w:sz w:val="16"/>
          <w:szCs w:val="16"/>
          <w:color w:val="auto"/>
        </w:rPr>
        <w:t>Our senior management team (Chief Executive Officer, Chief Financial Officer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have been directing our strategy on average for over two decades. This team has led us through multiple housing industry cycles, providing valuable continuity and a demonstrated ability to improve operations and grow our business both organically and through acquisitions.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our geographic footprint, long-standing relationships with national insulation manufacturers, streamlined value chain and proven track record of successful acquisitions provides us with opportunities for continued growth in our existing markets and expansion into new markets. We believe our continued emphasis on expanding our product offering, further expansion into the commercial construction market and other lines of business, and targeting geographies where we look to grow market share will reduce potential future cyclicality of our operations. Our current strategic objectives include:</w:t>
      </w:r>
    </w:p>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 on the new residential and large commercial construction markets;</w:t>
      </w:r>
    </w:p>
    <w:p>
      <w:pPr>
        <w:spacing w:after="0" w:line="171"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strengthen our market share position by working with the best customers. We seek to work with the most profitable and efficient builders and commercial general contractors in our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recruit, develop and retain an exceptional workforce by investing in our employees and our communities and promoting a family-oriented culture;</w:t>
      </w:r>
    </w:p>
    <w:p>
      <w:pPr>
        <w:spacing w:after="0" w:line="194" w:lineRule="exact"/>
        <w:rPr>
          <w:rFonts w:ascii="Arial" w:cs="Arial" w:eastAsia="Arial" w:hAnsi="Arial"/>
          <w:sz w:val="16"/>
          <w:szCs w:val="16"/>
          <w:color w:val="auto"/>
        </w:rPr>
      </w:pPr>
    </w:p>
    <w:p>
      <w:pPr>
        <w:ind w:left="660" w:right="1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 on our ability to cross-sell products through existing markets as well as new markets entered as a result of organic expansion and acquisitions. In addition to insulation and air infiltration products, we install garage doors, rain gutters, mirrors and shower doors, waterproofing, fireproofing and fire-stopping, window blinds and various other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profitability from our operating leverage and national scale;</w:t>
      </w:r>
    </w:p>
    <w:p>
      <w:pPr>
        <w:spacing w:after="0" w:line="171"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expansion in the multibillion-dollar commercial end market. This strategy includes acquiring more locations to serve the large commercial market and increasing overall commercial sales at our existing new residential locations;</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pursue value enhancing acquisitions in markets we currently serve as well as markets that are new to us by continuing our disciplined approach to valuations and pricing. We will continue to be selective in identifying acquisition targets at attractive multiples. We target profitable markets and companies with strong reputations and customer bases. As part of our acquisition strategy, we seek to maintain the management teams of the companies we acquire as well as retain their local branding, which further reduces associated risk; and</w:t>
      </w:r>
    </w:p>
    <w:p>
      <w:pPr>
        <w:spacing w:after="0" w:line="117" w:lineRule="exact"/>
        <w:rPr>
          <w:rFonts w:ascii="Arial" w:cs="Arial" w:eastAsia="Arial" w:hAnsi="Arial"/>
          <w:sz w:val="17"/>
          <w:szCs w:val="17"/>
          <w:color w:val="auto"/>
        </w:rPr>
      </w:pPr>
    </w:p>
    <w:p>
      <w:pPr>
        <w:ind w:left="660" w:right="1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integrate new acquisitions quickly and seamlessly into our corporate infrastructure, including our accounting and employee systems. In addition, we utilize our internal software technology, jobCORE, to integrate most acquired operations and provide in-depth branch-level operational and financial performance data. We realize near term margin enhancement and revenue growth at acquired branches by applying our national buying power and leveraging relationships with large national homebuilders.</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One of our key areas of focus has been diversifying our product and service offerings, customer base, and end markets. We have accomplished this through organic growth as well as acquisitions. We believe the benefits of this diversification include:</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Margin enhancement by leveraging branch costs across multiple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Diversified end-market exposure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more diverse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Stronger established local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cyclicality</w:t>
      </w:r>
    </w:p>
    <w:p>
      <w:pPr>
        <w:spacing w:after="0" w:line="171"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Product and end market diversification has been a primary strategic initiative throughout our history. In addition to acquisition and local market share growth, we typically experience an increased rate of product and end market diversification during periods of reduced demand growth rates in the residential end market. As such, our oldest and most established branches tend to exhibit the greatest diversity of service and product offerings. This diversity in turn contributes to enhanced profitability as compared to branches in our newer, less developed markets.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However, we can provide no assurance that the positive trends reflected in our recent financial and operating results will continue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THE MARKETPLACE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business relies on various market factors, one of which is residential housing demand. Following the late 2000s recession in the U.S. economy, housing starts dropped well below historical averages. Rates have since returned to early 2000s levels, with 1.6 million non-seasonally adjusted starts in 2021, and another 1.6 million starts forecasted for 2022 according to Wolters Kluwer’s Blue Chip Economic Indicators January 2022 forecast. We expect to benefit from the recent growth in single-family new residential construction. Commercial demand saw the least amount of growth of the end markets we serve due to impacts from the COVID-19 pandemic ("COVID-19"). However, we expect this sector to recover in 2022 with building starts forecasted to be above pre-pandemic 2019 investment dollars, increasing 12% over 2020 according to Dodge Data &amp; Analytics.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Inflation can adversely affect us by increasing the costs of materials, labor and interest rates which in turn can have a negative impact on housing affordability. Inflation in the United States was 7% in 2021, the highest rate since 1982. While mortgage rates were relatively steady throughout most of 2021, rates began to trend upward in December 2021 and have continued that trend in 2022. Additionally, the Federal Reserve has signaled that it plans to begin raising the federal funds rate which in turn will cause mortgage interest rates to rise further. Higher material costs contributed to a lower gross margin in the year ended December 31, 2021, but we are unable to determine how much of the impact was related to inflation due to the supply chain issues that persist.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2019, a novel strain of coronavirus surfaced in Wuhan, China. Since then, the virus has spread globally, including to the United States. In response, the World Health Organization declared the situation a pandemic and the U.S. Secretary of Health and Human Services declared a public health emergency. The COVID-19 pandemic has caused significant volatility, uncertainty and economic disruption. Many public health organizations and international, federal, state and local governments implemented measures to combat the spread of COVID-19 at various times since the beginning of the pandemic. Some of these measures included quarantines, vaccine and/or masking requirements, “stay-at-home” orders and social distancing ordinances and restricting or prohibiting outright some or all forms of commercial and business activity. There is still significant uncertainty surrounding the duration and scope of the pandemic, as well as its continued impact on the economy. We cannot predict if federal, state and local governments will implement additional restrictions, when restrictions currently in place will expire or whether restrictions currently in place will become more limiting.</w:t>
      </w:r>
    </w:p>
    <w:p>
      <w:pPr>
        <w:spacing w:after="0" w:line="1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While the COVID-19 pandemic and related events will likely have a negative effect on us in 2022, the full extent and scope of the impact on our business and industry, as well as national, regional and global markets and economies, depends on numerous evolving factors that we may not be able to accurately predict, including the duration and scope of the pandemic, additional government actions taken in response to the pandemic, the impact on construction activity and demand for homes (based on employment levels, inflation, consumer spending and consumer confidence). The fast recovery in residential housing demand helped offset prolonged impacts of the pandemic already experienced. In the commercial sector, we have experienced delays in the onset of certain large-scale infrastructure programs due to declining need for such structures and/or project funding declines. Commercial spending rose in 2021, but remains below 2019 levels. Commercial projects could decline in the future if consumer behaviors change in the wake of COVID-19 disruptions to the economy and changes to our general ways of life. For example, reduced demand for office buildings and/or educational facilities, decreased airport traffic, or decreased usage of sports arenas or similar commercial structures could continue to impact our commercial end market.</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management remains focused on mitigating the impact of COVID-19 on our business and the risk to our employees and customers. We have taken a number of precautionary measures intended to mitigate these risks. We follow all masking requirements imposed by authorities, most of which have had no adverse effects on our business since wearing protective equipment in the process of completing our installation work is already a common practice in our industry. We have also taken advantage of available technologies which allow some employees the ability to work remotely from home. We comply with regulations from federal, state and local government agencies. Certain protocols have evolved throughout 2021 as vaccines have become available and guidelines from public health authorities such as the Centers for Disease Control are updated. We are prepared to take additional actions if necessary as suggested or required by various health agencies.</w:t>
      </w:r>
    </w:p>
    <w:p>
      <w:pPr>
        <w:spacing w:after="0" w:line="12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continue to evaluate the nature and extent of the COVID-19 pandemic’s impact on our financial condition, results of operations and cash flows. We have experienced limited business disruptions to date and therefore have not needed to implement significant continuity measures and have not incurred significant related expenditures. Assuming a large number of</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additional states or markets in which we operate do not reverse their current positions about construction being an “essential” business, we do not anticipate having to implement any additional measures in the future.</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corporate office has been fully operational throughout the pandemic. As such, we have made no modifications to internal controls over financial reporting and have confidence controls are operating as designed. We have enhanced our efforts to mitigate cyber threats and phishing, given some employees are still working remotely. We are continually monitoring and assessing the COVID-19 situation on our internal controls to minimize the impact of their design and operating effectiveness.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expect some impact from the pandemic to our earnings, financial position and cash flows to continue in 2022, however there is much uncertainty surrounding the estimated magnitude of these impacts. We estimate limited impact to our Consolidated Balance Sheets other than a potential reduction in working capital due to the possibility of reduced net revenue and net income. Trade accounts receivable may also be reduced somewhat by lower net revenue and a higher allowance for credit losses due to enhanced risk of collectibility from some customers, although we have not seen a significant impact to date. We anticipate revenue and net income may continue to be negatively impacted into 2022 due to supply constraints and/or material price increases ultimately stemming from the effects of the pandemic, as well as other factors such as high demand for housing. While our cash from operations may decline over recent performance due to a decrease in expected net income driven by lower net revenue, we do not anticipate any issues meeting debt obligations or making timely payments to vendors given our strong liquidity and large cash reserves. See Part II, Item 7, Management's Discussion and Analysis of Financial Condition and Results of Operations, "Liquidity and Capital Resources" below for further information. Given the continued uncertainty created by the COVID-19 pandemic and its potential effects, it is not possible to estimate the full, adverse impact to our future 2022 sales or other financial results at this time.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QUALITY CONTROL</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quality control process starts with the initial proposal. Our sales staff and managers are knowledgeable about our service offerings and scope of work. They are trained on manufacturers’ guidelines as well as state and local building codes. Our quality control programs emphasize onsite inspections, training by manufacturers and various certification programs.</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consider safety and risk management to be a core business objective and require our installers to wear personal protective equipment in the process of completing their work. Each year, we allocate significant staffing, funding and resources to our management systems that directly impact safety. We have strong workplace safety measures, including Safety Wanted 365, an initiative focused on creating a safer working environment to reduce job site injuries for both our employees and other jobsite personnel through year-round education and training. Additionally, our branch managers are held accountable for the safety of employees and quality of workmanship at their locations.</w:t>
      </w:r>
    </w:p>
    <w:p>
      <w:pPr>
        <w:spacing w:after="0" w:line="12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1F3864"/>
        </w:rPr>
        <w:t xml:space="preserve">We track all incidents that occur on our job sites that could result in injury, including minor incidents that may not require first aid or medical treatment. We use this incident information to continually refine and develop our safety training programs for new hires and the continual training and safety knowledge throughout employment at IBP. </w:t>
      </w:r>
      <w:r>
        <w:rPr>
          <w:rFonts w:ascii="Arial" w:cs="Arial" w:eastAsia="Arial" w:hAnsi="Arial"/>
          <w:sz w:val="17"/>
          <w:szCs w:val="17"/>
          <w:color w:val="000000"/>
        </w:rPr>
        <w:t>We believe these programs are having a benefit on the safety and physical well-being of our employees. Although total</w:t>
      </w:r>
      <w:r>
        <w:rPr>
          <w:rFonts w:ascii="Arial" w:cs="Arial" w:eastAsia="Arial" w:hAnsi="Arial"/>
          <w:sz w:val="17"/>
          <w:szCs w:val="17"/>
          <w:color w:val="1F3864"/>
        </w:rPr>
        <w:t xml:space="preserve"> </w:t>
      </w:r>
      <w:r>
        <w:rPr>
          <w:rFonts w:ascii="Arial" w:cs="Arial" w:eastAsia="Arial" w:hAnsi="Arial"/>
          <w:sz w:val="17"/>
          <w:szCs w:val="17"/>
          <w:color w:val="000000"/>
        </w:rPr>
        <w:t>hours worked increased 11% from 2019 to 2021, OSHA-defined incidents increased by only 4% during the same period, resulting in a decline in incident rate per hours worked of 6%. We also reported a 15% drop in severe incidents and OSHA reportable incidents from 2019 to 2021, had only 11 severe incidents in 2021 and the incident per hour worked dropped 23%. We had zero fatalities in 2019, 2020 and 2021, and are continually finding ways to improve our practices throughout the organization in order to improve the health and safety of our workforce.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serve a broad group of national, regional and local homebuilders, multi-family and commercial construction firms, individual homeowners and repair and remodeling contractors. Our top ten customers, which are primarily a combination of national and regional builders, accounted for approximately 15% of net revenue for the year ended December 31, 2021. We install a variety of products in multiple markets for our largest customers, further diversifying our relationship with them. For example, our largest customer is independently serviced by 70 different IBP branches nationwide despite representing approximately 5% of net revenue for the year ended December 31, 2021. While our largest customers are homebuilders, our customer base is also diverse. We work on a range of commercial projects including office buildings, airports, sports complexes, museums, hospitals, hotels and educational facilities. Of our top 20 customers, 17 represent homebuilders and the remaining three represent commercial customers. We have long-term relationships with many of our customers and have served each of our top ten customers for more than a decade.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contracts that are not complete at the reporting date, we recognize revenue over time utilizing a cost-to-cost input method. When this method is used, we estimate the costs to complete individual contracts and record as revenue that portion of the total contract price that is considered complete based on the relationship of costs incurred to date to total anticipated costs. The costs of earned revenue include all direct material and labor costs and those indirect costs related to contract performance, such as indirect labor, supplies, tools and repairs. Backlog represents the transaction price for contracts for which work has not been performed and excludes unexercised contract options and potential modifications. Backlog is not a guarantee of future revenues as contractual commitments may change. There can be no assurance that backlog will result in revenues within the expected timeframe, if at all. We estimate backlog was $143.2 million as of December 31, 2021 and we estimated it to be $78.5 million as of December 31,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long-term relationships with many of our suppliers, and we purchase from manufacturers whenever possible to streamline the typical supply chain. As one of the largest purchasers of insulation in the United States, we believe that we maintain particularly strong relationships with the largest manufacturers of the products we use in our business. The proximity of certain of our branch locations to insulation manufacturers’ facilities provides additional mutual benefits, including opportunities for cost savings and joint planning regarding future production. Due to the limited number of large fiberglass insulation manufacturers, our three largest suppliers in the aggregate accounted for approximately 33% of all material purchases for the year ended December 31, 2021. We also believe that we maintain good relationships with suppliers of the non-insulation products we install. We have found that using multiple suppliers ensures a stable source of materials and favorable purchasing terms as suppliers compete to gain and maintain our business. In addition, our national purchasing volumes provide leverage with suppliers as we pursue additional purchasing synergies. The industry is currently experiencing manufacturer supply constraints for some of the materials we purchase due to an unanticipated increase in demand as well as global supply chain bottlenecks caused by manufacturing curtailments due to COVID-19. See Part II, Item 7, Management's Discussion and Analysis of Financial Condition and Results of Operations, "Key Factors Affecting our Operating Results" for more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typically have higher sales during the second half of the year as our homebuilder customers complete construction of homes placed under contract for sale in the traditionally stronger spring selling season. In addition, some of our larger branches operate in states impacted by winter weather and, as such, experience a slowdown in construction activity during the first quarter of the calendar year. This winter slowdown contributes to traditionally lower sales and profitability in our first quarter. As a result of the aforementioned material supply constraints, some jobs may be temporarily delayed, resulting in lower revenue in the first and/or second quarters of 2022 than we would normally expect. While we anticipate this will not have a significant effect on our business, we cannot predict the full impact on our results of operations at this time.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composition and level of our working capital typically change during periods of increasing sales as we carry more inventory and receivables, although these changes are generally offset in part by higher trade payables to our suppliers. Working capital levels increase in the summer and fall seasons due to higher sales during the peak of residential construction activity. Typically, the subsequent collection of receivables and reduction in inventory levels during the winter months has positively impacted cash flow. In the past, we have from time to time utilized our borrowing availability under our credit facilities to cover short-term working capital needs.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believe that competition in our industry is based on quality and timeliness of service, knowledge of local building codes, pricing, relationships and reputation in the market. The building products installation industry is highly fragmented. The markets for our non-insulation installation services are even more fragmented than the markets for insulation installation services. Our competitors include one other large national contractor, several large regional contractors and numerous local contractors. We expect to continue to effectively compete in our local markets given our long-standing customer relationships, access to capital, tenure and quality of local staff, quality installation reputation and competitive pricing.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2021, we had approximately 9,500 employees, consisting of approximately 6,700 installers, approximately 700 sales professionals, approximately 600 production personnel and approximately 1,500 administrative and management personnel. Less than 4% of our employees are covered under collective bargaining agreements. We have never experienced a work stoppage or strike, and we believe that we have good relationships with our employees.</w:t>
      </w:r>
    </w:p>
    <w:p>
      <w:pPr>
        <w:spacing w:after="0" w:line="13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employees are critical to our continued success and are our most important resource. We focus on attracting and retaining talented and experienced individuals to manage and support our operations. We consider retaining skilled employees to be a competitive advantage and employ various strategies to improve turnover metrics. In addition, we offer many benefits and resources to most employees, some of which are above and beyond what others in our industry offer. See "Competitive Advantages, Engaged employees” above for further details on turnover metrics and the benefits we offer.</w:t>
      </w:r>
    </w:p>
    <w:p>
      <w:pPr>
        <w:spacing w:after="0" w:line="1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management team supports the development of our existing workforce by establishing a culture of employee engagement, employee appreciation and the opportunity for promotion from within for many leadership positions. We believe this provides increased retention and promotes a long-term focus to our operations.</w:t>
      </w:r>
    </w:p>
    <w:p>
      <w:pPr>
        <w:spacing w:after="0" w:line="13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respect and support the diversity of all people within our workforce. We are committed to diversity, equity and inclusion ("DE&amp;I") practices and maintaining workplaces free from discrimination and harassment on the basis of race, color, age, religion, sex, national origin, ancestry, gender, sexual orientation, gender identification, disability, military status, veteran status, or any other status protected by law. We are proud of our strong and diverse workforce. Our Hispanic/Latino diversity outpaces the construction industry average, according to the Bureau of Labor Statistics, and our workforce as a whole is comprised of over 50% ethnic minorities. In addition, based on gender, racial, ethnic and orientation diversity, 50% of our board of directors is diverse, which helps drive our strategies for an inclusive workplace. We are committed in policy and practice to providing equal employment opportunities for all applicants and employees based upon their training, experience, and overall qualifications. Employees across all our branches are invited to participate in our regional and national DE&amp;I committees to determine the standards for how employees should interact with one another and their communities. We do not tolerate inappropriate behavior or harassment.</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health and safety of our employees is of primary importance. See “Safety and Quality Control” above for details on our policies and practices. Our policy is designed to protect against accidents, injuries, and illnesses, in compliance with applicable safety and health laws and regulations. In response to the COVID-19 pandemic, we implemented enhanced safety protocols to protect our employees’ health and well-being, and to comply with regulations from federal, state and local government agencies. Certain protocols evolved throughout 2021 as vaccines became available and guidelines from public health authorities such as the Centers for Disease Control were updated. See “COVID-19 Impacts” above for more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JobCORE is our web-enabled internal software technology used by the majority of our branches. The system is designed to operate our business in a highly efficient manner and manage our operations. The jobCORE software provides in-depth real-time job-level operational and financial performance data from each branch to the corporate office. JobCORE provides us, our branch managers and our sales personnel with an important operational tool for monitoring branch level performance. It assists management in assessing important business questions, including customer analysis, sales staff analysis, branch analysis and other operating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possess intellectual property rights, including trademarks, trade names and know-how and other proprietary rights that are important to our business. In particular, we maintain registered trademarks and trade names, some of which are the trademarks and trade names under which many of our local branches operate and we own or have licensed rights to use jobCORE and other software used in the operation of our business. While we do not believe our business is dependent on any one of our trademarks or trade names, we believe that our trademarks and trade names are important to the development and conduct of our business as well as to the local marketing of our services. We also maintain domain name registrations for each of our local branch websites. We make efforts to protect our intellectual property rights, although the actions we take may be inadequate to prevent others from using similar intellectual property. In addition, third parties may assert claims against our use of intellectual property and we may be unable to successfully resolve such claims.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ENVIRONMENTAL, SOCIAL AND REGULATORY MATTERS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part of our commitment to socially responsible corporate practices, we expanded our Environmental, Social, and Governance ("ESG") efforts by releasing our inaugural ESG report in 2021. This ESG report outlines our sustainability targets and objectives and can be found on our corporate website at https://installedbuildingproducts.com/sustainability. The contents of our website are not incorporated by reference in, or otherwise made a part of, this Form 10-K or in any other report or document we file with the SEC, and any references to our website are intended to be inactive textual references only.</w:t>
      </w:r>
    </w:p>
    <w:p>
      <w:pPr>
        <w:spacing w:after="0" w:line="10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Insulation is a critical component in reducing energy usage and greenhouse gas emissions. The Department of Energy, or DOE, states that over half of the energy used in the average American home is for heating and cooling due to many homes not having proper insulation. Per an insulation fact sheet provided by the DOE, inadequate insulation and air leakage are leading causes of energy waste in most homes. Through insulating homes and commercial structures, our industry promotes energy efficiency. Our loose-fill cellulose insulation is manufactured from recycled waste paper and our fiberglass insulation is made from recycled glass which helps reuse resources and reduce our global carbon footprint.</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committed to socially responsible corporate practices. Through the Installed Building Products Foundation and other volunteer opportunities, we give back to the communities we serve. We also provide longevity stock awards and financial wellness training to our employees. We are subject to various federal, state and local laws and regulations applicable in the jurisdictions in which we operate, including laws and regulations relating to our relationships with our employees, public health and safety, workplace safety, transportation, zoning and fire codes. We strive to operate in accordance with applicable laws, codes and regulations.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responsible for adhering to several federal, state and local regulations covering building codes, compliance with COVID-19 restrictions, labor-related regulations covering minimum wage and employee safety, and transportation procedures. Our transportation operations are subject to the regulatory jurisdiction of the U.S. Department of Transportation, or DOT, which has broad administrative powers. We are also subject to safety requirements governing interstate operations prescribed by the DOT. In addition, vehicle dimension and weight and driver hours of service are subject to both federal and state regulation. Our operations are also subject to the regulatory jurisdiction of the U.S. Department of Labor’s Occupational Safety and Health Administration, or OSHA, which has broad administrative powers regarding workplace and jobsite safety.</w:t>
      </w:r>
    </w:p>
    <w:p>
      <w:pPr>
        <w:spacing w:after="0" w:line="12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Our operations and properties are subject to federal, state and local laws and regulations relating to the use, storage, handling, generation, transportation, treatment, emission, release, discharge and disposal of hazardous or toxic materials, substances, waste and petroleum products and the investigation, remediation, removal and monitoring of the presence or release of such materials, substances, waste and petroleum products, including at currently or formerly owned or occupied premises and off-site disposal locations. We have not previously incurred material costs to comply with environmental laws and regulations. However, we could be subject to material costs, liabilities or claims relating to environmental compliance in the future, especially in the event of changes in existing laws and regulations or in their interpretation or enforcement.</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the nature of our business involves the use or handling of certain potentially hazardous or toxic substances, including spray foam applications and lead-based paint, we may be held liable for claims alleging injury or damage resulting from the release of or exposure to such substances, as well as claims relating to the presence of mold, fungal growth and moisture intrusion alleged in connection with our business activities. In addition, as owners and lessees of real property, we may be held liable for, among other things, releases of hazardous or toxic substances or petroleum products on, at, under or emanating from currently or formerly owned or operated properties, or any off-site disposal locations, or for any known or newly discovered environmental conditions at or relating to any of our properties, including those arising from activities conducted by previous occupants or at adjoining properties, without regard to whether we knew of or were responsible for such release. We may be required to investigate, remove, remediate or monitor the presence or release of such hazardous or toxic substances or petroleum products and may be held liable by a governmental entity for fines and penalties or to any third parties for damages, including for bodily injury, property damage and natural resource damage in connection with the presence or release of hazardous or toxic substances or petroleum products.</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date, costs to comply with applicable laws and regulations relating to pollution or the protection of human health and safety, the environment and natural resources have not had a material adverse effect on our financial condition or operating results, and we do not anticipate incurring material expenditures to comply with such laws and regulations in the current fiscal year.</w:t>
      </w:r>
    </w:p>
    <w:p>
      <w:pPr>
        <w:spacing w:after="0" w:line="13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 conjunction with our lease agreements and other transactions, we often provide reasonable and customary indemnities relating to various matters, including environmental issues. To date, we have not had to pay a material amount pursuant to any such indemnification obligations.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ind w:right="500"/>
        <w:spacing w:after="0" w:line="277" w:lineRule="auto"/>
        <w:rPr>
          <w:sz w:val="20"/>
          <w:szCs w:val="20"/>
          <w:color w:val="auto"/>
        </w:rPr>
      </w:pPr>
      <w:r>
        <w:rPr>
          <w:rFonts w:ascii="Arial" w:cs="Arial" w:eastAsia="Arial" w:hAnsi="Arial"/>
          <w:sz w:val="18"/>
          <w:szCs w:val="18"/>
          <w:color w:val="auto"/>
        </w:rPr>
        <w:t>In addition, our suppliers are subject to various laws and regulations, including environmental laws and regulations. With our purchase of a cellulose manufacturer in November 2018, we are subject to similar laws and regulations that apply to our suppliers.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Installed Building Products, Inc. is a holding company that derives all of its operating income from its subsidiaries. Our principal executive offices are located at 495 South High Street, Suite 50, Columbus, Ohio 43215. Our main telephone number is (614) 221-3399. Our common stock is listed on the New York Stock Exchange, or NYSE, under the symbol “IBP.”</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and file annual, quarterly and current reports, proxy statements and other information with the SEC. These filings are available to the public on the SEC’s website at http://www.sec.gov. Our corporate website is located at http://www.installedbuildingproducts.com, or http://www.ibp.com, and our investor relations website is located at http://investors.installedbuildingproducts.com. Copies of our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with or furnish it electronically to the SEC.</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webcast our earnings calls and post the materials used in meetings with members of the investment community on our investor relations website. Additionally, we provide notifications of news or announcements regarding our financial performance, including SEC filings, investor events and press and earnings releases on our investor relations website. We have used, and intend to continue to use, our investor relations website as a means of disclosing material non-public information and for complying with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 are not incorporated by reference in, or otherwise made a part of, this Form 10-K or in any other report or document we file with the SEC, and any references to our website are intended to be inactive textual references only.</w:t>
      </w:r>
    </w:p>
    <w:p>
      <w:pPr>
        <w:spacing w:after="0" w:line="29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There are a number of business risks and uncertainties that affect our business. These risks and uncertainties could cause our actual results to differ from past performance or expected results. We consider the following risks and uncertainties to be most relevant to our business activities. Additional risks and uncertainties not presently known to us, or that we currently believe to be immaterial, may also adversely impact our business, financial condition and results of operations. We urge investors to consider carefully the risk factors described below in evaluating the information contained in this report.</w:t>
      </w:r>
    </w:p>
    <w:p>
      <w:pPr>
        <w:spacing w:after="0" w:line="1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a summary of the following risks, please see "Information Regarding Forward-Looking Statements and Risk Factors Summary" which appears immediately prior to Item 1, Business, of this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3"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Our business and the industry in which we operate are highly dependent on general and local economic conditions, the housing market, the level of new residential and commercial construction activity and other important factors, all of which are beyond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cyclical, seasonal and highly sensitive to economic and housing market conditions over which we have no control,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new home and commercial building construction starts;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and long-term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employment levels and job and personal income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demand from population growth, household formation and other demographic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5" w:name="page16"/>
    <w:bookmarkEnd w:id="15"/>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rental housing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labor;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land;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material prices;</w:t>
      </w:r>
    </w:p>
    <w:p>
      <w:pPr>
        <w:spacing w:after="0" w:line="117" w:lineRule="exact"/>
        <w:rPr>
          <w:rFonts w:ascii="Arial" w:cs="Arial" w:eastAsia="Arial" w:hAnsi="Arial"/>
          <w:sz w:val="18"/>
          <w:szCs w:val="18"/>
          <w:color w:val="auto"/>
        </w:rPr>
      </w:pPr>
    </w:p>
    <w:p>
      <w:pPr>
        <w:ind w:left="660" w:right="9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zoning and permitting processes, including the length of building cycles from permit to completion, based on local economic or environmental factors;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local energy efficiency programs, regulations, codes and standards;</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pricing of mortgage financing for homebuyers and commercial financing for developers of multi-family homes and commercial projects;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confidence generally and the confidence of potential homebuyers in particular;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global financial system and credit market stability;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government economic, trade, and spending laws and policies;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party and government mortgage loan programs and federal and state regulation, oversight and legal action regarding lending, appraisal, foreclosure and short sale practices;</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personal income tax rates and provisions, including provisions for the deduction of mortgage loan interest payments, state and local income and real estate taxes and other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including in the markets in which we compete;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pandemics, natural disasters, war, acts of terrorism and response to these events.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Unfavorable changes in any of the above conditions could adversely affect consumer spending, result in decreased demand for homes and adversely affect our business generally or be more prevalent or concentrated in particular markets in which we operate. Any deterioration in economic or housing market conditions or continuation of uncertain economic or housing market conditions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housing market could materially and adversely affect our business and financial results.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2021, the U.S. Census Bureau reported an estimated 1.6 million non-seasonally adjusted total housing starts, up from 1.4 million starts in 2020. Despite the increase, any future decline in new home construction and resulting product demand levels may materially adversely affect our business, financial condition, results of operations and cash flows. In particular, increases in mortgage interest rates and rising home prices, along with other economic factors, may lead to a decline in the home construction market. The demand for residential construction could be negatively impacted if the number of renting households increases, as we have seen in the recent past, or by a shortage in the supply of affordable housing which could result in lower home ownership rates. Demand can also be negatively impacted by changing consumer tastes and demographic changes.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factors that might impact growth in the homebuilding industry include: uncertainty in financial, credit and consumer lending markets amid slow growth or recessionary conditions; levels of mortgage repayment; limited credit availability; federal and state personal income tax rates and changes to the deductibility of certain state and local taxes; Federal Reserve policy changes; shortages of suitable building lots in many regions; shortages of experienced labor; soft housing demand in certain markets; and rising materials prices. Given these factors, we can provide no assurance that present growth trends will continue, whether overall or in our markets. The economic downturn in 2007-2010 severely affected our business. Another reduction in housing demand in the future could have a similar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relies on commercial construction activity, which has faced significant challenges and is dependent on business investment.</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portion of the products we sell are for the commercial construction market. If this market does not grow in the future, the growth potential of our business, and our financial condition, results of operations and cash flows could be adversely affected. The commercial construction market, as measured by investment dollars, increased 8% in 2021 from 2020. However, this market has not rebounded from the pandemic as quickly as the new residential market as investment dollars in 2021 were below 2019 levels.</w:t>
      </w:r>
    </w:p>
    <w:p>
      <w:pPr>
        <w:sectPr>
          <w:pgSz w:w="11900" w:h="16838" w:orient="portrait"/>
          <w:cols w:equalWidth="0" w:num="1">
            <w:col w:w="11200"/>
          </w:cols>
          <w:pgMar w:left="320" w:top="1043"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type w:val="continuous"/>
        </w:sectPr>
      </w:pPr>
    </w:p>
    <w:bookmarkStart w:id="16" w:name="page17"/>
    <w:bookmarkEnd w:id="16"/>
    <w:p>
      <w:pPr>
        <w:ind w:right="60"/>
        <w:spacing w:after="0" w:line="308" w:lineRule="auto"/>
        <w:rPr>
          <w:sz w:val="20"/>
          <w:szCs w:val="20"/>
          <w:color w:val="auto"/>
        </w:rPr>
      </w:pPr>
      <w:r>
        <w:rPr>
          <w:rFonts w:ascii="Arial" w:cs="Arial" w:eastAsia="Arial" w:hAnsi="Arial"/>
          <w:sz w:val="17"/>
          <w:szCs w:val="17"/>
          <w:color w:val="auto"/>
        </w:rPr>
        <w:t>According to Dodge Data &amp; Analytics, commercial building starts in 2022, measured by investment dollars, are expected to increase 12% from 2021 while institutional building starts (a subset of the nonresidential construction market in which we participate) are expected to increase 6% from 2021.</w:t>
      </w:r>
    </w:p>
    <w:p>
      <w:pPr>
        <w:spacing w:after="0" w:line="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strength of the commercial construction market depends on business investment which is a function of many national, regional and local economic conditions beyond our control, including capital and credit availability for commercial construction projects, material costs, interest rates, employment rates, demand for office space due to COVID-19-related changes in employment practices, vacancy rates, labor and healthcare costs, fuel and other energy costs and changes in tax laws affecting the real estate industry. Adverse changes or continued uncertainty regarding these and other economic conditions could result in a decline or postponement in spending on commercial construction projects, which could adversely affect our financial condition, results of operations and cash flows.</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Weakness in the commercial construction market would have a material adverse effect on our business, financial condition and operating results. Continued uncertainty about current economic conditions will continue to pose a risk to our businesses that serve the non-residential markets. If participants in these industries postpone spending in response to tighter credit, negative financial news and declines in income or asset values or other factors such as unfavorable news surrounding the COVID-19 pandemic, this could have a material negative effect on the demand for our products and services and on our business, financial condition and results of operations.</w:t>
      </w:r>
    </w:p>
    <w:p>
      <w:pPr>
        <w:spacing w:after="0" w:line="292"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A decline in the economy and/or a deterioration in expectations regarding the housing market or the commercial construction market could cause us to record significant non-cash impairment charges, which could negatively affect our earnings and reduce stockholders’ equity.</w:t>
      </w:r>
    </w:p>
    <w:p>
      <w:pPr>
        <w:spacing w:after="0" w:line="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review our goodwill for impairment annually during the fourth quarter. We also review our goodwill and other intangible assets when events or changes in circumstances indicate the carrying value may not be recoverable. In doing so, we either assess qualitative factors or perform a detailed analysis to determine if it is more likely than not that the fair value of a reporting unit is less than its carrying amount. We did not record any goodwill impairment charges in 2021, 2020, or 2019; however, a decline in the expectation of our future performance, a decline in our market capitalization, deterioration in expectations regarding the general economy and/or the timing and the extent of new home construction, home improvement and commercial construction activity may cause us to recognize non-cash, pre-tax impairment charges for goodwill or other long-lived assets, which are not determinable at this time. In addition, as a result of our acquisition strategy, we have recorded goodwill and may incur impairment charges in connection with prior and future acquisitions. If the value of goodwill or other intangible assets is impaired, our earnings and stockholders’ equity would be adversely affected. As of December 31, 2021, we had goodwill and other intangible assets in an aggregate amount of $586.9 million, or approximately 36% of our total assets, which is in excess of our stockholders’ equity.</w:t>
      </w:r>
    </w:p>
    <w:p>
      <w:pPr>
        <w:spacing w:after="0" w:line="2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industry is highly fragmented and competitive, and increased competitive pressure may adversely affect our business, financial condition, results of operations and cash flows.</w:t>
      </w:r>
    </w:p>
    <w:p>
      <w:pPr>
        <w:spacing w:after="0" w:line="1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building products installation industry is highly fragmented and competitive. We face significant competition from other national, regional and local companies. Any of these competitors may: (i) foresee the course of market development more accurately than we do; (ii) offer services that are deemed superior to ours; (iii) sell building products and services at a lower cost; (iv) develop stronger relationships with homebuilders and suppliers; (v) adapt more quickly to new technologies, new installation techniques or evolving customer requirements; or (vi) have access to financing on more favorable terms than we can obtain in the market. As a result, we may not be able to compete successfully with them. If we are unable to compete effectively, our business, financial condition, results of operations and cash flows may be adversely affected.</w:t>
      </w:r>
    </w:p>
    <w:p>
      <w:pPr>
        <w:spacing w:after="0" w:line="12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the event that increased demand leads to higher prices for the products we use in our business, we may have limited, if any, ability to pass on price increases in a timely manner or at all due to the fragmented and competitive nature of our industry. Residential homebuilders have, in the past, placed pressure on their suppliers to keep prices low, also contributing to the possibility of not being able to pass on price increases.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shortages or the loss of key suppliers could affect our business, financial condition, results of operations and cash flows.</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ability to offer a wide variety of products to our customers depends on our ability to obtain adequate product supply from manufacturers. We do not typically enter into long-term agreements with our suppliers but have done so from time to time, including in 2018 when we entered into a contract to provide a portion of the insulation materials we utilize across our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ind w:right="80"/>
        <w:spacing w:after="0" w:line="268" w:lineRule="auto"/>
        <w:rPr>
          <w:sz w:val="20"/>
          <w:szCs w:val="20"/>
          <w:color w:val="auto"/>
        </w:rPr>
      </w:pPr>
      <w:r>
        <w:rPr>
          <w:rFonts w:ascii="Arial" w:cs="Arial" w:eastAsia="Arial" w:hAnsi="Arial"/>
          <w:sz w:val="17"/>
          <w:szCs w:val="17"/>
          <w:color w:val="auto"/>
        </w:rPr>
        <w:t>businesses during 2019, 2020 and 2021. At this time, we do not have any agreements that exceed a one-year commitment in 2022. We have certain agreements that do not qualify as supply agreements due to a lack of a fixed price and/or lack of a fixed and determinable purchase quantity, but nonetheless may require us to purchase certain of our products from certain vendors, depending on the specific circumstances. Generally, our products are available from various sources and in sufficient quantities to meet our operating needs. However, the loss of, or a substantial decrease in the availability of, products from our suppliers or the loss of key supplier arrangements could adversely impact our business, financial condition, results of operations and cash flows. Historically, unexpected events, such as incapacitation of supplier facilities due to extreme weather or fire, have temporarily reduced manufacturing capacity and production. The industry is currently experiencing manufacturer supply constraints for some of the materials we use in our business due to an unanticipated increase in demand as well as global supply chain bottlenecks caused by manufacturing curtailments due to COVID-19. See Part II, Item 7, Management's Discussion and Analysis of Financial Condition and Results of Operations, "Key Factors Affecting our Operating Results" for more information. In addition, during prior economic downturns in the housing industry, manufacturers have reduced capacity by closing plants and production lines within plants. Even if such capacity reductions are not permanent, there may be a delay in manufacturers’ ability to increase capacity in times of rising demand. If the demand for products from manufacturers and other suppliers exceeds the available supply, we may be unable to source additional products in sufficient quantity or quality in a timely manner and the prices for the products that we use in our business could rise. These developments could affect our ability to take advantage of market opportunities and limit our growth prospects. We continually evaluate our supplier relationships and at any given time may move some or all of our purchases from one or more of our suppliers. There can be no assurance that any such action would have its intended effect.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by our suppliers to continue to provide us with products on commercially favorable terms, or at all, could have a material adverse effect on our operating margins, financial condition, operating results and/or cash flows. Our inability to source materials in a timely manner could also damage our relationships with our customers.</w:t>
      </w:r>
    </w:p>
    <w:p>
      <w:pPr>
        <w:spacing w:after="0" w:line="2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Changes in the costs of the products we use in our business, an inability to increase our selling prices or a delay in the timing of such increases can decrease our profit margins.</w:t>
      </w:r>
    </w:p>
    <w:p>
      <w:pPr>
        <w:spacing w:after="0" w:line="11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principal building products we use in our business have been subject to price changes in the past, some of which have been significant. For example, the industry supply of a portion of the insulation materials we install was disrupted due to historic winter storms in the southern United States during the first quarter of 2021. This event, coupled with other industry impacts such as sudden increased demand, resulted in insulation material allocation throughout the industry and, as a result, increased market pricing which impacted our results of operations in 2021 and will likely impact 2022 as well. Increased market pricing, regardless of the catalyst, could impact our results of operations in the future to the extent that price increases cannot be passed on to our customers. While we continue to work with our customers to adjust selling prices to offset the aforementioned higher costs, there can be no assurance that any such action would have its intended effect. In addition, our results of operations for individual quarterly periods can be, and have been, adversely affected by a delay between when building product cost increases are implemented and when we are able to increase prices for our products and services, if at all. Our supplier purchase prices often depend on volume requirements. If we do not meet these volume requirements, our costs could increase and our margins may be adversely affected. In addition, while we have been able to achieve cost savings through volume purchasing and our relationships with suppliers, we may not be able to continue to receive advantageous pricing for the products that we use in our business, which could have a material adverse effect on our financial condition, results of operations and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our key personnel.</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results depend largely upon the continued contributions of our senior management team. We do not have employment agreements with any of our executive officers other than Jeff Edwards, our Chief Executive Officer and President. Although Mr. Edwards’ employment agreement requires him to devote the amount of time necessary to conduct our business and affairs, he is also permitted to engage in other business activities that do not create a conflict of interest or substantially interfere with his service to us, including non-competitive operational activities for his real estate development business. If we lose members of our management team, our business, financial condition and results of operations, as well as the market price of our securities, could be adversely affected.</w:t>
      </w:r>
    </w:p>
    <w:p>
      <w:pPr>
        <w:spacing w:after="0" w:line="1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business results also depend upon our branch managers and sales personnel, including those of companies recently acquired. While we customarily sign non-competition agreements, which typically continue for two years following the termination of employment, with our branch managers and sales personnel in order to maintain key customer relationships in our markets, such agreements do not protect us fully against competition from former employees.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 are dependent on attracting, training and retaining qualified employees while controlling labor costs.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labor market for the construction industry is competitive, including within the sector in which we operate. We must attract, train and retain a large number of qualified employees to install our products while controlling related labor costs. We face significant competition for these employees from our industry as well as from other industries. Tighter labor markets may make it even more difficult for us to hire and retain installers and control labor costs. Our ability to attract qualified employees and control labor costs is subject to numerous external factors, including competitive wage rates and health and other insurance and benefit costs. A significant increase in competition, minimum wage or overtime rates in localities where we have employees could have a significant impact on our operating costs and may require that we take steps to mitigate such increases, all of which may cause us to incur additional costs, expend resources responding to such increases and lower our margins.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Higher labor and health care costs could adversely affect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labor costs have increased in recent years and may continue to increase as a result of competition, health and other insurance and benefit costs. In addition, health care coverage requirements, changes in workplace regulations and any future legislation could cause us to experience higher health care and labor costs in the future. Increased labor, health care and insurance costs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Variability in self-insurance liability estimates could adversely impact our results of operations.</w:t>
      </w:r>
    </w:p>
    <w:p>
      <w:pPr>
        <w:spacing w:after="0" w:line="17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carry insurance for risks including, but not limited to, workers’ compensation, general liability, vehicle liability, property and our obligation for employee-related health care benefits. In most cases, these risks are insured under high deductible and/or high-retention programs that require us to carry highly subjective liability reserves on our balance sheet. We estimate these insurance liabilities by considering historical claims experience, including frequency, severity, demographic factors and other actuarial assumptions, and periodically analyzing our historical trends with the assistance of external actuarial consultants. Our accruals for insurance reserves reflect these estimates and other management judgments, which are subject to variability. If our claim experience differs significantly from historical trends and actuarial assumptions and we then need to increase our reserves, our financial condition and results of operations could be adversely affected.</w:t>
      </w:r>
    </w:p>
    <w:p>
      <w:pPr>
        <w:spacing w:after="0" w:line="28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Increases in union organizing activity and/or work stoppages could delay or reduce availability of products that we use in our business and increase our costs.</w:t>
      </w:r>
    </w:p>
    <w:p>
      <w:pPr>
        <w:spacing w:after="0" w:line="11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Currently, less than 4% percent of our employees are covered by collective bargaining or other similar labor agreements. However, if a larger number of our employees were to unionize, including in the wake of any future legislation that makes it easier for employees to unionize, or if we acquire an entity with a unionized workforce in the future, our business could be negatively affected. Any inability by us to negotiate collective bargaining arrangements could cause strikes or other work stoppages, and new contracts could result in increased operating costs. If any such strikes or other work stoppages occur, or if other employees become represented by a union, we could experience a disruption of our operations and higher labor costs.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participate in various multiemployer pension plans under collective bargaining agreements in Washington, Oregon, California and Illinois with other companies in the construction industry. We also participate in various multiemployer health and welfare plans that cover both active and retired participants. These plans cover most of our union-represented employees. If a participating employer stops contributing to the multiemployer plan, the unfunded obligations of the plan may be borne by the remaining participating employers. In addition, if a participating employer chooses to stop participating in these multiemployer plans, the employer may be required to pay those plans a withdrawal liability based upon the underfunded status of the plan.</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certain of our suppliers have unionized workforces and certain of our products are transported by unionized truckers. Strikes or work stoppages could result in slowdowns or closures of facilities where the products that we use in our business are manufactured or could affect the ability of our suppliers to deliver such products to us. Any interruption in the production or delivery of these products could delay or reduce availability of these products and increase our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fuel costs could adversely affect our results of operations.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of oil has fluctuated over the last few years, creating volatility in our fuel costs. We do not currently hedge our fuel costs. Increases in fuel costs can negatively impact our cost to deliver our products to our customers and thus increase our cost of sales. If we are unable to increase the selling price of our products to our customers to cover any increases in fuel costs, net income may be adversely affected.</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9" w:name="page20"/>
    <w:bookmarkEnd w:id="19"/>
    <w:p>
      <w:pPr>
        <w:ind w:right="100"/>
        <w:spacing w:after="0" w:line="282" w:lineRule="auto"/>
        <w:rPr>
          <w:sz w:val="20"/>
          <w:szCs w:val="20"/>
          <w:color w:val="auto"/>
        </w:rPr>
      </w:pPr>
      <w:r>
        <w:rPr>
          <w:rFonts w:ascii="Arial" w:cs="Arial" w:eastAsia="Arial" w:hAnsi="Arial"/>
          <w:sz w:val="18"/>
          <w:szCs w:val="18"/>
          <w:b w:val="1"/>
          <w:bCs w:val="1"/>
          <w:color w:val="auto"/>
        </w:rPr>
        <w:t>Because we operate our business through highly dispersed locations across the United States, our operations may be materially adversely affected by inconsistent practices and the operating results of individual branches may vary.</w:t>
      </w:r>
    </w:p>
    <w:p>
      <w:pPr>
        <w:spacing w:after="0" w:line="11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operate our business through a network of highly dispersed locations throughout the United States, supported by executives and services at our corporate office, with local branch management retaining responsibility for day-to-day operations and adherence to applicable local laws. Our operating structure can make it difficult for us to coordinate procedures across our operations in a timely manner or at all. In addition, our branches may require significant oversight and coordination from our corporate office to support their growth. Inconsistent implementation of corporate strategy and policies at the local level could materially and adversely affect our overall profitability, business, results of operations, financial condition and prospects.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operating results of an individual branch may differ from those of another branch for a variety of reasons, including market size, management practices, competitive landscape, regulatory requirements, state and local taxes and local economic conditions. As a result, certain of our branches may experience higher or lower levels of growth than other branches. Therefore, our overall financial performance and results of operations may not be indicative of the performance and results of operations of any individual branch.</w:t>
      </w:r>
    </w:p>
    <w:p>
      <w:pPr>
        <w:spacing w:after="0" w:line="29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the ordinary course of business, we are required to obtain performance bonds and licensing bonds, the unavailability of which could adversely affect our business, financial condition, results of operations and/or cash flows.</w:t>
      </w:r>
    </w:p>
    <w:p>
      <w:pPr>
        <w:spacing w:after="0" w:line="1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often required to obtain performance bonds and licensing bonds to secure our performance under certain contracts and other arrangements. In addition, the commercial construction end market also requires higher levels of performance bonding.</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ability to obtain performance bonds and licensing bonds primarily depends on our credit rating, capitalization, working capital, past performance, management expertise and certain external factors, including the overall capacity of the surety market and the underwriting practices of surety bond issuers. The ability to obtain performance bonds and licensing bonds can also be impacted by the willingness of insurance companies to issue performance bonds and licensing bonds. If we are unable to obtain performance bonds and licensing bonds when required, our business, financial condition, results of operations and/or cash flows could be adversely impacted.</w:t>
      </w:r>
    </w:p>
    <w:p>
      <w:pPr>
        <w:spacing w:after="0" w:line="29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Increasing scrutiny and changing expectations from stakeholders regarding our environmental, social and governance ("ESG") practices may impose additional costs on us or expose us to new or additional risks.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 advocacy groups, certain institutional investors, investment funds, lenders and other market participants, shareholders, and customers have focused increasingly on the ESG or “sustainability” practices of companies and have placed increasing importance on the social cost of their investments. If our ESG practices do not meet investor, lender, or other industry stakeholder expectations and standards, which continue to evolve, our access to capital may be negatively impacted based on an assessment of our ESG practices. These limitations, in both the debt and equity markets, may negatively affect our ability to manage our liquidity, our ability to refinance existing debt, grow our businesses, implement our strategies, our results of operations, and the price of our common stock.</w:t>
      </w:r>
    </w:p>
    <w:p>
      <w:pPr>
        <w:spacing w:after="0" w:line="138"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We released our inaugural ESG report in 2021. The report includes our policies and practices on a variety of social and environmental matters, including, diversity and inclusion initiatives, training and development programs, and employee health and safety practices as well as other sustainable business</w:t>
      </w:r>
    </w:p>
    <w:p>
      <w:pPr>
        <w:ind w:right="80"/>
        <w:spacing w:after="0" w:line="259" w:lineRule="auto"/>
        <w:rPr>
          <w:sz w:val="20"/>
          <w:szCs w:val="20"/>
          <w:color w:val="auto"/>
        </w:rPr>
      </w:pPr>
      <w:r>
        <w:rPr>
          <w:rFonts w:ascii="Arial" w:cs="Arial" w:eastAsia="Arial" w:hAnsi="Arial"/>
          <w:sz w:val="18"/>
          <w:szCs w:val="18"/>
          <w:color w:val="auto"/>
        </w:rPr>
        <w:t>practices and environmental targets.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or targets set forth in the sustainability report could negatively impact our reputation and stock price, employee retention, and the willingness of our customers and suppliers to do business with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TO OUR BUSINESS FROM EXTERNAL THREATS</w:t>
      </w:r>
    </w:p>
    <w:p>
      <w:pPr>
        <w:spacing w:after="0" w:line="33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COVID-19 pandemic could continue to adversely impact the U.S. economy as well as our business, financial condition, operating results and cash flows.</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According to the World Health Organization (“WHO”), in December 2019 China reported a cluster of cases of pneumonia in Wuhan, Hubei Province later identified as a novel strain of coronavirus. In response, the WHO declared the situation a pandemic and the U.S. Secretary of Health and Human Services declared a public health emergency. The COVID-19 pandemic has caused significant volatility, uncertainty and economic disruption. Many public health organizations and international, federal, state and local governments implemented measures to combat the spread of COVID-19 during 2020 and 2021. Some of</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0" w:name="page21"/>
    <w:bookmarkEnd w:id="20"/>
    <w:p>
      <w:pPr>
        <w:ind w:right="140"/>
        <w:spacing w:after="0" w:line="301" w:lineRule="auto"/>
        <w:rPr>
          <w:sz w:val="20"/>
          <w:szCs w:val="20"/>
          <w:color w:val="auto"/>
        </w:rPr>
      </w:pPr>
      <w:r>
        <w:rPr>
          <w:rFonts w:ascii="Arial" w:cs="Arial" w:eastAsia="Arial" w:hAnsi="Arial"/>
          <w:sz w:val="16"/>
          <w:szCs w:val="16"/>
          <w:color w:val="auto"/>
        </w:rPr>
        <w:t>these measures included restrictions on movement such as quarantines, vaccine and/or masking requirements, “stay-at-home” orders and social distancing ordinances and restricting or prohibiting outright some or all forms of commercial and business activity. There is still significant uncertainty surrounding the duration and scope of the pandemic as well as its continued impact on the economy. We cannot predict if federal, state and local governments will implement additional restrictions, when restrictions currently in place will expire or whether restrictions currently in place will become more restrictive.</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COVID-19 adversely affected many industries as well as the economies and financial markets of many countries, including the United States, causing a significant deceleration of economic activity during a portion of 2020. This slowdown reduced production, decreased the level of trade, and led to widespread corporate downsizing, causing a sharp increase in unemployment in 2020 from which the economy is still recovering. The continued impact of this pandemic on the U.S. and world economies is uncertain and these adverse impacts could worsen, impacting all segments of the global economy, and result in a significant recession or worse.</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business has been adversely affected by the COVID-19 pandemic and the global response. The Company and its customers’ businesses were classified as “essential” businesses in most of the jurisdictions in which we operate, permitting us to continue operations in most of our markets when COVID-19-related shutdowns occurred during 2020. However, there can be no assurance that our operations will continue to be classified as “essential” in the future, or that we will not voluntarily limit or cease operations in one or more of our markets if we believe it is in our best interest. For example, during portions of March, April and May of 2020, we saw a temporary but significant reduction in activity in our branches located in seven states and the Bay Area of California, which collectively accounted for 10% of our net revenue during the year ended December 31, 2019. The reduced activity in these areas was attributable to construction being temporarily deemed non-essential during that time period. While operations have resumed to normal levels in all of these areas, future mandatory shutdowns or reductions in operations could have a material adverse effect on our business. During 2020, we laid off or furloughed approximately 600 employees in areas where construction was not deemed “essential.” We have since rehired or brought back substantially all of those employees, but we may need to layoff or furlough other employees in the future. Any employee layoffs or furloughs associated with future branch closures or slowdowns are assumed to be temporary in nature but could result in long-term labor shortages in certain markets if we cannot rehire these employees once operations resume. During the second half of 2021, new variants of COVID-19 emerged that were more contagious than previous variants and caused some of our local branches to be shut down or operations to be limited. We continue to assess this evolving situation and may adjust our policies and processes to continue to operate effectively.</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the U.S. housing industry quickly rebounded from the initial onset of the pandemic in 2020, the COVID-19 pandemic may have a material adverse impact on our customers and the homebuilding industry in the future. Unemployment levels have stabilized, but inflation has been rising which could raise interest rates and may adversely affect consumer spending or consumer confidence, both of which would typically decrease demand for homes. In the commercial sector, we have experienced delays in the onset of certain large-scale infrastructure programs due to declining need for such structures and/or project funding declines. Commercial spending rose in 2021, but remains below 2019 levels. Commercial projects could decline in the future if consumer behaviors change in the wake of COVID-19 disruptions to the economy and changes to our general ways of life. For example, reduced demand for office buildings, decreased airport traffic or decreased usage of sports arenas could continue to impact our commercial end market.</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industry is currently experiencing manufacturer supply constraints for many of the materials we use in our business due to an unanticipated increase in demand as well as global supply chain bottlenecks as a result of manufacturing curtailments due to COVID-19. These factors affected our ability to complete installation work for certain customers during 2021 and also required us to source many of the materials we install from distributors and retail outlets at a premium. These higher costs had an adverse impact on our financial condition, operating results and cash flows. For example, we estimate our cost of sales for the year ended December 31, 2021 were approximately $8.8 million higher than they would have been if we purchased these materials through regular channels. We anticipate this trend of higher materials costs as a result of disruptions caused by the COVID-19 pandemic to continue into 2022.</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is focused on mitigating the impact of COVID-19 on our business and the risk to our employees, which has partially diverted management’s attention away from normal business operations. Additionally, we have taken a number of precautionary measures intended to mitigate the impact of COVID-19 on our business and the risk to our employees, including increasing the frequency of regular cleaning and disinfecting processes at our facilities, adhering to social distancing and mask protocols, limiting the number of workers in a branch or warehouse at any given time and periodically allowing employees to work remotely when possible, which could adversely affect our business. Despite these measures, our key management personnel and/or a portion of our installer base could be unable to work due to sickness or the need to quarantine, or become temporarily or permanently incapacitated by COVID-19 or related complications. This could result in a material adverse impact on our business, financial condition, operating results and cash flows. While these and other measures we may take are believed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ind w:right="360"/>
        <w:spacing w:after="0" w:line="277" w:lineRule="auto"/>
        <w:rPr>
          <w:sz w:val="20"/>
          <w:szCs w:val="20"/>
          <w:color w:val="auto"/>
        </w:rPr>
      </w:pPr>
      <w:r>
        <w:rPr>
          <w:rFonts w:ascii="Arial" w:cs="Arial" w:eastAsia="Arial" w:hAnsi="Arial"/>
          <w:sz w:val="18"/>
          <w:szCs w:val="18"/>
          <w:color w:val="auto"/>
        </w:rPr>
        <w:t>to be temporary, they may continue until the pandemic is contained or indefinitely and could increase costs and amplify existing risks or introduce new risks that could adversely affect our business, including, but not limited to, internal controls and cybersecurity risks.</w:t>
      </w:r>
    </w:p>
    <w:p>
      <w:pPr>
        <w:spacing w:after="0" w:line="1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Considerable uncertainty still surrounds COVID-19 and its duration and potential effects, as well as the extent of, and effectiveness of, any responses taken on a local, national and global level. To date, vaccines have been developed and treatments have improved, but it is too soon to know if they will protect against a worsening of the pandemic due to new variants of the virus or other factors, or to prevent COVID-19 from becoming endemic. While we expect the COVID-19 pandemic and related events may have a negative effect on us in the future, the full extent and scope of the impact on our business and industry, as well as national, regional and global markets and economies, depends on numerous evolving factors that we may not be able to accurately predict, including the duration and scope of the pandemic, additional government actions taken in response to the pandemic, the impact on construction activity and demand for homes (based on employment levels, consumer spending and consumer confidence). Accordingly, our ability to conduct our business in the manner previously or currently expected could be materially and negatively affected, any of which could have a material adverse impact on our business, financial condition, operating results and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seasonal and may be affected by adverse weather conditions, natural disasters or other catastrophic events.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tend to have higher sales during the second half of the year as our homebuilder customers complete construction of homes placed under contract for sale in the traditionally stronger spring selling season. In addition, some of our larger branches operate in states impacted by winter weather and, as such, experience a slowdown in construction activity during inclement months. This winter slowdown contributes to traditionally lower sales and profitability in our first quarter.</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climate change and/or adverse weather conditions, such as unusually prolonged cold conditions, rain, blizzards, hurricanes, earthquakes, fires, other natural disasters, epidemics or other catastrophic events could accelerate, delay or halt construction or installation activity or impact our suppliers. For example, the February 2021 winter storms in the southern United States significantly impacted our operations across the entire state of Texas. The impact of these types of events on our business may adversely impact quarterly or annual net revenue, cash flows from operations and results of operations. Weather is one of the main reasons for annual seasonality cycles of our business, and any adverse weather conditions can enhance this seasonality.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disruptions in our information technology systems.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operations are dependent upon our information technology systems, including our web-enabled internal software technology, jobCORE. The jobCORE software provides in-depth operational and financial performance data from individual branch locations to the corporate office. We rely upon such information technology systems to manage customer orders on a timely basis, coordinate our sales and installation activities across locations and manage invoicing. As a result, the proper functioning of our information technology systems is critical to the successful operation of our business. Although our information technology systems are protected through physical and software safeguards, our information technology systems are still vulnerable to natural disasters, power losses, unauthorized access, delays and outages in our service, system capacity limits from unexpected increases in our volume of business, telecommunication failures, computer viruses and other problems. A substantial disruption in our information technology systems for any prolonged time period could result in delays in receiving inventory and supplies or installing our products on a timely basis for our customers, which could adversely affect our reputation and customer relationships.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2" w:name="page23"/>
    <w:bookmarkEnd w:id="22"/>
    <w:p>
      <w:pPr>
        <w:ind w:right="60"/>
        <w:spacing w:after="0" w:line="282" w:lineRule="auto"/>
        <w:rPr>
          <w:sz w:val="20"/>
          <w:szCs w:val="20"/>
          <w:color w:val="auto"/>
        </w:rPr>
      </w:pPr>
      <w:r>
        <w:rPr>
          <w:rFonts w:ascii="Arial" w:cs="Arial" w:eastAsia="Arial" w:hAnsi="Arial"/>
          <w:sz w:val="18"/>
          <w:szCs w:val="18"/>
          <w:b w:val="1"/>
          <w:bCs w:val="1"/>
          <w:color w:val="auto"/>
        </w:rPr>
        <w:t>In the event of a cybersecurity incident, we could experience operational interruptions, incur substantial additional costs, become subject to legal or regulatory proceedings or suffer damage to our reputation.</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disruptions that may occur in our information technology systems, cybersecurity threats and sophisticated and targeted cyberattacks pose a risk to our information technology systems. We have established security policies, processes and defenses designed to help identify and protect against intentional and unintentional misappropriation or corruption of our information technology systems and information and disruption of our operations. Despite these efforts, our information technology systems, including but not limited to jobCORE, financial systems, Human Resource and payroll systems, fleet management software, and risk management systems may be damaged, disrupted or shut down due to attacks by unauthorized access, malicious software, computer viruses, undetected intrusion, hardware failures or other events, and in these circumstances our disaster recovery plans may be ineffective or inadequate. These breaches or intrusions could lead to business interruption, exposure of proprietary or confidential information, data corruption, damage to our reputation, exposure to legal and regulatory proceedings and other costs. Such events could have a material adverse impact on our financial condition, results of operations and cash flows. In addition, we could be adversely affected if any of our significant customers or suppliers experiences any similar events that disrupt their business operations or damage their reputation.</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cyberattacks become more sophisticated generally, we may be required to incur significant costs to strengthen our systems to protect against outside intrusions and/or continue to maintain insurance coverage related to the threat of such attacks. While we have invested in industry appropriate protections and monitoring practices of our data and information technology to reduce these risks and test our systems on an ongoing basis for any current or potential threats, there can be no assurance that our efforts will prevent breakdowns or breaches of our or our third-party providers’ databases or systems that could adversely affect our business.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carry cybersecurity insurance to help mitigate the financial exposure and related notification procedures in the event of intentional intrusion. The measures that we implement to reduce and mitigate these risks may not be effective. While to date these threats have not had a material impact on our business or operations, if such an event occurred, it could have a material adverse effect on our business, financial condition, results of operations and cash flows.</w:t>
      </w:r>
    </w:p>
    <w:p>
      <w:pPr>
        <w:spacing w:after="0" w:line="29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Terrorist attacks or acts of war against the United States or increased domestic or international instability could have an adverse effect on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Adverse developments in the war on terrorism, terrorist attacks against the United States or any outbreak or escalation of hostilities between the United</w:t>
      </w:r>
    </w:p>
    <w:p>
      <w:pPr>
        <w:spacing w:after="0" w:line="53"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States and any foreign power may cause disruption to the economy</w:t>
      </w:r>
      <w:r>
        <w:rPr>
          <w:rFonts w:ascii="Arial" w:cs="Arial" w:eastAsia="Arial" w:hAnsi="Arial"/>
          <w:sz w:val="21"/>
          <w:szCs w:val="21"/>
          <w:color w:val="auto"/>
        </w:rPr>
        <w:t>.</w:t>
      </w:r>
      <w:r>
        <w:rPr>
          <w:rFonts w:ascii="Arial" w:cs="Arial" w:eastAsia="Arial" w:hAnsi="Arial"/>
          <w:sz w:val="18"/>
          <w:szCs w:val="18"/>
          <w:color w:val="auto"/>
        </w:rPr>
        <w:t xml:space="preserve"> Since our business is dependent on the housing and construction industries, such adverse effects on the economy could negatively affect these industries and, therefore, our business, our employees and our customers, which could negatively impact our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 STRATEGY</w:t>
      </w:r>
    </w:p>
    <w:p>
      <w:pPr>
        <w:spacing w:after="0" w:line="33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be able to continue to successfully expand into new products or geographic markets and further diversify our business, which could negatively impact our future sales and results of operations.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Generally, we seek to acquire businesses that will complement, enhance, or expand our current business or product offerings, or that might otherwise offer us growth opportunities into new or existing lines of business, including the expansion of our national footprint and end markets. Our business depends in part on our ability to diversify and grow our businesses and also expand the types of complementary building products that we install and sell. Our product and geographic expansion may not be successful and may not deliver expected results, which could negatively impact our future sales and results of operations.</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expansion into new geographic markets may present competitive, local market and other challenges that differ from current ones. We may be less familiar with the target customers and may face different or additional risks, as well as increased or unexpected costs, compared to existing operations. Expansion into new geographic markets may also bring us into direct competition with companies with whom we have little or no past experience as competitors. To the extent we rely upon expansion into new geographic markets for growth and do not meet the new challenges posed by such expansion, our future sales growth could be negatively impacted, our operating costs could increase, and our business operations and financial results could be adversely affected.</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5"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We may be unable to successfully acquire and integrate other businesses and realize the anticipated benefits of acquisitions.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Acquisitions are a core part of our strategy and we may be unable to continue to grow our business through acquisitions. In addition, acquired businesses may not perform in accordance with expectations, and our business judgments concerning the value, strengths and weaknesses of acquired businesses may not prove to be correct. We may also be unable to achieve expected improvements or achievements in businesses that we acquire. The value of our common stock following the completion of an acquisition could be adversely affected if we are unable to realize the expected benefits from the acquisition on a timely basis or at all. Future acquisitions may result in the incurrence of debt and contingent liabilities, legal liabilities, goodwill impairments, increased interest expense and amortization expense and significant integration costs. In addition, future acquisitions could result in dilution of existing stockholders if we issue shares of common stock as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a number of special risks, including: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manage acquired businesses or control integration costs and other costs relating to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adverse short-term effects on operating results from increased costs, business disruption or otherwise;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suppliers, customers or other significant business partners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retain existing key personnel of the acquired business and recruit qualified new employees at the location;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implement infrastructure, logistics and systems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new lines of business and business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the internal controls of acquired businesses;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legal claims for activities of the acquired business prior to acquisition and inability to realize on any indemnification claims, including with respect to environmental and immigration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inherent in the systems of the acquired business and risks associated with unanticipated events or liabilities;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financing necessary to complete acquisitions on attractive terms or at all.</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strategy could be impeded if we do not identify, or face increased competition for, suitable acquisition candidates and our business, financial condition, results of operations and cash flows could be adversely affected if any of the foregoing factors were to occur.</w:t>
      </w:r>
    </w:p>
    <w:p>
      <w:pPr>
        <w:spacing w:after="0" w:line="274"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continued expansion into the commercial construction end market and other new lines of business could affect our revenue, margins, financial condition, operating results and cash flows.</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2021, we acquired a new entity with a different business model than our traditional installation business. See Note 19, Subsequent Events in the notes to our financial statements for additional information. This new line of business, our commercial construction end market business and any other future lines of business we may enter or acquire involve competitive, operational, financial and accounting challenges and other risks that differ from our traditional residential installation business. For example, the typical contractual terms and arrangements and billing cycle for the commercial construction end market are different than the residential new construction end market. In addition, our expansion into these businesses may include opening new branches that have higher start-up costs compared to our acquired branches. These factors and any other challenges we encounter could adversely affect our margins, financial condition, operating results and cash flows.</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December 31, 2021, our estimated backlog associated with the commercial end market was approximately $143.2 million. In accordance with industry practice, many of our contracts are subject to cancellation, reduction, termination or suspension at the discretion of the customer in respect of work that has not yet been performed. In the event of a project cancellation, we would generally have no contractual right to the total revenue reflected in our backlog but instead would collect revenues in respect of all work performed at the time of cancellation as well as all other costs and expenses incurred by us through such date. Projects can remain in backlog for extended periods of time because of the nature of the project, delays in execution of the project and the timing of the particular services required by the project. Additionally, the risk of contracts in backlog being canceled, terminated or suspended generally increases at times, including as a result of periods of widespread macroeconomic and industry slowdown, weather, seasonality and many of the other factors impacting our business. Many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p>
      <w:pPr>
        <w:jc w:val="both"/>
        <w:ind w:right="160"/>
        <w:spacing w:after="0" w:line="311" w:lineRule="auto"/>
        <w:rPr>
          <w:sz w:val="20"/>
          <w:szCs w:val="20"/>
          <w:color w:val="auto"/>
        </w:rPr>
      </w:pPr>
      <w:r>
        <w:rPr>
          <w:rFonts w:ascii="Arial" w:cs="Arial" w:eastAsia="Arial" w:hAnsi="Arial"/>
          <w:sz w:val="16"/>
          <w:szCs w:val="16"/>
          <w:color w:val="auto"/>
        </w:rPr>
        <w:t>the contracts in our backlog are subject to changes in the scope of services to be provided as well as adjustments to the costs relating to the contracts. The revenue for certain contracts included in backlog are based on estimates. Therefore, the timing of performance on our individual contracts can affect our margins and future profitability. There can be no assurance that backlog will result in revenues within the expected timeframe, if at all.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could purchase materials directly from manufacturers or other sources.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do not have any exclusivity agreements with the manufacturers of the products that we sell. The manufacturers that we acquire products from could decide to invest more resources in selling their own products such as hiring salespeople and building distribution centers. Our ability to grow our business would be impacted and it could negatively affect future net sales and earnings. Additionally, if we are unable to secure favorable arrangements on the products we sell from our suppliers, we may not be able to offer competitive pricing to our customers.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claims arising from the operations of our various businesses for periods prior to the dates we acquired them.</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consummated over 180 acquisitions. From time to time we are subject to claims or liabilities arising from the ownership or operation of acquired businesses for the periods prior to our acquisition of them, including environmental, employee-related and other liabilities and claims not covered by insurance. Any future claims or liabilities could be significant. Our ability to seek indemnification from the former owners of our acquired businesses for these claims or liabilities may be limited by various factors, including the specific time, monetary or other limitations contained in the respective acquisition agreements and the financial ability of the former owners to satisfy our indemnification claims. In addition, insurance companies may be unwilling to cover claims that have arisen from acquired businesses or locations, or claims may exceed the coverage limits that our acquired businesses had in effect prior to the date of acquisition. If we are unable to successfully obtain insurance coverage of third-party claims or enforce our indemnification rights against the former owners, or if the former owners are unable to satisfy their obligations for any reason, including because of their financial position, we could be held liable for the costs or obligations associated with such claims or liabilities, which could adversely affect our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employment laws may adversely affect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Various federal and state labor laws govern the relationship with our employees and impact operating costs. These laws include:</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classification as exempt or non-exempt for overtime and other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workers’ compensation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immigration status;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mandatory health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reporting;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wage and benefit requirements.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significant exposure to changes in laws governing our relationships with our employees, including wage and hour laws and regulations, fair labor standards, minimum wage requirements, overtime pay, unemployment tax rates, workers’ compensation rates, citizenship requirements and payroll taxes, which likely would have a direct impact on our operating costs. Significant additional government-imposed increases in the preceding areas could have a material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be adversely affected by changes in immigration laws or failure to properly verify the employment eligibility of our employees.</w:t>
      </w:r>
    </w:p>
    <w:p>
      <w:pPr>
        <w:spacing w:after="0" w:line="19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Some states in which we operate are considering or have already adopted new immigration laws or enforcement programs, and the federal government from time to time considers and implements changes to federal immigration laws, regulations or enforcement programs. These changes may increase our compliance and oversight obligations, which could subject us to</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6"/>
          <w:szCs w:val="16"/>
          <w:color w:val="auto"/>
        </w:rPr>
        <w:t>additional costs and make our hiring process more cumbersome, or reduce the availability of potential employees. Although we verify the employment eligibility status of all our employees, including through participation in the “E-Verify” program in the states that require it, some of our employees may, without our knowledge, be unauthorized workers. In addition, use of the “E-Verify” program does not guarantee that we will properly identify all applicants who are ineligible for employment. Unauthorized workers are subject to deportation and may subject us to fines or penalties and, if any of our workers are found to be unauthorized, we could experience adverse publicity that negatively impacts our brand and may make it more difficult to hire and retain qualified employees. Termination of a significant number of employees due to work authorization or other regulatory issues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laws. These factors could have a material adverse effect on our reputation, business, financial condition and results of operations.</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Furthermore, immigration laws have been an area of considerable political focus in recent years, and the U.S. Congress, Department of Homeland Security and the Executive Branch of the U.S. government from time to time consider or implement changes to federal immigration laws, regulations or enforcement programs. Changes in immigration or work authorization laws may increase our obligations for compliance and oversight, which could subject us to additional costs and potential liability and make our hiring process more cumbersome, or reduce the availability of potential employees. We are subject to regulations of U.S. Immigration and Customs Enforcement, or ICE, and Department of Labor, and we are audited from time to time by these parties for compliance with work authentication requirements. While we believe we are in compliance with applicable laws and regulations, if we are found not to be in compliance as a result of any audits, we may be subject to fines or other remedial actions.</w:t>
      </w:r>
    </w:p>
    <w:p>
      <w:pPr>
        <w:spacing w:after="0" w:line="28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results of operations, financial condition and cash flows could be adversely affected if pending or future legal claims against us are not resolved in our favor.</w:t>
      </w:r>
    </w:p>
    <w:p>
      <w:pPr>
        <w:spacing w:after="0" w:line="11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are subject to various claims and lawsuits arising in the ordinary course of business, including wage and hour lawsuits. The ultimate resolution of these matters is subject to inherent uncertainties. It is possible that the costs to resolve these matters could have a material adverse effect on our results of operations, financial condition or cash flows for the periods in which the matters are resolved. Similarly, if additional claims are filed against us in the future, the negative outcome of one or more of such matters could have a material adverse effect on our results, financial condition and cash flows.</w:t>
      </w:r>
    </w:p>
    <w:p>
      <w:pPr>
        <w:spacing w:after="0" w:line="26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nature of our business exposes us to product liability, workmanship warranty, casualty, negligence, construction defect, breach of contract and other claims and legal proceedings.</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product liability, workmanship warranty, casualty, negligence, construction defect, breach of contract and other claims and legal proceedings relating to the products we install or manufacture that, if adversely determined, could adversely affect our financial condition, results of operations and cash flows. We rely on manufacturers and other suppliers to provide us with most of the products we use in our business. Other than for our manufacturer of cellulose insulation, we do not have direct control over the quality of such products manufactured or supplied by such third-party suppliers. As such, we are exposed to risks relating to the quality of such products.</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we are exposed to potential claims arising from the conduct of our employees, homebuilders and other subcontractors, for which we may be contractually liable. We have in the past been, and may in the future be, subject to fines, penalties and other liabilities in connection with injury or damage incurred in conjunction with the installation of our products. The nature and extent to which we use hazardous or flammable materials in our manufacturing processes creates risk of damage to persons and property that, if realized, could be material. Although we currently maintain what we believe to be suitable and adequate insurance, we may be unable to maintain such insurance on acceptable terms or such insurance may not provide adequate protection against potential liabilities. In addition, some liabilities may not be covered by our insurance.</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Product liability, workmanship warranty, casualty, negligence, construction defect, breach of contract and other claims and legal proceedings can be expensive to defend and can divert the attention of management and other personnel for significant periods of time, regardless of the ultimate outcome. In addition, lawsuits relating to construction defects typically have statutes of limitations that can run as long as ten years. Claims of this nature could also have a negative impact on customer confidence in us and our services. Current or future claims could have a material adverse effect on our reputation, business, financial condition and results of operations. For additional information, see Note 16, Commitments and Contingencies, to our audited consolidated financial statements included in this Form 10-K.</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ind w:right="40"/>
        <w:spacing w:after="0" w:line="282" w:lineRule="auto"/>
        <w:rPr>
          <w:sz w:val="20"/>
          <w:szCs w:val="20"/>
          <w:color w:val="auto"/>
        </w:rPr>
      </w:pPr>
      <w:r>
        <w:rPr>
          <w:rFonts w:ascii="Arial" w:cs="Arial" w:eastAsia="Arial" w:hAnsi="Arial"/>
          <w:sz w:val="18"/>
          <w:szCs w:val="18"/>
          <w:b w:val="1"/>
          <w:bCs w:val="1"/>
          <w:color w:val="auto"/>
        </w:rPr>
        <w:t>Federal, state, local and other laws and regulations could impose substantial costs and/or restrictions on our operations and could adversely affect our business.</w:t>
      </w:r>
    </w:p>
    <w:p>
      <w:pPr>
        <w:spacing w:after="0" w:line="11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subject to various federal, state, local and other laws and regulations, including, among other things, worker and workplace health and safety regulations promulgated by the OSHA, employment regulations promulgated by the U.S. Equal Employment Opportunity Commission and tax regulations promulgated by the Internal Revenue Service and various other state and local tax authorities. Our primary manufacturing facility is also subject to additional laws and regulations which may increase our exposure to health and safety liabilities. In addition, we are subject to increased regulation of data privacy and information security, including the adoption of more stringent state laws, such as the California Consumer Privacy Act and the California Privacy Rights Act, which goes into effect in January 2023. These types of data privacy and security laws, which continue to evolve, create a range of new compliance obligations for us and increase financial penalties for non-compliance. Additional or more burdensome regulatory requirements in these or other areas may increase our expenses, reduce demand for our services or restrict our ability to offer services in certain geographies, all of which could adversely affect our business, financial condition, results of operations and cash flows. Moreover, our failure to comply with any of the regulatory requirements applicable to our business could subject us to substantial fines and penalties that could adversely affect our business, financial condition, results of operations and cash flows.</w:t>
      </w:r>
    </w:p>
    <w:p>
      <w:pPr>
        <w:spacing w:after="0" w:line="1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transportation operations, which we depend on to transport materials from our locations to job sites or customers, are subject to the regulatory jurisdiction of the DOT. The DOT has broad administrative powers with respect to our transportation operations. More restrictive limitations on vehicle weight and size, trailer length and configuration or driver hours of service would increase our costs, which may increase our expenses and adversely affect our financial condition, operating results and/or cash flows. If we fail to comply with DOT regulations or the regulations become more stringent, we could experience increased inspections, regulatory authorities could take remedial action, including imposing fines or shutting down our operations, and we could be subject to increased audit and compliance costs. We organize our transportation operations as a separate legal entity in certain states, including Ohio and Indiana, to take advantage of sales tax exemptions relating to vehicle operating costs. If legislation is enacted that modifies or eliminates these exemptions, our costs may increase. If any of these events were to occur, our financial condition, results of operations and cash flows may be adversely affected.</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residential construction and commercial construction industries are subject to various federal, state and local statutes, ordinances, rules and regulations concerning zoning, building design and safety, construction, contractors’ licensing, energy conservation and similar matters, including regulations that impose restrictive zoning and density requirements on the residential new construction industry or that limit the number of homes that can be built within the boundaries of a particular area. Regulatory restrictions and industry standards may require us to alter our installation processes and our sourcing, increase our operating expenses and limit the availability of suitable building lots for our customers, any of which could negatively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environmental regulation and potential exposure to environmental liabilities.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various federal, state and local environmental laws and regulations. Although we believe that we operate our business, including each of our locations, in compliance with applicable laws and regulations and maintain all material permits required under such laws and regulations to operate our business, we may be held liable or incur fines or penalties in connection with such requirements. In addition, environmental laws and regulations, including those related to energy use and climate change, may become more stringent over time, and any future laws and regulations could have a material impact on our operations or require us to incur material additional expenses to comply with any such future laws and regulations.</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manufacturing facility is also subject to additional laws and regulations which may increase our exposure to environmental liabilities. Despite providing a benefit to the environment by making structures more energy efficient, certain types of insulation, particularly spray foam applications, require our employees to handle potentially hazardous or toxic substances. While our employees who handle these and other potentially hazardous or toxic materials, including lead-based paint, receive specialized training and wear protective clothing, there is still a risk that they, or others, may be exposed to these substances. Exposure to these substances could result in significant injury to our employees and others, including site occupants, and damage to our property or the property of others, including natural resource damage. Our personnel and others at our work sites are also at risk for other workplace-related injuries, including slips and falls.</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as owners and lessees of real property, we may be held liable for, among other things, hazardous or toxic substances, including asbestos or petroleum products on, at, under or emanating from currently or formerly owned or operated properties, or any off-site disposal locations, or for any known or newly discovered environmental conditions at or relating to any of our properties, including those arising from activities conducted by previous occupants or at adjoining properties, without regard to whether we knew of or were responsible for such release. We may be required to investigate, remove,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7" w:name="page28"/>
    <w:bookmarkEnd w:id="27"/>
    <w:p>
      <w:pPr>
        <w:ind w:right="40"/>
        <w:spacing w:after="0" w:line="275" w:lineRule="auto"/>
        <w:rPr>
          <w:sz w:val="20"/>
          <w:szCs w:val="20"/>
          <w:color w:val="auto"/>
        </w:rPr>
      </w:pPr>
      <w:r>
        <w:rPr>
          <w:rFonts w:ascii="Arial" w:cs="Arial" w:eastAsia="Arial" w:hAnsi="Arial"/>
          <w:sz w:val="17"/>
          <w:szCs w:val="17"/>
          <w:color w:val="auto"/>
        </w:rPr>
        <w:t>remediate or monitor the presence or release of such hazardous or toxic substances or petroleum products. We may also be held liable for fines, penalties or damages, including for bodily injury, property damage and natural resource damage in connection with the presence or release of hazardous or toxic substances or petroleum products. In addition, expenditures may be required in the future as a result of releases of, or exposure to, hazardous or toxic substances or petroleum products, the discovery of currently unknown environmental conditions or changes in environmental laws and regulations or their interpretation or enforcement and, in certain instances, such expenditures may be material.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debt principal and interest payment requirements that may restrict our future operations and impair our ability to meet our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171"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leverage may place us at a competitive disadvantage as compared with our less leveraged competitors and make us more vulnerable in the event of a downturn in general economic conditions or in any of our businesses;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interest and principal on our indebtedness, thereby reducing the funds available to us for operations, capital expenditures, acquisitions, future business opportunities or obligations to pay rent in respect of our operating leases; and</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Part II, Item 7, Management’s Discussion and Analysis of Financial Condition and Results of Operations, "Liquidity and Capital Resources, Credit Facilities."</w:t>
      </w:r>
    </w:p>
    <w:p>
      <w:pPr>
        <w:spacing w:after="0" w:line="26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Restrictions in our existing credit facilities, senior notes, and any future facilities or any other indebtedness we may incur in the future, limit our ability to take certain actions and could adversely affect our business, financial condition, results of operations, and the value of our common stock.</w:t>
      </w:r>
    </w:p>
    <w:p>
      <w:pPr>
        <w:spacing w:after="0" w:line="12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credit facilities, or any future facilities we may enter into, the indenture governing our senior notes, or other indebtedness we may incur, impose certain restrictions and obligations on us. Under certain of these instruments, we must comply with defined covenants that limit our ability to, among other things:</w:t>
      </w:r>
    </w:p>
    <w:p>
      <w:pPr>
        <w:spacing w:after="0" w:line="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guarantee additional debt and issue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distributions or dividends on or redeem or repurchase shares of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merge or consolidate with another company;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sell or otherwise dispose of all or substantially all of our assets.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credit facilities contain, and any future facilities or other debt instruments we may enter into may contain, covenants requiring us to maintain certain financial ratios and meet certain tests, such as an excess cash flow test, fixed charge coverage ratio, leverage ratio or debt to earnings ratio. See Part II, Item 7, Management’s Discussion and Analysis of Financial Condition and Results of Operations, "Liquidity and Capital Resources, Credit Facilities." Our ability to comply with those financial ratios and tests can be affected by events beyond our control, and we may not be able to comply with those ratios and tests when required to do so under the applicable debt instruments.</w:t>
      </w:r>
    </w:p>
    <w:p>
      <w:pPr>
        <w:spacing w:after="0" w:line="134"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provisions of our credit facilities, or other debt instruments, may affect our ability to obtain future financing and pursue attractive business opportunities and our flexibility in planning for, and reacting to, changes in business conditions. In addition,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ind w:right="40"/>
        <w:spacing w:after="0" w:line="279" w:lineRule="auto"/>
        <w:rPr>
          <w:sz w:val="20"/>
          <w:szCs w:val="20"/>
          <w:color w:val="auto"/>
        </w:rPr>
      </w:pPr>
      <w:r>
        <w:rPr>
          <w:rFonts w:ascii="Arial" w:cs="Arial" w:eastAsia="Arial" w:hAnsi="Arial"/>
          <w:sz w:val="17"/>
          <w:szCs w:val="17"/>
          <w:color w:val="auto"/>
        </w:rPr>
        <w:t>a failure to comply with the provisions of our credit facilities, any future credit facility, the indenture governing our senior notes, or other debt instruments could result in a default or an event of default that could enable our lenders or other debt holders to declare the outstanding principal of that debt, together with accrued and unpaid interest, to be immediately due and payable. If the payment of our debt is accelerated, our assets may be insufficient to repay such debt in full, and our stockholders could experience a partial or total loss of their investment.</w:t>
      </w:r>
    </w:p>
    <w:p>
      <w:pPr>
        <w:spacing w:after="0" w:line="11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use of interest rate hedging instruments could expose us to risks and financial losses that may adversely affect our financial condition, liquidity and results of operations.</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we utilize interest rate derivatives to hedge the cash flows associated with existing variable-rate debt. The purpose of these instruments is to substantially reduce exposure to market risks on our Term Loan. We designated our interest rate swaps in existence at the time of this Form 10-K as a cash flow hedge in accordance with Accounting Standards Codification (“ASC”) 815, Derivatives and Hedging. However, in the future, we may fail to qualify for hedge accounting treatment under these standards for a number of reasons, including if we fail to satisfy hedge documentation and hedge effectiveness assessment requirements or if our derivative instruments are not highly effective. If we fail to qualify for hedge accounting treatment, losses on the swaps caused by the change in its fair value would be recognized as part of net income, rather than being recognized as part of other comprehensive income. Any such adverse developments could result in material liabilities and expense and could have a material adverse effect on our business.</w:t>
      </w:r>
    </w:p>
    <w:p>
      <w:pPr>
        <w:spacing w:after="0" w:line="112"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Interest rate derivative instruments can be expensive and we could incur significant costs associated with the settlement or early termination of the agreements. In addition, our hedging transactions may expose us to certain risks and financial losses, including, among other things: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other parties to the agreements would not perform;</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duration or amount of the hedges may not match the duration or amount of the related liability;</w:t>
      </w:r>
    </w:p>
    <w:p>
      <w:pPr>
        <w:spacing w:after="0" w:line="252"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hedging instruments and the related liabilities do not transition to the same LIBOR replacement rate or that the timing or mechanics of such transition do not match between the hedging instruments and the related liabilities, in which case any such differences could decrease the effectiveness of the hedging instruments and increase our net liability;</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hedging transactions may be adjusted from time to time in accordance with accounting rules to reflect changes in fair values including downward adjustments which would affect our stockholders’ equity; and</w:t>
      </w:r>
    </w:p>
    <w:p>
      <w:pPr>
        <w:spacing w:after="0" w:line="19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we may not be able to meet the terms and conditions of the hedging instruments, in which case we may be required to settle the instruments prior to maturity with cash payments that could significantly affect our liquidity.</w:t>
      </w:r>
    </w:p>
    <w:p>
      <w:pPr>
        <w:spacing w:after="0" w:line="2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default on our obligations under the instruments governing our indebtedness, we may not be able to make payments on our debt and our business and financial condition could be adversely affected.</w:t>
      </w:r>
    </w:p>
    <w:p>
      <w:pPr>
        <w:spacing w:after="0" w:line="11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 failure by us to comply with the agreements governing our indebtedness, including, without limitation, our existing credit facilities or any future facilities, the indenture governing our senior notes and our other contractual obligations (including restrictive, financial and other covenants included therein), to pay our indebtedness and fixed costs or to post collateral (including under hedging arrangements) could result in a variety of material adverse consequences, including a default under our indebtedness and the exercise of remedies by our creditors, lessors and other contracting parties, and such defaults could trigger additional defaults under other indebtedness or agreements.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such default under the agreements governing our existing or future indebtedness and the remedies sought by the holders of such indebtedness could make us unable to make payments to pay principal of, or premium, if any, and interest on the senior notes, substantially decrease the market value of the senior notes and result in a cross-default under the senior notes. In the event of a default under our existing credit facilities or any future facilities or in respect of other indebtedness, the holders of such indebtedness may be able to cause all of our available cash flow to be used to pay such indebtedness, may be able to terminate outstanding credit commitments and/or may be able to cease making loans to us and, in any event, could elect to declare all of the funds borrowed under the applicable agreement to be immediately due and payable, together with accrued and unpaid interest, and we could be forced into bankruptcy or liquidation.</w:t>
      </w:r>
    </w:p>
    <w:p>
      <w:pPr>
        <w:spacing w:after="0" w:line="1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our operating performance declines, we may need to seek waivers from the holders of our indebtedness to avoid being in default under the instruments governing such indebtedness. If we breach our covenants under our indebtedness, we may not be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9" w:name="page30"/>
    <w:bookmarkEnd w:id="29"/>
    <w:p>
      <w:pPr>
        <w:ind w:right="140"/>
        <w:spacing w:after="0" w:line="263" w:lineRule="auto"/>
        <w:rPr>
          <w:sz w:val="20"/>
          <w:szCs w:val="20"/>
          <w:color w:val="auto"/>
        </w:rPr>
      </w:pPr>
      <w:r>
        <w:rPr>
          <w:rFonts w:ascii="Arial" w:cs="Arial" w:eastAsia="Arial" w:hAnsi="Arial"/>
          <w:sz w:val="18"/>
          <w:szCs w:val="18"/>
          <w:color w:val="auto"/>
        </w:rPr>
        <w:t>able to obtain a waiver from the holders of such indebtedness on terms acceptable to us or at all. If this occurs, we would be in default under such indebtedness, the holders of such indebtedness and other lenders could exercise their rights as described above, and we could be forced into bankruptcy or liquidation.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credit ratings could increase our costs of borrowing money and limit our access to capital markets and commercial credit.</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Moody’s Investor Service and Standard &amp; Poor’s routinely evaluate our credit profile on an ongoing basis and have assigned ratings for our long-term debt. If these rating agencies downgrade any of our current credit ratings, our borrowing costs could increase and our access to the capital and commercial credit markets could be adversely affected. Additionally, some rating agencies have started to incorporate ESG factors into their credit ratings. Unfavorable ESG ratings could have a negative impact on our access to and costs of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exposes us to interest expense increases if interest rates increase.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interest rates increase, our debt service obligations on our variable rate indebtedness, if any exists at the balance sheet date, would increase even though the amount borrowed would remain the same, and our net income and cash flows would correspondingly decrease. Specifically, we had no outstanding borrowings on our Revolver, as hereinafter defined, as of December 31, 2021, but should we have a balance in the future, we would incur interest based on a rate that varies per the conditions set forth in our agreement.</w:t>
      </w:r>
    </w:p>
    <w:p>
      <w:pPr>
        <w:spacing w:after="0" w:line="1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advances under our credit facilities generally bear interest based on, at our election, either the Eurodollar rate (“LIBOR”) or the base rate (which approximated the prime rate) plus a margin based on the type of rate applied and leverage ratio. On July 27, 2017, the Financial Conduct Authority (the authority that regulates LIBOR) ("FCA") announced that it intends to stop compelling banks to submit rates for the calculation of LIBOR after 2021. The Intercontinental Exchange Benchmark Administration, the administrator of LIBOR, announced in November 2020 a consultation regarding its intention to extend the publication of certain LIBOR settings, including the setting we use as a reference rate, to June 2023. On March 5, 2021, the FCA announced that the overnight, one-month, three-month, six-month and 12-month USD LIBOR rates would continue to be published until June 30, 2023. The FCA is currently considering whether to use its powers to compel the publication of non-representative synthetic rates for one- month, three-month and six-month USD LIBOR beyond June 2023. Both our Term Loan Agreement, and our ABL Credit Agreement, as hereinafter defined, include a provision related to the potential discontinuance of LIBOR to be replaced with one or more Secured Overnight Financing Rate ("SOFR") values or another alternate benchmark rate. However, if LIBOR ceases to exist after June 2023, the SOFR rates or other interest rates under the alternative rate could be higher than LIBOR. To the extent that these interest rates are higher, our interest expense will increase, which could adversely affect our financial condition, operating results and cash flows.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term loan bears interest at a variable rate, however interest rate hedges in place mitigate the risk of interest rate fluctuations associated with a portion of the outstanding debt balance. These derivative instruments are indexed to LIBOR, the value of which could also be impacted if LIBOR is limited or discontinued. For some instruments, the method of transitioning to an alternative reference rate may be challenging, especially if we cannot agree with the respective counterparty about how to make the transition. If a contract is not transitioned to an alternative reference rate and LIBOR is discontinued, the impact on our contracts is likely to vary by contract. If LIBOR is discontinued or if the methods of calculating LIBOR change from their current form, interest rates on our current or future indebtedness may be adversely affected. While we currently expect LIBOR to be available to us as a reference rate in substantially its current form until June 2023, it is possible that LIBOR will become unavailable prior to that point. This could result, for example, if sufficient banks decline to make submissions to the LIBOR administrator. In that case, the risks associated with the transition to an alternative reference rate will be accelerated and magnified.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additional capital in the future, which may not be available on favorable terms or at all.</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future capital requirements will depend on many factors, including industry and market conditions, our ability to successfully complete future business combinations and expansion of our existing operations. We anticipate that we may need to raise additional funds in order to grow our business and implement our business strategy. We anticipate that any such additional funds may be raised through equity or debt financings. Any equity or debt financing, if available at all, may be on terms that are not favorable to us and will be subject to changes in interest rates and the capital markets environment. Even if we are able to raise capital through equity or debt financings, as to which there can be no assurance, the interest of existing stockholders in our company may be diluted, and the securities we issue may have rights, preferences and privileges that are senior to those of our common stock or may otherwise materially and adversely affect the holdings or rights of our existing</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right="80"/>
        <w:spacing w:after="0" w:line="277" w:lineRule="auto"/>
        <w:rPr>
          <w:sz w:val="20"/>
          <w:szCs w:val="20"/>
          <w:color w:val="auto"/>
        </w:rPr>
      </w:pPr>
      <w:r>
        <w:rPr>
          <w:rFonts w:ascii="Arial" w:cs="Arial" w:eastAsia="Arial" w:hAnsi="Arial"/>
          <w:sz w:val="18"/>
          <w:szCs w:val="18"/>
          <w:color w:val="auto"/>
        </w:rPr>
        <w:t>stockholders. If we cannot obtain adequate capital, we may not be able to fully implement our business strategy and our business, results of operations and financial condition could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fluctuate substantially and your investment may decline in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be significantly affected by factors, such as:</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affecting the residential construction, commercial construction and building products industries;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announcement of acquisitions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the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our operations and the operations of others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reduction, suspension or elimination of dividend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taken by our stockholders, including the sale or disposition of their shares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short-selling of shares of our common stock and the stock of our competitors; and</w:t>
      </w:r>
    </w:p>
    <w:p>
      <w:pPr>
        <w:spacing w:after="0" w:line="117" w:lineRule="exact"/>
        <w:rPr>
          <w:rFonts w:ascii="Arial" w:cs="Arial" w:eastAsia="Arial" w:hAnsi="Arial"/>
          <w:sz w:val="18"/>
          <w:szCs w:val="18"/>
          <w:color w:val="auto"/>
        </w:rPr>
      </w:pPr>
    </w:p>
    <w:p>
      <w:pPr>
        <w:ind w:left="660" w:right="10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our actual financial and operating results and those expected by investors and analysts and changes in analysts’ recommendations or projections.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factors may lower the market price of our common stock, regardless of our actual operating performance.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in recent years the stock market and the price of our common stock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Hence, the price of our common stock could fluctuate based upon factors that have little or nothing to do with us, and these fluctuations could materially reduce the price of our common stock and materially affect the value of your investment.</w:t>
      </w:r>
    </w:p>
    <w:p>
      <w:pPr>
        <w:spacing w:after="0" w:line="29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internal controls over financial reporting may not be effective, which could have a significant and adverse effect on our business and reputation.</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comply with the requirements of being a public company, we may undertake various actions, such as implementing additional internal controls and procedures and hiring additional accounting or internal audit staff.</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Testing and maintaining internal controls can divert our management’s attention from other matters that are important to the operation of our business. If we identify material weaknesses in our internal controls over financial reporting or are unable to comply with the requirements of Section 404 or are unable to assert that our internal controls over financial reporting are effective,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Future sales of our common stock, or the perception in the public markets that these sales may occur, may depress our stock price.</w:t>
      </w:r>
    </w:p>
    <w:p>
      <w:pPr>
        <w:spacing w:after="0" w:line="18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market price of our common stock could decline significantly as a result of sales of a large number of shares of our common stock. These sales, or the perception that these sales might occur, could depress the market price of our common stock or make it more difficult for us to sell equity securities in the future at a time and at a price that we deem appropriate.</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approximately 29.7 million shares of common stock outstanding as of December 31, 2021. The shares of common stock are freely tradable, except for any shares of common stock that may be held or acquired by our directors, executive officers and other affiliates, the sale of which will be restricted under the Securities Act of 1933, as amended. As of December 31, 2021, approximately 1.8 million of the 3.0 million shares of common stock authorized for issuance under the 2014 Omnibus Incentive Plan were available for issuance. These shares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Jeff Edwards has significant ownership of our common stock and may have interests that conflict with those of our other stockholders.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2021, Jeff Edwards beneficially owned approximately 17.8% of our outstanding common stock. As a result of his beneficial ownership of our common stock, he has sufficient voting power to significantly influence all matters requiring stockholder approval, including the election of directors, amendment of our amended and restated certificate of incorporation and approval of significant corporate transactions, and he has significant influence over our management and policies. This concentration of voting power may have the effect of delaying or preventing a change in control of us or discouraging others from making tender offers for our shares of common stock, which could prevent stockholders from receiving a premium for their shares of common stock. These actions may be taken even if other stockholders oppose them. The interests of Jeff Edwards may not always coincide with the interests of other stockholders, and he may act in a manner that advances his best interests and not necessarily those of our other stockholders. In addition, under our amended and restated certificate of incorporation, Jeff Edwards is permitted to pursue corporate opportunities for himself, rather than for us.</w:t>
      </w:r>
    </w:p>
    <w:p>
      <w:pPr>
        <w:spacing w:after="0" w:line="300" w:lineRule="exact"/>
        <w:rPr>
          <w:sz w:val="20"/>
          <w:szCs w:val="20"/>
          <w:color w:val="auto"/>
        </w:rPr>
      </w:pPr>
    </w:p>
    <w:p>
      <w:pPr>
        <w:ind w:right="300"/>
        <w:spacing w:after="0" w:line="312" w:lineRule="auto"/>
        <w:rPr>
          <w:sz w:val="20"/>
          <w:szCs w:val="20"/>
          <w:color w:val="auto"/>
        </w:rPr>
      </w:pPr>
      <w:r>
        <w:rPr>
          <w:rFonts w:ascii="Arial" w:cs="Arial" w:eastAsia="Arial" w:hAnsi="Arial"/>
          <w:sz w:val="17"/>
          <w:szCs w:val="17"/>
          <w:b w:val="1"/>
          <w:bCs w:val="1"/>
          <w:color w:val="auto"/>
        </w:rPr>
        <w:t>Provisions of our charter documents and Delaware law could delay, discourage or prevent an acquisition of us, even if the acquisition would be beneficial to our stockholders, and could make it more difficult for our stockholders to change our management.</w:t>
      </w:r>
    </w:p>
    <w:p>
      <w:pPr>
        <w:spacing w:after="0" w:line="9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amended and restated certificate of incorporation and bylaws may discourage, delay or prevent a merger, acquisition or other change in control that stockholders may consider favorable, including transactions in which stockholders might otherwise receive a premium for their shares of our common stock. In addition, these provisions may frustrate or prevent any attempt by our stockholders to replace or remove our current management by making it more difficult to replace or remove members of our board of directors. These provisions include a classified board of directors with three-year staggered terms; no cumulative voting in director elections; the exclusive right of our board of directors to fill vacancies on our board; the ability of our board to authorize the issuance of shares of preferred stock and to determine the price and other terms without stockholder approval; a prohibition on stockholder action by written consent; a requirement that a special meeting of stockholders be called only by a resolution duly adopted by our board; and advance notice procedures that stockholders must comply with in order to nominate candidates to our board of directors or to propose matters to be acted upon at a stockholders’ meeting.</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Any delay or prevention of a change of control transaction or changes in our board of directors and management could deter potential acquirers or prevent the completion of a transaction in which our stockholders could receive a substantial premium over the then-current market price for their shares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pay dividends to holders of our common stock, but may reduce, suspend, or eliminate dividend payments in the future.</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board of directors approved the initiation of a quarterly cash dividend program in 2021. We also announced that our board of directors has approved our first annual variable dividend, payable on March 31, 2022 at a rate of 90 cents per common share.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spacing w:after="0" w:line="273" w:lineRule="auto"/>
        <w:rPr>
          <w:sz w:val="20"/>
          <w:szCs w:val="20"/>
          <w:color w:val="auto"/>
        </w:rPr>
      </w:pPr>
      <w:r>
        <w:rPr>
          <w:rFonts w:ascii="Arial" w:cs="Arial" w:eastAsia="Arial" w:hAnsi="Arial"/>
          <w:sz w:val="17"/>
          <w:szCs w:val="17"/>
          <w:color w:val="auto"/>
        </w:rPr>
        <w:t>However, part of our business strategy includes retaining our future earnings, if any, in order to reinvest in the development and growth of our business, including our continued growth by acquisition strategy, and, therefore, we may reduce, suspend or eliminate dividend payments in the future. Any future determination to pay dividends will be at the discretion of our board of directors and will depend on our financial condition, results of operations, capital requirements, the limits imposed by the terms of our credit facilities, or any then-existing debt instruments, and such other factors as our board of directors deems relevant. Accordingly, investors in our common stock may need to sell their shares to realize a return on their investment in our common stock, and investors may not be able to sell their shares at or above the prices paid for them.</w:t>
      </w:r>
    </w:p>
    <w:p>
      <w:pPr>
        <w:spacing w:after="0" w:line="28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securities analysts do not publish favorable reports about us or if we, or our industry, are the subject of unfavorable commentary, the price of our common stock could decline.</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price for our common stock depends in part on the research and reports about us that are published by analysts in the financial industry. Analysts could issue negative commentary about us or our industry, or they could downgrade our common stock. We may also not receive sufficient research coverage or visibility in the market. Any of these factors could result in the decline of the trading price of our common stock, causing investors in our common stock to lose all or a portion of their investment.</w:t>
      </w: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7" w:right="43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Property</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lease office and warehouse space in 38 states, including our corporate office in Columbus, Ohio. Our leases are typically short in duration with customary extensions at our option. We believe suitable alternative space is available in all of our markets. We also own our cellulose manufacturing facility in Bucyrus, Ohio. We believe that our facilities are suitable and adequate for present purposes, and that the productive capacity in such facilities is substantially being utilized. The table below summarizes our locations as of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Approximate Total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Approximate Total</w:t>
            </w: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Square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Square</w:t>
            </w:r>
          </w:p>
        </w:tc>
      </w:tr>
      <w:tr>
        <w:trPr>
          <w:trHeight w:val="257"/>
        </w:trPr>
        <w:tc>
          <w:tcPr>
            <w:tcW w:w="1880" w:type="dxa"/>
            <w:vAlign w:val="bottom"/>
            <w:gridSpan w:val="2"/>
          </w:tcPr>
          <w:p>
            <w:pPr>
              <w:ind w:left="680"/>
              <w:spacing w:after="0"/>
              <w:rPr>
                <w:sz w:val="20"/>
                <w:szCs w:val="20"/>
                <w:color w:val="auto"/>
              </w:rPr>
            </w:pPr>
            <w:r>
              <w:rPr>
                <w:rFonts w:ascii="Arial" w:cs="Arial" w:eastAsia="Arial" w:hAnsi="Arial"/>
                <w:sz w:val="18"/>
                <w:szCs w:val="18"/>
                <w:color w:val="auto"/>
              </w:rPr>
              <w:t>State</w:t>
            </w: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Number of Locations</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Footage</w:t>
            </w:r>
          </w:p>
        </w:tc>
        <w:tc>
          <w:tcPr>
            <w:tcW w:w="1880" w:type="dxa"/>
            <w:vAlign w:val="bottom"/>
            <w:gridSpan w:val="2"/>
          </w:tcPr>
          <w:p>
            <w:pPr>
              <w:ind w:left="680"/>
              <w:spacing w:after="0"/>
              <w:rPr>
                <w:sz w:val="20"/>
                <w:szCs w:val="20"/>
                <w:color w:val="auto"/>
              </w:rPr>
            </w:pPr>
            <w:r>
              <w:rPr>
                <w:rFonts w:ascii="Arial" w:cs="Arial" w:eastAsia="Arial" w:hAnsi="Arial"/>
                <w:sz w:val="18"/>
                <w:szCs w:val="18"/>
                <w:color w:val="auto"/>
              </w:rPr>
              <w:t>State</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Number of Locations</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Footage</w:t>
            </w:r>
          </w:p>
        </w:tc>
      </w:tr>
      <w:tr>
        <w:trPr>
          <w:trHeight w:val="223"/>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Alabama</w:t>
            </w:r>
          </w:p>
        </w:tc>
        <w:tc>
          <w:tcPr>
            <w:tcW w:w="1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3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23,241</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26,159</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15,350</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231,269</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Hampshire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76,920</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Colorado</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124,621</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41,100</w:t>
            </w:r>
          </w:p>
        </w:tc>
      </w:tr>
      <w:tr>
        <w:trPr>
          <w:trHeight w:val="22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Connecticut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101,630</w:t>
            </w: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37,175</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North Carolina</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155,765</w:t>
            </w:r>
          </w:p>
        </w:tc>
      </w:tr>
      <w:tr>
        <w:trPr>
          <w:trHeight w:val="22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234,133</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443,995</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220,471</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Oklahoma</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35,543</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Idaho</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32,928</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80,118</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41,894</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Indiana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237,676</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South Carolina</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103,475</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Kansas</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14,206</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South Dakota</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Kentucky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46,330</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111,482</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Louisiana</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19,535</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349,982</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115,523</w:t>
            </w:r>
          </w:p>
        </w:tc>
      </w:tr>
      <w:tr>
        <w:trPr>
          <w:trHeight w:val="23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59,710</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Vermont</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31,020</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45,303</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73,941</w:t>
            </w: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41,800</w:t>
            </w:r>
          </w:p>
        </w:tc>
        <w:tc>
          <w:tcPr>
            <w:tcW w:w="300" w:type="dxa"/>
            <w:vAlign w:val="bottom"/>
          </w:tcPr>
          <w:p>
            <w:pPr>
              <w:spacing w:after="0"/>
              <w:rPr>
                <w:sz w:val="19"/>
                <w:szCs w:val="19"/>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147,770</w:t>
            </w:r>
          </w:p>
        </w:tc>
      </w:tr>
      <w:tr>
        <w:trPr>
          <w:trHeight w:val="23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Minnesota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231,885</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Wisconsin</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187,131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December 31, 2021, our fleet consisted of approximately 5,300 total vehicles that we either leased or owned, including approximately 5,100 installation vehicles that our installers use to deliver and install products from our locations to job sites, and approximately 200 other vehicles that are utilized for various purposes, primarily by our sales staff, branch managers and various senior management personnel. For additional information, see Note 8, Long-Term Debt, and Note 16, Commitments and Contingencies, to our audited consolidated financial statements included in this Form 10-K.</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involved in various claims and lawsuits incidental to the conduct of our business in the ordinary course, including wage and hour lawsuits. We carry insurance coverage that we believe to be reasonable under the circumstances, although insurance may or may not cover any or all of our liabilities in respect to claims and lawsuits. While management currently believes that the ultimate resolution of these matters, individually or in the aggregate, will not have a material adverse effect on our consolidated financial position, results of operations or cash flows, such matters are subject to inherent uncertainties. See Note 16, Commitments and Contingencies, within Part II, Item 8, Financial Statements and Supplementary Data, of this Form 10-K for additional information on significant legal proceedings.</w:t>
      </w:r>
    </w:p>
    <w:p>
      <w:pPr>
        <w:spacing w:after="0" w:line="2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NYSE under the symbol “IBP.”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February 17, 2022, there were 939 holders of record of our common stock, one of which was Cede &amp; Co., which is the holder of shares held through the Depository Trust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board of directors approved the initiation of a quarterly cash dividend program in 2021, payable to stockholders of record on specific dates each quarter. In addition to the quarterly cash dividend, our board of directors has approved our first annual variable dividend, payable on March 31, 2022 at a rate of 90 cents per common share. We did not declare or pay any cash dividends on our common stock during the years ended December 2020 or 2019. Future determinations relating to payments of dividends will be made at the discretion of our board of directors and will depend on a number of factors, including our future earnings, capital requirements, financial condition, future prospects, contractual restrictions, legal requirements and other factors our board of directors may deem relevant.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table below compares the cumulative total shareholder return on our common stock with the cumulative total return of (i) the Russell 2000 Index (“Russell 2000”), (ii) the Standard &amp; Poor’s Industrials Index (“S&amp;P 500 Industrials”) and (iii) the S&amp;P Smallcap 600 Index (“S&amp;P Smallcap 600”). The graph assumes investments of $100 in our common stock and in each of the three indices and the reinvestment of dividends for the last five fiscal years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93345</wp:posOffset>
            </wp:positionV>
            <wp:extent cx="5186045" cy="2820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604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12/31/2016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12/29/2017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12/31/2018</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12/31/2019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12/31/2020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12/31/2021</w:t>
            </w: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IBP</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500 Industrials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4"/>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S&amp;P Smallcap 600</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repurchase activity for the three months ended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jc w:val="center"/>
              <w:ind w:right="130"/>
              <w:spacing w:after="0"/>
              <w:rPr>
                <w:sz w:val="20"/>
                <w:szCs w:val="20"/>
                <w:color w:val="auto"/>
              </w:rPr>
            </w:pPr>
            <w:r>
              <w:rPr>
                <w:rFonts w:ascii="Arial" w:cs="Arial" w:eastAsia="Arial" w:hAnsi="Arial"/>
                <w:sz w:val="18"/>
                <w:szCs w:val="18"/>
                <w:color w:val="auto"/>
                <w:w w:val="92"/>
              </w:rPr>
              <w:t>Total Number of</w:t>
            </w:r>
          </w:p>
        </w:tc>
        <w:tc>
          <w:tcPr>
            <w:tcW w:w="222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Approximate Dollar Value of</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3"/>
          </w:tcPr>
          <w:p>
            <w:pPr>
              <w:jc w:val="center"/>
              <w:ind w:right="110"/>
              <w:spacing w:after="0" w:line="176" w:lineRule="exact"/>
              <w:rPr>
                <w:sz w:val="20"/>
                <w:szCs w:val="20"/>
                <w:color w:val="auto"/>
              </w:rPr>
            </w:pPr>
            <w:r>
              <w:rPr>
                <w:rFonts w:ascii="Arial" w:cs="Arial" w:eastAsia="Arial" w:hAnsi="Arial"/>
                <w:sz w:val="18"/>
                <w:szCs w:val="18"/>
                <w:color w:val="auto"/>
                <w:w w:val="84"/>
              </w:rPr>
              <w:t>Shares Purchased as</w:t>
            </w: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82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Average Price Paid Per</w:t>
            </w:r>
          </w:p>
        </w:tc>
        <w:tc>
          <w:tcPr>
            <w:tcW w:w="1980" w:type="dxa"/>
            <w:vAlign w:val="bottom"/>
            <w:gridSpan w:val="3"/>
          </w:tcPr>
          <w:p>
            <w:pPr>
              <w:jc w:val="center"/>
              <w:ind w:right="110"/>
              <w:spacing w:after="0" w:line="176" w:lineRule="exact"/>
              <w:rPr>
                <w:sz w:val="20"/>
                <w:szCs w:val="20"/>
                <w:color w:val="auto"/>
              </w:rPr>
            </w:pPr>
            <w:r>
              <w:rPr>
                <w:rFonts w:ascii="Arial" w:cs="Arial" w:eastAsia="Arial" w:hAnsi="Arial"/>
                <w:sz w:val="18"/>
                <w:szCs w:val="18"/>
                <w:color w:val="auto"/>
                <w:w w:val="94"/>
              </w:rPr>
              <w:t>Part of Publicly</w:t>
            </w:r>
          </w:p>
        </w:tc>
        <w:tc>
          <w:tcPr>
            <w:tcW w:w="22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Shares that May Yet Be</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980" w:type="dxa"/>
            <w:vAlign w:val="bottom"/>
            <w:gridSpan w:val="3"/>
          </w:tcPr>
          <w:p>
            <w:pPr>
              <w:jc w:val="center"/>
              <w:ind w:right="110"/>
              <w:spacing w:after="0" w:line="176" w:lineRule="exact"/>
              <w:rPr>
                <w:sz w:val="20"/>
                <w:szCs w:val="20"/>
                <w:color w:val="auto"/>
              </w:rPr>
            </w:pPr>
            <w:r>
              <w:rPr>
                <w:rFonts w:ascii="Arial" w:cs="Arial" w:eastAsia="Arial" w:hAnsi="Arial"/>
                <w:sz w:val="18"/>
                <w:szCs w:val="18"/>
                <w:color w:val="auto"/>
                <w:w w:val="90"/>
              </w:rPr>
              <w:t>Announced Plans or</w:t>
            </w:r>
          </w:p>
        </w:tc>
        <w:tc>
          <w:tcPr>
            <w:tcW w:w="22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Purchased under the Plans or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380" w:type="dxa"/>
            <w:vAlign w:val="bottom"/>
          </w:tcPr>
          <w:p>
            <w:pPr>
              <w:spacing w:after="0"/>
              <w:rPr>
                <w:sz w:val="19"/>
                <w:szCs w:val="19"/>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Share</w:t>
            </w:r>
          </w:p>
        </w:tc>
        <w:tc>
          <w:tcPr>
            <w:tcW w:w="1980" w:type="dxa"/>
            <w:vAlign w:val="bottom"/>
            <w:gridSpan w:val="3"/>
          </w:tcPr>
          <w:p>
            <w:pPr>
              <w:jc w:val="center"/>
              <w:ind w:right="110"/>
              <w:spacing w:after="0"/>
              <w:rPr>
                <w:sz w:val="20"/>
                <w:szCs w:val="20"/>
                <w:color w:val="auto"/>
              </w:rPr>
            </w:pPr>
            <w:r>
              <w:rPr>
                <w:rFonts w:ascii="Arial" w:cs="Arial" w:eastAsia="Arial" w:hAnsi="Arial"/>
                <w:sz w:val="18"/>
                <w:szCs w:val="18"/>
                <w:color w:val="auto"/>
                <w:w w:val="89"/>
              </w:rPr>
              <w:t>Programs</w:t>
            </w:r>
          </w:p>
        </w:tc>
        <w:tc>
          <w:tcPr>
            <w:tcW w:w="2220" w:type="dxa"/>
            <w:vAlign w:val="bottom"/>
          </w:tcPr>
          <w:p>
            <w:pPr>
              <w:jc w:val="center"/>
              <w:ind w:right="30"/>
              <w:spacing w:after="0" w:line="230" w:lineRule="exact"/>
              <w:rPr>
                <w:sz w:val="20"/>
                <w:szCs w:val="20"/>
                <w:color w:val="auto"/>
              </w:rPr>
            </w:pPr>
            <w:r>
              <w:rPr>
                <w:rFonts w:ascii="Arial" w:cs="Arial" w:eastAsia="Arial" w:hAnsi="Arial"/>
                <w:sz w:val="18"/>
                <w:szCs w:val="18"/>
                <w:color w:val="auto"/>
                <w:w w:val="84"/>
              </w:rPr>
              <w:t xml:space="preserve">Programs </w:t>
            </w:r>
            <w:r>
              <w:rPr>
                <w:rFonts w:ascii="Arial" w:cs="Arial" w:eastAsia="Arial" w:hAnsi="Arial"/>
                <w:sz w:val="23"/>
                <w:szCs w:val="23"/>
                <w:color w:val="auto"/>
                <w:w w:val="84"/>
                <w:vertAlign w:val="superscript"/>
              </w:rPr>
              <w:t>(1)</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1 - 31,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November 1 - 30, 2021</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2220" w:type="dxa"/>
            <w:vAlign w:val="bottom"/>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1 - 31, 2021</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106.82</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100.0 million</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hanging="332"/>
        <w:spacing w:after="0" w:line="254" w:lineRule="auto"/>
        <w:tabs>
          <w:tab w:leader="none" w:pos="4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February 2018, our board of directors authorized a $50.0 million stock repurchase program, and in October 2018, they increased the program by an additional $100.0 million. In February 2020, our board of directors approved an extension of the existing stock repurchase program to March 1, 2021 and in February 2021, they extended the share repurchase plan to March 1, 2022 while simultaneously approving us to purchase up to $100.0 million of our outstanding common stock. During the year ended December 31, 2021, we did not repurchase any shares of our common stock under our stock repurchase program. On February 24, 2022, we announced that our board of directors authorized an extension of our stock repurchase program through March 1, 2023 and concurrently authorized an increase in the total amount of our outstanding common stock we can purchase up to $200.0 million. For more information about our stock repurchase program, see Note 12, Stockholders' Equity within Item 8, Financial Statements and Supplementary Data, of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did not issue or sell any unregistered equity securities.</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You should read the following in conjunction with the consolidated financial statements and related notes thereto included in Item 8, Financial Statements and Supplemental Data, of Part II of this Form 10-K. This discussion contains forward-looking statements reflecting current expectations that involve risks and uncertainties. Actual results and the timing of events may differ materially from those contained in these forward-looking statements due to a number of factors, including those discussed in the section captioned “Risk Factors” and elsewhere 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one of the nation’s largest insulation installers for the residential new construction market and are also a diversified installer of complementary building products, including waterproofing, fire-stopping and fireproofing, garage doors, rain gutters, window blinds, shower doors, closet shelving, mirrors and other products throughout the United States. We offer our portfolio of services for new and existing single-family and multi-family residential and commercial building projects in all 48 continental states and the District of Columbia from our national network of over 210 branch locations. The vast majority of our net revenue comes from service-based installation of these products in the residential new construction, repair and remodel and commercial construction end markets. We believe our business is well positioned to continue to profitably grow due to our strong balance sheet, liquidity and our continuing acquisition strategy. See “Key Factors Affecting Our Operating Results, COVID-19 Impacts” below for a discussion of short-term impacts to our business from the pandemic.</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large portion of our net revenue comes from the U.S. residential new construction market, which depends upon a number of economic factors, including demographic trends, interest rates, consumer confidence, employment rates, housing inventory levels, foreclosure rates, the health of the economy and availability of mortgage financing. Our strategic acquisitions over the last several years contributed meaningfully to our 19.1% increase in net revenue during the year ended December 31, 2021 compared to 2020.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right="100"/>
        <w:spacing w:after="0" w:line="277" w:lineRule="auto"/>
        <w:rPr>
          <w:sz w:val="20"/>
          <w:szCs w:val="20"/>
          <w:color w:val="auto"/>
        </w:rPr>
      </w:pPr>
      <w:r>
        <w:rPr>
          <w:rFonts w:ascii="Arial" w:cs="Arial" w:eastAsia="Arial" w:hAnsi="Arial"/>
          <w:sz w:val="18"/>
          <w:szCs w:val="18"/>
          <w:color w:val="auto"/>
        </w:rPr>
        <w:t>We have omitted discussion of 2019 results in the sections that follow where it would be redundant to the discussion previously included in Part II, Item 7, of our Form 10-K for the year ended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Highlights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revenues increased 19.1%, or $315.4 million, while gross profit increased 15.6% to $589.5 million during the year ended December 31, 2021 compared to 2020. We also generated approximately $138.3 million of cash from operating activities. The increase in net revenue and gross profit was primarily driven by the contribution of our recent acquisitions, selling price and product mix improvements as evidenced by the 3.2% increase in our price/mix metric and increased sales volume of 7.7% on a same branch basis. Gross profit grew slower than revenue primarily due to higher material costs caused by pandemic-related supply chain constraints, higher fuel costs and reduced efficiencies within the large commercial construction market due to challenges from the COVID-19 pandemic. Inflationary pressure contributed to the year-over-year margin compression as materials, particularly spray foam, gutters, and other complementary installed products, continued to be difficult to source near volume and pricing levels secured in prior periods.</w:t>
      </w:r>
    </w:p>
    <w:p>
      <w:pPr>
        <w:spacing w:after="0" w:line="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December 31, 2021, we had $333.5 million of cash and cash equivalents. In December 2021, we modified our debt structure to take advantage of favorable market conditions, entering into a new term loan credit agreement which provided for a seven-year $500 million term loan facility. A portion of the proceeds from the term loan were used to repay, in full, all amounts outstanding under the previous term loan agreement. We had not drawn on our $200.0 million revolving line of credit existing at December 31, 2021, which was increased to $250.0 million in February of 2022. Additionally, we paid our first quarterly dividends as a public company in 2021.</w:t>
      </w:r>
    </w:p>
    <w:p>
      <w:pPr>
        <w:spacing w:after="0" w:line="13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year ended December 31, 2021, we experienced overall sales growth in all of our end markets and we achieved 9.7% year-over-year same branch sales growth, with acquisitions contributing the remaining portion of our total sales growth. Our largest end market, the single-family subset of the residential new construction market, grew revenue 21.9% over the same period in 2020. Our commercial end market experienced sales growth of 10.2% during the year ended December 31, 2021 primarily through acquisitions, but we experienced project delays due to macroeconomic concerns surrounding the pandemic, resulting in a decline in same branch sales within this market. These fluctuations are shown in further detail in the "Key Measures of Performance" section below, and impacts from COVID-19 are discussed further in the sections that follow.</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there are several trends that should drive long-term growth in the housing market, even if there are temporary periods of slowed growth. These long-term trends include an aging housing stock, population growth, demographic changes, renewed positive attitudes about home ownership, household formation growth and the fact that housing starts remained below long-term historic averages for over a decade following the 2008 recession. We expect that our net revenue, gross profit and operating income will benefit from this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Highlights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Net revenues increased 9.4%, or $141.6 million, while gross profit increased 17.3% to $510.0 million during the year ended December 31, 2020 compared to 2019. We also generated approximately $180.8 million of cash from operating activities, and at December 31, 2020 we had $231.5 million of cash and cash equivalents. We did not draw on our existing $200 million revolving line of credit. The increase in net revenue and gross profit was primarily driven by selling price increases, the contribution of our recent acquisitions, lower fuel costs and increased sales volume of complementary products. We experienced sales growth year-over-year as reflected in the sales and relative performance metrics detailed below.</w:t>
      </w:r>
    </w:p>
    <w:p>
      <w:pPr>
        <w:spacing w:after="0" w:line="12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highest level of growth occurred in our multi-family end market which grew by 37.5% for the year ended December 31, 2020 compared to 2019. We grew our largest end market, the single family subset of the residential new construction market, by 5.0% despite the effects of temporary business interruptions early in 2020 due to federal, state and local requirements in response to COVID-19. All of our locations serving the residential new construction end market were operating at December 31, 2020, although some continued to experience limitations depending on their local market. The large commercial end market experienced sales growth of 15.3% during the year ended December 31, 2020 primarily through acquisitions as same branch sales growth lagged resulting from certain production inefficiencies due to COVID-19 social distancing requirements as well as project delays due to macroeconomic concerns surrounding the pandemic. These fluctuations are shown in further detail in the "Key Measures of Performance" section below, and impacts from COVID-19 are discussed further in the sections that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Key Measures of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additional key measures of performance we utilize to evaluate our results:</w:t>
      </w:r>
    </w:p>
    <w:p>
      <w:pPr>
        <w:spacing w:after="0" w:line="289"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40" w:type="dxa"/>
            <w:vAlign w:val="bottom"/>
            <w:gridSpan w:val="6"/>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7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CCEEFF"/>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2"/>
              </w:rPr>
              <w:t>Period-over-Period Growth</w:t>
            </w:r>
          </w:p>
        </w:tc>
        <w:tc>
          <w:tcPr>
            <w:tcW w:w="39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6"/>
          </w:tcPr>
          <w:p>
            <w:pPr>
              <w:spacing w:after="0"/>
              <w:rPr>
                <w:sz w:val="20"/>
                <w:szCs w:val="20"/>
                <w:color w:val="auto"/>
              </w:rPr>
            </w:pPr>
            <w:r>
              <w:rPr>
                <w:rFonts w:ascii="Arial" w:cs="Arial" w:eastAsia="Arial" w:hAnsi="Arial"/>
                <w:sz w:val="18"/>
                <w:szCs w:val="18"/>
                <w:color w:val="auto"/>
              </w:rPr>
              <w:t>Sales Growth</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19.1 %</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Same Branch Sales Growth </w:t>
            </w:r>
            <w:r>
              <w:rPr>
                <w:rFonts w:ascii="Arial" w:cs="Arial" w:eastAsia="Arial" w:hAnsi="Arial"/>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Single-Family Sales Growth </w:t>
            </w:r>
            <w:r>
              <w:rPr>
                <w:rFonts w:ascii="Arial" w:cs="Arial" w:eastAsia="Arial" w:hAnsi="Arial"/>
                <w:sz w:val="23"/>
                <w:szCs w:val="23"/>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21.9 %</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Single-Family Same Branch Sales Growth </w:t>
            </w:r>
            <w:r>
              <w:rPr>
                <w:rFonts w:ascii="Arial" w:cs="Arial" w:eastAsia="Arial" w:hAnsi="Arial"/>
                <w:sz w:val="23"/>
                <w:szCs w:val="23"/>
                <w:color w:val="auto"/>
                <w:vertAlign w:val="superscript"/>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14.0 %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Multi-Family Sales Growth </w:t>
            </w:r>
            <w:r>
              <w:rPr>
                <w:rFonts w:ascii="Arial" w:cs="Arial" w:eastAsia="Arial" w:hAnsi="Arial"/>
                <w:sz w:val="23"/>
                <w:szCs w:val="23"/>
                <w:color w:val="auto"/>
                <w:vertAlign w:val="superscript"/>
              </w:rPr>
              <w:t>(3)</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14.7 %</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37.5 %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Multi-Family Same Branch Sales Growth </w:t>
            </w:r>
            <w:r>
              <w:rPr>
                <w:rFonts w:ascii="Arial" w:cs="Arial" w:eastAsia="Arial" w:hAnsi="Arial"/>
                <w:sz w:val="23"/>
                <w:szCs w:val="23"/>
                <w:color w:val="auto"/>
                <w:vertAlign w:val="superscript"/>
              </w:rPr>
              <w:t>(1)(3)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Residential Sales Growth </w:t>
            </w:r>
            <w:r>
              <w:rPr>
                <w:rFonts w:ascii="Arial" w:cs="Arial" w:eastAsia="Arial" w:hAnsi="Arial"/>
                <w:sz w:val="23"/>
                <w:szCs w:val="23"/>
                <w:color w:val="auto"/>
                <w:vertAlign w:val="superscript"/>
              </w:rPr>
              <w:t>(4)</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20.7 %</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Residential Same Branch Sales Growth </w:t>
            </w:r>
            <w:r>
              <w:rPr>
                <w:rFonts w:ascii="Arial" w:cs="Arial" w:eastAsia="Arial" w:hAnsi="Arial"/>
                <w:sz w:val="23"/>
                <w:szCs w:val="23"/>
                <w:color w:val="auto"/>
                <w:vertAlign w:val="superscript"/>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12.8 %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Commercial Sales Growth </w:t>
            </w:r>
            <w:r>
              <w:rPr>
                <w:rFonts w:ascii="Arial" w:cs="Arial" w:eastAsia="Arial" w:hAnsi="Arial"/>
                <w:sz w:val="23"/>
                <w:szCs w:val="23"/>
                <w:color w:val="auto"/>
                <w:vertAlign w:val="superscript"/>
              </w:rPr>
              <w:t>(5)</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10.2 %</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10.4 %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Commercial Same Branch Sales Growth </w:t>
            </w:r>
            <w:r>
              <w:rPr>
                <w:rFonts w:ascii="Arial" w:cs="Arial" w:eastAsia="Arial" w:hAnsi="Arial"/>
                <w:sz w:val="23"/>
                <w:szCs w:val="23"/>
                <w:color w:val="auto"/>
                <w:vertAlign w:val="superscript"/>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shd w:val="clear" w:color="auto" w:fill="CCEEFF"/>
          </w:tcPr>
          <w:p>
            <w:pPr>
              <w:spacing w:after="0"/>
              <w:rPr>
                <w:sz w:val="11"/>
                <w:szCs w:val="11"/>
                <w:color w:val="auto"/>
              </w:rPr>
            </w:pPr>
          </w:p>
        </w:tc>
        <w:tc>
          <w:tcPr>
            <w:tcW w:w="2120" w:type="dxa"/>
            <w:vAlign w:val="bottom"/>
            <w:tcBorders>
              <w:bottom w:val="single" w:sz="8" w:color="CCEEFF"/>
            </w:tcBorders>
            <w:gridSpan w:val="2"/>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9"/>
              </w:rPr>
              <w:t>Same Branch Sales Growth</w:t>
            </w:r>
          </w:p>
        </w:tc>
        <w:tc>
          <w:tcPr>
            <w:tcW w:w="14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2"/>
                <w:szCs w:val="12"/>
                <w:b w:val="1"/>
                <w:bCs w:val="1"/>
                <w:color w:val="auto"/>
                <w:w w:val="81"/>
              </w:rPr>
              <w:t>(6)</w:t>
            </w:r>
          </w:p>
        </w:tc>
        <w:tc>
          <w:tcPr>
            <w:tcW w:w="4880" w:type="dxa"/>
            <w:vAlign w:val="bottom"/>
            <w:tcBorders>
              <w:bottom w:val="single" w:sz="8" w:color="CCEEFF"/>
            </w:tcBorders>
            <w:gridSpan w:val="2"/>
            <w:vMerge w:val="restart"/>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CCEEFF"/>
            </w:tcBorders>
            <w:shd w:val="clear" w:color="auto" w:fill="CCEEFF"/>
          </w:tcPr>
          <w:p>
            <w:pPr>
              <w:spacing w:after="0"/>
              <w:rPr>
                <w:sz w:val="4"/>
                <w:szCs w:val="4"/>
                <w:color w:val="auto"/>
              </w:rPr>
            </w:pPr>
          </w:p>
        </w:tc>
        <w:tc>
          <w:tcPr>
            <w:tcW w:w="212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gridSpan w:val="2"/>
            <w:shd w:val="clear" w:color="auto" w:fill="CCEEFF"/>
          </w:tcPr>
          <w:p>
            <w:pPr>
              <w:spacing w:after="0"/>
              <w:rPr>
                <w:sz w:val="4"/>
                <w:szCs w:val="4"/>
                <w:color w:val="auto"/>
              </w:rPr>
            </w:pPr>
          </w:p>
        </w:tc>
        <w:tc>
          <w:tcPr>
            <w:tcW w:w="4880" w:type="dxa"/>
            <w:vAlign w:val="bottom"/>
            <w:tcBorders>
              <w:bottom w:val="single" w:sz="8" w:color="CCEEFF"/>
            </w:tcBorders>
            <w:gridSpan w:val="2"/>
            <w:vMerge w:val="continue"/>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4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7140" w:type="dxa"/>
            <w:vAlign w:val="bottom"/>
            <w:tcBorders>
              <w:top w:val="single" w:sz="8" w:color="CCEEFF"/>
            </w:tcBorders>
            <w:gridSpan w:val="6"/>
          </w:tcPr>
          <w:p>
            <w:pPr>
              <w:spacing w:after="0" w:line="230" w:lineRule="exact"/>
              <w:rPr>
                <w:sz w:val="20"/>
                <w:szCs w:val="20"/>
                <w:color w:val="auto"/>
              </w:rPr>
            </w:pPr>
            <w:r>
              <w:rPr>
                <w:rFonts w:ascii="Arial" w:cs="Arial" w:eastAsia="Arial" w:hAnsi="Arial"/>
                <w:sz w:val="18"/>
                <w:szCs w:val="18"/>
                <w:color w:val="auto"/>
              </w:rPr>
              <w:t xml:space="preserve">Volume Growth </w:t>
            </w:r>
            <w:r>
              <w:rPr>
                <w:rFonts w:ascii="Arial" w:cs="Arial" w:eastAsia="Arial" w:hAnsi="Arial"/>
                <w:sz w:val="23"/>
                <w:szCs w:val="23"/>
                <w:color w:val="auto"/>
                <w:vertAlign w:val="superscript"/>
              </w:rPr>
              <w:t>(1)(7)</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7.7 %</w:t>
            </w:r>
          </w:p>
        </w:tc>
        <w:tc>
          <w:tcPr>
            <w:tcW w:w="1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Price/Mix Growth </w:t>
            </w:r>
            <w:r>
              <w:rPr>
                <w:rFonts w:ascii="Arial" w:cs="Arial" w:eastAsia="Arial" w:hAnsi="Arial"/>
                <w:sz w:val="23"/>
                <w:szCs w:val="23"/>
                <w:color w:val="auto"/>
                <w:vertAlign w:val="superscript"/>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Large Commercial Same Branch Sales Growth </w:t>
            </w:r>
            <w:r>
              <w:rPr>
                <w:rFonts w:ascii="Arial" w:cs="Arial" w:eastAsia="Arial" w:hAnsi="Arial"/>
                <w:sz w:val="23"/>
                <w:szCs w:val="23"/>
                <w:color w:val="auto"/>
                <w:vertAlign w:val="superscript"/>
              </w:rPr>
              <w:t>(1)(9)</w:t>
            </w: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40" w:type="dxa"/>
            <w:vAlign w:val="bottom"/>
            <w:gridSpan w:val="6"/>
          </w:tcPr>
          <w:p>
            <w:pPr>
              <w:spacing w:after="0" w:line="189" w:lineRule="exact"/>
              <w:rPr>
                <w:sz w:val="20"/>
                <w:szCs w:val="20"/>
                <w:color w:val="auto"/>
              </w:rPr>
            </w:pPr>
            <w:r>
              <w:rPr>
                <w:rFonts w:ascii="Arial" w:cs="Arial" w:eastAsia="Arial" w:hAnsi="Arial"/>
                <w:sz w:val="17"/>
                <w:szCs w:val="17"/>
                <w:b w:val="1"/>
                <w:bCs w:val="1"/>
                <w:color w:val="auto"/>
              </w:rPr>
              <w:t xml:space="preserve">U.S. Housing Market </w:t>
            </w:r>
            <w:r>
              <w:rPr>
                <w:rFonts w:ascii="Arial" w:cs="Arial" w:eastAsia="Arial" w:hAnsi="Arial"/>
                <w:sz w:val="21"/>
                <w:szCs w:val="21"/>
                <w:b w:val="1"/>
                <w:bCs w:val="1"/>
                <w:color w:val="auto"/>
                <w:vertAlign w:val="superscript"/>
              </w:rPr>
              <w:t>(10)</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Completions Growth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6"/>
          </w:tcPr>
          <w:p>
            <w:pPr>
              <w:spacing w:after="0" w:line="230" w:lineRule="exact"/>
              <w:rPr>
                <w:sz w:val="20"/>
                <w:szCs w:val="20"/>
                <w:color w:val="auto"/>
              </w:rPr>
            </w:pPr>
            <w:r>
              <w:rPr>
                <w:rFonts w:ascii="Arial" w:cs="Arial" w:eastAsia="Arial" w:hAnsi="Arial"/>
                <w:sz w:val="18"/>
                <w:szCs w:val="18"/>
                <w:color w:val="auto"/>
              </w:rPr>
              <w:t xml:space="preserve">Single-Family Completions Growth </w:t>
            </w:r>
            <w:r>
              <w:rPr>
                <w:rFonts w:ascii="Arial" w:cs="Arial" w:eastAsia="Arial" w:hAnsi="Arial"/>
                <w:sz w:val="23"/>
                <w:szCs w:val="23"/>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6.1 %</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4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 xml:space="preserve">Multi-Family Completions Growth </w:t>
            </w:r>
            <w:r>
              <w:rPr>
                <w:rFonts w:ascii="Arial" w:cs="Arial" w:eastAsia="Arial" w:hAnsi="Arial"/>
                <w:sz w:val="23"/>
                <w:szCs w:val="23"/>
                <w:color w:val="auto"/>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hanging="227"/>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Same-branch basis represents period-over-period growth for branch locations owned greater than 12 months as of each financial statement date.</w:t>
      </w:r>
    </w:p>
    <w:p>
      <w:pPr>
        <w:spacing w:after="0" w:line="32" w:lineRule="exact"/>
        <w:rPr>
          <w:rFonts w:ascii="Arial" w:cs="Arial" w:eastAsia="Arial" w:hAnsi="Arial"/>
          <w:sz w:val="16"/>
          <w:szCs w:val="16"/>
          <w:color w:val="auto"/>
        </w:rPr>
      </w:pPr>
    </w:p>
    <w:p>
      <w:pPr>
        <w:ind w:left="460" w:hanging="227"/>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based on period-over-period growth in the single-family subset of the residential new construction end market.</w:t>
      </w:r>
    </w:p>
    <w:p>
      <w:pPr>
        <w:spacing w:after="0" w:line="32" w:lineRule="exact"/>
        <w:rPr>
          <w:rFonts w:ascii="Arial" w:cs="Arial" w:eastAsia="Arial" w:hAnsi="Arial"/>
          <w:sz w:val="16"/>
          <w:szCs w:val="16"/>
          <w:color w:val="auto"/>
        </w:rPr>
      </w:pPr>
    </w:p>
    <w:p>
      <w:pPr>
        <w:ind w:left="460" w:hanging="227"/>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based on period-over-period growth in the multi-family subset of the residential new construction end market.</w:t>
      </w:r>
    </w:p>
    <w:p>
      <w:pPr>
        <w:spacing w:after="0" w:line="32" w:lineRule="exact"/>
        <w:rPr>
          <w:rFonts w:ascii="Arial" w:cs="Arial" w:eastAsia="Arial" w:hAnsi="Arial"/>
          <w:sz w:val="16"/>
          <w:szCs w:val="16"/>
          <w:color w:val="auto"/>
        </w:rPr>
      </w:pPr>
    </w:p>
    <w:p>
      <w:pPr>
        <w:ind w:left="460" w:hanging="227"/>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based on period-over-period growth in the residential new construction end market.</w:t>
      </w:r>
    </w:p>
    <w:p>
      <w:pPr>
        <w:spacing w:after="0" w:line="32" w:lineRule="exact"/>
        <w:rPr>
          <w:rFonts w:ascii="Arial" w:cs="Arial" w:eastAsia="Arial" w:hAnsi="Arial"/>
          <w:sz w:val="16"/>
          <w:szCs w:val="16"/>
          <w:color w:val="auto"/>
        </w:rPr>
      </w:pPr>
    </w:p>
    <w:p>
      <w:pPr>
        <w:ind w:left="460" w:hanging="227"/>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Calculated based on period-over-period growth in the total commercial end market. Our commercial end market consists of large and light commercial projects.</w:t>
      </w:r>
    </w:p>
    <w:p>
      <w:pPr>
        <w:spacing w:after="0" w:line="43" w:lineRule="exact"/>
        <w:rPr>
          <w:rFonts w:ascii="Arial" w:cs="Arial" w:eastAsia="Arial" w:hAnsi="Arial"/>
          <w:sz w:val="15"/>
          <w:szCs w:val="15"/>
          <w:color w:val="auto"/>
        </w:rPr>
      </w:pPr>
    </w:p>
    <w:p>
      <w:pPr>
        <w:ind w:left="460" w:right="100" w:hanging="227"/>
        <w:spacing w:after="0" w:line="24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During the year ended December 31, 2021, we changed the classification of one of our branches to the large commercial subset of the commercial end market, based on the type of work this branch performs. While this change is immaterial to the sales growth calculations, it affects comparability to the corresponding prior year metrics as the change was made prospectively beginning January 1, 2021. We continually evaluate the branch classifications utilized in our sales growth metrics based on changes in our business and operations over time and future changes may occur to these classifications.</w:t>
      </w:r>
    </w:p>
    <w:p>
      <w:pPr>
        <w:spacing w:after="0" w:line="9" w:lineRule="exact"/>
        <w:rPr>
          <w:rFonts w:ascii="Arial" w:cs="Arial" w:eastAsia="Arial" w:hAnsi="Arial"/>
          <w:sz w:val="15"/>
          <w:szCs w:val="15"/>
          <w:color w:val="auto"/>
        </w:rPr>
      </w:pPr>
    </w:p>
    <w:p>
      <w:pPr>
        <w:ind w:left="460" w:right="80" w:hanging="227"/>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the large commercial end market; calculated as period-over-period change in the number of completed same-branch residential new construction and repair and remodel jobs.</w:t>
      </w:r>
    </w:p>
    <w:p>
      <w:pPr>
        <w:spacing w:after="0" w:line="10" w:lineRule="exact"/>
        <w:rPr>
          <w:rFonts w:ascii="Arial" w:cs="Arial" w:eastAsia="Arial" w:hAnsi="Arial"/>
          <w:sz w:val="16"/>
          <w:szCs w:val="16"/>
          <w:color w:val="auto"/>
        </w:rPr>
      </w:pPr>
    </w:p>
    <w:p>
      <w:pPr>
        <w:ind w:left="460" w:right="80" w:hanging="227"/>
        <w:spacing w:after="0" w:line="23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the large commercial end market; defined as change in the mix of products sold and related pricing changes and calculated as the change in period-over-period average selling price per same-branch residential new construction and repair and remodel jobs multiplied by total current year jobs. The mix of end customer and product would have an impact on the year-over-year price per job.</w:t>
      </w:r>
    </w:p>
    <w:p>
      <w:pPr>
        <w:spacing w:after="0" w:line="11" w:lineRule="exact"/>
        <w:rPr>
          <w:rFonts w:ascii="Arial" w:cs="Arial" w:eastAsia="Arial" w:hAnsi="Arial"/>
          <w:sz w:val="16"/>
          <w:szCs w:val="16"/>
          <w:color w:val="auto"/>
        </w:rPr>
      </w:pPr>
    </w:p>
    <w:p>
      <w:pPr>
        <w:ind w:left="460" w:right="40" w:hanging="227"/>
        <w:spacing w:after="0" w:line="23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large commercial end market, as a subset of our total commercial end market, comprises certain of our branches working on projects constructed primarily out of steel and concrete, which are much larger than our average residential job. This market in excluded from the above same branch price/mix and volume growth metrics as to not skew the rates given the much larger per-job revenue compared to our average job.</w:t>
      </w:r>
    </w:p>
    <w:p>
      <w:pPr>
        <w:spacing w:after="0" w:line="11" w:lineRule="exact"/>
        <w:rPr>
          <w:rFonts w:ascii="Arial" w:cs="Arial" w:eastAsia="Arial" w:hAnsi="Arial"/>
          <w:sz w:val="16"/>
          <w:szCs w:val="16"/>
          <w:color w:val="auto"/>
        </w:rPr>
      </w:pPr>
    </w:p>
    <w:p>
      <w:pPr>
        <w:ind w:left="460" w:hanging="308"/>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 Census Bureau data, as revised.</w:t>
      </w:r>
    </w:p>
    <w:p>
      <w:pPr>
        <w:spacing w:after="0" w:line="27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believe the revenue growth measures are important indicators of how our business is performing, however, we may rely on different metrics in the future. We also utilize gross profit percentage as shown in the following section to monitor our most significant variable costs and to evaluate labor efficiency and success at passing increasing costs of materials to customers.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Net revenue, cost of sales and gross profit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gross profit for 2021, 2020 and 2019 were as follows (dollars in thousands):</w:t>
      </w:r>
    </w:p>
    <w:p>
      <w:pPr>
        <w:spacing w:after="0" w:line="30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1,968,650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1,653,225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1,511,629</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1,379,131</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1,143,251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1,076,809</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589,519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509,974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434,820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Gross profit percentage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29.9 %</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4" w:lineRule="exact"/>
              <w:rPr>
                <w:sz w:val="20"/>
                <w:szCs w:val="20"/>
                <w:color w:val="auto"/>
              </w:rPr>
            </w:pPr>
            <w:r>
              <w:rPr>
                <w:rFonts w:ascii="Arial" w:cs="Arial" w:eastAsia="Arial" w:hAnsi="Arial"/>
                <w:sz w:val="18"/>
                <w:szCs w:val="18"/>
                <w:color w:val="auto"/>
              </w:rPr>
              <w:t>30.8 %</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year-over-year growth in our residential end market was the primary driver of the increase in net revenue during the year ended December 31, 2021 compared to the year ended December 31, 2020 as shown in the Key Measures of Performance section above. Growth in our residential end market was primarily due to selling price increases, higher volume and the continued success of our acquisition strategy. In our commercial end market, challenges associated with the COVID-19 pandemic had an impact as evidenced by the 8.0% decline in same branch sales within this end market. See “Key Factors Affecting Our Operating Results, COVID-19 Impacts” below for further information. Our price/mix metric was positively impacted during the year ended December 31, 2021 as we were able to pass along selling price increases to partially offset rising material costs, especially in the second half of 2021. However, our price/mix improvement was partially offset by a higher volume of insulation sales to production builders. This shift within the single-family end market impacted price/mix as the average insulation selling price for entry level production builder jobs is typically lower than a move-up or custom home builder.</w:t>
      </w:r>
    </w:p>
    <w:p>
      <w:pPr>
        <w:spacing w:after="0" w:line="1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a percentage of net revenue, gross profit decreased during the year ended December 31, 2021 compared to the year ended December 31, 2020. The building products supply chain has experienced significant disruptions in 2021 due in part to effects of the COVID-19 pandemic. Industry wide supply chain issues continue to impact our operating efficiency, driving our costs higher. In order to meet customer demand during the year, we purchased materials from distributors and home centers at a premium to what we typically would purchase directly from manufacturers. As a result, during the year ended December 31, 2021, we estimate these purchases increased materials expense by approximately $8.8 million, therefore reducing gross profit. While we expect new housing construction will remain supportive of our business in 2022, inflation and material supply chain issues are likely to persist throughout the year. Gross profit in 2021 was also impacted by higher year-over-year fuel and union costs, reducing gross profit by approximately 50 basis points as a percentage of net revenue during the year ended December 31, 2021. In addition, the impact of the February 2021 winter storms had a lingering effect on portions of 2021 as it disrupted our ability to source certain materials needed for spray foam applications. These materials were in short supply after the storms as chemical processing facilities went offline.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2021, 2020 and 2019 were as follows (dollars in thousands):</w:t>
      </w:r>
    </w:p>
    <w:p>
      <w:pPr>
        <w:spacing w:after="0" w:line="30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93,204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81,613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75,016</w:t>
            </w: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Percentage of total net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271,356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237,959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214,134</w:t>
            </w:r>
          </w:p>
        </w:tc>
      </w:tr>
      <w:tr>
        <w:trPr>
          <w:trHeight w:val="229"/>
        </w:trPr>
        <w:tc>
          <w:tcPr>
            <w:tcW w:w="2920" w:type="dxa"/>
            <w:vAlign w:val="bottom"/>
          </w:tcPr>
          <w:p>
            <w:pPr>
              <w:ind w:left="220"/>
              <w:spacing w:after="0"/>
              <w:rPr>
                <w:sz w:val="20"/>
                <w:szCs w:val="20"/>
                <w:color w:val="auto"/>
              </w:rPr>
            </w:pPr>
            <w:r>
              <w:rPr>
                <w:rFonts w:ascii="Arial" w:cs="Arial" w:eastAsia="Arial" w:hAnsi="Arial"/>
                <w:sz w:val="18"/>
                <w:szCs w:val="18"/>
                <w:color w:val="auto"/>
              </w:rPr>
              <w:t>Percentage of total net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37,079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24,510</w:t>
            </w:r>
          </w:p>
        </w:tc>
      </w:tr>
      <w:tr>
        <w:trPr>
          <w:trHeight w:val="230"/>
        </w:trPr>
        <w:tc>
          <w:tcPr>
            <w:tcW w:w="2920" w:type="dxa"/>
            <w:vAlign w:val="bottom"/>
          </w:tcPr>
          <w:p>
            <w:pPr>
              <w:ind w:left="220"/>
              <w:spacing w:after="0"/>
              <w:rPr>
                <w:sz w:val="20"/>
                <w:szCs w:val="20"/>
                <w:color w:val="auto"/>
              </w:rPr>
            </w:pPr>
            <w:r>
              <w:rPr>
                <w:rFonts w:ascii="Arial" w:cs="Arial" w:eastAsia="Arial" w:hAnsi="Arial"/>
                <w:sz w:val="18"/>
                <w:szCs w:val="18"/>
                <w:color w:val="auto"/>
              </w:rPr>
              <w:t>Percentage of total net revenue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1.6 %</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dollar increase in selling expenses in 2021 was primarily driven by a year-over-year increase in selling wages, benefits and commissions of $13.0 million, or 18.0%, which supported our increased net revenue of 19.1%. Selling expense decreased as a percentage of sales primarily due to a lower current period provision for credit losses in 2021 compared to 2020.</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Administrative</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dollar increase in administrative expenses in 2021 was primarily due to an increase in wages and benefits in the amount of $20.2 million, which was attributable to both acquisitions and organic growth as well as favorable company performance. During 2021, we saw our administrative costs decrease as a percentage of sales primarily due to the leverage gained on these administrative wages.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w:t>
      </w:r>
    </w:p>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intangible assets include non-competes, customer relationships, trade names and backlog. Amortization of intangibles attributable to acquisitions increased by $8.5 million in 2021 resulting from the increase in new intangible assets from acquisitions. See Note 17, Business Combinations, in Item 8, Financial Statements and Supplementary Data, of this Form 10-K for information on our acquisitions.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for 2021, 2020 and 2019 was as follows (dollars in thousands):</w:t>
      </w:r>
    </w:p>
    <w:p>
      <w:pPr>
        <w:spacing w:after="0" w:line="306"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28,104</w:t>
            </w:r>
          </w:p>
        </w:tc>
      </w:tr>
      <w:tr>
        <w:trPr>
          <w:trHeight w:val="230"/>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-209.5 %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2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28,555</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year-over-year increase in other expense, net during 2021 was primarily a result of increased debt levels associated with our debt-related financing transactions. Interest expense, net also increased during 2021 due to amortizing our terminated interest rate swap derivatives. See Note 8 and Note 11 to our audited consolidated financial statements included in this Form 10-K for further information regarding debt balances and derivatives,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and effective tax rates for 2021, 2020 and 2019 were as follows (dollars in thousands):</w:t>
      </w:r>
    </w:p>
    <w:p>
      <w:pPr>
        <w:spacing w:after="0" w:line="293"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2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24,446</w:t>
            </w: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26.4 %</w:t>
            </w:r>
          </w:p>
        </w:tc>
      </w:tr>
    </w:tbl>
    <w:p>
      <w:pPr>
        <w:spacing w:after="0" w:line="24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the year ended December 31, 2021, our tax rate was favorably impacted by the release of a valuation allowance for a tax filing entity, excess tax benefits from share-based compensation arrangements and statute of limitation expirations of uncertain tax positions.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year ended December 31, 2020, our tax rate was favorably impacted by the release of a valuation allowance for a tax filing entity. This favorability was offset by the tax effect of losses incurred by separate companies to which no benefit can be recognized due to a full valuation allowance against the losses as well as a tax shortfall from equity vesting.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gain (loss), net of tax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gain (loss), net of tax for 2021, 2020 and 2019 were as follows (in thousands):</w:t>
      </w: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4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 net of taxes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r>
    </w:tbl>
    <w:p>
      <w:pPr>
        <w:spacing w:after="0" w:line="24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2021, we recorded an unrealized gain, net of taxes, of $6.4 million on our cash flow hedges primarily due to the market's expectations for interest rates in the future relative to our July 2021 swap. We also amortized $3.2 million of the unrealized loss on our terminated cash flow hedges to interest expense, net during the year ended December 31, 2021, not including tax effects of $1.1 million.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40" w:name="page41"/>
    <w:bookmarkEnd w:id="40"/>
    <w:p>
      <w:pPr>
        <w:ind w:right="160"/>
        <w:spacing w:after="0" w:line="259" w:lineRule="auto"/>
        <w:rPr>
          <w:sz w:val="20"/>
          <w:szCs w:val="20"/>
          <w:color w:val="auto"/>
        </w:rPr>
      </w:pPr>
      <w:r>
        <w:rPr>
          <w:rFonts w:ascii="Arial" w:cs="Arial" w:eastAsia="Arial" w:hAnsi="Arial"/>
          <w:sz w:val="18"/>
          <w:szCs w:val="18"/>
          <w:color w:val="auto"/>
        </w:rPr>
        <w:t>During the year ended December 31, 2020, we recorded an unrealized loss, net of taxes on our now-terminated cash flow hedges primarily due to interest rate declines and market responses to the COVID-19 pandemic of $6.3 million. This loss was offset by an unrealized gain, net of taxes of $3.4 million on our remaining cash flow hedge due to favorable market conditions. We also amortized $1.3 million of the unrealized loss on our terminated cash flow hedges to interest expense, net during the year ended December 31, 2020.</w:t>
      </w:r>
    </w:p>
    <w:p>
      <w:pPr>
        <w:spacing w:after="0" w:line="1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amortize the unrealized loss on our terminated cash flow hedges at the time of termination over the course of the originally scheduled settlement dates of the terminated swaps. For more information on our cash flow hedges, see "Liquidity and Capital Resources, Derivative Instruments"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Trends in the Construction Industry</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operating results may vary based on our product mix and the mix of our end markets among new single-family, multi-family and commercial builders and owners of existing homes. We expect to benefit from the continued growth in single-family new residential construction as housing has returned to historic stabilized levels due to a number of factors, including low interest rates, the underproduction of new homes during the housing recovery, low inventory of existing homes for sale and demographic changes. We maintain a mix of business among all types of homebuilders ranging from small custom builders to large regional and national homebuilders as well as a wide range of commercial builders. Net revenue derived from our ten largest homebuilder customers in the United States was approximately 15% for the year ended December 31, 2021. The residential new construction and repair and remodel markets represented approximately 83% of our total net revenue for the year ended December 31, 2021, compared to 82% in the same period in 2020. The remaining portion was attributable to the commercial construction end market.</w:t>
      </w:r>
    </w:p>
    <w:p>
      <w:pPr>
        <w:spacing w:after="0" w:line="12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industry experienced manufacturer supply constraints for most of the materials we installed during 2021 due to an unanticipated increase in demand as well as manufacturing curtailments due to COVID-19. We anticipate these shortages will continue into 2022. Our results of operations in 2022 are likely to be impacted by the current supply constraints as we may be unable to complete jobs at our preferred pace, but we will continue to respond to the strong demand by continuing to proactively work with our suppliers and customers to offset any potential impact on our operations and profitability. This outlook may change depending on continued increased housing demand and the ability of manufacturers to produce adequate supply.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Availability of Materials</w:t>
      </w:r>
    </w:p>
    <w:p>
      <w:pPr>
        <w:spacing w:after="0" w:line="14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typically purchase the materials we use in our business directly from manufacturers. The industry supply of these materials is currently experiencing supply shortages due to strong demand and effects from the COVID-19 pandemic. Manufacturers are currently allocating materials across the industry which affected the pricing of those materials during the year ended December 31, 2021. In order to meet customer demand during the year, we purchased materials from distributors and home centers at a premium to what we typically would purchase directly from manufacturers, therefore reducing gross profit.</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we experience price increases from our suppliers from time to time, including multiple increases over the last two years caused by supply shortages and general economic inflationary pressures. We also experienced unprecedented increased pricing for fiberglass and foam insulation materials in 2021 and expect manufacturers to seek additional price increases in 2022. Increased market pricing, regardless of the catalyst, has and could continue to impact our results of operations in 2022, to the extent that price increases cannot be passed on to our customers. Despite our efforts to raise prices, our selling price increases lagged material cost increases in 2021 until we began to see improvement in our selling prices in the second half of 2021. We will continue to work with our customers to adjust selling prices to offset higher costs as they occur. See “COVID-19 Impacts” below for a discussion of the short-term impacts of the current economic climate on the availability of the materials we install.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Labor</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business is labor intensive. As of December 31, 2021, we had approximately 9,500 employees, most of whom work as installers on local construction sites. We expect to spend more to hire, train and retain installers to support our growing business in 2022, as tight labor availability continues within the construction industry. We offer a comprehensive benefits package, which many of our local competitors are not able to provide, which will increase costs as we hire additional personnel. Our workers’ compensation costs also continue to increase as we increase our coverage for additional personnel.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1" w:name="page42"/>
    <w:bookmarkEnd w:id="41"/>
    <w:p>
      <w:pPr>
        <w:spacing w:after="0" w:line="296" w:lineRule="auto"/>
        <w:rPr>
          <w:sz w:val="20"/>
          <w:szCs w:val="20"/>
          <w:color w:val="auto"/>
        </w:rPr>
      </w:pPr>
      <w:r>
        <w:rPr>
          <w:rFonts w:ascii="Arial" w:cs="Arial" w:eastAsia="Arial" w:hAnsi="Arial"/>
          <w:sz w:val="16"/>
          <w:szCs w:val="16"/>
          <w:color w:val="auto"/>
        </w:rPr>
        <w:t>We experienced strong employee retention, turnover and labor efficiency rates in the year ended December 31, 2021. We believe this is partially a result of various programs meant to benefit our employees, including our financial wellness plan, longevity stock compensation plan for employees and assistance from the Installed Building Products Foundation meant to benefit our employees, their families and their communities. While improved retention drives lower costs to recruit and train new employees, resulting in greater installer productivity, these improvements are somewhat offset by the additional costs of these incentives. See “COVID-19 Impacts” below for a discussion of the short-term impacts of the current economic climate on our workforce.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Impacts</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2019, a novel strain of coronavirus surfaced in Wuhan, China. Since then, the virus has spread globally, including to the United States. In response, the World Health Organization declared the situation a pandemic and the U.S. Secretary of Health and Human Services declared a public health emergency. The COVID-19 pandemic has caused significant volatility, uncertainty and economic disruption. Many public health organizations and international, federal, state and local governments implemented measures to combat the spread of COVID-19 at various times since the beginning of the pandemic. Some of these measures include restrictions on movement such as quarantines, vaccine and/or masking requirements, “stay-at-home” orders and social distancing ordinances and restricting or prohibiting outright some or all forms of commercial and business activity. There is still significant uncertainty surrounding the duration and scope of the pandemic, as well as its continued impact on the economy. We cannot predict if federal, state and local governments will implement additional restrictions, when restrictions currently in place will expire or whether restrictions currently in place will become more limiting.</w:t>
      </w:r>
    </w:p>
    <w:p>
      <w:pPr>
        <w:spacing w:after="0" w:line="11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the COVID-19 pandemic and related events will likely have a negative effect on us in 2022, the full extent and scope of the impact on our business and industry, as well as national, regional and global markets and economies, depends on numerous evolving factors that we may not be able to accurately predict, including the duration and scope of the pandemic, additional government actions taken in response to the pandemic, the impact on construction activity and demand for homes (based on employment levels, consumer spending and consumer confidence). The fast recovery in residential housing demand helped offset prolonged impacts of the pandemic already experienced. In the commercial sector, we have experienced delays in the onset of certain large-scale infrastructure programs due to the declining need for such structures and/or project funding declines. Commercial spending rose in 2021, but remains below 2019 levels. Commercial projects could decline in the future if consumer behaviors change in the wake of COVID-19 disruptions to the economy and changes to our general ways of life. For example, reduced demand for office buildings and/or educational facilities, decreased airport traffic, or decreased usage of sports arenas or similar commercial structures could continue to impact our commercial end market.</w:t>
      </w:r>
    </w:p>
    <w:p>
      <w:pPr>
        <w:spacing w:after="0" w:line="7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management remains focused on mitigating the impact of COVID-19 on our business and the risk to our employees and customers. We have taken a number of precautionary measures intended to mitigate these risks. We follow all masking requirements imposed by authorities, most of which have had no adverse effects on our business since wearing protective equipment in the process of completing our installation work is already a common practice in our industry. We have also taken advantage of available technologies which allow some employees the ability to work remotely from home. We comply with regulations from federal, state and local government agencies. Certain protocols have evolved throughout 2021 as vaccines have become available and guidelines from public health authorities such as the Centers for Disease Control are updated. We are prepared to take additional actions if necessary as suggested or required by various health agencies.</w:t>
      </w:r>
    </w:p>
    <w:p>
      <w:pPr>
        <w:spacing w:after="0" w:line="12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continue to evaluate the nature and extent of the COVID-19 pandemic’s impact on our financial condition, results of operations and cash flows. We have experienced limited business disruptions to date and therefore have not needed to implement significant continuity measures and have not incurred significant related expenditures. Assuming a large number of additional states or markets in which we operate do not reverse their current positions about construction being an “essential” business, we do not anticipate having to implement any additional measures in the future.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corporate office remains fully operational. As such, we have made no modifications to internal controls over financial reporting and have confidence controls are operating as designed. We have enhanced our efforts to mitigate cyber threats and phishing, given some employees are still working remotely. We are continually monitoring and assessing the COVID-19 situation on our internal controls to minimize the impact of their design and operating effectiveness.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expect some impact from the pandemic to our earnings, financial position and cash flows to continue in 2022, however there is much uncertainty surrounding the estimated magnitude of these impacts. We estimate limited impact to our Consolidated Balance Sheets other than a potential reduction in working capital due to the possibility of reduced net revenue and net income. Trade accounts receivable may also be reduced somewhat by lower net revenue and a higher allowance for credit losses due to enhanced risk of collectibility from some customers, although we have not seen a significant impact to date. We anticipate revenue and net income may continue to be negatively impacted into 2022 due to supply constraints and/or material price increases ultimately stemming from the effects of the pandemic, as well as other factors such as high demand for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2" w:name="page43"/>
    <w:bookmarkEnd w:id="42"/>
    <w:p>
      <w:pPr>
        <w:ind w:right="180"/>
        <w:spacing w:after="0" w:line="279" w:lineRule="auto"/>
        <w:rPr>
          <w:sz w:val="20"/>
          <w:szCs w:val="20"/>
          <w:color w:val="auto"/>
        </w:rPr>
      </w:pPr>
      <w:r>
        <w:rPr>
          <w:rFonts w:ascii="Arial" w:cs="Arial" w:eastAsia="Arial" w:hAnsi="Arial"/>
          <w:sz w:val="17"/>
          <w:szCs w:val="17"/>
          <w:color w:val="auto"/>
        </w:rPr>
        <w:t>housing. While our cash from operations may decline over recent performance due to a decrease in expected net income driven by lower net revenue, we do not anticipate any issues meeting debt obligations or making timely payments to vendors given our strong liquidity and large cash reserves. See "Liquidity and Capital Resources" below for further information. Given the continued uncertainty created by the COVID-19 pandemic and its potential effects, it is not possible to estimate the full, adverse impact to our future 2022 sales or other financial results at this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 Climate Change and Other Factors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 to the Office of Energy Efficiency &amp; Renewable Energy, over $400 billion is spent each year to power homes and commercial structures that consume 75% of all electricity used in the United States and 40% of the nation’s total energy. As a result, U.S. buildings account for 35% of the U.S. carbon dioxide emissions that drive the climate crisis. Insulation is a critical component in the construction of homes and commercial structures. Installing insulation also helps increase energy conservation because it is the best way to prevent energy waste in most homes and commercial structures. Beyond our service offerings, we also recognize that as a good corporate citizen, we have a responsibility to support our communities and be stewards of the environment. Recently, we have transitioned a large portion of our electricity supply to a carbon-free energy source and entered a national waste management program to increase recycling at our facilities, reducing landfill waste.</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not aware of pending climate-related regulations that would materially affect our business. However, certain effects of climate change that may cause more severe weather events could have a material effect on our operations. For example, whether caused by climate change or not, February 2021 winter storms in the southern United States significantly impacted our operations across the entire state of Texas and disrupted our ability to source certain materials needed for spray foam applications.</w:t>
      </w:r>
    </w:p>
    <w:p>
      <w:pPr>
        <w:spacing w:after="0" w:line="13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Lastly, we expect our selling and administrative expenses to continue to increase as our business grows, which could impact our future operating profitability.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tend to have higher sales during the second half of the year as our homebuilder customers complete construction of homes placed under contract for sale in the traditionally stronger spring selling season. In addition, some of our larger branches operate in states impacted by winter weather and as such experience a slowdown in construction activity during the first quarter of the calendar year. This winter slowdown contributes to traditionally lower sales and profitability in our first quarter. See Part I, Item 1, Business, for further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capital resources primarily consist of cash from operations and borrowings under our various debt agreements and capital equipment leases and loans. As of December 31, 2021, we had cash and cash equivalents of $333.5 million as well as access to $200.0 million under our asset-based lending credit facility (as defined below), less $44.3 million of outstanding letters of credit, resulting in total liquidity of $489.2 million. Our total liquidity is reduced by $5.3 million within our cash and cash equivalents due to a deposit into a trust to serve as additional collateral for our workers' compensation and general liability policies. This amount can be converted to a letter of credit at our discretion and would reduce the availability of our asset-based lending facility (as defined below). Liquidity may also be limited in the future by certain cash collateral limitations under our asset-based credit facility (as defined below), depending on the status of our borrowing base availability.</w:t>
      </w:r>
    </w:p>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experienced unprecedented increases in pricing for fiberglass and foam insulation materials in 2021 and expect manufacturers to seek additional price increases in 2022. Increased market pricing on the materials we purchase has and could continue to impact our results of operations in 2022 due to the higher prices we must pay for materials. See Part I, Item 1A, Risk Factors, for information on the potential and currently known impacts on our business and liquidity from the 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Material Cash Requirements</w:t>
      </w:r>
    </w:p>
    <w:p>
      <w:pPr>
        <w:spacing w:after="0" w:line="13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For at least the next twelve months, our primary capital requirements are to fund working capital needs, operating expenses, acquisitions and capital expenditures and to meet principal and interest obligations and make required income tax payments. We may also use our resources to fund our optional stock repurchase program and pay quarterly and annual dividends. During 2022, we anticipate discretionary spending for capital improvements and quarterly dividends to approximate 2021 levels of approximately $37.0 million and $35.0 million, respectively, as well as approximately $27.0 million for our first annual variable dividend to be paid March 31, 2022. In addition, we expect to spend cash and cash equivalents to acquire various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43" w:name="page44"/>
    <w:bookmarkEnd w:id="43"/>
    <w:p>
      <w:pPr>
        <w:ind w:right="140"/>
        <w:spacing w:after="0" w:line="277" w:lineRule="auto"/>
        <w:rPr>
          <w:sz w:val="20"/>
          <w:szCs w:val="20"/>
          <w:color w:val="auto"/>
        </w:rPr>
      </w:pPr>
      <w:r>
        <w:rPr>
          <w:rFonts w:ascii="Arial" w:cs="Arial" w:eastAsia="Arial" w:hAnsi="Arial"/>
          <w:sz w:val="18"/>
          <w:szCs w:val="18"/>
          <w:color w:val="auto"/>
        </w:rPr>
        <w:t>companies with at least $100.0 million in aggregate net revenue. The amount of cash paid for an acquisition is dependent on various factors, including the size and determined value of the business being acquired.</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Firm commitments for funds include $64.8 million in interest and principals payments on long-term debt obligations including our Senior Notes, Term Loan, notes payable to sellers of acquisitions and vehicles purchased under the Master Loan and Security Agreement, the Master Equipment Agreement and the Master Loan Agreements. Additionally, we maintain certain production vehicles under a finance lease structure which will require $2.0 million in interest and principal payments under current agreements in 2022. We lease certain locations, vehicles and equipment under operating lease agreements that will require $25.2 million in funds over the next twelve months. Finally, we have a product supply agreement with a certain vendor that requires us to purchase a minimum of $46.2 million of inventory in 2022. Payments for income taxes cannot be estimated at this time.</w:t>
      </w:r>
    </w:p>
    <w:p>
      <w:pPr>
        <w:spacing w:after="0" w:line="1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expect to meet our short-term liquidity requirements primarily through net cash flows from operations, our cash and cash equivalents on hand and borrowings from banks under the Master Loan and Security Agreement, the Master Equipment Agreement and the Master Loan Agreements. Additional sources of funds, should we need them, include borrowing capacity under our asset-based lending credit facility (as defined below).</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Despite the current known impacts of the COVID-19 pandemic, we believe that our cash flows from operations, combined with our current cash levels and available borrowing capacity, will be adequate to support our ongoing operations and to fund our business needs, commitments and contractual obligations for at least the next 12 months as evidenced by our net positive cash flows from operations for the years ended December 31, 2021, 2020 and 2019. We believe that we have access to additional funds, if needed, through the capital markets to obtain further debt financing under the current market conditions, but we cannot guarantee that such financing will be available on favorable terms, or at all.</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Material Cash Requirements</w:t>
      </w:r>
    </w:p>
    <w:p>
      <w:pPr>
        <w:spacing w:after="0" w:line="14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Beyond the next twelve months, our principal demands for funds will be to fund working capital needs and operating expenses, to meet principal and interest obligations on our long-term debts and finance leases as they become due or mature, and to make required income tax payments. Additional funds may be spent on acquisitions, capital improvements and dividend payments, at our discretion.</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Known obligations beyond the next twelve months include $1,028.1 million in interest and principals payments on long-term debt obligations noted above through 2028, as follows (amounts in thousands):</w:t>
      </w:r>
    </w:p>
    <w:p>
      <w:pPr>
        <w:spacing w:after="0" w:line="158"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$57,945</w:t>
            </w: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2024</w:t>
            </w:r>
          </w:p>
        </w:tc>
        <w:tc>
          <w:tcPr>
            <w:tcW w:w="1240" w:type="dxa"/>
            <w:vAlign w:val="bottom"/>
          </w:tcPr>
          <w:p>
            <w:pPr>
              <w:jc w:val="right"/>
              <w:spacing w:after="0"/>
              <w:rPr>
                <w:sz w:val="20"/>
                <w:szCs w:val="20"/>
                <w:color w:val="auto"/>
              </w:rPr>
            </w:pPr>
            <w:r>
              <w:rPr>
                <w:rFonts w:ascii="Arial" w:cs="Arial" w:eastAsia="Arial" w:hAnsi="Arial"/>
                <w:sz w:val="18"/>
                <w:szCs w:val="18"/>
                <w:color w:val="auto"/>
              </w:rPr>
              <w:t>51,568</w:t>
            </w:r>
          </w:p>
        </w:tc>
      </w:tr>
      <w:tr>
        <w:trPr>
          <w:trHeight w:val="230"/>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49,442</w:t>
            </w: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2026</w:t>
            </w:r>
          </w:p>
        </w:tc>
        <w:tc>
          <w:tcPr>
            <w:tcW w:w="1240" w:type="dxa"/>
            <w:vAlign w:val="bottom"/>
          </w:tcPr>
          <w:p>
            <w:pPr>
              <w:jc w:val="right"/>
              <w:spacing w:after="0"/>
              <w:rPr>
                <w:sz w:val="20"/>
                <w:szCs w:val="20"/>
                <w:color w:val="auto"/>
              </w:rPr>
            </w:pPr>
            <w:r>
              <w:rPr>
                <w:rFonts w:ascii="Arial" w:cs="Arial" w:eastAsia="Arial" w:hAnsi="Arial"/>
                <w:sz w:val="18"/>
                <w:szCs w:val="18"/>
                <w:color w:val="auto"/>
              </w:rPr>
              <w:t>39,868</w:t>
            </w:r>
          </w:p>
        </w:tc>
      </w:tr>
      <w:tr>
        <w:trPr>
          <w:trHeight w:val="230"/>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829,246</w:t>
            </w:r>
          </w:p>
        </w:tc>
      </w:tr>
    </w:tbl>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our finance leases will require $3.5 million in interest and principal payments under current agreements through 2026. Operating lease obligations will require $49.7 million in payments beyond the next twelve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 and Related Trends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carefully manage our working capital and operating expenses. As of December 31, 2021 and 2020, our working capital, including cash and cash equivalents, was $551.7 million, or 28.0% of net revenue, and $387.5 million, or 23.4% of net revenue, respectively. The increase in working capital year-over-year was driven primarily by a $102.0 million increase in cash and cash equivalents resulting from the increase in Term Loan debt and positive operating cash flows. Additionally, accounts receivable increased $46.2 million resulting from our increased net revenue, and inventories increased by $65.8 million due to material price inflation, increased selling activity and acquisitions. These increases were partially offset by an increase of $31.2 million in accounts payable primarily due material price inflation and increased sales volume. We continue to look for opportunities to reduce our working capital as a percentage of net revenue.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The following table presents our cash flows (in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1"/>
        </w:trPr>
        <w:tc>
          <w:tcPr>
            <w:tcW w:w="6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138,314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180,789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123,067</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250"/>
              <w:spacing w:after="0"/>
              <w:rPr>
                <w:sz w:val="20"/>
                <w:szCs w:val="20"/>
                <w:color w:val="auto"/>
              </w:rPr>
            </w:pPr>
            <w:r>
              <w:rPr>
                <w:rFonts w:ascii="Arial" w:cs="Arial" w:eastAsia="Arial" w:hAnsi="Arial"/>
                <w:sz w:val="18"/>
                <w:szCs w:val="18"/>
                <w:color w:val="auto"/>
                <w:w w:val="90"/>
              </w:rPr>
              <w:t>(278,439)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480"/>
              <w:spacing w:after="0"/>
              <w:rPr>
                <w:sz w:val="20"/>
                <w:szCs w:val="20"/>
                <w:color w:val="auto"/>
              </w:rPr>
            </w:pPr>
            <w:r>
              <w:rPr>
                <w:rFonts w:ascii="Arial" w:cs="Arial" w:eastAsia="Arial" w:hAnsi="Arial"/>
                <w:sz w:val="18"/>
                <w:szCs w:val="18"/>
                <w:color w:val="auto"/>
                <w:w w:val="92"/>
              </w:rPr>
              <w:t>(77,794)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(131,733)</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242,090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(49,364)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96,113</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4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Our primary source of cash provided by operations are revenues generated from installing building products and the resulting operating income generated by these revenues. Operating incomes are adjusted for certain non-cash items, and our cash flows from operations can be impacted by the timing of our cash collections on sales and collection of retainage amounts. The COVID-19 pandemic has not had a material impact to our cash collections to date.</w:t>
      </w:r>
    </w:p>
    <w:p>
      <w:pPr>
        <w:spacing w:after="0" w:line="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primary uses of cash from operating activities include payments for installation materials, compensation costs, leases, income taxes and other general corporate expenditures included in net income.</w:t>
      </w:r>
    </w:p>
    <w:p>
      <w:pPr>
        <w:spacing w:after="0" w:line="76" w:lineRule="exact"/>
        <w:rPr>
          <w:sz w:val="20"/>
          <w:szCs w:val="20"/>
          <w:color w:val="auto"/>
        </w:rPr>
      </w:pPr>
    </w:p>
    <w:p>
      <w:pPr>
        <w:ind w:right="2460"/>
        <w:spacing w:after="0" w:line="291" w:lineRule="auto"/>
        <w:rPr>
          <w:sz w:val="20"/>
          <w:szCs w:val="20"/>
          <w:color w:val="auto"/>
        </w:rPr>
      </w:pPr>
      <w:r>
        <w:rPr>
          <w:rFonts w:ascii="Arial" w:cs="Arial" w:eastAsia="Arial" w:hAnsi="Arial"/>
          <w:sz w:val="16"/>
          <w:szCs w:val="16"/>
          <w:color w:val="auto"/>
        </w:rPr>
        <w:t>Net cash provided by operating activities decreased from 2020 to 2021 primarily due to changes in working capital due to higher volume of inventory purchases to support our growth and increased pricing on inventory due to price inflation on</w:t>
      </w:r>
    </w:p>
    <w:p>
      <w:pPr>
        <w:ind w:right="160"/>
        <w:spacing w:after="0" w:line="290" w:lineRule="auto"/>
        <w:rPr>
          <w:sz w:val="20"/>
          <w:szCs w:val="20"/>
          <w:color w:val="auto"/>
        </w:rPr>
      </w:pPr>
      <w:r>
        <w:rPr>
          <w:rFonts w:ascii="Arial" w:cs="Arial" w:eastAsia="Arial" w:hAnsi="Arial"/>
          <w:sz w:val="17"/>
          <w:szCs w:val="17"/>
          <w:color w:val="auto"/>
        </w:rPr>
        <w:t>materials. During the year ended December 31, 2020, we saw a significant increase in cash from operations due to payroll tax deferrals under the CARES Act. This negatively impacted the cash from operations during the year ended December 31, 2021 when we paid a portion of this deferral.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Sources of cash from investing activities consists primarily of proceeds from the sales of property and equipment and, periodically, maturities from short term investments. Cash used in investing activities consists primarily of purchases of property and equipment, payments for acquisitions and, periodically, purchases of short term investments.</w:t>
      </w:r>
    </w:p>
    <w:p>
      <w:pPr>
        <w:spacing w:after="0" w:line="8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Net cash used by investing activities increased from 2020 to 2021 primarily due to the increase in payments for acquisitions. We completed 2 additional acquisitions in 2021 compared to 2020, and the size of the acquisitions were generally larger in the year ended December 31, 2021. The amount of cash paid is dependent on various factors, including the size and determined value of the business being acquired. See Note 17, Business Combinations, to our audited consolidated financial statements included in this Form 10-K for more information regarding our business acquisitions in 2021, 2020 and 2019.</w:t>
      </w:r>
    </w:p>
    <w:p>
      <w:pPr>
        <w:spacing w:after="0" w:line="63"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Additionally, total cash used for property and equipment increased in 2021, and we expect to continue to support any increases in future net revenue through further capital expenditures. A majority of these capital expenditures were subsequently reimbursed via various vehicle and equipment notes payable, with related cash inflows shown in cash flows from financing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source of cash from financing activities consists of proceeds from the issuances of debt and vehicle and equipment notes payable. Cash used in financing activities consists primarily of debt repayments, acquisition-related obligations, dividends and stock repurchases.</w:t>
      </w:r>
    </w:p>
    <w:p>
      <w:pPr>
        <w:spacing w:after="0" w:line="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Net cash provided by financing activities increased from 2020 to 2021 primarily due to proceeds on our new Term Loan, which was partially offset by the repayment of our previous term loan agreement. We plan to use the proceeds of the Term Loan to support our operations, pay debt issuance costs and continue our acquisition strategy. We also did not repurchase any shares under our stock repurchase plan during the year ended December 31, 2021. Our net cash provided by financing activities was further offset during the year ended December 31, 2021 by the payment of the first quarterly dividends in our history as a public company and higher acquisition-related obligations due to increased acquisition activity.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Debt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5.75% Senior Notes due 2028</w:t>
      </w:r>
    </w:p>
    <w:p>
      <w:pPr>
        <w:spacing w:after="0" w:line="13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September 2019, we issued $300.0 million in aggregate principal amount of 5.75% senior unsecured notes (the “Senior Notes”). The Senior Notes will mature on February 1, 2028 and interest will be payable semi-annually in cash in arrears on February 1 and August 1, commencing on February 1, 2020. The net proceeds from the Senior Notes offering were $295.0 million after debt issuance costs.</w:t>
      </w:r>
    </w:p>
    <w:p>
      <w:pPr>
        <w:spacing w:after="0" w:line="13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indenture covering the Senior Notes contains restrictive covenants that, among other things, limit the ability of the Company and certain of our subsidiaries (subject to certain exceptions) to: (i) incur additional debt and issue preferred stock; (ii) pay dividends on, redeem or repurchase stock in an aggregate amount exceeding 2.0% of market capitalization per fiscal year, or in an aggregate amount exceeding certain applicable restricted payment baskets; (iii) prepay subordinated debt; (iv) create liens; (v) make specified types of investments; (vi) apply net proceeds from certain asset sales; (vii) engage in transactions with affiliates; (viii) merge, consolidate or sell substantially all of our assets; and (ix) pay dividends and make other distributions from subsidiaries.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December 2021, we entered into a $500 million, seven-year term loan facility due December 2028 (the “Term Loan”) under our credit agreement (the “Term Loan Agreement”), dated as of December 14, 2021 with Royal Bank of Canada as the administrative agent and collateral agent thereunder. The Term Loan amortizes in quarterly principal payments of $1.25 million starting on March 31, 2022, with any remaining unpaid balances due on the maturity date of December 14, 2028. The Term Loan bears interest at either the base rate (which approximated the prime rate) or the Eurodollar rate, plus a margin of (A) 1.25% in the case of base rate loans or (B) 2.25% in the case of Eurodollar rate loans. Proceeds from the Term Loan were used to refinance and repay in full all amounts outstanding under our previous term loan agreement. We intend to use the remaining funds to pay for certain fees and expenses associated with the closing of the Term Loan and for general corporate purposes, including acquisitions and other growth initiatives. As of December 31, 2021, we had $493.3 million, net of unamortized debt issuance costs, due on our Term Loan.</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certain exceptions, the Term Loan will be subject to mandatory prepayments of (i) 100% of the net cash proceeds from issuances or incurrence of debt by the Company or any of its restricted subsidiaries (other than with respect to certain permitted indebtedness (excluding any refinancing indebtedness); (ii) 100% (with step-downs to 50% and 0% based on achievement of specified net leverage ratios) of the net cash proceeds from certain sales or dispositions of assets by the Company or any of its restricted subsidiaries in excess of a certain amount and subject to reinvestment provision and certain other exception; and (iii) 50% (with step-downs to 25% and 0% based upon achievement of specified net leverage ratios) of excess cash flow of the Company and its restricted subsidiaries in excess of $15 million, subject to certain exceptions and limitations.</w:t>
      </w:r>
    </w:p>
    <w:p>
      <w:pPr>
        <w:spacing w:after="0" w:line="1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2019, we entered into an asset-based lending credit agreement (the “ABL Credit Agreement”). The ABL Credit Agreement provides for an asset-based lending credit facility (the “ABL Revolver”) of up to $200.0 million with a five-year maturity. Borrowing availability under the ABL Revolver is based on a percentage of the value of certain assets securing the Company’s obligations and those of the subsidiary guarantors thereunder. In connection with the Term Loan Agreement, we entered into a Third Amendment (the “Third Amendment”) to the ABL/Term Loan Intercreditor Agreement with Bank of America, N.A., as ABL Agent for the lenders under the ABL Credit Agreement, and Royal Bank of Canada as collateral agent under the Term Loan Agreement. Including outstanding letters of credit, our remaining availability under the ABL Revolver as of December 31, 2021 was $155.7 million. In February 2022, we amended and extended our ABL Credit Agreement. See Note 19, Subsequent Events, for additional information.</w:t>
      </w:r>
    </w:p>
    <w:p>
      <w:pPr>
        <w:spacing w:after="0" w:line="112"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All of the obligations under the Term Loan and ABL Revolver are guaranteed by all of the Company’s existing restricted subsidiaries and will be guaranteed by the Company’s future restricted subsidiaries. Additionally, all obligations under the Term Loan and ABL Revolver, and the guarantees of those obligations, are secured by substantially all of the assets of the Company and the guarantors, subject to certain exceptions and permitted liens, including a first-priority security interest in such assets that constitute ABL Priority Collateral, as defined in the ABL Credit Agreement, and a second-priority security interest in such assets that constitute Term Loan Priority Collateral, as defined in the Term Loan Agreement.</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ABL Revolver bears interest at either the Eurodollar rate or the base rate (which approximated the prime rate), at the Company’s election, plus a margin of (A) 1.25% or 1.50% in the case of Eurodollar rate loans (based on a measure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availability under the ABL Credit Agreement) and (B) 0.25% or 0.50% in the case of base rate loans (based on a measure of availability under the ABL Credit Agreement).</w:t>
      </w:r>
    </w:p>
    <w:p>
      <w:pPr>
        <w:spacing w:after="0" w:line="11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ABL Revolver also provides incremental revolving credit facility commitments of up to $50.0 million. The terms and conditions of any incremental revolving credit facility commitments must be no more favorable than the terms of the ABL Revolver. The ABL Revolver also allows for the issuance of letters of credit of up to $75.0 million in aggregate and borrowing of swingline loans of up to $20.0 million in aggregate.</w:t>
      </w:r>
    </w:p>
    <w:p>
      <w:pPr>
        <w:spacing w:after="0" w:line="1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ABL Credit Agreement contains a financial covenant requiring the satisfaction of a minimum fixed charge coverage ratio of 1.0x in the event that we do not meet a minimum measure of availability under the ABL Revolver. The ABL Credit Agreement and the Term Loan Agreement contain restrictive covenants that, among other things, limit the ability of the Company and certain of our subsidiaries (subject to certain exceptions) to: (i) incur additional debt and issue preferred stock; (ii) pay dividends on, redeem or repurchase stock in an aggregate amount exceeding 2.0% of market capitalization per fiscal year, or in an aggregate amount exceeding certain applicable restricted payment baskets; (iii) prepay subordinated debt; (iv) create liens; (v) make specified types of investments; (vi) apply net proceeds from certain asset sales; (vii) engage in transactions with affiliates; (viii) merge, consolidate or sell substantially all of our assets; and (ix) pay dividends and make other distributions from subsidiaries. At December 31, 2021, we were in compliance with all applicable covenants under the Term Loan Agreement, ABL Credit Agreement and the Senior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2021, we had three interest rate swaps. One interest rate swap began July 30, 2021 and has a fixed notional amount of $200.0 million, a fixed rate of 0.51% and a maturity date of April 15, 2030. We also had two interest rate swaps that began December 31, 2021, each with a fixed notional amount of $100.0 million, a fixed rate of 1.37%, and a maturity date of December 15, 2028. Together, these three swaps serve to hedge $400.0 million of the variable cash flows on our variable rate Term Loan through maturity. The assets and liabilities associated with the forward interest rate swap are included in other non-current assets and other current liabilities on the Consolidated Balance Sheets at their fair value amounts as described in Note 10, Fair Value Measurements.</w:t>
      </w:r>
    </w:p>
    <w:p>
      <w:pPr>
        <w:spacing w:after="0" w:line="13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LIBOR is used as a reference rate for our Term Loan, ABL Revolver and our interest rate swap agreements we use to hedge our interest rate exposure. For more information on the discontinuance of LIBOR, see Item 7A. Quantitative and Qualitative Disclosures about Market Risk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and Equipment Notes</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have financing loan agreements with various lenders to provide financing for the purpose of purchasing or leasing vehicles and equipment used in the normal course of business. Vehicles and equipment purchased or leased under each financing arrangement serve as collateral for the note applicable to such financing arrangement. Regular payments are due under each note for a period of typically 60 consecutive months after the incurrence of the obligation.</w:t>
      </w:r>
    </w:p>
    <w:p>
      <w:pPr>
        <w:spacing w:after="0" w:line="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gross assets and respective outstanding loan balances relating to our master loan and equipment agreements were $134.5 million and $69.2 million as of December 31, 2021, respectively, and $132.2 million and $67.5 million as of December 31, 2020, respectively. See Note 8 to our audited consolidated financial statements included in this Form 10-K for more information regarding our Master Loan and Security Agreement, Master Equipment Lease Agreement and Master Loan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Bonds</w:t>
      </w:r>
    </w:p>
    <w:p>
      <w:pPr>
        <w:spacing w:after="0" w:line="14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may use performance bonds to ensure completion of our work on certain larger customer contracts that can span multiple accounting periods. Performance bonds generally do not have stated expiration dates; rather, we are released from the bonds as the contractual performance is completed. In addition, we occasionally use letters of credit and cash to secure our performance under our general liability and workers’ compensation insurance programs. Permit and license bonds are typically issued for one year and are required by certain municipalities when we obtain licenses and permits to perform work in their jurisdictions.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following table summarizes our outstanding bonds, letters of credit and cash-collateral (in thousands):</w:t>
            </w: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513"/>
        </w:trPr>
        <w:tc>
          <w:tcPr>
            <w:tcW w:w="88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As of December 31, 2021</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bonds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66,838</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Insurance letters of credit and cash collateral</w:t>
            </w: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51,393</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 and license bonds</w:t>
            </w: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Total bonds and letters of credit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125,233</w:t>
            </w:r>
          </w:p>
        </w:tc>
      </w:tr>
      <w:tr>
        <w:trPr>
          <w:trHeight w:val="21"/>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2020, we posted $5.3 million into a trust to serve as additional collateral for our workers’ compensation and general liability policies. This collateral can be converted to a letter of credit at our discretion and is therefore not considered to be restricted cash.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using different assumptions or under different conditions.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our assets and liabilities that are not readily apparent from other sources. Actual results may differ from these estimates and assumptions used in preparation of our consolidated financial statements. We believe the following critical accounting estimate requires judgement and estimation in the preparation of our consolidated financial statements and to be fundamental to our results of operations. See Note 2, Significant Accounting Policies included in Item 8 of the Form 10-K for a summary of all of our significant accounting policies and their effect on our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our revenues are recognized when we complete our contracts with customers to install building products and the control of the promised good or service is transferred to our customers, in an amount that reflects the consideration we expect to be entitled to in exchange for those goods or services. For contracts that are not complete at the reporting date, we recognize revenue over time utilizing a cost-to-cost input method as we believe this represents the best measure of when goods and services are transferred to the customer. When this method is used, we estimate the costs to complete individual contracts and record as revenue that portion of the total contract price that is considered complete based on the relationship of costs incurred to date to total anticipated costs. Under the cost-to-cost method, the use of estimated costs to complete each contract is a significant variable in the process of determining recognized revenue and can change throughout the duration of a contract due to contract modifications and other factors impacting job completion. Our cost estimation process is based on the knowledge, significant experience and judgement of project management, finance professionals and operational management to assess a variety of factors to determine revenues on uncompleted contracts. Such factors include historical performance, costs of materials and labor, change orders and the nature of the work to be performed. We generally review and reassess our estimates for each uncompleted contract at least quarterly to reflect the latest reliable information available. Changes in these estimates could favorably or unfavorable impact revenues and their related profits.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4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recorded a significant amount of finite lived intangible assets associated with the acquisitions of businesses through our growth strategy. These intangible assets consist of customer relationships, backlog, non-competition agreements and business trademarks and trade names. Fair values and estimated useful lives are assigned to the identified intangible assets at the date of acquisition by financial professionals using either the income approach or the market approach along with certain industry information, professional experience and knowledge. In some instances, the process of assigning values and useful lives requires using judgment and other financial professionals may come to different conclusions. We review intangible assets whenever events or changes in circumstances indicate that the carrying value of an asset may not be recoverable. An impairment loss is recognized when estimated future cash flows expected to result from the use of an asset and its eventual disposition are less than its carrying amount. When impairment is identified, the carrying amount of the asset is reduced to its estimated fair value. Impairment losses would negatively affect earnings.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Insurance risks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carry insurance policies for a number of risks, including, but not limited to, workers’ compensation, general liability, vehicle liability, property and our obligation for employee-related health care benefits. Most of our insurance policies contain an element for which we assume a portion of the risk by having high deductibles or a large cap on claims. For a description of our different insurance programs, see Note 2, Significant Accounting Policies in Item 8, Financial Statements and Supplementary Data in this Form 10-K.</w:t>
      </w:r>
    </w:p>
    <w:p>
      <w:pPr>
        <w:spacing w:after="0" w:line="10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largest healthcare plan is partially self-funded with an insurance company paying benefits in excess of stop loss limits per individual/family. An accrual for estimated healthcare claims incurred but not reported (“IBNR”) is included within accrued compensation on the Consolidated Balance Sheets and was $3.3 million and $3.1 million as of December 31, 2021 and 2020, respectively.</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participate in multiple workers’ compensation plans covering a significant portion of our business. Under these plans, we use a high deductible program to cover losses above the deductible amount on a per claim basis. We accrue for the estimated losses occurring from both asserted and unasserted claims. Insurance claims and reserves include accruals of estimated settlements for known claims, as well as accruals of actuarial estimates of IBNR claims. In estimating these reserves, historical loss experience and judgments about the expected levels of costs per claim are considered. These claims are accounted for based on actuarial estimates of the undiscounted claims, including IBNR. We believe the use of actuarial methods to account for these liabilities provides a consistent and effective way to measure these highly judgmental accruals. As of December 31, 2021 and 2020, we estimated total short-term and long-term known and IBNR claims for workers' compensation to be $21.4 million and $19.7 million, respectively. As of December 31, 2021 and 2020, offsets of these liabilities were $2.1 million and $1.9 million, respectively, with insurance receivables and indemnification assets for claims under fully insured policies or claims that exceeded the stop loss limit.</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participate in a high retention general liability insurance program and a high deductible auto insurance program. As of December 31, 2021 and 2020, general liability and auto insurance reserves included in other current and long-term liabilities were $21.9 million and $21.5 million, respectively. As of December 31, 2021 and 2020, offsets of these liabilities were $3.9 million and $4.7 million, respectively, with insurance receivables and indemnification assets for claims under fully insured policies or claims that exceeded the stop loss limit.</w:t>
      </w:r>
    </w:p>
    <w:p>
      <w:pPr>
        <w:spacing w:after="0" w:line="13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Liabilities relating to claims associated with these risks are estimated by considering historical claims experience, including frequency, severity, demographic factors and other actuarial assumptions. In estimating our liability for such claims, we periodically analyze our historical trends, including loss development, and apply appropriate loss development factors to the incurred costs associated with the claims with the assistance of external actuarial consultants. While we do not expect the amounts ultimately paid to differ significantly from our estimates, our reserves and corresponding expenses could be affected if future claim experience differs significantly from historical trends and actuarial assumptions.</w:t>
      </w:r>
    </w:p>
    <w:p>
      <w:pPr>
        <w:spacing w:after="0" w:line="1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not made any material changes in our methodology used to establish our insurance reserves during the years ended December 31, 2021 and 2020, and none of the adjustments to our estimates have been material.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 description of recently issued and/or adopted accounting pronouncements, see Note 2, Significant Accounting Policies, to our audited consolidated financial statements included in this Form 10-K.</w:t>
      </w:r>
    </w:p>
    <w:p>
      <w:pPr>
        <w:spacing w:after="0" w:line="2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exposed to market risks related to fluctuations in interest rates on our outstanding variable rate debt. As of December 31, 2021, we had $493.3 million outstanding on the Term Loan, net of unamortized debt issuance costs, no outstanding borrowings on the ABL Revolver and no outstanding borrowings under finance leases subject to variable interest rates. We had three interest rate swaps which, when combined, serve to hedge $400.0 million of the variable cash flows on our Term Loan until its maturity as of December 31, 2021. As a result, total variable rate debt of $100.0 million was exposed to market risks as of December 31, 2021. A hypothetical one percentage point increase (decrease) in interest rates on our variable rate debt would increase (decrease) our annual interest expense by approximately $1.0 million. Our Senior Notes accrued interest at a fixed rate of 5.75%.</w:t>
      </w:r>
    </w:p>
    <w:p>
      <w:pPr>
        <w:spacing w:after="0" w:line="1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6"/>
          <w:szCs w:val="16"/>
          <w:color w:val="auto"/>
        </w:rPr>
        <w:t>LIBOR is used as a reference rate for our Term Loan, ABL Revolver and our interest rate swap agreements we use to hedge our interest rate exposure. In 2017, the Financial Conduct Authority (“FCA”), the authority that regulates LIBOR, announced that it intends to stop compelling banks to submit rates for the calculation of LIBOR after 2021, and it is unclear whether new methods of calculating LIBOR will be established. The Intercontinental Exchange Benchmark Administration, the administrator of LIBOR, announced in March 2021 its intention to extend the publication of certain LIBOR settings, including the setting we use as a reference rate, to June 2023. Our Term Loan Agreement, interest rate swap agreements and ABL Credit Agreement include a provision related to the discontinuance of LIBOR to be replaced with one or more Secured Overnight Financing Rate ("SOFR") values or another alternative benchmark rate. However, when LIBOR ceases to exist after June 2023, the interest rates under the alternative rate could be higher than LIBOR. During the year ended December 31, 2020, we adopted ASU 2020-04, Reference Rate Reform: Facilitation of the Effects of Reference Rate Reform on Financial Reporting (Topic 848). The purpose of this guidance is to provide relief for impacted areas as it relates to impending reference rate reform.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w:t>
      </w: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50" w:name="page51"/>
    <w:bookmarkEnd w:id="50"/>
    <w:p>
      <w:pPr>
        <w:ind w:right="5040"/>
        <w:spacing w:after="0" w:line="511"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Installed Building Products,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Installed Building Products, Inc. (the “Company”) as of December 31, 2021 and 2020, the related consolidated statements of operations and comprehensive income,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34" w:lineRule="exact"/>
        <w:rPr>
          <w:sz w:val="20"/>
          <w:szCs w:val="20"/>
          <w:color w:val="auto"/>
        </w:rPr>
      </w:pPr>
    </w:p>
    <w:p>
      <w:pPr>
        <w:ind w:right="3640"/>
        <w:spacing w:after="0" w:line="438" w:lineRule="auto"/>
        <w:rPr>
          <w:sz w:val="20"/>
          <w:szCs w:val="20"/>
          <w:color w:val="auto"/>
        </w:rPr>
      </w:pPr>
      <w:r>
        <w:rPr>
          <w:rFonts w:ascii="Arial" w:cs="Arial" w:eastAsia="Arial" w:hAnsi="Arial"/>
          <w:sz w:val="18"/>
          <w:szCs w:val="18"/>
          <w:b w:val="1"/>
          <w:bCs w:val="1"/>
          <w:i w:val="1"/>
          <w:iCs w:val="1"/>
          <w:color w:val="auto"/>
        </w:rPr>
        <w:t xml:space="preserve">Revenue on certain contracts recognized over time – Refer to Notes 2 and 3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recognizes revenue from the majority of its installation contracts when control of the promised goods or services is transferred to customers, in an amount that reflects the consideration the Company expects to be entitled to in exchange for those goods or services. For contracts that are not complete at the reporting date (“uncompleted contracts”), the Company recognizes revenue over time utilizing a cost-to-cost input method, as the Company believes this represents the best measure of when goods and services are transferred to the customer. When this method is used, the Company estimates the costs to complete individual contracts and records as revenue that portion of the total contract price that is considered complete based on the relationship of costs incurred to date to total anticipated costs. Under the cost-to-cost method, the estimated cost to complete each contract requires judgment and can change throughout the duration of a contract due to contract modifications and other factors impacting job completion. The costs related to earned revenue include all direct material and labor costs and those indirect costs related to contract performance, such as indirect labor, supplies, tools and repairs.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ind w:right="200"/>
        <w:spacing w:after="0" w:line="259" w:lineRule="auto"/>
        <w:rPr>
          <w:sz w:val="20"/>
          <w:szCs w:val="20"/>
          <w:color w:val="auto"/>
        </w:rPr>
      </w:pPr>
      <w:r>
        <w:rPr>
          <w:rFonts w:ascii="Arial" w:cs="Arial" w:eastAsia="Arial" w:hAnsi="Arial"/>
          <w:sz w:val="18"/>
          <w:szCs w:val="18"/>
          <w:color w:val="auto"/>
        </w:rPr>
        <w:t>The Company’s estimation process for determining revenues for uncompleted contracts accounted for under the cost-to-cost method is based upon historical experience, the professional judgment and knowledge of the Company’s project management, operational and financial professionals, and an assessment of the key underlying factors, such as the value of executed contracts, change orders, and related contract costs, that may impact the revenues and costs of uncompleted contracts.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Given the judgments necessary to estimate the relationship between executed contract value and contract costs, auditing the amount of revenue recognized for uncompleted contracts involves a high degree of auditor judgment.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estimated revenue recognized on uncompleted contracts included the following, among others:</w:t>
      </w:r>
    </w:p>
    <w:p>
      <w:pPr>
        <w:spacing w:after="0" w:line="171" w:lineRule="exact"/>
        <w:rPr>
          <w:sz w:val="20"/>
          <w:szCs w:val="20"/>
          <w:color w:val="auto"/>
        </w:rPr>
      </w:pPr>
    </w:p>
    <w:p>
      <w:pPr>
        <w:ind w:left="340" w:right="26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effectiveness of the Company’s controls over the determination of uncompleted contract revenue, including those over estimated total costs and revenues recognized through performance obligations.</w:t>
      </w:r>
    </w:p>
    <w:p>
      <w:pPr>
        <w:spacing w:after="0" w:line="116"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inquired of project managers and evaluated the reasonableness of management’s ability to accurately estimate costs by comparing incurred contract costs on uncompleted contracts to management’s projections.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compared accounting records to executed contracts and change orders to verify accuracy of contract values in the Company’s estimates.</w:t>
      </w:r>
    </w:p>
    <w:p>
      <w:pPr>
        <w:spacing w:after="0" w:line="182" w:lineRule="exact"/>
        <w:rPr>
          <w:rFonts w:ascii="Arial" w:cs="Arial" w:eastAsia="Arial" w:hAnsi="Arial"/>
          <w:sz w:val="17"/>
          <w:szCs w:val="17"/>
          <w:color w:val="auto"/>
        </w:rPr>
      </w:pPr>
    </w:p>
    <w:p>
      <w:pPr>
        <w:ind w:left="340" w:right="56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considered the impact of change orders and other related contract costs that may impact the determination of revenue and estimated costs to completion.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calculation of revenue recognized over time.</w:t>
      </w:r>
    </w:p>
    <w:p>
      <w:pPr>
        <w:spacing w:after="0" w:line="171" w:lineRule="exact"/>
        <w:rPr>
          <w:rFonts w:ascii="Arial" w:cs="Arial" w:eastAsia="Arial" w:hAnsi="Arial"/>
          <w:sz w:val="18"/>
          <w:szCs w:val="18"/>
          <w:color w:val="auto"/>
        </w:rPr>
      </w:pPr>
    </w:p>
    <w:p>
      <w:pPr>
        <w:ind w:left="340" w:right="340" w:hanging="332"/>
        <w:spacing w:after="0" w:line="342"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selected a sample of contract costs incurred as of December 31, 2021, agreed the costs to supplier invoices or other supporting documents, and evaluated whether the costs were properly allocated to the contracts included in management’s calculation of revenue recognized over time.</w:t>
      </w:r>
    </w:p>
    <w:p>
      <w:pPr>
        <w:spacing w:after="0" w:line="69" w:lineRule="exact"/>
        <w:rPr>
          <w:rFonts w:ascii="Arial" w:cs="Arial" w:eastAsia="Arial" w:hAnsi="Arial"/>
          <w:sz w:val="16"/>
          <w:szCs w:val="16"/>
          <w:color w:val="auto"/>
        </w:rPr>
      </w:pPr>
    </w:p>
    <w:p>
      <w:pPr>
        <w:ind w:left="340" w:right="34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developed an expectation of revenue for uncompleted contracts with remaining performance obligations as of December 31, 2021 based on (1) consideration of incurred contract costs and (2) results realized by the Company on completed contracts. We compared this expectation to the Company’s revenue recognized on uncompleted contracts at December 31, 2021.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231,520</w:t>
            </w:r>
          </w:p>
        </w:tc>
        <w:tc>
          <w:tcPr>
            <w:tcW w:w="0" w:type="dxa"/>
            <w:vAlign w:val="bottom"/>
          </w:tcPr>
          <w:p>
            <w:pPr>
              <w:spacing w:after="0"/>
              <w:rPr>
                <w:sz w:val="1"/>
                <w:szCs w:val="1"/>
                <w:color w:val="auto"/>
              </w:rPr>
            </w:pPr>
          </w:p>
        </w:tc>
      </w:tr>
      <w:tr>
        <w:trPr>
          <w:trHeight w:val="176"/>
        </w:trPr>
        <w:tc>
          <w:tcPr>
            <w:tcW w:w="8260" w:type="dxa"/>
            <w:vAlign w:val="bottom"/>
          </w:tcPr>
          <w:p>
            <w:pPr>
              <w:ind w:left="220"/>
              <w:spacing w:after="0" w:line="176" w:lineRule="exact"/>
              <w:rPr>
                <w:sz w:val="20"/>
                <w:szCs w:val="20"/>
                <w:color w:val="auto"/>
              </w:rPr>
            </w:pPr>
            <w:r>
              <w:rPr>
                <w:rFonts w:ascii="Arial" w:cs="Arial" w:eastAsia="Arial" w:hAnsi="Arial"/>
                <w:sz w:val="18"/>
                <w:szCs w:val="18"/>
                <w:color w:val="auto"/>
                <w:w w:val="92"/>
              </w:rPr>
              <w:t>Accounts receivable (less allowance for credit losses of $8,717 and $8,789 at December 31, 2021 and 2020,</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312,767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266,566</w:t>
            </w:r>
          </w:p>
        </w:tc>
        <w:tc>
          <w:tcPr>
            <w:tcW w:w="0" w:type="dxa"/>
            <w:vAlign w:val="bottom"/>
          </w:tcPr>
          <w:p>
            <w:pPr>
              <w:spacing w:after="0"/>
              <w:rPr>
                <w:sz w:val="1"/>
                <w:szCs w:val="1"/>
                <w:color w:val="auto"/>
              </w:rPr>
            </w:pPr>
          </w:p>
        </w:tc>
      </w:tr>
      <w:tr>
        <w:trPr>
          <w:trHeight w:val="229"/>
        </w:trPr>
        <w:tc>
          <w:tcPr>
            <w:tcW w:w="826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623,943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104,022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216,870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62,889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1,653,202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1,187,676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Current maturities of operating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18,758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finance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101,462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541,957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868,494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20"/>
              <w:spacing w:after="0" w:line="176" w:lineRule="exact"/>
              <w:rPr>
                <w:sz w:val="20"/>
                <w:szCs w:val="20"/>
                <w:color w:val="auto"/>
              </w:rPr>
            </w:pPr>
            <w:r>
              <w:rPr>
                <w:rFonts w:ascii="Arial" w:cs="Arial" w:eastAsia="Arial" w:hAnsi="Arial"/>
                <w:sz w:val="18"/>
                <w:szCs w:val="18"/>
                <w:color w:val="auto"/>
                <w:w w:val="91"/>
              </w:rPr>
              <w:t>Preferred Stock; $0.01 par value: 5,000,000 authorized and 0 shares issued and outstanding at December 31,</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400"/>
              <w:spacing w:after="0"/>
              <w:rPr>
                <w:sz w:val="20"/>
                <w:szCs w:val="20"/>
                <w:color w:val="auto"/>
              </w:rPr>
            </w:pPr>
            <w:r>
              <w:rPr>
                <w:rFonts w:ascii="Arial" w:cs="Arial" w:eastAsia="Arial" w:hAnsi="Arial"/>
                <w:sz w:val="18"/>
                <w:szCs w:val="18"/>
                <w:color w:val="auto"/>
              </w:rPr>
              <w:t>2021 and 2020, respectively</w:t>
            </w: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Common stock; $0.01 par value: 100,000,000 authorized, 33,271,659 and 33,141,879 issued and 29,706,401</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29,623,272 shares outstanding at December 31, 2021 and 2020, respectively</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Additional paid 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199,847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w w:val="97"/>
              </w:rPr>
              <w:t>Treasury stock; at cost: 3,565,258 and 3,518,607 shares at December 31, 2021 and 2020,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(141,653)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1,187,676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1,511,629</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1,143,251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1,076,809</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434,820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75,016</w:t>
            </w: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214,134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0" w:type="dxa"/>
            <w:vAlign w:val="bottom"/>
          </w:tcPr>
          <w:p>
            <w:pPr>
              <w:spacing w:after="0"/>
              <w:rPr>
                <w:sz w:val="1"/>
                <w:szCs w:val="1"/>
                <w:color w:val="auto"/>
              </w:rPr>
            </w:pPr>
          </w:p>
        </w:tc>
      </w:tr>
      <w:tr>
        <w:trPr>
          <w:trHeight w:val="223"/>
        </w:trPr>
        <w:tc>
          <w:tcPr>
            <w:tcW w:w="672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121,160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28,104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6720" w:type="dxa"/>
            <w:vAlign w:val="bottom"/>
          </w:tcPr>
          <w:p>
            <w:pPr>
              <w:ind w:left="56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92,605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gain (loss), net of tax:</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20"/>
              <w:spacing w:after="0" w:line="176" w:lineRule="exact"/>
              <w:rPr>
                <w:sz w:val="20"/>
                <w:szCs w:val="20"/>
                <w:color w:val="auto"/>
              </w:rPr>
            </w:pPr>
            <w:r>
              <w:rPr>
                <w:rFonts w:ascii="Arial" w:cs="Arial" w:eastAsia="Arial" w:hAnsi="Arial"/>
                <w:sz w:val="18"/>
                <w:szCs w:val="18"/>
                <w:color w:val="auto"/>
                <w:w w:val="96"/>
              </w:rPr>
              <w:t>Net change on cash flow hedges, net of tax (provision) benefit of $(2,773), $550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w w:val="92"/>
              </w:rPr>
              <w:t>$2,225 for the twelve months ended December 31, 2021, 2020 and 2019, respectively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29,367,676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29,504,115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29,752,644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29,628,527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29,717,609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29,873,106</w:t>
            </w:r>
          </w:p>
        </w:tc>
        <w:tc>
          <w:tcPr>
            <w:tcW w:w="0" w:type="dxa"/>
            <w:vAlign w:val="bottom"/>
          </w:tcPr>
          <w:p>
            <w:pPr>
              <w:spacing w:after="0"/>
              <w:rPr>
                <w:sz w:val="1"/>
                <w:szCs w:val="1"/>
                <w:color w:val="auto"/>
              </w:rPr>
            </w:pPr>
          </w:p>
        </w:tc>
      </w:tr>
      <w:tr>
        <w:trPr>
          <w:trHeight w:val="257"/>
        </w:trPr>
        <w:tc>
          <w:tcPr>
            <w:tcW w:w="6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260" w:type="dxa"/>
            <w:vAlign w:val="bottom"/>
            <w:gridSpan w:val="4"/>
          </w:tcPr>
          <w:p>
            <w:pPr>
              <w:ind w:left="3420"/>
              <w:spacing w:after="0"/>
              <w:rPr>
                <w:sz w:val="20"/>
                <w:szCs w:val="20"/>
                <w:color w:val="auto"/>
              </w:rPr>
            </w:pPr>
            <w:r>
              <w:rPr>
                <w:rFonts w:ascii="Arial" w:cs="Arial" w:eastAsia="Arial" w:hAnsi="Arial"/>
                <w:sz w:val="18"/>
                <w:szCs w:val="18"/>
                <w:color w:val="auto"/>
                <w:w w:val="97"/>
              </w:rPr>
              <w:t>See accompanying notes to consolidated financial statements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6720" w:type="dxa"/>
            <w:vAlign w:val="bottom"/>
          </w:tcPr>
          <w:p>
            <w:pPr>
              <w:ind w:left="554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080" w:type="dxa"/>
            <w:vAlign w:val="bottom"/>
            <w:gridSpan w:val="5"/>
            <w:vMerge w:val="restart"/>
          </w:tcPr>
          <w:p>
            <w:pPr>
              <w:ind w:left="480"/>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9"/>
              </w:rPr>
              <w:t>Additional</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vMerge w:val="restart"/>
          </w:tcPr>
          <w:p>
            <w:pPr>
              <w:ind w:left="580"/>
              <w:spacing w:after="0"/>
              <w:rPr>
                <w:sz w:val="20"/>
                <w:szCs w:val="20"/>
                <w:color w:val="auto"/>
              </w:rPr>
            </w:pPr>
            <w:r>
              <w:rPr>
                <w:rFonts w:ascii="Arial" w:cs="Arial" w:eastAsia="Arial" w:hAnsi="Arial"/>
                <w:sz w:val="16"/>
                <w:szCs w:val="16"/>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4"/>
              </w:rPr>
              <w:t>Other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color w:val="auto"/>
                <w:w w:val="92"/>
              </w:rPr>
              <w:t>Paid In</w:t>
            </w:r>
          </w:p>
        </w:tc>
        <w:tc>
          <w:tcPr>
            <w:tcW w:w="120" w:type="dxa"/>
            <w:vAlign w:val="bottom"/>
          </w:tcPr>
          <w:p>
            <w:pPr>
              <w:spacing w:after="0"/>
              <w:rPr>
                <w:sz w:val="2"/>
                <w:szCs w:val="2"/>
                <w:color w:val="auto"/>
              </w:rPr>
            </w:pPr>
          </w:p>
        </w:tc>
        <w:tc>
          <w:tcPr>
            <w:tcW w:w="860" w:type="dxa"/>
            <w:vAlign w:val="bottom"/>
            <w:gridSpan w:val="2"/>
            <w:vMerge w:val="restart"/>
          </w:tcPr>
          <w:p>
            <w:pPr>
              <w:ind w:left="40"/>
              <w:spacing w:after="0" w:line="162" w:lineRule="exact"/>
              <w:rPr>
                <w:sz w:val="20"/>
                <w:szCs w:val="20"/>
                <w:color w:val="auto"/>
              </w:rPr>
            </w:pPr>
            <w:r>
              <w:rPr>
                <w:rFonts w:ascii="Arial" w:cs="Arial" w:eastAsia="Arial" w:hAnsi="Arial"/>
                <w:sz w:val="16"/>
                <w:szCs w:val="16"/>
                <w:color w:val="auto"/>
              </w:rPr>
              <w:t>Retained</w:t>
            </w: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2"/>
                <w:szCs w:val="2"/>
                <w:color w:val="auto"/>
              </w:rPr>
            </w:pPr>
          </w:p>
        </w:tc>
        <w:tc>
          <w:tcPr>
            <w:tcW w:w="1100" w:type="dxa"/>
            <w:vAlign w:val="bottom"/>
            <w:vMerge w:val="restart"/>
          </w:tcPr>
          <w:p>
            <w:pPr>
              <w:jc w:val="right"/>
              <w:ind w:right="79"/>
              <w:spacing w:after="0" w:line="162" w:lineRule="exact"/>
              <w:rPr>
                <w:sz w:val="20"/>
                <w:szCs w:val="20"/>
                <w:color w:val="auto"/>
              </w:rPr>
            </w:pPr>
            <w:r>
              <w:rPr>
                <w:rFonts w:ascii="Arial" w:cs="Arial" w:eastAsia="Arial" w:hAnsi="Arial"/>
                <w:sz w:val="16"/>
                <w:szCs w:val="16"/>
                <w:color w:val="auto"/>
                <w:w w:val="95"/>
              </w:rPr>
              <w:t>Stockholders’</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Loss</w:t>
            </w:r>
          </w:p>
        </w:tc>
        <w:tc>
          <w:tcPr>
            <w:tcW w:w="120" w:type="dxa"/>
            <w:vAlign w:val="bottom"/>
          </w:tcPr>
          <w:p>
            <w:pPr>
              <w:spacing w:after="0"/>
              <w:rPr>
                <w:sz w:val="18"/>
                <w:szCs w:val="18"/>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3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BALANCE—January 1, 2019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32,723,972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182,498</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Net income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68,159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68,159</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139,862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awards to employees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w w:val="99"/>
              </w:rPr>
              <w:t>Surrender of common stock</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(46,803)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awards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Share-based compensation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rPr>
              <w:t>Share-based compensation</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7,670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issued to directors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Net change in cash flow</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(6,712)</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hedges, net of tax</w:t>
            </w: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BALANCE—January 1, 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32,871,504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190,230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173,371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(2,855,164)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250,031</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97,239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97,239</w:t>
            </w: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rPr>
              <w:t>Cumulative effect of</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accounting change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264,004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awards to employees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w w:val="99"/>
              </w:rPr>
              <w:t>Surrender of common stock</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(30,223)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awards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Share-based compensation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rPr>
              <w:t>Share-based compensation</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6,371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issued to directors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repurchase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(33,924)</w:t>
            </w: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rPr>
              <w:t>Net change in cash flow</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(1,620)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hedges, net of tax</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BALANCE—January 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33,141,879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269,420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(3,518,607)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319,182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Net income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118,763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118,763</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125,550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awards to employees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w w:val="99"/>
              </w:rPr>
              <w:t>Surrender of common stock</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(46,651)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(5,586)</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awards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Share-based compensation</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11,118</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rPr>
              <w:t>Share-based compensation</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9"/>
        </w:trPr>
        <w:tc>
          <w:tcPr>
            <w:tcW w:w="2160" w:type="dxa"/>
            <w:vAlign w:val="bottom"/>
          </w:tcPr>
          <w:p>
            <w:pPr>
              <w:ind w:left="180"/>
              <w:spacing w:after="0"/>
              <w:rPr>
                <w:sz w:val="20"/>
                <w:szCs w:val="20"/>
                <w:color w:val="auto"/>
              </w:rPr>
            </w:pPr>
            <w:r>
              <w:rPr>
                <w:rFonts w:ascii="Arial" w:cs="Arial" w:eastAsia="Arial" w:hAnsi="Arial"/>
                <w:sz w:val="16"/>
                <w:szCs w:val="16"/>
                <w:color w:val="auto"/>
              </w:rPr>
              <w:t>issued to directors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Dividends Declared ($1.20</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(35,640)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(35,640)</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 share)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80"/>
              <w:spacing w:after="0" w:line="166" w:lineRule="exact"/>
              <w:rPr>
                <w:sz w:val="20"/>
                <w:szCs w:val="20"/>
                <w:color w:val="auto"/>
              </w:rPr>
            </w:pPr>
            <w:r>
              <w:rPr>
                <w:rFonts w:ascii="Arial" w:cs="Arial" w:eastAsia="Arial" w:hAnsi="Arial"/>
                <w:sz w:val="16"/>
                <w:szCs w:val="16"/>
                <w:color w:val="auto"/>
              </w:rPr>
              <w:t>Net change in cash flow</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8,536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8,536</w:t>
            </w:r>
          </w:p>
        </w:tc>
        <w:tc>
          <w:tcPr>
            <w:tcW w:w="0" w:type="dxa"/>
            <w:vAlign w:val="bottom"/>
          </w:tcPr>
          <w:p>
            <w:pPr>
              <w:spacing w:after="0"/>
              <w:rPr>
                <w:sz w:val="1"/>
                <w:szCs w:val="1"/>
                <w:color w:val="auto"/>
              </w:rPr>
            </w:pPr>
          </w:p>
        </w:tc>
      </w:tr>
      <w:tr>
        <w:trPr>
          <w:trHeight w:val="209"/>
        </w:trPr>
        <w:tc>
          <w:tcPr>
            <w:tcW w:w="2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hedges, net of tax</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BALANCE—December 31,</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33,271,659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211,430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352,543</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(3,565,258)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(147,239)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416,840</w:t>
            </w:r>
          </w:p>
        </w:tc>
        <w:tc>
          <w:tcPr>
            <w:tcW w:w="0" w:type="dxa"/>
            <w:vAlign w:val="bottom"/>
          </w:tcPr>
          <w:p>
            <w:pPr>
              <w:spacing w:after="0"/>
              <w:rPr>
                <w:sz w:val="1"/>
                <w:szCs w:val="1"/>
                <w:color w:val="auto"/>
              </w:rPr>
            </w:pPr>
          </w:p>
        </w:tc>
      </w:tr>
      <w:tr>
        <w:trPr>
          <w:trHeight w:val="205"/>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89"/>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118,763</w:t>
            </w:r>
          </w:p>
        </w:tc>
        <w:tc>
          <w:tcPr>
            <w:tcW w:w="42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97,239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68,159</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Depreciation and amortization of property and equipment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43,562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41,339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38,862</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operating lease right-of-use assets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22,258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15,691</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Amortization of intangibles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37,079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28,535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24,510</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deferred financing costs and debt discount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Provision for credit losses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4,312</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Write-off of debt issuance costs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Gain on sale of property and equipment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stock compensation</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(8,475)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5,341</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terminated interest rate swap</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Changes in assets and liabilities, excluding effects of acquisitions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(29,582)</w:t>
            </w:r>
          </w:p>
        </w:tc>
        <w:tc>
          <w:tcPr>
            <w:tcW w:w="0" w:type="dxa"/>
            <w:vAlign w:val="bottom"/>
          </w:tcPr>
          <w:p>
            <w:pPr>
              <w:spacing w:after="0"/>
              <w:rPr>
                <w:sz w:val="1"/>
                <w:szCs w:val="1"/>
                <w:color w:val="auto"/>
              </w:rPr>
            </w:pPr>
          </w:p>
        </w:tc>
      </w:tr>
      <w:tr>
        <w:trPr>
          <w:trHeight w:val="186"/>
        </w:trPr>
        <w:tc>
          <w:tcPr>
            <w:tcW w:w="702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(54,003)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(10,597)</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(16,959)</w:t>
            </w:r>
          </w:p>
        </w:tc>
        <w:tc>
          <w:tcPr>
            <w:tcW w:w="0" w:type="dxa"/>
            <w:vAlign w:val="bottom"/>
          </w:tcPr>
          <w:p>
            <w:pPr>
              <w:spacing w:after="0"/>
              <w:rPr>
                <w:sz w:val="1"/>
                <w:szCs w:val="1"/>
                <w:color w:val="auto"/>
              </w:rPr>
            </w:pPr>
          </w:p>
        </w:tc>
      </w:tr>
      <w:tr>
        <w:trPr>
          <w:trHeight w:val="186"/>
        </w:trPr>
        <w:tc>
          <w:tcPr>
            <w:tcW w:w="702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receivable/payable</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186"/>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(34,751)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12,831</w:t>
            </w:r>
          </w:p>
        </w:tc>
        <w:tc>
          <w:tcPr>
            <w:tcW w:w="0" w:type="dxa"/>
            <w:vAlign w:val="bottom"/>
          </w:tcPr>
          <w:p>
            <w:pPr>
              <w:spacing w:after="0"/>
              <w:rPr>
                <w:sz w:val="1"/>
                <w:szCs w:val="1"/>
                <w:color w:val="auto"/>
              </w:rPr>
            </w:pPr>
          </w:p>
        </w:tc>
      </w:tr>
      <w:tr>
        <w:trPr>
          <w:trHeight w:val="186"/>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138,314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180,789</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123,067</w:t>
            </w:r>
          </w:p>
        </w:tc>
        <w:tc>
          <w:tcPr>
            <w:tcW w:w="0" w:type="dxa"/>
            <w:vAlign w:val="bottom"/>
          </w:tcPr>
          <w:p>
            <w:pPr>
              <w:spacing w:after="0"/>
              <w:rPr>
                <w:sz w:val="1"/>
                <w:szCs w:val="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investments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(52,795)</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Maturities of short term investments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38,693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25,061</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(33,587)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(50,167)</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Acquisitions of businesses, net of cash acquired of $1,707, $0 and $334 in 2021, 2020 and 2019, respectively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(241,308)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(76,446)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(51,706)</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86"/>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c>
          <w:tcPr>
            <w:tcW w:w="0" w:type="dxa"/>
            <w:vAlign w:val="bottom"/>
          </w:tcPr>
          <w:p>
            <w:pPr>
              <w:spacing w:after="0"/>
              <w:rPr>
                <w:sz w:val="1"/>
                <w:szCs w:val="1"/>
                <w:color w:val="auto"/>
              </w:rPr>
            </w:pPr>
          </w:p>
        </w:tc>
      </w:tr>
      <w:tr>
        <w:trPr>
          <w:trHeight w:val="186"/>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(278,439)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(77,794)</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(131,733)</w:t>
            </w:r>
          </w:p>
        </w:tc>
        <w:tc>
          <w:tcPr>
            <w:tcW w:w="0" w:type="dxa"/>
            <w:vAlign w:val="bottom"/>
          </w:tcPr>
          <w:p>
            <w:pPr>
              <w:spacing w:after="0"/>
              <w:rPr>
                <w:sz w:val="1"/>
                <w:szCs w:val="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senior notes (Note 8)</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Proceeds from term loan (Note 8)</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term loan (Note 8)</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(195,750)</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Proceeds from vehicle and equipment notes payable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27,834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33,090</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issuance costs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(6,691)</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(26,301)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(26,685)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(21,316)</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payments on finance lease obligations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(4,157)</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Acquisition-related obligations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(6,732)</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(33,924)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Surrender of common stock awards by employees</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7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242,090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(49,364)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96,113</w:t>
            </w:r>
          </w:p>
        </w:tc>
        <w:tc>
          <w:tcPr>
            <w:tcW w:w="0" w:type="dxa"/>
            <w:vAlign w:val="bottom"/>
          </w:tcPr>
          <w:p>
            <w:pPr>
              <w:spacing w:after="0"/>
              <w:rPr>
                <w:sz w:val="1"/>
                <w:szCs w:val="1"/>
                <w:color w:val="auto"/>
              </w:rPr>
            </w:pPr>
          </w:p>
        </w:tc>
      </w:tr>
      <w:tr>
        <w:trPr>
          <w:trHeight w:val="186"/>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101,965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87,447</w:t>
            </w:r>
          </w:p>
        </w:tc>
        <w:tc>
          <w:tcPr>
            <w:tcW w:w="0" w:type="dxa"/>
            <w:vAlign w:val="bottom"/>
          </w:tcPr>
          <w:p>
            <w:pPr>
              <w:spacing w:after="0"/>
              <w:rPr>
                <w:sz w:val="1"/>
                <w:szCs w:val="1"/>
                <w:color w:val="auto"/>
              </w:rPr>
            </w:pPr>
          </w:p>
        </w:tc>
      </w:tr>
      <w:tr>
        <w:trPr>
          <w:trHeight w:val="18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177,889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90,442</w:t>
            </w:r>
          </w:p>
        </w:tc>
        <w:tc>
          <w:tcPr>
            <w:tcW w:w="0" w:type="dxa"/>
            <w:vAlign w:val="bottom"/>
          </w:tcPr>
          <w:p>
            <w:pPr>
              <w:spacing w:after="0"/>
              <w:rPr>
                <w:sz w:val="1"/>
                <w:szCs w:val="1"/>
                <w:color w:val="auto"/>
              </w:rPr>
            </w:pPr>
          </w:p>
        </w:tc>
      </w:tr>
      <w:tr>
        <w:trPr>
          <w:trHeight w:val="20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333,485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231,520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177,889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paid during the period for: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tcPr>
          <w:p>
            <w:pPr>
              <w:ind w:left="240"/>
              <w:spacing w:after="0"/>
              <w:rPr>
                <w:sz w:val="20"/>
                <w:szCs w:val="20"/>
                <w:color w:val="auto"/>
              </w:rPr>
            </w:pPr>
            <w:r>
              <w:rPr>
                <w:rFonts w:ascii="Arial" w:cs="Arial" w:eastAsia="Arial" w:hAnsi="Arial"/>
                <w:sz w:val="14"/>
                <w:szCs w:val="14"/>
                <w:color w:val="auto"/>
              </w:rPr>
              <w:t>Interest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25,976</w:t>
            </w:r>
          </w:p>
        </w:tc>
        <w:tc>
          <w:tcPr>
            <w:tcW w:w="42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26,324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20,943</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net of refunds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37,072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22,633</w:t>
            </w:r>
          </w:p>
        </w:tc>
        <w:tc>
          <w:tcPr>
            <w:tcW w:w="0" w:type="dxa"/>
            <w:vAlign w:val="bottom"/>
          </w:tcPr>
          <w:p>
            <w:pPr>
              <w:spacing w:after="0"/>
              <w:rPr>
                <w:sz w:val="1"/>
                <w:szCs w:val="1"/>
                <w:color w:val="auto"/>
              </w:rPr>
            </w:pPr>
          </w:p>
        </w:tc>
      </w:tr>
      <w:tr>
        <w:trPr>
          <w:trHeight w:val="188"/>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18,907</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Release of indemnification of acquisition-related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operating lease obligations and right-of-use assets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186"/>
        </w:trPr>
        <w:tc>
          <w:tcPr>
            <w:tcW w:w="7020" w:type="dxa"/>
            <w:vAlign w:val="bottom"/>
          </w:tcPr>
          <w:p>
            <w:pPr>
              <w:ind w:left="140"/>
              <w:spacing w:after="0"/>
              <w:rPr>
                <w:sz w:val="20"/>
                <w:szCs w:val="20"/>
                <w:color w:val="auto"/>
              </w:rPr>
            </w:pPr>
            <w:r>
              <w:rPr>
                <w:rFonts w:ascii="Arial" w:cs="Arial" w:eastAsia="Arial" w:hAnsi="Arial"/>
                <w:sz w:val="14"/>
                <w:szCs w:val="14"/>
                <w:color w:val="auto"/>
              </w:rPr>
              <w:t>Property and equipment obtained in exchange for finance lease obligations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192"/>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Seller obligations in connection with acquisition of businesses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7,543</w:t>
            </w:r>
          </w:p>
        </w:tc>
        <w:tc>
          <w:tcPr>
            <w:tcW w:w="0" w:type="dxa"/>
            <w:vAlign w:val="bottom"/>
          </w:tcPr>
          <w:p>
            <w:pPr>
              <w:spacing w:after="0"/>
              <w:rPr>
                <w:sz w:val="1"/>
                <w:szCs w:val="1"/>
                <w:color w:val="auto"/>
              </w:rPr>
            </w:pPr>
          </w:p>
        </w:tc>
      </w:tr>
      <w:tr>
        <w:trPr>
          <w:trHeight w:val="182"/>
        </w:trPr>
        <w:tc>
          <w:tcPr>
            <w:tcW w:w="7020" w:type="dxa"/>
            <w:vAlign w:val="bottom"/>
          </w:tcPr>
          <w:p>
            <w:pPr>
              <w:ind w:left="140"/>
              <w:spacing w:after="0"/>
              <w:rPr>
                <w:sz w:val="20"/>
                <w:szCs w:val="20"/>
                <w:color w:val="auto"/>
              </w:rPr>
            </w:pPr>
            <w:r>
              <w:rPr>
                <w:rFonts w:ascii="Arial" w:cs="Arial" w:eastAsia="Arial" w:hAnsi="Arial"/>
                <w:sz w:val="14"/>
                <w:szCs w:val="14"/>
                <w:color w:val="auto"/>
              </w:rPr>
              <w:t>Unpaid purchases of property and equipment included in accounts payable</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1,903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773" w:right="35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56" w:name="page57"/>
    <w:bookmarkEnd w:id="56"/>
    <w:p>
      <w:pPr>
        <w:jc w:val="center"/>
        <w:ind w:right="-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Installed Building Products (“IBP”), a Delaware corporation formed on October 28, 2011, and its wholly-owned subsidiaries (collectively referred to as the “Company,” and “we,” “us” and “our”) primarily install insulation, waterproofing, fire-stopping, fireproofing, garage doors, rain gutters, window blinds, shower doors, closet shelving and mirrors and other products for residential and commercial builders located in the continental United States. The Company operates in over 210 locations and its corporate office is located in Columbus, Ohio.</w:t>
      </w:r>
    </w:p>
    <w:p>
      <w:pPr>
        <w:spacing w:after="0" w:line="133"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have one operating segment and a single reportable segment. The vast majority of our sales are derived from the service-based installation of various products in the residential new construction, repair and remodel and commercial construction end markets from our national network of branch locations.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of our branches has the capacity to serve all of our end markets. See Note 3, Revenue Recognition, for information on our revenues by product and end market.</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COVID-19 pandemic has caused significant volatility, uncertainty and economic disruption. Many public health organizations and international, federal, state and local governments implemented measures to combat the spread of COVID-19 at various times since the beginning of the pandemic with some of these restrictions still in place as of the date of filing of this Annual Report on Form 10-K ("Form 10-K"). Some of these measures included quarantines, vaccine and/or masking requirements, “stay-at-home” orders and social distancing ordinances and restricting or prohibiting outright some or all forms of commercial and business activity. We do not believe the various orders and restrictions significantly impacted our business during the year ended December 31, 2021. However, COVID-19 has caused disruptions in the building products supply chain, impacting our ability to purchase certain materials through our typical channels.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3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The accompanying consolidated financial statements include all of our wholly-owned subsidiaries. All intercompany accounts and transactions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judgements and assumptions that affect the reported amounts in the consolidated financial statements and accompanying notes. Management believes the accounting estimates are appropriate and reasonably determined; however, due to the inherent uncertainties in making these estimates, actual amounts could differ from such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consider all highly-liquid investments purchased with original term to maturity of three months or less to be cash equivalents. Substantially all cash is held in banks providing FDIC coverage of $0.25 million per depositor.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and Cost Recognition</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is measured according to Accounting Standards Codification ("ASC") 606, “Revenue from Contracts with Customers.” Our revenues are derived primarily through contracts with customers whereby we install insulation and other complementary building products and are recognized when control of the promised goods or services is transferred to our customers, in an amount that reflects the consideration we expect to be entitled to in exchange for those goods or services. We account for a contract when it has approval and commitment from both parties, the rights of the parties are identified, payment terms are identified, the contract has commercial substance and collectability of consideration is probable. An insignificant portion of our sales, primarily retail and distribution sales, is accounted for on a point-in-time basis when the sale occurs and the risk of loss transfers to the customer, adjusted accordingly for any return provisions and net of any sales taxes. We do offer assurance-type warranties on certain of our installed products and services that do not represent a separate performance obligation and, as such, do not impact the timing or extent of revenue recognition.</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contracts that are not complete at the reporting date, we recognize revenue over time utilizing a cost-to-cost input method as we believe this represents the best measure of when goods and services are transferred to the customer. When this method is used, we estimate the costs to complete individual contracts and record as revenue that portion of the total contract price that is considered complete based on the relationship of costs incurred to date to total anticipated costs. Under the cost-to-cost method, the use of estimated costs to complete each contract is a significant variable in the process of determining recognized revenue, requires judgment and can change throughout the duration of a contract due to contract modifications and other factors impacting job completion. The costs of earned revenue include all direct material and labor costs and those indirect costs related to contract performance, such as indirect labor, supplies, tools and repairs. Provisions for estimated losses on uncompleted contracts are made in the period in which such losses are determined.</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long-term contracts can be subject to modification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Payment terms typically do not exceed 30 days for short-term contracts and typically do not exceed 60 days for long-term contracts with customers. All contracts are billed either contractually or as work is performed. Billing on our long-term contracts occurs primarily on a monthly basis throughout the contract period whereby we submit invoices for customer payment based on actual or estimated costs incurred during the billing period. On certain of our long-term contracts the customer may withhold payment on an invoice equal to a percentage of the invoice amount, which will be subsequently paid after satisfactory completion of each installation project. This amount is referred to as retainage and is common practice in the construction industry, as it allows for customers to ensure the quality of the service performed prior to full payment. Retainage receivables are classified as current or long-term assets based on the expected time to project completion. See "Accounts Receivable" below for further discussion of our retainage receivables.</w:t>
      </w:r>
    </w:p>
    <w:p>
      <w:pPr>
        <w:spacing w:after="0" w:line="11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generally expense sales commissions and other incremental costs of obtaining a contract when incurred because the amortization period is usually one year or less. Sales commissions are recorded within selling expenses on the Consolidated Statements of Operations and Comprehensive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and Hedging Activities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We may enter into derivative contracts that are intended to economically hedge certain of our risks, even though hedge accounting does not apply or we elect not to apply hedge accounting. See Note 11, Derivatives and Hedging Activities, for additional information on our accounting policy for derivative instruments and hedging activities.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14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purchase price for business combinations is allocated to the estimated fair values of acquired tangible and intangible assets, including goodwill and assumed liabilities, where applicable. Additionally, we recognize customer relationships, trademarks and trade names, backlog and non-competition agreements as identifiable intangible assets. These assets are recorded at fair value as of the transaction date. The fair value of these intangibles is determined using either the income approach or the market approach using current industry information which involves significant unobservable inputs (Level 3 inputs). These inputs include projected sales, margin and tax rate.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At times, the total purchase price for a business combination could be less than the estimated fair values of acquired tangible and intangible assets. In these cases, we record a gain on bargain purchase within other expenses in the Consolidated Statements of Operations and Comprehensive Income rather than goodwill in accordance with U.S.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account for trade receivables based on amounts billed to customers. Past due receivables are determined based on contractual terms. We do not accrue interest on any of our trade receivables.</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Retainage receivables represent the amount retained by our customers to ensure the quality of the installation and is received after satisfactory completion of each installation project. Management regularly reviews aging of retainage receivables and changes in payment trends and records an allowance when collection of amounts due are considered at risk. Amounts retained by project owners under construction contracts and included in accounts receivable were $40.5 million and $41.7 million as of December 31, 2021 and 2020, respectively. In addition, as of December 31, 2021, $0.5 million of retainage receivables were recorded in other non-current assets.</w:t>
      </w:r>
    </w:p>
    <w:p>
      <w:pPr>
        <w:spacing w:after="0" w:line="13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Credit losses are measured according to ASC 326, “Financial Instruments – Credit Losses: Measurement of Credit Losses on Financial Instruments.” We consider forward-looking information to estimate expected credit losses for financial instruments, including trade receivables, retainage receivables and contract assets (unbilled receivables).</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expected loss allowance methodology for accounts receivable is developed using historical losses, current economic conditions and future market forecasts. We also perform ongoing evaluations of our existing and potential customer’s creditworthiness. To date, the COVID-19 pandemic has not yet had a material impact on the collectability of our existing trade receivables. See Note 4, Credit Losses, for additional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Credit risk is our risk of financial loss from the non-performance of a contractual obligation on the part of our counterparty. Such risk arises principally from our receivables from customers and cash and bank balances. Substantially all of our trade accounts receivable are from entities engaged in residential and commercial construction. We perform periodic credit evaluations of our customers’ financial condition. The general credit risk of our counterparties is not considered to be significant. In addition, no individual customer made up more than 3% of accounts receivable or 5% of net revenue for the years ended December 31, 2021, 2020 and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Inventories consist of insulation, waterproofing materials, fireproofing and fire-stopping materials, garage doors, rain gutters, window blinds, shower doors, mirrors, closet shelving and other products. We value inventory at each balance sheet date to ensure that it is carried at the lower of cost or net realizable value with cost determined using the first-in, first-out (“FIFO”) method. Net realizable value is the estimated selling price in the ordinary course of business, less reasonably predictable cost of completion, disposal and transportation. As of December 31, 2021 and 2020, substantially all inventory was finished goods. Inventory provisions are recorded to reduce inventory to the lower of cost or net realizable value for obsolete or slow 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13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Property and equipment are stated at cost, less accumulated depreciation. We provide for depreciation and amortization of property and equipment using the straight-line method over the expected useful lives of the assets. Expected useful lives of property and equipment vary but generally are the shorter of lease life or five years for vehicles and leasehold improvements, three to five years for furniture, fixtures and equipment and 30 years for buildings.</w:t>
      </w:r>
    </w:p>
    <w:p>
      <w:pPr>
        <w:spacing w:after="0" w:line="1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Major renewals and improvements are capitalized. Maintenance, repairs and minor renewals are expensed as incurred. When assets are retired or otherwise disposed of, the related cost and accumulated depreciation are removed from the accounts and any resulting gain or loss is recorded.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3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Goodwill results from business combinations and represents the excess of the purchase price over the fair value of acquired tangible assets and liabilities and identifiable intangible assets. Annually, on October 1, or if conditions indicate an earlier review is necessary, we perform a one-step quantitative test to determine if it is more likely than not that the fair value of the reporting unit is less than its carrying amount.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market and economic conditions and market-participant considerations. An impairment charge is recognized for the amount by which the carrying value exceeds the reporting unit's fair value, not to exceed the total amount of goodwill allocated to the reporting unit.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Other Intangible and Long-Lived Assets</w:t>
      </w:r>
    </w:p>
    <w:p>
      <w:pPr>
        <w:spacing w:after="0" w:line="144"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Other intangible assets consist of customer relationships, backlog, non-competition agreements and business trademarks and trade names. Amortization of finite lived intangible assets is recorded to reflect the pattern of economic benefits based on projected revenues over their respective estimated useful lives (customer relationships – eight to 15 years, backlog – 18 to 36 months, non-competition agreements – one to five years and business trademarks and trade names – two to 15 years). We do not have any indefinite-lived intangible assets other than goodwill.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review long-lived assets and intangible assets whenever events or changes in circumstances indicate that the carrying value of an asset may not be recoverable. An impairment loss is recognized when estimated future cash flows expected to result from the use of an asset and its eventual disposition are less than its carrying amount. When impairment is identified, the carrying amount of the asset is reduced to its estimated fair value. Assets to be disposed of are recorded at the lower of net book value or fair net realizable value less cost to sell at the date management commits to a plan of disposal. There was no impairment loss for the years ended December 31, 2021, 2020, and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Liabilities</w:t>
      </w:r>
    </w:p>
    <w:p>
      <w:pPr>
        <w:spacing w:after="0" w:line="13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workers’ compensation insurance program, for a significant portion of our business, is considered a high deductible program whereby we are responsible for the cost of claims under approximately $0.8 million. Our general liability insurance program is considered a high retention program whereby we are responsible for the cost of claims up to approximately $5.0 million, subject to an aggregate cap of $10.0 million. Our vehicle liability insurance program is considered a high deductible program whereby we are responsible for the cost of claims under approximately $1.0 million. In each case, if we do not pay these claims, our insurance carriers are required to make these payments to the claimants on our behalf. The liabilities represent our best estimate of our costs, using generally accepted actuarial reserving methods, of the ultimate obligations for reported claims plus those incurred but not reported for all claims incurred through December 31, 2021 and 2020. We establish case reserves for reported claims using case-basis evaluation of the underlying claims data and we update as information becomes known. We regularly monitor the potential for changes in estimates, evaluate our insurance accruals and adjust our recorded provisions.</w:t>
      </w:r>
    </w:p>
    <w:p>
      <w:pPr>
        <w:spacing w:after="0" w:line="12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assumptions underlying the ultimate costs of existing claim losses are subject to a high degree of unpredictability, which can affect the liability recorded for such claims. For example, variability in inflation rates of health care costs inherent in workers’ compensation claims can affect the ultimate costs. Similarly, changes in legal trends and interpretations, as well as a change in the nature and method of how claims are settled, can affect ultimate costs. Our estimates of liabilities incurred do not anticipate significant changes in historical trends for these variables and any changes could have a considerable effect on future claim costs and currently recorded liabilities.</w:t>
      </w:r>
    </w:p>
    <w:p>
      <w:pPr>
        <w:spacing w:after="0" w:line="13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carry insurance for a number of risks, including, but not limited to, workers’ compensation, general liability, vehicle liability, property and our obligation for employee-related health care benefits. Liabilities relating to claims associated with these risks are estimated by considering historical claims experience, including frequency, severity, demographic factors and other actuarial assumptions. In estimating our liability for such claims, we periodically analyze our historical trends, including loss development, and apply appropriate loss development factors to the incurred costs associated with the claims with the assistance of external actuarial consultants. While we do not expect the amounts ultimately paid to differ significantly from our estimates, our reserves and corresponding expenses could be affected if future claim experience differs significantly from historical trends and actuarial assumptions.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Advertising costs are generally expensed as incurred. Advertising expense was approximately $4.6 million for the year ended December 31, 2021, and $3.9 million for both the years ended December 31, 2020 and 2019, respectively, and is included in selling expense on the Consolidated Statements of Operations and Comprehensive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Deferred financing costs and debt issuance costs combined, totaling $11.4 million and $7.0 million, net of accumulated amortization as of December 31, 2021 and 2020, respectively, are amortized over the term of the related debt on a straight-line basis which approximates the effective interest method. The deferred financing costs are included in other non-current assets while the debt issuance costs are included in long-term debt on the Consolidated Balance Sheets as of December 31, 2021 and 2020, respectively. The related amortization expense of these costs combined was $1.4 million, $1.3 million and $1.2 million and is included in interest expense, net on the Consolidated Statements of Operations and Comprehensive Income for the years ended December 31, 2021, 2020 and 2019, respectively.</w:t>
      </w:r>
    </w:p>
    <w:p>
      <w:pPr>
        <w:spacing w:after="0" w:line="21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wrote off $0.2 million and $3.3 million in previously capitalized loan costs during the years ended December 31, 2021 and 2019, respectively. In addition, we expensed loan costs of approximately $1.6 million and $0.4 million for the years ended December 31, 2021 and 2019, respectively, associated with our credit facilities because they did not meet the requirements for capitalization. We had no such write offs or expenses during the year ended December 31, 2020. These amounts are included in interest expense, net on the Consolidated Statements of Operations and Comprehensive Income. We also had $7.5 million in new costs associated with the debt-related financing transactions incurred during the year ended December 31, 2021. The deferred financing costs are included in other non-current assets while the debt issuance costs are included in long-term debt on the Consolidated Balance Sheets. These costs are amortized over the term of the related debt on a straight-line basis which approximates the effective interest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debt instruments, see Note 8, Long-Term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Leases are measure according to ASC 842, “Leases,” which requires substantially all leases, with the exception of leases with a term of one year or less, to be recorded as a lease liability measured as the present value of the future lease payments with a corresponding right-of-use asset. ASC 842 also requires disclosures designed to give financial statement users information on the amount, timing and uncertainty of cash flows.</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determine if an arrangement is a lease at inception. Most of our operating leases do not provide an implicit rate so we use our incremental borrowing rate based on the information available at the commencement date to determine the present value of future payments. Leases with an initial term of 12 months or less are not recorded on the balance sheet as we recognize lease expense for these leases on a straight-line basis over the lease term. We elect to not separate lease components from non-lease components for all fixed payments, and we exclude variable lease payments in the measurement of right-of-use assets and lease obligations.</w:t>
      </w:r>
    </w:p>
    <w:p>
      <w:pPr>
        <w:spacing w:after="0" w:line="13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Most lease agreements include one or more renewal options, all of which are at our sole discretion. Generally, future renewal options that have not been executed as of the balance sheet date are excluded from right-of-use assets and related lease liabilities. Certain leases also include options to purchase the leased property. The depreciable life of assets and leasehold improvements are limited by the expected lease term, unless there is a transfer of title or purchase option reasonably certain of exercise. Some of our vehicle lease agreements include provisions for residual value guarantees and any expected payment is included in our lease liability.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share-based compensation program is designed to attract and retain employees while also aligning employees’ interests with the interests of our stockholders. Restricted stock awards are periodically granted to certain employees, officers and non-employee members of our board of directors under the stockholder-approved 2014 Omnibus Incentive Plan.</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Certain of our stock awards are deemed to be equity-based with a service condition and do not contain a market or performance condition with the exception of performance-based awards granted to certain officers and performance-based stock units. Fair value of the non-performance-based awards to employees and officers is measured at the grant date and amortized to expense</w:t>
      </w:r>
    </w:p>
    <w:p>
      <w:pPr>
        <w:sectPr>
          <w:pgSz w:w="11900" w:h="16838" w:orient="portrait"/>
          <w:cols w:equalWidth="0" w:num="1">
            <w:col w:w="11220"/>
          </w:cols>
          <w:pgMar w:left="320" w:top="476"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over the vesting period of the awards using the straight-line attribution method for all service-based awards with a graded vesting feature. This fair value is reduced by assumed forfeitures and adjusted for actual forfeitures until vesting. We also issue performance-based stock awards to certain officers under our 2014 Omnibus Incentive Plan. The performance-based compensation expense is recorded over the requisite service period using the graded-vesting method for the entire award. Performance-based stock awards are accounted for at fair value at date of grant. We also periodically grant performance-based stock units to certain employees under the stockholder-approved 2014 Omnibus Incentive Plan. These units convert to shares upon meeting time- and performance-based requirements.</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Compensation expense for performance-based stock units is recorded based on an assessment each reporting period of the probability that certain performance goals will be met during the contingent vesting period. If performance goals are not probable to occur, no compensation expense will be recognized. If performance goals that were previously deemed probable are not or are not expected to be met, the previously recognized compensation cost related to such performance goals will be reversed. Employees and officers are subject to tax at the vesting date based on the market price of the shares on that date, or on the grant date if an election is made.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account for income taxes using the asset and liability method. Under this method, the amount of taxes currently payable or refundable are accrued and deferred tax assets and liabilities are recognized for the estimated future tax consequences of temporary differences that currently exist between the tax basis and financial reporting basis of our assets and liabilities.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Valuation allowances are established against deferred tax assets when it is more likely than not that the realization of those deferred tax assets will not occur. In evaluating our ability to recover our deferred tax assets within the jurisdiction from which they arise, we consider all available positive and negative evidence, including scheduled reversals of deferred tax liabilities, the ability to produce future taxable income, prudent and feasible tax planning strategies and recent financial operations. In projecting future taxable income, we factor in historical results and changes in accounting policies and incorporate assumptions, including the amount of future federal and state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and liabilities are measured using the enacted tax rates in effect in the years when those temporary differences are expected to reverse.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effect on deferred taxes from a change in tax rate is recognized through operations in the period that includes the enactment date of the change.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tax laws and rates could also affect recorded deferred tax assets and liabilities in the future.</w:t>
      </w:r>
    </w:p>
    <w:p>
      <w:pPr>
        <w:spacing w:after="0" w:line="15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 tax benefit from an uncertain tax position may be recognized when it is more likely than not that the position will be sustained upon examination, including resolutions of any related appeals or litigation processes, based on the technical merits. Income tax positions must meet a more likely than not recognition threshold to be recognized.</w:t>
      </w:r>
    </w:p>
    <w:p>
      <w:pPr>
        <w:spacing w:after="0" w:line="13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recognize tax liabilities for uncertain tax positions and adjust these liabilities when our judgment changes as a result of the evaluation of new information not previously available. Liabilities related to uncertain tax positions are recorded in other long-term liabilities on the Consolidated Balance Sheets. Due to the complexity of some of these uncertainties, the ultimate resolution may result in a payment that is materially different from the current estimate of the tax liabilities. These differences will be reflected as increases or decreases to income tax expense and the effective tax rate in the period in which the new information becomes available. Interest and penalties related to unrecognized tax benefits are recognized within income tax expense in the Consolidated Statements of Operations and Comprehensive Income. Accrued interest and penalties are recognized in other current liabilities on the Consolidated Balance Sheets.</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income tax expense, deferred tax assets and liabilities and reserves for unrecognized tax benefits reflect management’s best assessment of estimated future taxes to be paid. We are subject to income taxes in the United States, which includes numerous state and local jurisdictions. Significant judgments and estimates are required in determining the income tax expense, deferred tax assets and liabilities and the reserve for unrecognized tax benefits.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Fair Value of Financial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See Note 10, Fair Value Measurements, for related accounting policies.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ectPr>
          <w:pgSz w:w="11900" w:h="16838" w:orient="portrait"/>
          <w:cols w:equalWidth="0" w:num="1">
            <w:col w:w="11240"/>
          </w:cols>
          <w:pgMar w:left="320" w:top="476" w:right="339" w:bottom="144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Standard</w:t>
            </w:r>
          </w:p>
        </w:tc>
        <w:tc>
          <w:tcPr>
            <w:tcW w:w="100" w:type="dxa"/>
            <w:vAlign w:val="bottom"/>
          </w:tcPr>
          <w:p>
            <w:pPr>
              <w:spacing w:after="0"/>
              <w:rPr>
                <w:sz w:val="16"/>
                <w:szCs w:val="16"/>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Effective Date</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ASU 2021-01, Reference</w:t>
            </w:r>
          </w:p>
        </w:tc>
        <w:tc>
          <w:tcPr>
            <w:tcW w:w="100" w:type="dxa"/>
            <w:vAlign w:val="bottom"/>
          </w:tcPr>
          <w:p>
            <w:pPr>
              <w:spacing w:after="0"/>
              <w:rPr>
                <w:sz w:val="15"/>
                <w:szCs w:val="15"/>
                <w:color w:val="auto"/>
              </w:rPr>
            </w:pPr>
          </w:p>
        </w:tc>
        <w:tc>
          <w:tcPr>
            <w:tcW w:w="17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0"/>
              </w:rPr>
              <w:t>Effective upon issuance</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Rate Reform (Topic 848):</w:t>
            </w:r>
          </w:p>
        </w:tc>
        <w:tc>
          <w:tcPr>
            <w:tcW w:w="100" w:type="dxa"/>
            <w:vAlign w:val="bottom"/>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Scope</w:t>
            </w:r>
          </w:p>
        </w:tc>
        <w:tc>
          <w:tcPr>
            <w:tcW w:w="100" w:type="dxa"/>
            <w:vAlign w:val="bottom"/>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220" w:type="dxa"/>
            <w:vAlign w:val="bottom"/>
            <w:shd w:val="clear" w:color="auto" w:fill="CCEEFF"/>
          </w:tcPr>
          <w:p>
            <w:pPr>
              <w:spacing w:after="0"/>
              <w:rPr>
                <w:sz w:val="24"/>
                <w:szCs w:val="24"/>
                <w:color w:val="auto"/>
              </w:rPr>
            </w:pPr>
          </w:p>
        </w:tc>
        <w:tc>
          <w:tcPr>
            <w:tcW w:w="100" w:type="dxa"/>
            <w:vAlign w:val="bottom"/>
            <w:vMerge w:val="restart"/>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Arial" w:cs="Arial" w:eastAsia="Arial" w:hAnsi="Arial"/>
                <w:sz w:val="18"/>
                <w:szCs w:val="18"/>
                <w:color w:val="auto"/>
                <w:w w:val="94"/>
              </w:rPr>
              <w:t>ASU 2019-12, Income Taxes</w:t>
            </w:r>
          </w:p>
        </w:tc>
        <w:tc>
          <w:tcPr>
            <w:tcW w:w="100" w:type="dxa"/>
            <w:vAlign w:val="bottom"/>
            <w:vMerge w:val="continue"/>
          </w:tcPr>
          <w:p>
            <w:pPr>
              <w:spacing w:after="0"/>
              <w:rPr>
                <w:sz w:val="15"/>
                <w:szCs w:val="15"/>
                <w:color w:val="auto"/>
              </w:rPr>
            </w:pPr>
          </w:p>
        </w:tc>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January 1, 2021</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8"/>
                <w:szCs w:val="18"/>
                <w:color w:val="auto"/>
                <w:w w:val="99"/>
              </w:rPr>
              <w:t>(Topic 740), Simplifying the</w:t>
            </w: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w w:val="93"/>
              </w:rPr>
              <w:t>Accounting for Income Taxes</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4474845" cy="557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74845" cy="557530"/>
                    </a:xfrm>
                    <a:prstGeom prst="rect">
                      <a:avLst/>
                    </a:prstGeom>
                    <a:noFill/>
                  </pic:spPr>
                </pic:pic>
              </a:graphicData>
            </a:graphic>
          </wp:anchor>
        </w:drawing>
      </w:r>
    </w:p>
    <w:p>
      <w:pPr>
        <w:spacing w:after="0" w:line="39"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This pronouncement clarifies the scope and application of ASU 2020-04, "Reference Rate Reform: Facilitation of the Effects of Reference Rate Reform on Financial Reporting (Topic 848)." We continue to evaluate the impact of Topic 848 and may apply other elections as applicable as additional changes in the market occur.</w:t>
      </w:r>
    </w:p>
    <w:p>
      <w:pPr>
        <w:spacing w:after="0" w:line="1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This pronouncement simplifies the accounting for income taxes by removing certain exceptions to the general principles of Topic 740 and improves the consistent application of GAAP by clarifying and amending existing guidance. The adoption of this standard did not impact our financial statements or have a material effect on our disclosures.</w:t>
      </w:r>
    </w:p>
    <w:p>
      <w:pPr>
        <w:spacing w:after="0" w:line="200" w:lineRule="exact"/>
        <w:rPr>
          <w:sz w:val="20"/>
          <w:szCs w:val="20"/>
          <w:color w:val="auto"/>
        </w:rPr>
      </w:pPr>
    </w:p>
    <w:p>
      <w:pPr>
        <w:sectPr>
          <w:pgSz w:w="11900" w:h="16838" w:orient="portrait"/>
          <w:cols w:equalWidth="0" w:num="2">
            <w:col w:w="4080" w:space="140"/>
            <w:col w:w="7020"/>
          </w:cols>
          <w:pgMar w:left="320" w:top="476"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 Not Yet Adopted</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currently evaluating the impact of certain ASUs on our Consolidated Financial Statements or Notes to Consolidated Financial Statements, which are described below:</w:t>
      </w:r>
    </w:p>
    <w:p>
      <w:pPr>
        <w:spacing w:after="0" w:line="5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color w:val="auto"/>
              </w:rPr>
              <w:t>Standard</w:t>
            </w:r>
          </w:p>
        </w:tc>
        <w:tc>
          <w:tcPr>
            <w:tcW w:w="2840" w:type="dxa"/>
            <w:vAlign w:val="bottom"/>
            <w:vMerge w:val="restart"/>
          </w:tcPr>
          <w:p>
            <w:pPr>
              <w:ind w:left="1120"/>
              <w:spacing w:after="0"/>
              <w:rPr>
                <w:sz w:val="20"/>
                <w:szCs w:val="20"/>
                <w:color w:val="auto"/>
              </w:rPr>
            </w:pPr>
            <w:r>
              <w:rPr>
                <w:rFonts w:ascii="Arial" w:cs="Arial" w:eastAsia="Arial" w:hAnsi="Arial"/>
                <w:sz w:val="14"/>
                <w:szCs w:val="14"/>
                <w:color w:val="auto"/>
              </w:rPr>
              <w:t>Description</w:t>
            </w:r>
          </w:p>
        </w:tc>
        <w:tc>
          <w:tcPr>
            <w:tcW w:w="2560" w:type="dxa"/>
            <w:vAlign w:val="bottom"/>
            <w:vMerge w:val="restart"/>
          </w:tcPr>
          <w:p>
            <w:pPr>
              <w:ind w:left="1040"/>
              <w:spacing w:after="0"/>
              <w:rPr>
                <w:sz w:val="20"/>
                <w:szCs w:val="20"/>
                <w:color w:val="auto"/>
              </w:rPr>
            </w:pPr>
            <w:r>
              <w:rPr>
                <w:rFonts w:ascii="Arial" w:cs="Arial" w:eastAsia="Arial" w:hAnsi="Arial"/>
                <w:sz w:val="14"/>
                <w:szCs w:val="14"/>
                <w:color w:val="auto"/>
              </w:rPr>
              <w:t>Effective Date</w:t>
            </w:r>
          </w:p>
        </w:tc>
        <w:tc>
          <w:tcPr>
            <w:tcW w:w="2760" w:type="dxa"/>
            <w:vAlign w:val="bottom"/>
          </w:tcPr>
          <w:p>
            <w:pPr>
              <w:jc w:val="center"/>
              <w:ind w:left="608"/>
              <w:spacing w:after="0"/>
              <w:rPr>
                <w:sz w:val="20"/>
                <w:szCs w:val="20"/>
                <w:color w:val="auto"/>
              </w:rPr>
            </w:pPr>
            <w:r>
              <w:rPr>
                <w:rFonts w:ascii="Arial" w:cs="Arial" w:eastAsia="Arial" w:hAnsi="Arial"/>
                <w:sz w:val="14"/>
                <w:szCs w:val="14"/>
                <w:color w:val="auto"/>
                <w:w w:val="93"/>
              </w:rPr>
              <w:t>Effect on the financial statements or</w:t>
            </w:r>
          </w:p>
        </w:tc>
        <w:tc>
          <w:tcPr>
            <w:tcW w:w="0" w:type="dxa"/>
            <w:vAlign w:val="bottom"/>
          </w:tcPr>
          <w:p>
            <w:pPr>
              <w:spacing w:after="0"/>
              <w:rPr>
                <w:sz w:val="1"/>
                <w:szCs w:val="1"/>
                <w:color w:val="auto"/>
              </w:rPr>
            </w:pPr>
          </w:p>
        </w:tc>
      </w:tr>
      <w:tr>
        <w:trPr>
          <w:trHeight w:val="182"/>
        </w:trPr>
        <w:tc>
          <w:tcPr>
            <w:tcW w:w="162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2760" w:type="dxa"/>
            <w:vAlign w:val="bottom"/>
          </w:tcPr>
          <w:p>
            <w:pPr>
              <w:jc w:val="center"/>
              <w:ind w:left="608"/>
              <w:spacing w:after="0"/>
              <w:rPr>
                <w:sz w:val="20"/>
                <w:szCs w:val="20"/>
                <w:color w:val="auto"/>
              </w:rPr>
            </w:pPr>
            <w:r>
              <w:rPr>
                <w:rFonts w:ascii="Arial" w:cs="Arial" w:eastAsia="Arial" w:hAnsi="Arial"/>
                <w:sz w:val="14"/>
                <w:szCs w:val="14"/>
                <w:color w:val="auto"/>
                <w:w w:val="94"/>
              </w:rPr>
              <w:t>other 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711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71120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p>
      <w:pPr>
        <w:spacing w:after="0" w:line="19" w:lineRule="exact"/>
        <w:rPr>
          <w:sz w:val="20"/>
          <w:szCs w:val="20"/>
          <w:color w:val="auto"/>
        </w:rPr>
      </w:pPr>
    </w:p>
    <w:p>
      <w:pPr>
        <w:ind w:left="20"/>
        <w:spacing w:after="0" w:line="216" w:lineRule="auto"/>
        <w:rPr>
          <w:sz w:val="20"/>
          <w:szCs w:val="20"/>
          <w:color w:val="auto"/>
        </w:rPr>
      </w:pPr>
      <w:r>
        <w:rPr>
          <w:rFonts w:ascii="Arial" w:cs="Arial" w:eastAsia="Arial" w:hAnsi="Arial"/>
          <w:sz w:val="18"/>
          <w:szCs w:val="18"/>
          <w:color w:val="auto"/>
        </w:rPr>
        <w:t>ASU 2021-08, Business Combinations (Topic 805): Accounting for contract assets and contract liabilities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6"/>
          <w:szCs w:val="16"/>
          <w:color w:val="auto"/>
        </w:rPr>
        <w:t>This pronouncement amends Topic 805 to require an acquirer to account for revenue contracts in a business combination in accordance with Topic 606 as if the acquirer had originated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0</wp:posOffset>
            </wp:positionV>
            <wp:extent cx="17316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6"/>
          <w:szCs w:val="16"/>
          <w:color w:val="auto"/>
        </w:rPr>
        <w:t>Annual periods beginning after December 15, 2022, including interim periods therein.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722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59" w:lineRule="auto"/>
        <w:rPr>
          <w:sz w:val="20"/>
          <w:szCs w:val="20"/>
          <w:color w:val="auto"/>
        </w:rPr>
      </w:pPr>
      <w:r>
        <w:rPr>
          <w:rFonts w:ascii="Arial" w:cs="Arial" w:eastAsia="Arial" w:hAnsi="Arial"/>
          <w:sz w:val="16"/>
          <w:szCs w:val="16"/>
          <w:color w:val="auto"/>
        </w:rPr>
        <w:t>We are currently assessing the impact of the adoption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325120</wp:posOffset>
            </wp:positionV>
            <wp:extent cx="17405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0535" cy="8890"/>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4">
            <w:col w:w="2520" w:space="320"/>
            <w:col w:w="2640" w:space="180"/>
            <w:col w:w="2260" w:space="580"/>
            <w:col w:w="2740"/>
          </w:cols>
          <w:pgMar w:left="320" w:top="476" w:right="33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3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disaggregate our revenue from contracts with customers by end market and product, as we believe it best depicts how the nature, amount, timing and uncertainty of our revenue and cash flows are affected by economic factors. The following tables present our revenues disaggregated by end market and product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rPr>
              <w:t>Years ended December 31,</w:t>
            </w: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1,138,475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Repair and remodel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106,784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3"/>
        </w:trPr>
        <w:tc>
          <w:tcPr>
            <w:tcW w:w="3660" w:type="dxa"/>
            <w:vAlign w:val="bottom"/>
          </w:tcPr>
          <w:p>
            <w:pPr>
              <w:ind w:left="36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1,968,650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1,653,225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1,511,629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w w:val="99"/>
              </w:rPr>
              <w:t>Years ended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Insulation</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1,262,628</w:t>
            </w:r>
          </w:p>
        </w:tc>
        <w:tc>
          <w:tcPr>
            <w:tcW w:w="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Shower doors, shelving and mirrors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138,797</w:t>
            </w:r>
          </w:p>
        </w:tc>
        <w:tc>
          <w:tcPr>
            <w:tcW w:w="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117,131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Waterproofing</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130,924</w:t>
            </w:r>
          </w:p>
        </w:tc>
        <w:tc>
          <w:tcPr>
            <w:tcW w:w="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Garage doors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108,675</w:t>
            </w:r>
          </w:p>
        </w:tc>
        <w:tc>
          <w:tcPr>
            <w:tcW w:w="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93,516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Rain gutters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86,406</w:t>
            </w:r>
          </w:p>
        </w:tc>
        <w:tc>
          <w:tcPr>
            <w:tcW w:w="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Fireproofing/firestopping</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59,381</w:t>
            </w:r>
          </w:p>
        </w:tc>
        <w:tc>
          <w:tcPr>
            <w:tcW w:w="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Window blinds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50,255</w:t>
            </w:r>
          </w:p>
        </w:tc>
        <w:tc>
          <w:tcPr>
            <w:tcW w:w="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Other building products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131,584</w:t>
            </w:r>
          </w:p>
        </w:tc>
        <w:tc>
          <w:tcPr>
            <w:tcW w:w="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101,996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48"/>
        </w:trPr>
        <w:tc>
          <w:tcPr>
            <w:tcW w:w="3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1,968,650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1,653,225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1,511,629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76"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Liabilities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contract assets consist of unbilled amounts typically resulting from sales under contracts when the cost-to-cost method of revenue recognition is utilized and revenue recognized, based on costs incurred, exceeds the amount billed to the customer. Our contract assets are recorded in other current assets in our Consolidated Balance Sheets. Our contract liabilities consist of customer deposits and billings in excess of revenue recognized, based on costs incurred and are included in other current liabilities in our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w w:val="91"/>
              </w:rPr>
              <w:t>Contract assets and liabilities related to our uncompleted contracts and customer deposits were as follows (in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553"/>
        </w:trPr>
        <w:tc>
          <w:tcPr>
            <w:tcW w:w="8480" w:type="dxa"/>
            <w:vAlign w:val="bottom"/>
          </w:tcPr>
          <w:p>
            <w:pPr>
              <w:spacing w:after="0"/>
              <w:rPr>
                <w:sz w:val="20"/>
                <w:szCs w:val="20"/>
                <w:color w:val="auto"/>
              </w:rPr>
            </w:pPr>
            <w:r>
              <w:rPr>
                <w:rFonts w:ascii="Arial" w:cs="Arial" w:eastAsia="Arial" w:hAnsi="Arial"/>
                <w:sz w:val="18"/>
                <w:szCs w:val="18"/>
                <w:color w:val="auto"/>
              </w:rPr>
              <w:t>Uncompleted contracts were as follows (in thousands):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on uncompleted contracts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169,544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Estimated earnings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90,737</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Billings to date</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240,665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under billings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under billings were as follows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 (contract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Billings in excess of costs and estimated earnings on uncompleted contracts (contract liabilities)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under billings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difference between contract assets and contract liabilities as of December 31, 2021 compared to December 31, 2020 is primarily the result of timing differences between our performance of obligations under contracts and customer payments and billings. During the year ended December 31, 2021, we recognized $8.7 million of revenue that was included in the contract liability balance at December 31, 2020. We did not recognize any impairment losses on our receivables and contract assets during the years ended December 31, 2021 and 2020.</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Remaining performance obligations represent the transaction price of contracts for which work has not been performed and excludes unexercised contract options and potential modifications. As of December 31, 2021, the aggregate amount of the transaction price allocated to remaining uncompleted contracts was $143.2 million. We expect to satisfy remaining performance obligations and recognize revenue on substantially all of these uncompleted contracts over the next 18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CREDIT LOSSES</w:t>
      </w:r>
    </w:p>
    <w:p>
      <w:pPr>
        <w:spacing w:after="0" w:line="14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January 1, 2020 we adopted ASU 2016-13, “Financial Instruments – Credit Losses (ASC 326): Measurement of Credit Losses on Financial Instruments” under the modified retrospective approach. ASC 326 replaces the incurred loss impairment model with an expected credit loss impairment model for financial instruments, including trade receivables, retainage receivables and contract assets (unbilled receivables). Results for reporting periods beginning after January 1, 2020 are presented under ASC 326, while prior period amounts are not adjusted. The amendment requires entities to consider forward-looking information to estimate expected credit losses, resulting in earlier recognition of losses for receivables that are current or not yet due, which were not considered under the previous accounting guidance.</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64" w:name="page65"/>
    <w:bookmarkEnd w:id="64"/>
    <w:p>
      <w:pPr>
        <w:jc w:val="center"/>
        <w:ind w:right="-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Upon adoption of ASC 326, we recorded a cumulative effect adjustment to retained earnings of $1.2 million, net of $0.4 million of income taxes, on the opening consolidated balance sheet as of January 1, 2020. The adoption of the credit loss standard had no impact to cash from or used in operating, financing or investing activities on our consolidated cash flow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credit losses were as follows (in thousands):</w:t>
      </w:r>
    </w:p>
    <w:p>
      <w:pPr>
        <w:spacing w:after="0" w:line="293"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29"/>
        </w:trPr>
        <w:tc>
          <w:tcPr>
            <w:tcW w:w="6380" w:type="dxa"/>
            <w:vAlign w:val="bottom"/>
          </w:tcPr>
          <w:p>
            <w:pPr>
              <w:ind w:left="100"/>
              <w:spacing w:after="0"/>
              <w:rPr>
                <w:sz w:val="20"/>
                <w:szCs w:val="20"/>
                <w:color w:val="auto"/>
              </w:rPr>
            </w:pPr>
            <w:r>
              <w:rPr>
                <w:rFonts w:ascii="Arial" w:cs="Arial" w:eastAsia="Arial" w:hAnsi="Arial"/>
                <w:sz w:val="18"/>
                <w:szCs w:val="18"/>
                <w:color w:val="auto"/>
              </w:rPr>
              <w:t>Current period provision</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Recoveries collected and additions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Amounts written off</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Cumulative effect of change in accounting principle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period provision</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29"/>
        </w:trPr>
        <w:tc>
          <w:tcPr>
            <w:tcW w:w="6380" w:type="dxa"/>
            <w:vAlign w:val="bottom"/>
          </w:tcPr>
          <w:p>
            <w:pPr>
              <w:ind w:left="100"/>
              <w:spacing w:after="0"/>
              <w:rPr>
                <w:sz w:val="20"/>
                <w:szCs w:val="20"/>
                <w:color w:val="auto"/>
              </w:rPr>
            </w:pPr>
            <w:r>
              <w:rPr>
                <w:rFonts w:ascii="Arial" w:cs="Arial" w:eastAsia="Arial" w:hAnsi="Arial"/>
                <w:sz w:val="18"/>
                <w:szCs w:val="18"/>
                <w:color w:val="auto"/>
              </w:rPr>
              <w:t>Recoveries collected and additions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written off</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196"/>
        </w:trPr>
        <w:tc>
          <w:tcPr>
            <w:tcW w:w="6380" w:type="dxa"/>
            <w:vAlign w:val="bottom"/>
          </w:tcPr>
          <w:p>
            <w:pPr>
              <w:spacing w:after="0" w:line="196" w:lineRule="exact"/>
              <w:rPr>
                <w:sz w:val="20"/>
                <w:szCs w:val="20"/>
                <w:color w:val="auto"/>
              </w:rPr>
            </w:pPr>
            <w:r>
              <w:rPr>
                <w:rFonts w:ascii="Arial" w:cs="Arial" w:eastAsia="Arial" w:hAnsi="Arial"/>
                <w:sz w:val="18"/>
                <w:szCs w:val="18"/>
                <w:color w:val="auto"/>
              </w:rPr>
              <w:t>December 31, 2020</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period provision</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Arial" w:cs="Arial" w:eastAsia="Arial" w:hAnsi="Arial"/>
                <w:sz w:val="18"/>
                <w:szCs w:val="18"/>
                <w:color w:val="auto"/>
              </w:rPr>
              <w:t>Recoveries collected and additions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written off</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December 31, 2021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AND CASH EQUIVALENTS</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and cash equivalents include highly liquid instruments with insignificant interest rate risk and original or remaining maturities of three months or less at the time of purchase. These instruments amounted to $258.1 million and $170.4 million as of December 31, 2021 and 2020, respectively. See Note 10, Fair Value Measurements, for additional information.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AND EQUIPMENT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688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13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As of December 31,</w:t>
            </w:r>
          </w:p>
        </w:tc>
      </w:tr>
      <w:tr>
        <w:trPr>
          <w:trHeight w:val="223"/>
        </w:trPr>
        <w:tc>
          <w:tcPr>
            <w:tcW w:w="1340" w:type="dxa"/>
            <w:vAlign w:val="bottom"/>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134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34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3,901</w:t>
            </w:r>
          </w:p>
        </w:tc>
      </w:tr>
      <w:tr>
        <w:trPr>
          <w:trHeight w:val="229"/>
        </w:trPr>
        <w:tc>
          <w:tcPr>
            <w:tcW w:w="134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w:t>
            </w:r>
          </w:p>
        </w:tc>
      </w:tr>
      <w:tr>
        <w:trPr>
          <w:trHeight w:val="230"/>
        </w:trPr>
        <w:tc>
          <w:tcPr>
            <w:tcW w:w="134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55,780</w:t>
            </w:r>
          </w:p>
        </w:tc>
      </w:tr>
      <w:tr>
        <w:trPr>
          <w:trHeight w:val="230"/>
        </w:trPr>
        <w:tc>
          <w:tcPr>
            <w:tcW w:w="134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223,003</w:t>
            </w:r>
          </w:p>
        </w:tc>
      </w:tr>
      <w:tr>
        <w:trPr>
          <w:trHeight w:val="223"/>
        </w:trPr>
        <w:tc>
          <w:tcPr>
            <w:tcW w:w="13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293,080</w:t>
            </w:r>
          </w:p>
        </w:tc>
      </w:tr>
      <w:tr>
        <w:trPr>
          <w:trHeight w:val="230"/>
        </w:trPr>
        <w:tc>
          <w:tcPr>
            <w:tcW w:w="134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(189,058)</w:t>
            </w:r>
          </w:p>
        </w:tc>
      </w:tr>
      <w:tr>
        <w:trPr>
          <w:trHeight w:val="223"/>
        </w:trPr>
        <w:tc>
          <w:tcPr>
            <w:tcW w:w="13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104,022</w:t>
            </w:r>
          </w:p>
        </w:tc>
      </w:tr>
      <w:tr>
        <w:trPr>
          <w:trHeight w:val="20"/>
        </w:trPr>
        <w:tc>
          <w:tcPr>
            <w:tcW w:w="1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We recorded the following depreciation and amortization expense on our property and equipment, by income statement category (in thousands):</w:t>
      </w:r>
    </w:p>
    <w:p>
      <w:pPr>
        <w:spacing w:after="0" w:line="142"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2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1,939</w:t>
            </w: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and equipment as of December 31, 2021 and 2020 of $123.3 million and $98.0 million, respectively, were fully depreciated but still being utilized in our business.</w:t>
      </w:r>
    </w:p>
    <w:p>
      <w:pPr>
        <w:sectPr>
          <w:pgSz w:w="11900" w:h="16838" w:orient="portrait"/>
          <w:cols w:equalWidth="0" w:num="1">
            <w:col w:w="11180"/>
          </w:cols>
          <w:pgMar w:left="320" w:top="476"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INTANGIBLES</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homebuilding industry quickly rebounded from the immediate effects of the COVID-19 pandemic but continues to be affected by other pandemic-related factors that could have long-term impacts, such as reduced employment levels, inflation, rising interest rates, and reduced consumer spending and consumer confidence, any of which could decrease demand for homes and adversely affect our business. As such, we considered whether impairment indicators arose through the date of filing of this Form 10-K for our goodwill, long-lived assets and other intangible assets and concluded that no factors caused us to impair any asset group during the year ended December 31, 2021. While we ultimately concluded that our goodwill, long-lived assets and other intangibles assets were not impaired as of December 31, 2021, we will continue to assess impairment indicators related to the impact of the COVID-19 pandemic on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carrying amount of goodwill was as follows (in thousands):</w:t>
      </w:r>
    </w:p>
    <w:p>
      <w:pPr>
        <w:spacing w:after="0" w:line="343"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8"/>
              </w:rPr>
              <w:t>Goodwill</w:t>
            </w: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7"/>
                <w:szCs w:val="17"/>
                <w:color w:val="auto"/>
              </w:rPr>
            </w:pPr>
          </w:p>
        </w:tc>
        <w:tc>
          <w:tcPr>
            <w:tcW w:w="1200" w:type="dxa"/>
            <w:vAlign w:val="bottom"/>
            <w:vMerge w:val="restart"/>
          </w:tcPr>
          <w:p>
            <w:pPr>
              <w:jc w:val="right"/>
              <w:ind w:right="290"/>
              <w:spacing w:after="0"/>
              <w:rPr>
                <w:sz w:val="20"/>
                <w:szCs w:val="20"/>
                <w:color w:val="auto"/>
              </w:rPr>
            </w:pPr>
            <w:r>
              <w:rPr>
                <w:rFonts w:ascii="Arial" w:cs="Arial" w:eastAsia="Arial" w:hAnsi="Arial"/>
                <w:sz w:val="18"/>
                <w:szCs w:val="18"/>
                <w:color w:val="auto"/>
              </w:rPr>
              <w:t>Goodwill</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3"/>
              </w:rPr>
              <w:t>Impairment</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(Gross)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Losses</w:t>
            </w:r>
          </w:p>
        </w:tc>
        <w:tc>
          <w:tcPr>
            <w:tcW w:w="240" w:type="dxa"/>
            <w:vAlign w:val="bottom"/>
          </w:tcPr>
          <w:p>
            <w:pPr>
              <w:spacing w:after="0"/>
              <w:rPr>
                <w:sz w:val="19"/>
                <w:szCs w:val="19"/>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(70,004)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195,652</w:t>
            </w:r>
          </w:p>
        </w:tc>
        <w:tc>
          <w:tcPr>
            <w:tcW w:w="0" w:type="dxa"/>
            <w:vAlign w:val="bottom"/>
          </w:tcPr>
          <w:p>
            <w:pPr>
              <w:spacing w:after="0"/>
              <w:rPr>
                <w:sz w:val="1"/>
                <w:szCs w:val="1"/>
                <w:color w:val="auto"/>
              </w:rPr>
            </w:pPr>
          </w:p>
        </w:tc>
      </w:tr>
      <w:tr>
        <w:trPr>
          <w:trHeight w:val="230"/>
        </w:trPr>
        <w:tc>
          <w:tcPr>
            <w:tcW w:w="3480" w:type="dxa"/>
            <w:vAlign w:val="bottom"/>
          </w:tcPr>
          <w:p>
            <w:pPr>
              <w:ind w:left="340"/>
              <w:spacing w:after="0"/>
              <w:rPr>
                <w:sz w:val="20"/>
                <w:szCs w:val="20"/>
                <w:color w:val="auto"/>
              </w:rPr>
            </w:pPr>
            <w:r>
              <w:rPr>
                <w:rFonts w:ascii="Arial" w:cs="Arial" w:eastAsia="Arial" w:hAnsi="Arial"/>
                <w:sz w:val="18"/>
                <w:szCs w:val="18"/>
                <w:color w:val="auto"/>
              </w:rPr>
              <w:t>Business combinations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286,874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2"/>
              </w:rPr>
              <w:t>(70,004)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216,870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105,617</w:t>
            </w:r>
          </w:p>
        </w:tc>
        <w:tc>
          <w:tcPr>
            <w:tcW w:w="0" w:type="dxa"/>
            <w:vAlign w:val="bottom"/>
          </w:tcPr>
          <w:p>
            <w:pPr>
              <w:spacing w:after="0"/>
              <w:rPr>
                <w:sz w:val="1"/>
                <w:szCs w:val="1"/>
                <w:color w:val="auto"/>
              </w:rPr>
            </w:pPr>
          </w:p>
        </w:tc>
      </w:tr>
      <w:tr>
        <w:trPr>
          <w:trHeight w:val="229"/>
        </w:trPr>
        <w:tc>
          <w:tcPr>
            <w:tcW w:w="348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2"/>
              </w:rPr>
              <w:t>(70,004)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322,517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Other changes included in the above table primarily include minor adjustments for the allocation of certain acquisitions still under measurement for the years ended December 31, 2021 and 2020. For additional information regarding changes to goodwill resulting from acquisitions, see Note 17, Business Combinations.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October 1, 2021, our measurement date, we tested goodwill for impairment by performing a one-step qualitative assessment in conformity with generally accepted accounting principles and determined that no impairment of goodwill was required. As such, no impairment of goodwill was recognized for the year ended December 31, 2021. In addition, no impairment of goodwill was recognized for the years ended December 31, 2020 or 2019. Accumulated impairment losses included within the above table were incurred over multiple periods, with the latest impairment charge being recorded during the year ended December 31, 2010.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Intangibles, net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gross carrying amount, accumulated amortization and net book value for each major class of intangibles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As of December 31,</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line="169"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4"/>
                <w:szCs w:val="14"/>
                <w:color w:val="auto"/>
              </w:rPr>
            </w:pPr>
          </w:p>
        </w:tc>
        <w:tc>
          <w:tcPr>
            <w:tcW w:w="102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4"/>
                <w:szCs w:val="14"/>
                <w:color w:val="auto"/>
              </w:rPr>
            </w:pPr>
          </w:p>
        </w:tc>
        <w:tc>
          <w:tcPr>
            <w:tcW w:w="1020" w:type="dxa"/>
            <w:vAlign w:val="bottom"/>
          </w:tcPr>
          <w:p>
            <w:pPr>
              <w:jc w:val="center"/>
              <w:ind w:right="190"/>
              <w:spacing w:after="0" w:line="169"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2"/>
              </w:rPr>
              <w:t>Book</w:t>
            </w:r>
          </w:p>
        </w:tc>
        <w:tc>
          <w:tcPr>
            <w:tcW w:w="22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7"/>
              </w:rPr>
              <w:t>Book</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6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260" w:type="dxa"/>
            <w:vAlign w:val="bottom"/>
          </w:tcPr>
          <w:p>
            <w:pPr>
              <w:spacing w:after="0"/>
              <w:rPr>
                <w:sz w:val="19"/>
                <w:szCs w:val="19"/>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9"/>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Amortized intangibles: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113,849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178,264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197,641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89,137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108,504</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Covenants not-to-compete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rPr>
              <w:t>Trademarks and tradenames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52,412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171,393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was no intangible asset impairment loss for the years ended December 31, 2021, 2020 and 2019.</w:t>
      </w:r>
    </w:p>
    <w:p>
      <w:pPr>
        <w:sectPr>
          <w:pgSz w:w="11900" w:h="16838" w:orient="portrait"/>
          <w:cols w:equalWidth="0" w:num="1">
            <w:col w:w="11220"/>
          </w:cols>
          <w:pgMar w:left="320" w:top="4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gross carrying amount of intangibles increased approximately $130.1 million and $46.4 million during the years ended December 31, 2021 and 2020, respectively. Intangibles associated with business combinations accounted for approximately $130.0 million and $46.2 million of the increases during the years ended December 31, 2021 and 2020, respectively. For more information, see Note 17, Business Combinations. Amortization expense on intangible assets totaled approximately $37.1 million, $28.5 million, and $24.5 million during the years ended December 31, 2021, 2020 and 2019, respectively. Remaining estimated aggregate annual amortization expense is as follows (in thousands):</w:t>
      </w:r>
    </w:p>
    <w:p>
      <w:pPr>
        <w:spacing w:after="0" w:line="339" w:lineRule="exact"/>
        <w:rPr>
          <w:sz w:val="20"/>
          <w:szCs w:val="20"/>
          <w:color w:val="auto"/>
        </w:rPr>
      </w:pPr>
    </w:p>
    <w:tbl>
      <w:tblPr>
        <w:tblLayout w:type="fixed"/>
        <w:tblInd w:w="3820" w:type="dxa"/>
        <w:tblCellMar>
          <w:top w:w="0" w:type="dxa"/>
          <w:left w:w="0" w:type="dxa"/>
          <w:bottom w:w="0" w:type="dxa"/>
          <w:right w:w="0" w:type="dxa"/>
        </w:tblCellMar>
      </w:tblP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w:t>
            </w:r>
          </w:p>
        </w:tc>
      </w:tr>
      <w:tr>
        <w:trPr>
          <w:trHeight w:val="229"/>
        </w:trPr>
        <w:tc>
          <w:tcPr>
            <w:tcW w:w="1860" w:type="dxa"/>
            <w:vAlign w:val="bottom"/>
          </w:tcPr>
          <w:p>
            <w:pPr>
              <w:ind w:left="20"/>
              <w:spacing w:after="0"/>
              <w:rPr>
                <w:sz w:val="20"/>
                <w:szCs w:val="20"/>
                <w:color w:val="auto"/>
              </w:rPr>
            </w:pPr>
            <w:r>
              <w:rPr>
                <w:rFonts w:ascii="Arial" w:cs="Arial" w:eastAsia="Arial" w:hAnsi="Arial"/>
                <w:sz w:val="18"/>
                <w:szCs w:val="18"/>
                <w:color w:val="auto"/>
              </w:rPr>
              <w:t>2023</w:t>
            </w:r>
          </w:p>
        </w:tc>
        <w:tc>
          <w:tcPr>
            <w:tcW w:w="1740" w:type="dxa"/>
            <w:vAlign w:val="bottom"/>
          </w:tcPr>
          <w:p>
            <w:pPr>
              <w:jc w:val="right"/>
              <w:spacing w:after="0"/>
              <w:rPr>
                <w:sz w:val="20"/>
                <w:szCs w:val="20"/>
                <w:color w:val="auto"/>
              </w:rPr>
            </w:pPr>
            <w:r>
              <w:rPr>
                <w:rFonts w:ascii="Arial" w:cs="Arial" w:eastAsia="Arial" w:hAnsi="Arial"/>
                <w:sz w:val="18"/>
                <w:szCs w:val="18"/>
                <w:color w:val="auto"/>
              </w:rPr>
              <w:t>37,458</w:t>
            </w:r>
          </w:p>
        </w:tc>
      </w:t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33,762</w:t>
            </w:r>
          </w:p>
        </w:tc>
      </w:tr>
      <w:tr>
        <w:trPr>
          <w:trHeight w:val="229"/>
        </w:trPr>
        <w:tc>
          <w:tcPr>
            <w:tcW w:w="1860" w:type="dxa"/>
            <w:vAlign w:val="bottom"/>
          </w:tcPr>
          <w:p>
            <w:pPr>
              <w:ind w:left="20"/>
              <w:spacing w:after="0"/>
              <w:rPr>
                <w:sz w:val="20"/>
                <w:szCs w:val="20"/>
                <w:color w:val="auto"/>
              </w:rPr>
            </w:pPr>
            <w:r>
              <w:rPr>
                <w:rFonts w:ascii="Arial" w:cs="Arial" w:eastAsia="Arial" w:hAnsi="Arial"/>
                <w:sz w:val="18"/>
                <w:szCs w:val="18"/>
                <w:color w:val="auto"/>
              </w:rPr>
              <w:t>2025</w:t>
            </w:r>
          </w:p>
        </w:tc>
        <w:tc>
          <w:tcPr>
            <w:tcW w:w="1740" w:type="dxa"/>
            <w:vAlign w:val="bottom"/>
          </w:tcPr>
          <w:p>
            <w:pPr>
              <w:jc w:val="right"/>
              <w:spacing w:after="0"/>
              <w:rPr>
                <w:sz w:val="20"/>
                <w:szCs w:val="20"/>
                <w:color w:val="auto"/>
              </w:rPr>
            </w:pPr>
            <w:r>
              <w:rPr>
                <w:rFonts w:ascii="Arial" w:cs="Arial" w:eastAsia="Arial" w:hAnsi="Arial"/>
                <w:sz w:val="18"/>
                <w:szCs w:val="18"/>
                <w:color w:val="auto"/>
              </w:rPr>
              <w:t>27,440</w:t>
            </w:r>
          </w:p>
        </w:tc>
      </w:tr>
      <w:tr>
        <w:trPr>
          <w:trHeight w:val="229"/>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23,489</w:t>
            </w: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740" w:type="dxa"/>
            <w:vAlign w:val="bottom"/>
          </w:tcPr>
          <w:p>
            <w:pPr>
              <w:jc w:val="right"/>
              <w:spacing w:after="0"/>
              <w:rPr>
                <w:sz w:val="20"/>
                <w:szCs w:val="20"/>
                <w:color w:val="auto"/>
              </w:rPr>
            </w:pPr>
            <w:r>
              <w:rPr>
                <w:rFonts w:ascii="Arial" w:cs="Arial" w:eastAsia="Arial" w:hAnsi="Arial"/>
                <w:sz w:val="18"/>
                <w:szCs w:val="18"/>
                <w:color w:val="auto"/>
              </w:rPr>
              <w:t>100,492</w:t>
            </w:r>
          </w:p>
        </w:tc>
      </w:tr>
    </w:tbl>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NOTE 8 – LONG-TERM DEBT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26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 net of unamortized debt issuance costs of $3,633 and $4,230, respectively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295,770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Term loan, net of unamortized debt issuance costs of $6,735 and $1,343,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198,657</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Vehicle and equipment notes, maturing through December 2026; payable in various monthly installments,</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67,493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including interest rates ranging from 1.9% to 4.8%</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2"/>
              </w:rPr>
              <w:t>Various notes payable, maturing through March 2025; payable in various monthly installments, including interest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rates ranging from 1.0% to 5.0%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565,312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541,957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Remaining required repayments of debt principal, gross of unamortized debt issuance costs, as of December 31, 2021 are as follows (in thousands):</w:t>
      </w:r>
    </w:p>
    <w:p>
      <w:pPr>
        <w:spacing w:after="0" w:line="399" w:lineRule="exact"/>
        <w:rPr>
          <w:sz w:val="20"/>
          <w:szCs w:val="20"/>
          <w:color w:val="auto"/>
        </w:rPr>
      </w:pPr>
    </w:p>
    <w:tbl>
      <w:tblPr>
        <w:tblLayout w:type="fixed"/>
        <w:tblInd w:w="3820" w:type="dxa"/>
        <w:tblCellMar>
          <w:top w:w="0" w:type="dxa"/>
          <w:left w:w="0" w:type="dxa"/>
          <w:bottom w:w="0" w:type="dxa"/>
          <w:right w:w="0" w:type="dxa"/>
        </w:tblCellMar>
      </w:tblPr>
      <w:tr>
        <w:trPr>
          <w:trHeight w:val="229"/>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w:t>
            </w: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2023</w:t>
            </w:r>
          </w:p>
        </w:tc>
        <w:tc>
          <w:tcPr>
            <w:tcW w:w="1760" w:type="dxa"/>
            <w:vAlign w:val="bottom"/>
          </w:tcPr>
          <w:p>
            <w:pPr>
              <w:jc w:val="right"/>
              <w:spacing w:after="0"/>
              <w:rPr>
                <w:sz w:val="20"/>
                <w:szCs w:val="20"/>
                <w:color w:val="auto"/>
              </w:rPr>
            </w:pPr>
            <w:r>
              <w:rPr>
                <w:rFonts w:ascii="Arial" w:cs="Arial" w:eastAsia="Arial" w:hAnsi="Arial"/>
                <w:sz w:val="18"/>
                <w:szCs w:val="18"/>
                <w:color w:val="auto"/>
              </w:rPr>
              <w:t>24,850</w:t>
            </w:r>
          </w:p>
        </w:tc>
      </w:tr>
      <w:tr>
        <w:trPr>
          <w:trHeight w:val="230"/>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2025</w:t>
            </w:r>
          </w:p>
        </w:tc>
        <w:tc>
          <w:tcPr>
            <w:tcW w:w="1760" w:type="dxa"/>
            <w:vAlign w:val="bottom"/>
          </w:tcPr>
          <w:p>
            <w:pPr>
              <w:jc w:val="right"/>
              <w:spacing w:after="0"/>
              <w:rPr>
                <w:sz w:val="20"/>
                <w:szCs w:val="20"/>
                <w:color w:val="auto"/>
              </w:rPr>
            </w:pPr>
            <w:r>
              <w:rPr>
                <w:rFonts w:ascii="Arial" w:cs="Arial" w:eastAsia="Arial" w:hAnsi="Arial"/>
                <w:sz w:val="18"/>
                <w:szCs w:val="18"/>
                <w:color w:val="auto"/>
              </w:rPr>
              <w:t>15,600</w:t>
            </w:r>
          </w:p>
        </w:tc>
      </w:tr>
      <w:tr>
        <w:trPr>
          <w:trHeight w:val="229"/>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760" w:type="dxa"/>
            <w:vAlign w:val="bottom"/>
          </w:tcPr>
          <w:p>
            <w:pPr>
              <w:jc w:val="right"/>
              <w:spacing w:after="0"/>
              <w:rPr>
                <w:sz w:val="20"/>
                <w:szCs w:val="20"/>
                <w:color w:val="auto"/>
              </w:rPr>
            </w:pPr>
            <w:r>
              <w:rPr>
                <w:rFonts w:ascii="Arial" w:cs="Arial" w:eastAsia="Arial" w:hAnsi="Arial"/>
                <w:sz w:val="18"/>
                <w:szCs w:val="18"/>
                <w:color w:val="auto"/>
              </w:rPr>
              <w:t>775,000</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5.75% Senior Notes due 2028</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September 2019, we issued $300.0 million in aggregate principal amount of 5.75% senior unsecured notes (the “Senior Notes”). The Senior Notes will mature on February 1, 2028 and interest is payable semi-annually in cash in arrears on February 1 and August 1, commencing on February 1, 2020. The net proceeds from the Senior Notes offering were $295.0 million after debt issuance costs.</w:t>
      </w:r>
    </w:p>
    <w:p>
      <w:pPr>
        <w:spacing w:after="0" w:line="13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indenture covering the Senior Notes contains restrictive covenants that, among other things, limit the ability of the Company and certain of our subsidiaries (subject to certain exceptions) to: (i) incur additional debt and issue preferred stock; (ii) pay dividends on, redeem or repurchase stock in an aggregate amount exceeding 2.0% of market capitalization per fiscal year, or in an aggregate amount exceeding certain applicable restricted payment baskets; (iii) prepay subordinated debt; (iv) create liens; (v) make specified types of investments; (vi) apply net proceeds from certain asset sales; (vii) engage in</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transactions with affiliates; (viii) merge, consolidate or sell substantially all of our assets; and (ix) pay dividends and make other distributions from subsidiaries.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Facilities</w:t>
      </w:r>
    </w:p>
    <w:p>
      <w:pPr>
        <w:spacing w:after="0" w:line="1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December 2021, we entered into a new $500 million, seven-year term loan facility due December 2028 (the “Term Loan”) under our credit agreement (the “Term Loan Agreement”), dated as of December 14, 2021 with Royal Bank of Canada as the administrative agent and collateral agent thereunder. The Term Loan amortizes in quarterly principal payments of $1.25 million starting on March 31, 2022, with any remaining unpaid balances due on the maturity date of December 14, 2028. The Term Loan bears interest at either the base rate (which approximates the prime rate) or the Eurodollar rate, plus a margin of (A) 1.25% in the case of base rate loans or (B) 2.25% in the case of Eurodollar rate loans. Proceeds from the Term Loan were used to refinance and repay in full all amounts outstanding under our previous term loan agreement. We intend to use the remaining funds to pay for certain fees and expenses associated with the closing of the Term Loan and for general corporate purposes, including acquisitions and other growth initiatives. As of December 31, 2021, we had $493.3 million, net of unamortized debt issuance costs, due on our Term Loan.</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certain exceptions, the Term Loan will be subject to mandatory prepayments of (i) 100% of the net cash proceeds from issuances or incurrence of debt by the Company or any of its restricted subsidiaries (other than with respect to certain permitted indebtedness (excluding any refinancing indebtedness); (ii) 100% (with step-downs to 50% and 0% based on achievement of specified net leverage ratios) of the net cash proceeds from certain sales or dispositions of assets by the Company or any of its restricted subsidiaries in excess of a certain amount and subject to reinvestment provision and certain other exception; and (iii) 50% (with step-downs to 25% and 0% based upon achievement of specified net leverage ratios) of excess cash flow of the Company and its restricted subsidiaries in excess of $15 million, subject to certain exceptions and limitations.</w:t>
      </w:r>
    </w:p>
    <w:p>
      <w:pPr>
        <w:spacing w:after="0" w:line="1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2019, we entered into an asset-based lending credit agreement (the “ABL Credit Agreement”). The ABL Credit Agreement provides for an asset-based lending credit facility (the “ABL Revolver”) of up to $200.0 million with a five-year maturity. Borrowing availability under the ABL Revolver is based on a percentage of the value of certain assets securing the Company’s obligations and those of the subsidiary guarantors thereunder. In connection with the Term Loan Agreement, we entered into a Third Amendment (the “Third Amendment”) to the Third ABL/Term Loan Intercreditor Agreement with Bank of America, N.A., as ABL Agent for the lenders under the ABL Credit Agreement, and Royal Bank of Canada as collateral agent under the Term Loan Agreement. Including outstanding letters of credit, our remaining availability under the ABL Revolver as of December 31, 2021 was $155.7 million. In February 2022, we amended and extended our ABL Credit Agreement. See Note 19, Subsequent Events, for additional information.</w:t>
      </w:r>
    </w:p>
    <w:p>
      <w:pPr>
        <w:spacing w:after="0" w:line="112"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All of the obligations under the Term Loan and ABL Revolver are guaranteed by all of the Company’s existing restricted subsidiaries and will be guaranteed by the Company’s future restricted subsidiaries. Additionally, all obligations under the Term Loan and ABL Revolver, and the guarantees of those obligations, are secured by substantially all of the assets of the Company and the guarantors, subject to certain exceptions and permitted liens, including a first-priority security interest in such assets that constitute ABL Priority Collateral, as defined in the ABL Credit Agreement, and a second-priority security interest in such assets that constitute Term Loan Priority Collateral, as defined in the Term Loan Agreement.</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Revolver bears interest at either the Eurodollar rate or the base rate (which approximated the prime rate), at the Company’s election, plus a margin of (A) 1.25% or 1.50% in the case of Eurodollar rate loans (based on a measure of availability under the ABL Credit Agreement) and (B) 0.25% or 0.50% in the case of base rate loans (based on a measure of availability under the ABL Credit Agreement).</w:t>
      </w:r>
    </w:p>
    <w:p>
      <w:pPr>
        <w:spacing w:after="0" w:line="13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ABL Revolver also provides incremental revolving credit facility commitments of up to $50.0 million. The terms and conditions of any incremental revolving credit facility commitments must be no more favorable than the terms of the ABL Revolver. The ABL Revolver also allows for the issuance of letters of credit of up to $75.0 million in aggregate and borrowing of swingline loans of up to $20.0 million in aggregate.</w:t>
      </w:r>
    </w:p>
    <w:p>
      <w:pPr>
        <w:spacing w:after="0" w:line="1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ABL Credit Agreement contains a financial covenant requiring the satisfaction of a minimum fixed charge coverage ratio of 1.0x in the event that we do not meet a minimum measure of availability under the ABL Revolver. The ABL Credit Agreement and the Term Loan Agreement contain restrictive covenants that, among other things, limit the ability of the Company and certain of our subsidiaries (subject to certain exceptions) to: (i) incur additional debt and issue preferred stock; (ii) pay dividends on, redeem or repurchase stock in an aggregate amount exceeding 2.0% of market capitalization per fiscal year, or in an aggregate amount exceeding certain applicable restricted payment baskets; (iii) prepay subordinated debt; (iv)</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create liens; (v) make specified types of investments; (vi) apply net proceeds from certain asset sales; (vii) engage in transactions with affiliates; (viii) merge, consolidate or sell substantially all of our assets; and (ix) pay dividends and make other distributions from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Vehicle and Equipment Notes</w:t>
      </w:r>
    </w:p>
    <w:p>
      <w:pPr>
        <w:spacing w:after="0" w:line="13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party to a Master Loan and Security Agreement (“Master Loan and Security Agreement”), a Master Equipment Lease Agreement (“Master Equipment Agreement”) and one or more Master Loan Agreements (“Master Loan Agreements” and together with the Master Loan and Security Agreement and Master Equipment Agreement the “Master Loan Equipment Agreements”) with various lenders to provide financing for the purpose of purchasing or leasing vehicles and equipment used in the normal course of business. Each financing arrangement under these agreements constitutes a separate note and obligation. Vehicles and equipment purchased or leased under each financing arrangement serve as collateral for the note applicable to such financing arrangement. Regular payments are due under each note for a period of typically 60 consecutive months after the incurrence of the obligation. The specific terms of each note are based on specific criteria, including the type of vehicle or equipment and the market interest rates at the time.</w:t>
      </w:r>
    </w:p>
    <w:p>
      <w:pPr>
        <w:spacing w:after="0" w:line="13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Total gross assets relating to our Master Loan and Equipment Agreements were $134.5 million and $132.2 million as of December 31, 2021 and 2020, respectively. The net book value of assets under these agreements was $65.3 million and $65.7 million as of December 31, 2021 and 2020, respectively. Depreciation of assets held under these agreements is included within cost of sales on the Consolidated Statements of Operations and Comprehensive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4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lease various assets in the ordinary course of business as follows: warehouses to store our materials and perform staging activities for certain products we install; various office spaces for selling and administrative activities to support our business; and certain vehicles and equipment to facilitate our operations, including, but not limited to, trucks, forklifts and office equipment.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As of December 31,</w:t>
            </w:r>
          </w:p>
        </w:tc>
      </w:tr>
      <w:tr>
        <w:trPr>
          <w:trHeight w:val="223"/>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4740" w:type="dxa"/>
            <w:vAlign w:val="bottom"/>
            <w:gridSpan w:val="2"/>
          </w:tcPr>
          <w:p>
            <w:pPr>
              <w:ind w:left="1820"/>
              <w:spacing w:after="0"/>
              <w:rPr>
                <w:sz w:val="20"/>
                <w:szCs w:val="20"/>
                <w:color w:val="auto"/>
              </w:rPr>
            </w:pPr>
            <w:r>
              <w:rPr>
                <w:rFonts w:ascii="Arial" w:cs="Arial" w:eastAsia="Arial" w:hAnsi="Arial"/>
                <w:sz w:val="18"/>
                <w:szCs w:val="18"/>
                <w:color w:val="auto"/>
              </w:rPr>
              <w:t>Classification</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2020</w:t>
            </w:r>
          </w:p>
        </w:tc>
      </w:tr>
      <w:tr>
        <w:trPr>
          <w:trHeight w:val="223"/>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4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53,766</w:t>
            </w:r>
          </w:p>
        </w:tc>
      </w:tr>
      <w:tr>
        <w:trPr>
          <w:trHeight w:val="230"/>
        </w:trPr>
        <w:tc>
          <w:tcPr>
            <w:tcW w:w="3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Finance</w:t>
            </w:r>
          </w:p>
        </w:tc>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w:t>
            </w:r>
          </w:p>
        </w:tc>
      </w:tr>
      <w:tr>
        <w:trPr>
          <w:trHeight w:val="223"/>
        </w:trPr>
        <w:tc>
          <w:tcPr>
            <w:tcW w:w="3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lease assets</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58,712</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Current maturities of operating lease obligations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18,758</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Financing</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maturities of finance lease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w:t>
            </w:r>
          </w:p>
        </w:tc>
      </w:tr>
      <w:tr>
        <w:trPr>
          <w:trHeight w:val="230"/>
        </w:trPr>
        <w:tc>
          <w:tcPr>
            <w:tcW w:w="3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Financing</w:t>
            </w:r>
          </w:p>
        </w:tc>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48"/>
        </w:trPr>
        <w:tc>
          <w:tcPr>
            <w:tcW w:w="33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lease liabilities</w:t>
            </w:r>
          </w:p>
        </w:tc>
        <w:tc>
          <w:tcPr>
            <w:tcW w:w="4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57,674</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360" w:type="dxa"/>
            <w:vAlign w:val="bottom"/>
            <w:gridSpan w:val="2"/>
          </w:tcPr>
          <w:p>
            <w:pPr>
              <w:spacing w:after="0"/>
              <w:rPr>
                <w:sz w:val="15"/>
                <w:szCs w:val="15"/>
                <w:color w:val="auto"/>
              </w:rPr>
            </w:pPr>
          </w:p>
        </w:tc>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4.3 years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 years</w:t>
            </w: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 years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years</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230"/>
        </w:trPr>
        <w:tc>
          <w:tcPr>
            <w:tcW w:w="336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4.96 %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5.08 %</w:t>
            </w:r>
          </w:p>
        </w:tc>
      </w:tr>
      <w:tr>
        <w:trPr>
          <w:trHeight w:val="904"/>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Pr>
          <w:p>
            <w:pPr>
              <w:ind w:left="218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related to the lease costs for finance and operating leases during 2021, 2020 and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2380" w:type="dxa"/>
            <w:vAlign w:val="bottom"/>
            <w:gridSpan w:val="2"/>
          </w:tcPr>
          <w:p>
            <w:pPr>
              <w:ind w:left="640"/>
              <w:spacing w:after="0"/>
              <w:rPr>
                <w:sz w:val="20"/>
                <w:szCs w:val="20"/>
                <w:color w:val="auto"/>
              </w:rPr>
            </w:pPr>
            <w:r>
              <w:rPr>
                <w:rFonts w:ascii="Arial" w:cs="Arial" w:eastAsia="Arial" w:hAnsi="Arial"/>
                <w:sz w:val="18"/>
                <w:szCs w:val="18"/>
                <w:color w:val="auto"/>
              </w:rPr>
              <w:t>Classification</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46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21,024</w:t>
            </w: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Amortization of leased assets </w:t>
            </w:r>
            <w:r>
              <w:rPr>
                <w:rFonts w:ascii="Arial" w:cs="Arial" w:eastAsia="Arial" w:hAnsi="Arial"/>
                <w:sz w:val="23"/>
                <w:szCs w:val="23"/>
                <w:color w:val="auto"/>
                <w:vertAlign w:val="superscript"/>
              </w:rPr>
              <w:t>(2)</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r>
      <w:tr>
        <w:trPr>
          <w:trHeight w:val="230"/>
        </w:trPr>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finance lease obligations</w:t>
            </w: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48"/>
        </w:trPr>
        <w:tc>
          <w:tcPr>
            <w:tcW w:w="4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lease costs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right="60" w:hanging="492"/>
        <w:spacing w:after="0" w:line="291" w:lineRule="auto"/>
        <w:tabs>
          <w:tab w:leader="none" w:pos="494"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variable lease costs of $3.0 million, $2.9 million and $2.5 million for the years ended December 31, 2021, 2020 and 2019, respectively, and short-term lease costs of $1.1 million, $0.8 million and $0.9 million for the years ended December 31, 2021, 2020 and 2019, respectively.</w:t>
      </w:r>
    </w:p>
    <w:p>
      <w:pPr>
        <w:ind w:left="480" w:hanging="47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variable lease costs of $0.7 million, $0.7 million and $0.9 million for the years ended December 31, 2021, 2020 and 2019,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supplemental cash flow information related to leases during 2021, 2020 and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17,521</w:t>
            </w: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for finance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Financing cash flows for finance leases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4,157</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Undiscounted Cash Flows</w:t>
      </w:r>
    </w:p>
    <w:p>
      <w:pPr>
        <w:spacing w:after="0" w:line="14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for the finance lease obligations and operating lease obligations recorded on the Consolidated Balance Sheet as of December 31,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Finance Leases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Operating Leases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Related Party</w:t>
            </w:r>
          </w:p>
        </w:tc>
        <w:tc>
          <w:tcPr>
            <w:tcW w:w="120" w:type="dxa"/>
            <w:vAlign w:val="bottom"/>
          </w:tcPr>
          <w:p>
            <w:pPr>
              <w:spacing w:after="0"/>
              <w:rPr>
                <w:sz w:val="19"/>
                <w:szCs w:val="19"/>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w w:val="91"/>
              </w:rPr>
              <w:t>Total Operating</w:t>
            </w:r>
          </w:p>
        </w:tc>
        <w:tc>
          <w:tcPr>
            <w:tcW w:w="240" w:type="dxa"/>
            <w:vAlign w:val="bottom"/>
          </w:tcPr>
          <w:p>
            <w:pPr>
              <w:spacing w:after="0"/>
              <w:rPr>
                <w:sz w:val="19"/>
                <w:szCs w:val="19"/>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25,179</w:t>
            </w:r>
          </w:p>
        </w:tc>
        <w:tc>
          <w:tcPr>
            <w:tcW w:w="240" w:type="dxa"/>
            <w:vAlign w:val="bottom"/>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19,045</w:t>
            </w:r>
          </w:p>
        </w:tc>
        <w:tc>
          <w:tcPr>
            <w:tcW w:w="24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240" w:type="dxa"/>
            <w:vAlign w:val="bottom"/>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7,021</w:t>
            </w:r>
          </w:p>
        </w:tc>
        <w:tc>
          <w:tcPr>
            <w:tcW w:w="24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7,283</w:t>
            </w:r>
          </w:p>
        </w:tc>
        <w:tc>
          <w:tcPr>
            <w:tcW w:w="240" w:type="dxa"/>
            <w:vAlign w:val="bottom"/>
          </w:tcPr>
          <w:p>
            <w:pPr>
              <w:spacing w:after="0"/>
              <w:rPr>
                <w:sz w:val="19"/>
                <w:szCs w:val="19"/>
                <w:color w:val="auto"/>
              </w:rPr>
            </w:pPr>
          </w:p>
        </w:tc>
      </w:tr>
      <w:tr>
        <w:trPr>
          <w:trHeight w:val="223"/>
        </w:trPr>
        <w:tc>
          <w:tcPr>
            <w:tcW w:w="4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74,880</w:t>
            </w:r>
          </w:p>
        </w:tc>
        <w:tc>
          <w:tcPr>
            <w:tcW w:w="240" w:type="dxa"/>
            <w:vAlign w:val="bottom"/>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Less: Amounts representing executory costs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40" w:type="dxa"/>
            <w:vAlign w:val="bottom"/>
          </w:tcPr>
          <w:p>
            <w:pPr>
              <w:spacing w:after="0"/>
              <w:rPr>
                <w:sz w:val="19"/>
                <w:szCs w:val="19"/>
                <w:color w:val="auto"/>
              </w:rPr>
            </w:pP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Present value of future minimum lease payments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69,299</w:t>
            </w:r>
          </w:p>
        </w:tc>
        <w:tc>
          <w:tcPr>
            <w:tcW w:w="24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obligation under leases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240" w:type="dxa"/>
            <w:vAlign w:val="bottom"/>
          </w:tcPr>
          <w:p>
            <w:pPr>
              <w:spacing w:after="0"/>
              <w:rPr>
                <w:sz w:val="19"/>
                <w:szCs w:val="19"/>
                <w:color w:val="auto"/>
              </w:rPr>
            </w:pP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Long-term lease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46,075</w:t>
            </w:r>
          </w:p>
        </w:tc>
        <w:tc>
          <w:tcPr>
            <w:tcW w:w="240" w:type="dxa"/>
            <w:vAlign w:val="bottom"/>
          </w:tcPr>
          <w:p>
            <w:pPr>
              <w:spacing w:after="0"/>
              <w:rPr>
                <w:sz w:val="19"/>
                <w:szCs w:val="19"/>
                <w:color w:val="auto"/>
              </w:rPr>
            </w:pPr>
          </w:p>
        </w:tc>
      </w:tr>
      <w:tr>
        <w:trPr>
          <w:trHeight w:val="21"/>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98"/>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Fair value is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9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ASC 820, “Fair Value Measurement,”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6"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Level 1: Quoted prices (unadjusted) for identical assets or liabilities in active markets that the entity has the ability to access as of the measurement date.</w:t>
      </w:r>
    </w:p>
    <w:p>
      <w:pPr>
        <w:spacing w:after="0" w:line="62"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62"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about the assumptions that market participants would use in pricing an asset or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and Liabilities Measured at Fair Value on a Recurring Basis</w:t>
      </w:r>
    </w:p>
    <w:p>
      <w:pPr>
        <w:spacing w:after="0" w:line="14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many cases, a valuation technique used to measure fair value includes inputs from multiple levels of the fair value hierarchy. The lowest level of significant input determines the placement of the entire fair value measurement in the hierarchy. During the periods presented, there were no transfers between fair value hierarchical levels.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Measured at Fair Value on a Nonrecurring Basis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assets, specifically other intangible and long-lived assets, are measured at fair value on a nonrecurring basis in periods subsequent to initial recognition. Assets measured at fair value on a nonrecurring basis as of December 31, 2021 and 2020 are categorized based on the lowest level of significant input to the valuation. The assets are measured at fair value when our impairment assessment indicates a carrying value for each of the assets in excess of the asset’s estimated fair value. Undiscounted cash flows, a Level 3 input, are utilized in determining estimated fair values. During each of the years ended December 31, 2021, 2020 and 2019, we did not record any impairments on these assets required to be measured at fair value on a nonrecurring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Estimated Fair Value of Financial Instruments</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Accounts receivable, accounts payable and accrued liabilities as of December 31, 2021 and 2020 approximate fair value due to the short-term maturities of these financial instruments. The carrying amounts of certain long-term debt, including the Term Loan and ABL Revolver as of December 31, 2021 and 2020, approximate fair value due to the variable rate nature of the agreements. The carrying amounts of our operating lease right-of-use assets and the obligations associated with our operating and finance leases as well as our vehicle and equipment notes approximate fair value as of December 31, 2021 and 2020. All debt classifications represent Level 2 fair value measurements.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measured at fair value based on observable market information and appropriate valuation methods. Contingent consideration liabilities arise from future earnout payments to the sellers associated with certain acquisitions and are based on predetermined calculations of certain future results. These future payments are estimated by considering various factors, including business risk and projections. The contingent consideration liabilities are measured at fair value by discounting estimated future payments, calculated based on a weighted average of various future forecast scenarios, to their net present value.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values of financial assets and liabilities that are recorded at fair value in the Consolidated Balance Sheets and not described above were as follows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8"/>
              </w:rPr>
              <w:t>As of December 31, 2021</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w w:val="97"/>
              </w:rPr>
              <w:t>As of December 31, 2020</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23"/>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99"/>
              </w:rPr>
              <w:t>Level 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3</w:t>
            </w: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258,055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258,055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170,398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170,398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272,885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6"/>
        </w:trPr>
        <w:tc>
          <w:tcPr>
            <w:tcW w:w="3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Financial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4,004</w:t>
            </w:r>
          </w:p>
        </w:tc>
      </w:tr>
      <w:tr>
        <w:trPr>
          <w:trHeight w:val="229"/>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r>
      <w:tr>
        <w:trPr>
          <w:trHeight w:val="20"/>
        </w:trPr>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5, Cash and Cash Equivalents, for more information on cash equivalents included in the table above. Also see Note 11, Derivatives and Hedging Activities, for more information on derivative financial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fair value of the contingent consideration (a Level 3 input) was as follows (in thousands):</w:t>
      </w:r>
    </w:p>
    <w:p>
      <w:pPr>
        <w:spacing w:after="0" w:line="388" w:lineRule="exact"/>
        <w:rPr>
          <w:sz w:val="20"/>
          <w:szCs w:val="20"/>
          <w:color w:val="auto"/>
        </w:rPr>
      </w:pPr>
    </w:p>
    <w:tbl>
      <w:tblPr>
        <w:tblLayout w:type="fixed"/>
        <w:tblInd w:w="2240" w:type="dxa"/>
        <w:tblCellMar>
          <w:top w:w="0" w:type="dxa"/>
          <w:left w:w="0" w:type="dxa"/>
          <w:bottom w:w="0" w:type="dxa"/>
          <w:right w:w="0" w:type="dxa"/>
        </w:tblCellMar>
      </w:tblPr>
      <w:tr>
        <w:trPr>
          <w:trHeight w:val="22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liability—January 1, 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Preliminary purchase price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8,400</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Accretion in value</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Amounts cancelled</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paid to sellers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48"/>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liability—December 31, 2021</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accretion in value of contingent consideration liabilities is included within administrative expenses on the Consolidated Statements of Operations and Comprehensive Income.</w:t>
      </w:r>
    </w:p>
    <w:p>
      <w:pPr>
        <w:spacing w:after="0" w:line="11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carrying values and associated fair values of financial assets and liabilities that are not recorded at fair value in the Consolidated Balance Sheets and not described above include our Senior Notes. To estimate fair value of our Senior Notes, we utilized third-party quotes which are derived all or in part from model prices, external sources or market prices. The Senior Notes represent a Level 2 fair value measurement and are as follows (in thousands):</w:t>
      </w: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440"/>
              <w:spacing w:after="0"/>
              <w:rPr>
                <w:sz w:val="20"/>
                <w:szCs w:val="20"/>
                <w:color w:val="auto"/>
              </w:rPr>
            </w:pPr>
            <w:r>
              <w:rPr>
                <w:rFonts w:ascii="Arial" w:cs="Arial" w:eastAsia="Arial" w:hAnsi="Arial"/>
                <w:sz w:val="18"/>
                <w:szCs w:val="18"/>
                <w:color w:val="auto"/>
              </w:rPr>
              <w:t>As of December 31, 2021</w:t>
            </w:r>
          </w:p>
        </w:tc>
        <w:tc>
          <w:tcPr>
            <w:tcW w:w="160" w:type="dxa"/>
            <w:vAlign w:val="bottom"/>
          </w:tcPr>
          <w:p>
            <w:pPr>
              <w:spacing w:after="0"/>
              <w:rPr>
                <w:sz w:val="20"/>
                <w:szCs w:val="20"/>
                <w:color w:val="auto"/>
              </w:rPr>
            </w:pPr>
          </w:p>
        </w:tc>
        <w:tc>
          <w:tcPr>
            <w:tcW w:w="2900" w:type="dxa"/>
            <w:vAlign w:val="bottom"/>
            <w:gridSpan w:val="4"/>
          </w:tcPr>
          <w:p>
            <w:pPr>
              <w:jc w:val="right"/>
              <w:ind w:right="530"/>
              <w:spacing w:after="0"/>
              <w:rPr>
                <w:sz w:val="20"/>
                <w:szCs w:val="20"/>
                <w:color w:val="auto"/>
              </w:rPr>
            </w:pPr>
            <w:r>
              <w:rPr>
                <w:rFonts w:ascii="Arial" w:cs="Arial" w:eastAsia="Arial" w:hAnsi="Arial"/>
                <w:sz w:val="18"/>
                <w:szCs w:val="18"/>
                <w:color w:val="auto"/>
              </w:rPr>
              <w:t>As of December 31, 2020</w:t>
            </w:r>
          </w:p>
        </w:tc>
      </w:tr>
      <w:tr>
        <w:trPr>
          <w:trHeight w:val="223"/>
        </w:trPr>
        <w:tc>
          <w:tcPr>
            <w:tcW w:w="1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Carrying Value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Carrying Value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Fair Value</w:t>
            </w:r>
          </w:p>
        </w:tc>
      </w:tr>
      <w:tr>
        <w:trPr>
          <w:trHeight w:val="223"/>
        </w:trPr>
        <w:tc>
          <w:tcPr>
            <w:tcW w:w="16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320,013</w:t>
            </w:r>
          </w:p>
        </w:tc>
      </w:tr>
    </w:tbl>
    <w:p>
      <w:pPr>
        <w:spacing w:after="0" w:line="310" w:lineRule="exact"/>
        <w:rPr>
          <w:sz w:val="20"/>
          <w:szCs w:val="20"/>
          <w:color w:val="auto"/>
        </w:rPr>
      </w:pPr>
    </w:p>
    <w:p>
      <w:pPr>
        <w:ind w:right="5240" w:firstLine="1385"/>
        <w:spacing w:after="0" w:line="648" w:lineRule="auto"/>
        <w:tabs>
          <w:tab w:leader="none" w:pos="1938"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the impact of unamortized debt issuance costs. Also see Note 8, Long-Term Debt, for more information on our Senior Notes.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DERIVATIVES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Management Objective of Using Derivatives</w:t>
      </w:r>
    </w:p>
    <w:p>
      <w:pPr>
        <w:spacing w:after="0" w:line="1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exposed to certain risks arising from both our business operations and economic conditions. We manage exposure to a wide variety of business and operational risks through our core business activities. We manage economic risks, including interest rate, liquidity and credit risk primarily by overseeing the amount, sources and duration of debt funding and the use of derivative financial instruments. Specifically, we have entered into derivative financial instruments to manage exposure to interest rate movements that result in the receipt or payment of future known and uncertain cash amounts, the value of which</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are determined by interest rates. Our derivative financial instruments are used to manage differences in the amount, timing and duration of our known or expected cash receipts and known or expected cash payments principally related to our investments and borrowings.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purpose for using interest rate derivatives is to add stability to interest expense and to manage our exposure to interest rate movements. During the year ended December 31, 2021, we used interest rate swaps to hedge the variable cash flows associated with existing variable-rate debt. Interest rate swaps designated as cash flow hedges involve the receipt of variable amounts from a counterparty in exchange for making fixed-rate payments over the life of the agreements without exchange of the underlying notional amount. We do not use derivatives for trading or speculative purposes and we currently do not have any derivatives that are not designated as hedges. As of December 31, 2021, we have not posted any collateral related to these agreements.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2021, we had three interest rate swaps. One interest rate swap began July 30, 2021 and has a fixed notional amount of $200.0 million, a fixed rate of 0.51% and a maturity date of April 15, 2030. We also had two interest rate swaps that began December 31, 2021, each with a fixed notional amount of $100.0 million, a fixed rate of 1.37%, and a maturity date of December 15, 2028. Together, these three swaps serve to hedge $400.0 million of the variable cash flows on our variable rate Term Loan through maturity. The assets and liabilities associated with these interest rate swaps are included in other non-current assets and other current liabilities on the Consolidated Balance Sheets at their fair value amounts as described in Note 10, Fair Value Measurements.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 ended December 31, 2020, we terminated two then-existing interest rate swaps and one then-existing forward interest rate swap. We settled the terminated swaps by making a cash payment of $17.8 million. This payment is classified within cash flows from operating activities within the Consolidated Statements of Cash Flows for the year ended December 31, 2020. The unrealized loss included in accumulated other comprehensive loss associated with the terminated swaps of $17.8 million at the time of termination will be amortized to interest expense over the course of the originally scheduled settlement dates of the terminated swaps. During the years ended December 31, 2021 and 2020, we amortized $3.2 million and $1.3 million, respectively, of the unrealized loss to interest expense, net.</w:t>
      </w:r>
    </w:p>
    <w:p>
      <w:pPr>
        <w:spacing w:after="0" w:line="13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changes in the fair value of derivatives designated and that qualify as cash flow hedges are recorded in other comprehensive income, net of tax on the Consolidated Statements of Operations and Comprehensive Income and in accumulated other comprehensive income on the Consolidated Balance Sheets and subsequently reclassified into earnings in the period that the hedged forecasted transaction affects earnings. We had no such changes during the years ended December 31, 2021 or 2020.</w:t>
      </w:r>
    </w:p>
    <w:p>
      <w:pPr>
        <w:spacing w:after="0" w:line="1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Amounts reported in accumulated other comprehensive income related to derivatives will be reclassified to interest expense, net as interest payments are made on our variable-rate debt. Over the next twelve months, we estimate that an additional $5.7 million will be reclassified as an increase to interest expense, net.</w:t>
      </w:r>
    </w:p>
    <w:p>
      <w:pPr>
        <w:spacing w:after="0" w:line="13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LIBOR is used as a reference rate for our interest rate swap agreements we use to hedge our interest rate exposure. During the year ended December 31, 2020, we adopted ASU 2020-04, Reference Rate Reform: Facilitation of the Effects of Reference Rate Reform on Financial Reporting (Topic 848). The purpose of this guidance is to provide relief for impacted areas as it relates to impending reference rate reform. We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December 31, 2021 and 2020, we had losses of $0.2 million and $8.8 million, respectively, in accumulated other comprehensive loss on our Consolidated Balance Sheets. The loss as of December 31, 2021 represented the unrealized loss on our terminated interest rate swaps of $9.9 million, net of taxes, less the effective portion of the unrealized gain on our interest rate swaps of $9.7 million, net of taxes. The loss as of December 31, 2020 represented the unrealized loss on our terminated interest rate swaps of $12.2 million, net of tax, less the effective portion of the unrealized gain on our forward interest rate swap of $3.4 million, net of tax. For additional information, see Note 11, Derivatives and Hedging Activities.</w:t>
      </w:r>
    </w:p>
    <w:p>
      <w:pPr>
        <w:spacing w:after="0" w:line="12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board of directors approved a stock repurchase program whereby we are authorized to purchase shares of our outstanding common stock. As of December 31, 2021, we had $100.0 million remaining under this repurchase program. On February 24,</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2022, we announced that our board of directors extended the program end date from March 1, 2022 through March 1, 2023 and authorized an increase in the total amount of our outstanding common stock we can purchase up to $200.0 million. During the year ended December 31, 2020, we repurchased</w:t>
      </w:r>
    </w:p>
    <w:p>
      <w:pPr>
        <w:ind w:right="200"/>
        <w:spacing w:after="0" w:line="253" w:lineRule="auto"/>
        <w:rPr>
          <w:sz w:val="20"/>
          <w:szCs w:val="20"/>
          <w:color w:val="auto"/>
        </w:rPr>
      </w:pPr>
      <w:r>
        <w:rPr>
          <w:rFonts w:ascii="Arial" w:cs="Arial" w:eastAsia="Arial" w:hAnsi="Arial"/>
          <w:sz w:val="18"/>
          <w:szCs w:val="18"/>
          <w:color w:val="auto"/>
        </w:rPr>
        <w:t>633 thousand shares of our outstanding common stock with an aggregate price of approximately $33.9 million, or $53.57 average price per share. We did not repurchase any shares during the year ended December 31, 2021. The effect of these treasury shares reducing the number of common shares outstanding is reflected in our earnings per share calculation. In response to COVID-19, we temporarily suspended our share repurchase program from March 2020 until it was reinstated in November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2021, we declared and paid the following cash dividends (amount declared and amount paid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Declaration Date</w:t>
            </w:r>
          </w:p>
        </w:tc>
        <w:tc>
          <w:tcPr>
            <w:tcW w:w="1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Record Date</w:t>
            </w:r>
          </w:p>
        </w:tc>
        <w:tc>
          <w:tcPr>
            <w:tcW w:w="214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Payment Date</w:t>
            </w: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Dividend Per Share</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Amount Declared</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Amount Paid</w:t>
            </w:r>
          </w:p>
        </w:tc>
      </w:tr>
      <w:tr>
        <w:trPr>
          <w:trHeight w:val="223"/>
        </w:trPr>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2/23/2021</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3/15/2021</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3/31/2021</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8,786</w:t>
            </w:r>
          </w:p>
        </w:tc>
      </w:tr>
      <w:tr>
        <w:trPr>
          <w:trHeight w:val="230"/>
        </w:trPr>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5/5/2021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6/15/2021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r>
      <w:tr>
        <w:trPr>
          <w:trHeight w:val="229"/>
        </w:trPr>
        <w:tc>
          <w:tcPr>
            <w:tcW w:w="1720" w:type="dxa"/>
            <w:vAlign w:val="bottom"/>
          </w:tcPr>
          <w:p>
            <w:pPr>
              <w:jc w:val="right"/>
              <w:spacing w:after="0"/>
              <w:rPr>
                <w:sz w:val="20"/>
                <w:szCs w:val="20"/>
                <w:color w:val="auto"/>
              </w:rPr>
            </w:pPr>
            <w:r>
              <w:rPr>
                <w:rFonts w:ascii="Arial" w:cs="Arial" w:eastAsia="Arial" w:hAnsi="Arial"/>
                <w:sz w:val="18"/>
                <w:szCs w:val="18"/>
                <w:color w:val="auto"/>
              </w:rPr>
              <w:t>8/5/2021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9/15/2021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9/30/2021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8,912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8,821</w:t>
            </w:r>
          </w:p>
        </w:tc>
      </w:tr>
      <w:tr>
        <w:trPr>
          <w:trHeight w:val="229"/>
        </w:trPr>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11/4/2021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12/15/2021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w:t>
            </w: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amount of dividends declared may vary from the amount of dividends paid in a period due to the vesting of restricted stock awards and performance share awards, which accrue dividend equivalent rights that are paid when the award vests. The payment of future dividends will be at the discretion of our board of directors and will depend on our future earnings, capital requirements, financial condition, future prospects, results of operations, contractual restrictions, legal requirements, and other factors deemed relevant by our board of directors. We did not declare or pay any cash dividends on our capital stock during the year ended December 31, 2020.</w:t>
      </w:r>
    </w:p>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credit facilities place restrictions on the amount of dividends and stock repurchases we can make during a fiscal year. See Note 8, Long-Term Debt,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Healthcare</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participate in multiple healthcare plans, the largest of which is partially self-funded with an insurance company paying benefits in excess of stop loss limits per individual/family. Our healthcare benefit expense (net of employee contributions) was approximately $28.4 million, $24.1 million and $21.9 million for the years ended December 31, 2021, 2020 and 2019, respectively, for all plans. An accrual for estimated healthcare claims incurred but not reported (“IBNR”) is included within accrued compensation on the Consolidated Balance Sheets and was $3.3 million and $3.1 million as of December 31, 2021 and 2020,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Workers’ Compensation</w:t>
      </w:r>
    </w:p>
    <w:p>
      <w:pPr>
        <w:spacing w:after="0" w:line="14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participate in multiple workers’ compensation plans. Under these plans, for a significant portion of our business, we use a high deductible program to cover losses above the deductible amount on a per claim basis. We accrue for the estimated losses occurring from both asserted and unasserted claims. Workers’ compensation liability for premiums is included in other current liabilities on the Consolidated Balance Sheets. Insurance claims and reserves include accruals of estimated settlements for known claims, as well as accruals of actuarial estimates of IBNR claims. In estimating these reserves, historical loss experience and judgments about the expected levels of costs per claim are considered. These claims are accounted for based on actuarial estimates of the undiscounted claims, including IBNR. We believe the use of actuarial methods to account for these liabilities provides a consistent and effective way to measure these highly judgmental accruals.</w:t>
      </w:r>
    </w:p>
    <w:p>
      <w:pPr>
        <w:spacing w:after="0" w:line="123"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Workers’ compensation expense totaled $17.6 million, $15.7 million and $15.4 million for the years ended December 31, 2021, 2020 and 2019, respectively, and is included in cost of sales on the Consolidated Statements of Operations and Comprehensive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Workers’ compensation known claims and IBNR reserves included on the Consolidated Balance Sheets were as follows (in thousands):</w:t>
      </w:r>
    </w:p>
    <w:p>
      <w:pPr>
        <w:spacing w:after="0" w:line="144"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As of December 31,</w:t>
            </w:r>
          </w:p>
        </w:tc>
      </w:tr>
      <w:tr>
        <w:trPr>
          <w:trHeight w:val="223"/>
        </w:trPr>
        <w:tc>
          <w:tcPr>
            <w:tcW w:w="4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Included in other current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Included in other long-term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w:t>
            </w:r>
          </w:p>
        </w:tc>
      </w:tr>
      <w:tr>
        <w:trPr>
          <w:trHeight w:val="248"/>
        </w:trPr>
        <w:tc>
          <w:tcPr>
            <w:tcW w:w="4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We also had an insurance receivable for claims that exceeded the stop loss limit for fully insured policies included on the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receivable offsets an equal liability included within the reserve amounts noted above and was as follows (in thousands):</w:t>
      </w:r>
    </w:p>
    <w:p>
      <w:pPr>
        <w:spacing w:after="0" w:line="373"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1928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6" w:lineRule="exact"/>
        <w:rPr>
          <w:sz w:val="20"/>
          <w:szCs w:val="20"/>
          <w:color w:val="auto"/>
        </w:rPr>
      </w:pPr>
    </w:p>
    <w:p>
      <w:pPr>
        <w:ind w:left="6700"/>
        <w:spacing w:after="0"/>
        <w:tabs>
          <w:tab w:leader="none" w:pos="82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wp:posOffset>
            </wp:positionV>
            <wp:extent cx="451739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3" w:lineRule="exact"/>
        <w:rPr>
          <w:sz w:val="20"/>
          <w:szCs w:val="20"/>
          <w:color w:val="auto"/>
        </w:rPr>
      </w:pPr>
    </w:p>
    <w:p>
      <w:pPr>
        <w:ind w:left="2080"/>
        <w:spacing w:after="0"/>
        <w:tabs>
          <w:tab w:leader="none" w:pos="6140" w:val="left"/>
          <w:tab w:leader="none" w:pos="7100" w:val="left"/>
          <w:tab w:leader="none" w:pos="7720" w:val="left"/>
          <w:tab w:leader="none" w:pos="8680" w:val="left"/>
        </w:tabs>
        <w:rPr>
          <w:sz w:val="20"/>
          <w:szCs w:val="20"/>
          <w:color w:val="auto"/>
        </w:rPr>
      </w:pPr>
      <w:r>
        <w:rPr>
          <w:rFonts w:ascii="Arial" w:cs="Arial" w:eastAsia="Arial" w:hAnsi="Arial"/>
          <w:sz w:val="18"/>
          <w:szCs w:val="18"/>
          <w:color w:val="auto"/>
        </w:rPr>
        <w:t>Included in other non-current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2,137</w:t>
        <w:tab/>
        <w:t>$</w:t>
      </w:r>
      <w:r>
        <w:rPr>
          <w:sz w:val="20"/>
          <w:szCs w:val="20"/>
          <w:color w:val="auto"/>
        </w:rPr>
        <w:tab/>
      </w:r>
      <w:r>
        <w:rPr>
          <w:rFonts w:ascii="Arial" w:cs="Arial" w:eastAsia="Arial" w:hAnsi="Arial"/>
          <w:sz w:val="15"/>
          <w:szCs w:val="15"/>
          <w:color w:val="auto"/>
        </w:rPr>
        <w:t>1,854</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 Plans</w:t>
      </w:r>
    </w:p>
    <w:p>
      <w:pPr>
        <w:spacing w:after="0" w:line="13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participate in multiple 401(k) plans, whereby we provide a matching contribution of wages deferred by employees and can also make discretionary contributions to each plan. Certain plans allow for discretionary employer contributions only. These plans cover substantially all our eligible employees. During the years ended December 31, 2021, 2020 and 2019, we recognized 401(k) plan expenses of $2.5 million, $2.2 million and $2.0 million, respectively, which is included in administrative expenses on the accompanying Consolidated Statements of Operations and Comprehensive Income.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Multiemployer Pension Plans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participate in various multiemployer pension plans under collective bargaining agreements in Washington, Oregon, California and Illinois with other companies in the construction industry. These plans cover our union-represented employees and contributions to these plans are expensed as incurred. These plans generally provide for retirement, death and/or termination benefits for eligible employees within the applicable collective bargaining units, based on specific eligibility/participation requirements, vesting periods and benefit formulas. We do not participate in any multiemployer pension plans that are considered to be individually significant.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risks of participating in these multiemployer pension plans are different from single-employer pension plans. For example:</w:t>
      </w:r>
    </w:p>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53"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multiemployer plan, the unfunded obligations of the plan may be borne by the remaining participating employers.</w:t>
      </w:r>
    </w:p>
    <w:p>
      <w:pPr>
        <w:spacing w:after="0" w:line="75"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these multiemployer plans, the employer may be required to pay those plans a withdrawal liability based upon the underfunded status of the plan.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participate in various multiemployer health and welfare plans that cover both active and retired participants. Health care benefits are provided to participants who meet certain eligibility requirements under the applicable collective bargaining unit.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Our contributions to multiemployer pension and health and welfare benefit plans were as follows (in thousands):</w:t>
      </w:r>
    </w:p>
    <w:p>
      <w:pPr>
        <w:spacing w:after="0" w:line="171"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27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Health &amp; welfare plans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48"/>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contributions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increase in contributions for the year ended December 31, 2021 was driven by the acquisition of Alert Insulation in 2021 and a full year of operations for 2020 acquisitions Insulation Contractors/Magellan Insulation and Norkote, Inc. See Note 17, Business Combinations for more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13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periodically grant shares of our common stock under our 2014 Omnibus Incentive Plan to non-employee members of our board of directors and our employees. During the years ended December 31, 2021, 2020 and 2019, we granted approximately four thousand, six thousand and eight thousand shares of restricted stock, respectively, to non-employee members of our board of directors. Substantially all of the stock will vest over a one-year service period.</w:t>
      </w:r>
    </w:p>
    <w:p>
      <w:pPr>
        <w:spacing w:after="0" w:line="9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we granted approximately 0.1 million, 0.2 million and 0.1 million shares of our common stock to employees in each of the years ended December 31, 2021, 2020 and 2019, respectively. Substantially all of the stock will vest in three equal installments (rounded to the nearest whole share) annually over a three-year service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Awards</w:t>
      </w:r>
    </w:p>
    <w:p>
      <w:pPr>
        <w:spacing w:after="0" w:line="14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periodically grant nonvested stock awards subject to performance-based vesting conditions to certain officers. During the year ended December 31, 2021, we issued approximately 0.1 million shares of our common stock which vest in two equal installments on each of April 20, 2022 and April 20, 2023. In addition, during the year ended December 31, 2021, we established, and our board of directors approved, performance-based targets in connection with common stock awards to be issued to certain officers in 2022 contingent upon achievement of these targets.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there are long-term performance-based restricted stock awards to be issued to certain employees annually through 2022 contingent upon achievement of certain performance targets. These awards are accounted for as liability-based awards since they represent a predominantly-fixed monetary amount that will be settled with a variable number of common shares and as such are included in other current liabilities on the Consolidated Balance Sheets. During the years ended December 31, 2021, 2020 and 2019 we granted approximately five thousand, seven thousand and 11 thousand shares of our common stock, respectively, all of which will vest in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2020, we established, and our board of directors approved, performance-based restricted stock units in connection with common stock awards which were issued to certain employees in 2021 based upon achievement of a performance target. In addition, during the year ended December 31, 2021, we established, and our board of directors approved, performance-based restricted stock units in connection with common stock awards to be issued to certain employees in 2022 based upon achievement of a performance target. These units will be accounted for as equity-based awards that will be settled with a fixed number of common shares. During the years ended December 31, 2021, 2020 and 2019 we granted approximately eight thousand, 14 thousand and 14 thousand units, respectively, each of which will vest over a one-year service period.</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6" w:name="page77"/>
    <w:bookmarkEnd w:id="76"/>
    <w:p>
      <w:pPr>
        <w:jc w:val="center"/>
        <w:ind w:right="-17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i w:val="1"/>
                <w:iCs w:val="1"/>
                <w:color w:val="auto"/>
              </w:rPr>
              <w:t>Share-Based Compensation Summary</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60" w:type="dxa"/>
            <w:vAlign w:val="bottom"/>
            <w:gridSpan w:val="4"/>
          </w:tcPr>
          <w:p>
            <w:pPr>
              <w:spacing w:after="0"/>
              <w:rPr>
                <w:sz w:val="20"/>
                <w:szCs w:val="20"/>
                <w:color w:val="auto"/>
              </w:rPr>
            </w:pPr>
            <w:r>
              <w:rPr>
                <w:rFonts w:ascii="Arial" w:cs="Arial" w:eastAsia="Arial" w:hAnsi="Arial"/>
                <w:sz w:val="18"/>
                <w:szCs w:val="18"/>
                <w:color w:val="auto"/>
                <w:w w:val="89"/>
              </w:rPr>
              <w:t>Amounts and changes for each category of equity-based award were as follows: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2200" w:type="dxa"/>
            <w:vAlign w:val="bottom"/>
            <w:gridSpan w:val="5"/>
            <w:vMerge w:val="restart"/>
          </w:tcPr>
          <w:p>
            <w:pPr>
              <w:ind w:left="180"/>
              <w:spacing w:after="0"/>
              <w:rPr>
                <w:sz w:val="20"/>
                <w:szCs w:val="20"/>
                <w:color w:val="auto"/>
              </w:rPr>
            </w:pPr>
            <w:r>
              <w:rPr>
                <w:rFonts w:ascii="Arial" w:cs="Arial" w:eastAsia="Arial" w:hAnsi="Arial"/>
                <w:sz w:val="18"/>
                <w:szCs w:val="18"/>
                <w:color w:val="auto"/>
              </w:rPr>
              <w:t>Common Stock Awards</w:t>
            </w:r>
          </w:p>
        </w:tc>
        <w:tc>
          <w:tcPr>
            <w:tcW w:w="218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Performance-Based Stock</w:t>
            </w:r>
          </w:p>
        </w:tc>
        <w:tc>
          <w:tcPr>
            <w:tcW w:w="2080" w:type="dxa"/>
            <w:vAlign w:val="bottom"/>
            <w:gridSpan w:val="4"/>
          </w:tcPr>
          <w:p>
            <w:pPr>
              <w:jc w:val="right"/>
              <w:ind w:right="250"/>
              <w:spacing w:after="0"/>
              <w:rPr>
                <w:sz w:val="20"/>
                <w:szCs w:val="20"/>
                <w:color w:val="auto"/>
              </w:rPr>
            </w:pPr>
            <w:r>
              <w:rPr>
                <w:rFonts w:ascii="Arial" w:cs="Arial" w:eastAsia="Arial" w:hAnsi="Arial"/>
                <w:sz w:val="18"/>
                <w:szCs w:val="18"/>
                <w:color w:val="auto"/>
              </w:rPr>
              <w:t>Performance-Based</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Awards</w:t>
            </w:r>
          </w:p>
        </w:tc>
        <w:tc>
          <w:tcPr>
            <w:tcW w:w="2080" w:type="dxa"/>
            <w:vAlign w:val="bottom"/>
            <w:gridSpan w:val="4"/>
          </w:tcPr>
          <w:p>
            <w:pPr>
              <w:jc w:val="right"/>
              <w:ind w:right="150"/>
              <w:spacing w:after="0"/>
              <w:rPr>
                <w:sz w:val="20"/>
                <w:szCs w:val="20"/>
                <w:color w:val="auto"/>
              </w:rPr>
            </w:pPr>
            <w:r>
              <w:rPr>
                <w:rFonts w:ascii="Arial" w:cs="Arial" w:eastAsia="Arial" w:hAnsi="Arial"/>
                <w:sz w:val="18"/>
                <w:szCs w:val="18"/>
                <w:color w:val="auto"/>
              </w:rPr>
              <w:t>Restricted Stock Units</w:t>
            </w:r>
          </w:p>
        </w:tc>
        <w:tc>
          <w:tcPr>
            <w:tcW w:w="0" w:type="dxa"/>
            <w:vAlign w:val="bottom"/>
          </w:tcPr>
          <w:p>
            <w:pPr>
              <w:spacing w:after="0"/>
              <w:rPr>
                <w:sz w:val="1"/>
                <w:szCs w:val="1"/>
                <w:color w:val="auto"/>
              </w:rPr>
            </w:pPr>
          </w:p>
        </w:tc>
      </w:tr>
      <w:tr>
        <w:trPr>
          <w:trHeight w:val="169"/>
        </w:trPr>
        <w:tc>
          <w:tcPr>
            <w:tcW w:w="45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ind w:right="30"/>
              <w:spacing w:after="0" w:line="169" w:lineRule="exact"/>
              <w:rPr>
                <w:sz w:val="20"/>
                <w:szCs w:val="20"/>
                <w:color w:val="auto"/>
              </w:rPr>
            </w:pPr>
            <w:r>
              <w:rPr>
                <w:rFonts w:ascii="Arial" w:cs="Arial" w:eastAsia="Arial" w:hAnsi="Arial"/>
                <w:sz w:val="18"/>
                <w:szCs w:val="18"/>
                <w:color w:val="auto"/>
                <w:w w:val="92"/>
              </w:rPr>
              <w:t>Weighted</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ind w:right="10"/>
              <w:spacing w:after="0" w:line="169" w:lineRule="exact"/>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ind w:right="30"/>
              <w:spacing w:after="0" w:line="169"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8"/>
                <w:szCs w:val="18"/>
                <w:color w:val="auto"/>
                <w:w w:val="86"/>
              </w:rPr>
              <w:t>Average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8"/>
              </w:rPr>
              <w:t>Grant Date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0"/>
              </w:rPr>
              <w:t>Grant Date</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8"/>
                <w:szCs w:val="18"/>
                <w:color w:val="auto"/>
                <w:w w:val="90"/>
              </w:rPr>
              <w:t>Fair Value</w:t>
            </w:r>
          </w:p>
        </w:tc>
        <w:tc>
          <w:tcPr>
            <w:tcW w:w="108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line="176" w:lineRule="exact"/>
              <w:rPr>
                <w:sz w:val="20"/>
                <w:szCs w:val="20"/>
                <w:color w:val="auto"/>
              </w:rPr>
            </w:pPr>
            <w:r>
              <w:rPr>
                <w:rFonts w:ascii="Arial" w:cs="Arial" w:eastAsia="Arial" w:hAnsi="Arial"/>
                <w:sz w:val="18"/>
                <w:szCs w:val="18"/>
                <w:color w:val="auto"/>
                <w:w w:val="90"/>
              </w:rPr>
              <w:t>Fair Value</w:t>
            </w:r>
          </w:p>
        </w:tc>
        <w:tc>
          <w:tcPr>
            <w:tcW w:w="110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Per Share</w:t>
            </w:r>
          </w:p>
        </w:tc>
        <w:tc>
          <w:tcPr>
            <w:tcW w:w="10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Per Share</w:t>
            </w:r>
          </w:p>
        </w:tc>
        <w:tc>
          <w:tcPr>
            <w:tcW w:w="11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awards/units at December 31,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231,280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166,961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Vested</w:t>
            </w:r>
          </w:p>
        </w:tc>
        <w:tc>
          <w:tcPr>
            <w:tcW w:w="980" w:type="dxa"/>
            <w:vAlign w:val="bottom"/>
          </w:tcPr>
          <w:p>
            <w:pPr>
              <w:jc w:val="right"/>
              <w:spacing w:after="0"/>
              <w:rPr>
                <w:sz w:val="20"/>
                <w:szCs w:val="20"/>
                <w:color w:val="auto"/>
              </w:rPr>
            </w:pPr>
            <w:r>
              <w:rPr>
                <w:rFonts w:ascii="Arial" w:cs="Arial" w:eastAsia="Arial" w:hAnsi="Arial"/>
                <w:sz w:val="18"/>
                <w:szCs w:val="18"/>
                <w:color w:val="auto"/>
              </w:rPr>
              <w:t>(84,641)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Forfeited/Cancelled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awards/units at December 31,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share-based compensation expense recognized under our 2014 Omnibus Incentive Plan (in thousands):</w:t>
      </w:r>
    </w:p>
    <w:p>
      <w:pPr>
        <w:spacing w:after="0" w:line="30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Years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Awards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Non-Employee Common Stock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Stock Awards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Liability Performance-Based Stock Awards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23"/>
        </w:trPr>
        <w:tc>
          <w:tcPr>
            <w:tcW w:w="46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r>
      <w:tr>
        <w:trPr>
          <w:trHeight w:val="21"/>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following stock compensation expense, by income statement category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2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Selling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r>
      <w:tr>
        <w:trPr>
          <w:trHeight w:val="223"/>
        </w:trPr>
        <w:tc>
          <w:tcPr>
            <w:tcW w:w="20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w:t>
            </w: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stock compensation expense includes all stock compensation earned by our administrative personnel, while cost of sales and selling stock</w:t>
      </w:r>
    </w:p>
    <w:p>
      <w:pPr>
        <w:spacing w:after="0" w:line="7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compensation represents all stock compensation earned by our installation and sales employees, respectively. We recognized windfall tax benefits of $1.7 million and $0.3 million for the years ended December 31, 2021 and 2019, and we recognized a tax shortfall of $0.3 million for the year ended December 31, 2020, respectively, within the income tax provision in the Consolidated Statements of Operations and Comprehensive Income.</w:t>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6" w:right="51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Unrecognized share-based compensation expense related to unvested awards was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color w:val="auto"/>
              </w:rPr>
              <w:t>As of December 31, 2021</w:t>
            </w:r>
          </w:p>
        </w:tc>
      </w:tr>
      <w:tr>
        <w:trPr>
          <w:trHeight w:val="169"/>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0"/>
              </w:rPr>
              <w:t>Unrecognized</w:t>
            </w:r>
          </w:p>
        </w:tc>
        <w:tc>
          <w:tcPr>
            <w:tcW w:w="160" w:type="dxa"/>
            <w:vAlign w:val="bottom"/>
          </w:tcPr>
          <w:p>
            <w:pPr>
              <w:spacing w:after="0"/>
              <w:rPr>
                <w:sz w:val="14"/>
                <w:szCs w:val="14"/>
                <w:color w:val="auto"/>
              </w:rPr>
            </w:pPr>
          </w:p>
        </w:tc>
        <w:tc>
          <w:tcPr>
            <w:tcW w:w="2420" w:type="dxa"/>
            <w:vAlign w:val="bottom"/>
          </w:tcPr>
          <w:p>
            <w:pPr>
              <w:jc w:val="center"/>
              <w:spacing w:after="0" w:line="169" w:lineRule="exact"/>
              <w:rPr>
                <w:sz w:val="20"/>
                <w:szCs w:val="20"/>
                <w:color w:val="auto"/>
              </w:rPr>
            </w:pPr>
            <w:r>
              <w:rPr>
                <w:rFonts w:ascii="Arial" w:cs="Arial" w:eastAsia="Arial" w:hAnsi="Arial"/>
                <w:sz w:val="18"/>
                <w:szCs w:val="18"/>
                <w:color w:val="auto"/>
                <w:w w:val="90"/>
              </w:rPr>
              <w:t>Weighted Average</w:t>
            </w:r>
          </w:p>
        </w:tc>
      </w:tr>
      <w:tr>
        <w:trPr>
          <w:trHeight w:val="175"/>
        </w:trPr>
        <w:tc>
          <w:tcPr>
            <w:tcW w:w="6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7"/>
              </w:rPr>
              <w:t>Compensation Expense</w:t>
            </w:r>
          </w:p>
        </w:tc>
        <w:tc>
          <w:tcPr>
            <w:tcW w:w="160" w:type="dxa"/>
            <w:vAlign w:val="bottom"/>
          </w:tcPr>
          <w:p>
            <w:pPr>
              <w:spacing w:after="0"/>
              <w:rPr>
                <w:sz w:val="15"/>
                <w:szCs w:val="15"/>
                <w:color w:val="auto"/>
              </w:rPr>
            </w:pPr>
          </w:p>
        </w:tc>
        <w:tc>
          <w:tcPr>
            <w:tcW w:w="2420" w:type="dxa"/>
            <w:vAlign w:val="bottom"/>
          </w:tcPr>
          <w:p>
            <w:pPr>
              <w:jc w:val="center"/>
              <w:spacing w:after="0" w:line="176" w:lineRule="exact"/>
              <w:rPr>
                <w:sz w:val="20"/>
                <w:szCs w:val="20"/>
                <w:color w:val="auto"/>
              </w:rPr>
            </w:pPr>
            <w:r>
              <w:rPr>
                <w:rFonts w:ascii="Arial" w:cs="Arial" w:eastAsia="Arial" w:hAnsi="Arial"/>
                <w:sz w:val="18"/>
                <w:szCs w:val="18"/>
                <w:color w:val="auto"/>
                <w:w w:val="90"/>
              </w:rPr>
              <w:t>Remaining</w:t>
            </w:r>
          </w:p>
        </w:tc>
      </w:tr>
      <w:tr>
        <w:trPr>
          <w:trHeight w:val="230"/>
        </w:trPr>
        <w:tc>
          <w:tcPr>
            <w:tcW w:w="6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on Unvested Awards</w:t>
            </w:r>
          </w:p>
        </w:tc>
        <w:tc>
          <w:tcPr>
            <w:tcW w:w="16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 Period</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Awards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16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Performance-Based Stock Awards</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4,832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unrecognized compensation expense related to unvested awards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12,651</w:t>
            </w: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Total unrecognized compensation expense is subject to future adjustments for forfeitures. This expense is expected to be recognized over the remaining weighted-average period shown above on a straight-line basis except for the Performance-Based Stock Awards which uses the graded-vesting method. Shares forfeited are returned as treasury shares and available for future issuances.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years ended December 31, 2021, 2020 and 2019, our employees surrendered approximately 44 thousand, 25 thousand and 45 thousand shares of our common stock under all plans, respectively, to satisfy tax withholding obligations arising in connection with the vesting of common stock awards issued under our 2014 Omnibus Incentive Plan.</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2021, approximately 1.8 million of the 3.0 million shares of common stock authorized for issuance were available for issuance under the 2014 Omnibus Incentive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comprised of (in thousands):</w:t>
      </w:r>
    </w:p>
    <w:p>
      <w:pPr>
        <w:spacing w:after="0" w:line="144"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33,495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14,850</w:t>
            </w: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r>
      <w:tr>
        <w:trPr>
          <w:trHeight w:val="223"/>
        </w:trPr>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18,977</w:t>
            </w: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4,585</w:t>
            </w: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3"/>
        </w:trPr>
        <w:tc>
          <w:tcPr>
            <w:tcW w:w="2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12"/>
          </w:tcPr>
          <w:p>
            <w:pPr>
              <w:spacing w:after="0"/>
              <w:rPr>
                <w:sz w:val="20"/>
                <w:szCs w:val="20"/>
                <w:color w:val="auto"/>
              </w:rPr>
            </w:pPr>
            <w:r>
              <w:rPr>
                <w:rFonts w:ascii="Arial" w:cs="Arial" w:eastAsia="Arial" w:hAnsi="Arial"/>
                <w:sz w:val="18"/>
                <w:szCs w:val="18"/>
                <w:color w:val="auto"/>
                <w:w w:val="91"/>
              </w:rPr>
              <w:t>The reconciliation between our effective tax rate on net income and the federal statutory rate is as follows (dollars in thousands):</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4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88"/>
              </w:rPr>
              <w:t>Years ended December 31,</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auto"/>
            </w:tcBorders>
          </w:tcPr>
          <w:p>
            <w:pPr>
              <w:spacing w:after="0"/>
              <w:rPr>
                <w:sz w:val="19"/>
                <w:szCs w:val="19"/>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at federal statutory rate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32,650</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(1,567)</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items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w:t>
            </w: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4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5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33,938</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24,446</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78" w:name="page79"/>
    <w:bookmarkEnd w:id="78"/>
    <w:p>
      <w:pPr>
        <w:jc w:val="center"/>
        <w:ind w:right="-31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NOTES TO CONSOLIDATED FINANCIAL STATEMENTS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Components of the net deferred tax asset or liability are as follows (in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51"/>
        </w:trPr>
        <w:tc>
          <w:tcPr>
            <w:tcW w:w="1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As of December 31,</w:t>
            </w:r>
          </w:p>
        </w:tc>
      </w:tr>
      <w:tr>
        <w:trPr>
          <w:trHeight w:val="223"/>
        </w:trPr>
        <w:tc>
          <w:tcPr>
            <w:tcW w:w="1660" w:type="dxa"/>
            <w:vAlign w:val="bottom"/>
          </w:tcPr>
          <w:p>
            <w:pPr>
              <w:spacing w:after="0"/>
              <w:rPr>
                <w:sz w:val="19"/>
                <w:szCs w:val="19"/>
                <w:color w:val="auto"/>
              </w:rPr>
            </w:pPr>
          </w:p>
        </w:tc>
        <w:tc>
          <w:tcPr>
            <w:tcW w:w="4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09"/>
        </w:trPr>
        <w:tc>
          <w:tcPr>
            <w:tcW w:w="1660" w:type="dxa"/>
            <w:vAlign w:val="bottom"/>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Long-term</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 and allowances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r>
      <w:tr>
        <w:trPr>
          <w:trHeight w:val="230"/>
        </w:trPr>
        <w:tc>
          <w:tcPr>
            <w:tcW w:w="1660" w:type="dxa"/>
            <w:vAlign w:val="bottom"/>
          </w:tcPr>
          <w:p>
            <w:pPr>
              <w:spacing w:after="0"/>
              <w:rPr>
                <w:sz w:val="19"/>
                <w:szCs w:val="19"/>
                <w:color w:val="auto"/>
              </w:rPr>
            </w:pPr>
          </w:p>
        </w:tc>
        <w:tc>
          <w:tcPr>
            <w:tcW w:w="4900" w:type="dxa"/>
            <w:vAlign w:val="bottom"/>
          </w:tcPr>
          <w:p>
            <w:pPr>
              <w:ind w:left="66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1660" w:type="dxa"/>
            <w:vAlign w:val="bottom"/>
          </w:tcPr>
          <w:p>
            <w:pPr>
              <w:spacing w:after="0"/>
              <w:rPr>
                <w:sz w:val="19"/>
                <w:szCs w:val="19"/>
                <w:color w:val="auto"/>
              </w:rPr>
            </w:pPr>
          </w:p>
        </w:tc>
        <w:tc>
          <w:tcPr>
            <w:tcW w:w="4900" w:type="dxa"/>
            <w:vAlign w:val="bottom"/>
          </w:tcPr>
          <w:p>
            <w:pPr>
              <w:ind w:left="66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r>
      <w:tr>
        <w:trPr>
          <w:trHeight w:val="229"/>
        </w:trPr>
        <w:tc>
          <w:tcPr>
            <w:tcW w:w="1660" w:type="dxa"/>
            <w:vAlign w:val="bottom"/>
          </w:tcPr>
          <w:p>
            <w:pPr>
              <w:spacing w:after="0"/>
              <w:rPr>
                <w:sz w:val="19"/>
                <w:szCs w:val="19"/>
                <w:color w:val="auto"/>
              </w:rPr>
            </w:pPr>
          </w:p>
        </w:tc>
        <w:tc>
          <w:tcPr>
            <w:tcW w:w="4900" w:type="dxa"/>
            <w:vAlign w:val="bottom"/>
          </w:tcPr>
          <w:p>
            <w:pPr>
              <w:ind w:left="6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660" w:type="dxa"/>
            <w:vAlign w:val="bottom"/>
          </w:tcPr>
          <w:p>
            <w:pPr>
              <w:spacing w:after="0"/>
              <w:rPr>
                <w:sz w:val="19"/>
                <w:szCs w:val="19"/>
                <w:color w:val="auto"/>
              </w:rPr>
            </w:pPr>
          </w:p>
        </w:tc>
        <w:tc>
          <w:tcPr>
            <w:tcW w:w="4900" w:type="dxa"/>
            <w:vAlign w:val="bottom"/>
          </w:tcPr>
          <w:p>
            <w:pPr>
              <w:ind w:left="980"/>
              <w:spacing w:after="0"/>
              <w:rPr>
                <w:sz w:val="20"/>
                <w:szCs w:val="20"/>
                <w:color w:val="auto"/>
              </w:rPr>
            </w:pPr>
            <w:r>
              <w:rPr>
                <w:rFonts w:ascii="Arial" w:cs="Arial" w:eastAsia="Arial" w:hAnsi="Arial"/>
                <w:sz w:val="18"/>
                <w:szCs w:val="18"/>
                <w:color w:val="auto"/>
              </w:rPr>
              <w:t>Long-term 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18,579</w:t>
            </w: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23"/>
        </w:trPr>
        <w:tc>
          <w:tcPr>
            <w:tcW w:w="1660" w:type="dxa"/>
            <w:vAlign w:val="bottom"/>
          </w:tcPr>
          <w:p>
            <w:pPr>
              <w:spacing w:after="0"/>
              <w:rPr>
                <w:sz w:val="19"/>
                <w:szCs w:val="19"/>
                <w:color w:val="auto"/>
              </w:rPr>
            </w:pPr>
          </w:p>
        </w:tc>
        <w:tc>
          <w:tcPr>
            <w:tcW w:w="4900" w:type="dxa"/>
            <w:vAlign w:val="bottom"/>
          </w:tcPr>
          <w:p>
            <w:pPr>
              <w:ind w:left="980"/>
              <w:spacing w:after="0"/>
              <w:rPr>
                <w:sz w:val="20"/>
                <w:szCs w:val="20"/>
                <w:color w:val="auto"/>
              </w:rPr>
            </w:pPr>
            <w:r>
              <w:rPr>
                <w:rFonts w:ascii="Arial" w:cs="Arial" w:eastAsia="Arial" w:hAnsi="Arial"/>
                <w:sz w:val="18"/>
                <w:szCs w:val="18"/>
                <w:color w:val="auto"/>
              </w:rPr>
              <w:t>Net 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17,316</w:t>
            </w: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16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Long-term</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 and allowances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1660" w:type="dxa"/>
            <w:vAlign w:val="bottom"/>
          </w:tcPr>
          <w:p>
            <w:pPr>
              <w:spacing w:after="0"/>
              <w:rPr>
                <w:sz w:val="19"/>
                <w:szCs w:val="19"/>
                <w:color w:val="auto"/>
              </w:rPr>
            </w:pPr>
          </w:p>
        </w:tc>
        <w:tc>
          <w:tcPr>
            <w:tcW w:w="4900" w:type="dxa"/>
            <w:vAlign w:val="bottom"/>
          </w:tcPr>
          <w:p>
            <w:pPr>
              <w:ind w:left="66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(4,587)</w:t>
            </w: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r>
      <w:tr>
        <w:trPr>
          <w:trHeight w:val="229"/>
        </w:trPr>
        <w:tc>
          <w:tcPr>
            <w:tcW w:w="1660" w:type="dxa"/>
            <w:vAlign w:val="bottom"/>
          </w:tcPr>
          <w:p>
            <w:pPr>
              <w:spacing w:after="0"/>
              <w:rPr>
                <w:sz w:val="19"/>
                <w:szCs w:val="19"/>
                <w:color w:val="auto"/>
              </w:rPr>
            </w:pPr>
          </w:p>
        </w:tc>
        <w:tc>
          <w:tcPr>
            <w:tcW w:w="4900" w:type="dxa"/>
            <w:vAlign w:val="bottom"/>
          </w:tcPr>
          <w:p>
            <w:pPr>
              <w:ind w:left="660"/>
              <w:spacing w:after="0"/>
              <w:rPr>
                <w:sz w:val="20"/>
                <w:szCs w:val="20"/>
                <w:color w:val="auto"/>
              </w:rPr>
            </w:pPr>
            <w:r>
              <w:rPr>
                <w:rFonts w:ascii="Arial" w:cs="Arial" w:eastAsia="Arial" w:hAnsi="Arial"/>
                <w:sz w:val="18"/>
                <w:szCs w:val="18"/>
                <w:color w:val="auto"/>
              </w:rPr>
              <w:t>Investment in partnership</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(6,660)</w:t>
            </w:r>
          </w:p>
        </w:tc>
      </w:tr>
      <w:tr>
        <w:trPr>
          <w:trHeight w:val="230"/>
        </w:trPr>
        <w:tc>
          <w:tcPr>
            <w:tcW w:w="1660" w:type="dxa"/>
            <w:vAlign w:val="bottom"/>
          </w:tcPr>
          <w:p>
            <w:pPr>
              <w:spacing w:after="0"/>
              <w:rPr>
                <w:sz w:val="19"/>
                <w:szCs w:val="19"/>
                <w:color w:val="auto"/>
              </w:rPr>
            </w:pPr>
          </w:p>
        </w:tc>
        <w:tc>
          <w:tcPr>
            <w:tcW w:w="4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3"/>
        </w:trPr>
        <w:tc>
          <w:tcPr>
            <w:tcW w:w="1660" w:type="dxa"/>
            <w:vAlign w:val="bottom"/>
          </w:tcPr>
          <w:p>
            <w:pPr>
              <w:spacing w:after="0"/>
              <w:rPr>
                <w:sz w:val="19"/>
                <w:szCs w:val="19"/>
                <w:color w:val="auto"/>
              </w:rPr>
            </w:pPr>
          </w:p>
        </w:tc>
        <w:tc>
          <w:tcPr>
            <w:tcW w:w="490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Long-term deferred tax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(16,858)</w:t>
            </w:r>
          </w:p>
        </w:tc>
      </w:tr>
      <w:tr>
        <w:trPr>
          <w:trHeight w:val="248"/>
        </w:trPr>
        <w:tc>
          <w:tcPr>
            <w:tcW w:w="16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0"/>
        </w:trPr>
        <w:tc>
          <w:tcPr>
            <w:tcW w:w="166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6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1660" w:type="dxa"/>
            <w:vAlign w:val="bottom"/>
          </w:tcPr>
          <w:p>
            <w:pPr>
              <w:spacing w:after="0"/>
              <w:rPr>
                <w:sz w:val="15"/>
                <w:szCs w:val="15"/>
                <w:color w:val="auto"/>
              </w:rPr>
            </w:pPr>
          </w:p>
        </w:tc>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The above amounts are included in our Consolidated Balance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30"/>
        </w:trPr>
        <w:tc>
          <w:tcPr>
            <w:tcW w:w="1660" w:type="dxa"/>
            <w:vAlign w:val="bottom"/>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Sheets as follows: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16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166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16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Net deferred tax (liabilities)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0"/>
        </w:trPr>
        <w:tc>
          <w:tcPr>
            <w:tcW w:w="1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2021, we had a deferred tax asset balance of $1.0 million reflecting the benefit of $4.8 million in federal and state income tax net operating loss (NOL) carryforwards, the earliest of which expires in 2030.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Allowance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assess the available positive and negative evidence to estimate if sufficient future taxable income will be generated to utilize the existing deferred tax assets on a jurisdiction and by tax filing entity basis. A significant piece of objective negative evidence evaluated is cumulative losses incurred over the most recent three-year period. Such objective evidence limits our ability to consider other subjective positive evidence such as our projections for future growth.</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this evaluation, a valuation allowance has been recorded as of December 31, 2021 and 2020 for the net deferred tax assets recorded on certain of our wholly owned subsidiaries. Such deferred tax assets relate primarily to net operating losses that are not more likely than not realizable. However, the amount of the deferred tax asset considered realizable could be adjusted if our estimate of future taxable income during the carryforward period changes, or if objective negative evidence in the form of cumulative losses is no longer present. Additional weight may be given to subjective evidence such as our projections for growth in this situation.</w:t>
      </w: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76" w:right="65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Tax Positions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taxation in the United States and various state jurisdictions. As of December 31, 2021, our tax years for 2018 through 2020 are subject to examination by the tax authorities. A rollforward of the gross unrecognized tax benefits is as follows (in thousands):</w:t>
      </w:r>
    </w:p>
    <w:p>
      <w:pPr>
        <w:spacing w:after="0" w:line="333" w:lineRule="exact"/>
        <w:rPr>
          <w:sz w:val="20"/>
          <w:szCs w:val="20"/>
          <w:color w:val="auto"/>
        </w:rPr>
      </w:pPr>
    </w:p>
    <w:tbl>
      <w:tblPr>
        <w:tblLayout w:type="fixed"/>
        <w:tblInd w:w="1240" w:type="dxa"/>
        <w:tblCellMar>
          <w:top w:w="0" w:type="dxa"/>
          <w:left w:w="0" w:type="dxa"/>
          <w:bottom w:w="0" w:type="dxa"/>
          <w:right w:w="0" w:type="dxa"/>
        </w:tblCellMar>
      </w:tblP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January 1, 2019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color w:val="auto"/>
              </w:rPr>
              <w:t>Increase as a result of tax positions taken during the period</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as a result of tax positions taken during the period</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2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Decrease as a result of expiring statutes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December 31, 2019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color w:val="auto"/>
              </w:rPr>
              <w:t>Increase as a result of tax positions taken during the period</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3,822</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as a result of tax positions taken during the period</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r>
      <w:tr>
        <w:trPr>
          <w:trHeight w:val="22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Increase as a result of expiring statutes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December 31, 2020</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Increase as a result of tax positions taken during the period</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as a result of tax positions taken during the period</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30"/>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Decrease as a result of expiring statutes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 December 31, 2021</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unrecognized tax positions would affect the effective tax rate at December 31, 2021. Interest expense and penalties accrued related to uncertain tax positions as of December 31, 2021 are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expect a decrease to the amount of unrecognized tax benefits (exclusive of penalties and interest) within the next twelve months of zero to $2.4 million.</w:t>
      </w:r>
    </w:p>
    <w:p>
      <w:pPr>
        <w:spacing w:after="0" w:line="1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Determining uncertain tax positions and the related estimated amounts requires judgment and carry estimation risk. If future tax law changes or interpretations should come to light, or additional information should become known, our conclusions regarding unrecognized tax benefits may change.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13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sell installation services to other companies related to us through common or affiliated ownership and/or board of directors and/or management relationships. We also purchase services and materials and pay rent to companies with common or related ownership.</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lease our headquarters and certain other facilities from related parties. See Note 9, Leases, for future minimum lease payments to be paid to these related parties.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amount of sales to common or related parties as well as the purchases from and rent expense paid to common or related parties were as follows (in thousands):</w:t>
      </w:r>
    </w:p>
    <w:p>
      <w:pPr>
        <w:spacing w:after="0" w:line="332" w:lineRule="exact"/>
        <w:rPr>
          <w:sz w:val="20"/>
          <w:szCs w:val="20"/>
          <w:color w:val="auto"/>
        </w:rPr>
      </w:pPr>
    </w:p>
    <w:tbl>
      <w:tblPr>
        <w:tblLayout w:type="fixed"/>
        <w:tblInd w:w="23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w:t>
            </w:r>
          </w:p>
        </w:tc>
      </w:tr>
      <w:tr>
        <w:trPr>
          <w:trHeight w:val="229"/>
        </w:trPr>
        <w:tc>
          <w:tcPr>
            <w:tcW w:w="2080" w:type="dxa"/>
            <w:vAlign w:val="bottom"/>
          </w:tcPr>
          <w:p>
            <w:pPr>
              <w:spacing w:after="0"/>
              <w:rPr>
                <w:sz w:val="20"/>
                <w:szCs w:val="20"/>
                <w:color w:val="auto"/>
              </w:rPr>
            </w:pPr>
            <w:r>
              <w:rPr>
                <w:rFonts w:ascii="Arial" w:cs="Arial" w:eastAsia="Arial" w:hAnsi="Arial"/>
                <w:sz w:val="18"/>
                <w:szCs w:val="18"/>
                <w:color w:val="auto"/>
              </w:rPr>
              <w:t>Purchases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1,544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3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bl>
    <w:p>
      <w:pPr>
        <w:spacing w:after="0" w:line="31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At December 31, 2021 and 2020, we had related party balances of approximately $0.9 million and $0.7 million, respectively, included in accounts receivable on our Consolidated Balance Sheets. These balances primarily represent trade accounts receivable arising during the normal course of business with various related parties. M/I Homes, Inc., a customer whose Chairman, President and Chief Executive Officer was a member of our board of directors until his resignation from our board effective March 18, 2020, accounted for a significant portion of our related party sales during the first quarter of the year ended December 31, 2020 as well as the year ended December 31, 2019 while it was classified as a related party to the Company.</w:t>
      </w:r>
    </w:p>
    <w:p>
      <w:pPr>
        <w:sectPr>
          <w:pgSz w:w="11900" w:h="16838" w:orient="portrait"/>
          <w:cols w:equalWidth="0" w:num="1">
            <w:col w:w="11200"/>
          </w:cols>
          <w:pgMar w:left="320" w:top="476" w:right="37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Accrued General Liability and Auto Insurances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Accrued general liability and auto insurance reserves included on the Consolidated Balance Sheets were as follows (in thousands):</w:t>
      </w:r>
    </w:p>
    <w:p>
      <w:pPr>
        <w:spacing w:after="0" w:line="374"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As of December 31,</w:t>
            </w:r>
          </w:p>
        </w:tc>
      </w:tr>
      <w:tr>
        <w:trPr>
          <w:trHeight w:val="223"/>
        </w:trPr>
        <w:tc>
          <w:tcPr>
            <w:tcW w:w="4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Included in other current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Included in other long-term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w:t>
            </w:r>
          </w:p>
        </w:tc>
      </w:tr>
      <w:tr>
        <w:trPr>
          <w:trHeight w:val="248"/>
        </w:trPr>
        <w:tc>
          <w:tcPr>
            <w:tcW w:w="4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300"/>
        <w:spacing w:after="0" w:line="308" w:lineRule="auto"/>
        <w:rPr>
          <w:sz w:val="20"/>
          <w:szCs w:val="20"/>
          <w:color w:val="auto"/>
        </w:rPr>
      </w:pPr>
      <w:r>
        <w:rPr>
          <w:rFonts w:ascii="Arial" w:cs="Arial" w:eastAsia="Arial" w:hAnsi="Arial"/>
          <w:sz w:val="17"/>
          <w:szCs w:val="17"/>
          <w:color w:val="auto"/>
        </w:rPr>
        <w:t>We also had insurance receivables and indemnification assets included on the Consolidated Balance Sheets that, in aggregate, offset equal liabilities included within the reserve amounts noted above. The amounts were as follows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p>
        </w:tc>
        <w:tc>
          <w:tcPr>
            <w:tcW w:w="24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receivables and indemnification assets for claims under fully insured policies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4,400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Insurance receivables for claims that exceeded the stop loss limit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insurance receivables and indemnification assets included in other non-current assets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See Note 9, Leases, for further information on our lease commitments.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 and Contingencies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various claims and litigation are asserted or commenced against us principally arising from contractual matters and personnel and employment disputes. In determining loss contingencies, management considers the likelihood of loss as well as the ability to reasonably estimate the amount of such loss or liability. An estimated loss is recorded when it is considered probable that such a liability has been incurred and when the amount of loss can be reasonably estimated. As litigation is subject to inherent uncertainties, we cannot be certain that we will prevail in these matters. However, we do not believe that the ultimate outcome of any pending matters will have a material adverse effect on our consolidated financial position, results of operations or cash flows.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year ended December 31, 2018, we entered into an agreement with one of our suppliers to purchase a portion of the insulation materials we utilize across our business. This agreement was effective January 1, 2019 through December 31, 2021 with a purchase obligation of $15.0 million for 2021, which we exceeded.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BUSINESS COMBINATIONS</w:t>
      </w:r>
    </w:p>
    <w:p>
      <w:pPr>
        <w:spacing w:after="0" w:line="13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part of our ongoing strategy to expand geographically and increase market share in certain markets, as well as diversify our products and end markets, we completed eleven, nine and six business combinations during the years ended December 31, 2021, 2020 and 2019, respectively, as well as several insignificant tuck-in acquisitions merged into existing operations in 2019, in which we acquired 100% of the voting equity interests in each acquired entity. Acquisition-related costs amounted to $2.8 million, $2.8 million and $2.1 million for the years ended December 31, 2021, 2020 and 2019, respectively, and are included in Administrative expenses on the Consolidated Statements of Operations and Comprehensive Income. The goodwill recognized in conjunction with these business combinations represents the excess cost of the acquired entity over the net amount assigned to assets acquired and liabilities assumed. We expect to deduct $100.5 million of goodwill for tax purposes as a result of 2021 acquisitions.</w:t>
      </w:r>
    </w:p>
    <w:p>
      <w:pPr>
        <w:spacing w:after="0" w:line="11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Below is a summary of each significant acquisition by year, including revenue and net income (loss) since date of acquisition, shown for the year of acquisition. The largest of our 2021 acquisitions were I.W. International Insulation, Inc., dba</w:t>
      </w:r>
    </w:p>
    <w:p>
      <w:pPr>
        <w:sectPr>
          <w:pgSz w:w="11900" w:h="16838" w:orient="portrait"/>
          <w:cols w:equalWidth="0" w:num="1">
            <w:col w:w="11240"/>
          </w:cols>
          <w:pgMar w:left="320" w:top="47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Intermountain West Insulation (“IWI”) in March 2021, Alert Insulation ("Alert") and Alpine Construction Services ("Alpine") in April 2021, General Ceiling &amp; Partitions, Inc. ("GCP") in June 2021, Five Star Building Products, LLC and Five Star Building Products of Southern Utah, LLC (collectively "Five Star") in September 2021, Denison Glass and Mirror, Inc. ("DGM") and CFI Insulation ("CFI") in November 2021, and AMD Distribution ("AMD") in December 2021. In each table, “Other” represents acquisitions that were individually immaterial in that year. Net income (loss), as noted below, includes amortization, taxes and interest allocations when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gridSpan w:val="2"/>
            <w:vMerge w:val="restart"/>
          </w:tcPr>
          <w:p>
            <w:pPr>
              <w:ind w:left="20"/>
              <w:spacing w:after="0"/>
              <w:rPr>
                <w:sz w:val="20"/>
                <w:szCs w:val="20"/>
                <w:color w:val="auto"/>
              </w:rPr>
            </w:pPr>
            <w:r>
              <w:rPr>
                <w:rFonts w:ascii="Arial" w:cs="Arial" w:eastAsia="Arial" w:hAnsi="Arial"/>
                <w:sz w:val="16"/>
                <w:szCs w:val="16"/>
                <w:color w:val="auto"/>
              </w:rPr>
              <w:t>2021 Acquisitions</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4"/>
              </w:rPr>
              <w:t>Date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5"/>
              </w:rPr>
              <w:t>Acquisition Type</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color w:val="auto"/>
              </w:rPr>
              <w:t>Cash Paid</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Seller</w:t>
            </w:r>
          </w:p>
        </w:tc>
        <w:tc>
          <w:tcPr>
            <w:tcW w:w="1140" w:type="dxa"/>
            <w:vAlign w:val="bottom"/>
            <w:gridSpan w:val="3"/>
          </w:tcPr>
          <w:p>
            <w:pPr>
              <w:ind w:left="40"/>
              <w:spacing w:after="0"/>
              <w:rPr>
                <w:sz w:val="20"/>
                <w:szCs w:val="20"/>
                <w:color w:val="auto"/>
              </w:rPr>
            </w:pPr>
            <w:r>
              <w:rPr>
                <w:rFonts w:ascii="Arial" w:cs="Arial" w:eastAsia="Arial" w:hAnsi="Arial"/>
                <w:sz w:val="16"/>
                <w:szCs w:val="16"/>
                <w:color w:val="auto"/>
              </w:rPr>
              <w:t>Total Purchase</w:t>
            </w:r>
          </w:p>
        </w:tc>
        <w:tc>
          <w:tcPr>
            <w:tcW w:w="16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6"/>
                <w:szCs w:val="16"/>
                <w:color w:val="auto"/>
                <w:w w:val="92"/>
              </w:rPr>
              <w:t>Net Income</w:t>
            </w:r>
          </w:p>
        </w:tc>
        <w:tc>
          <w:tcPr>
            <w:tcW w:w="0" w:type="dxa"/>
            <w:vAlign w:val="bottom"/>
          </w:tcPr>
          <w:p>
            <w:pPr>
              <w:spacing w:after="0"/>
              <w:rPr>
                <w:sz w:val="1"/>
                <w:szCs w:val="1"/>
                <w:color w:val="auto"/>
              </w:rPr>
            </w:pPr>
          </w:p>
        </w:tc>
      </w:tr>
      <w:tr>
        <w:trPr>
          <w:trHeight w:val="209"/>
        </w:trPr>
        <w:tc>
          <w:tcPr>
            <w:tcW w:w="30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Obligations</w:t>
            </w: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Price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6"/>
                <w:szCs w:val="16"/>
                <w:color w:val="auto"/>
                <w:w w:val="94"/>
              </w:rPr>
              <w:t>(Loss)</w:t>
            </w:r>
          </w:p>
        </w:tc>
        <w:tc>
          <w:tcPr>
            <w:tcW w:w="0" w:type="dxa"/>
            <w:vAlign w:val="bottom"/>
          </w:tcPr>
          <w:p>
            <w:pPr>
              <w:spacing w:after="0"/>
              <w:rPr>
                <w:sz w:val="1"/>
                <w:szCs w:val="1"/>
                <w:color w:val="auto"/>
              </w:rPr>
            </w:pPr>
          </w:p>
        </w:tc>
      </w:tr>
      <w:tr>
        <w:trPr>
          <w:trHeight w:val="226"/>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IWI</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03/01/2021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Share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Alert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4/13/2021</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Alpine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4/19/2021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GCP</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6/7/2021</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Five Star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9/13/2021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Share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DGM</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11/1/2021</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CFI</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11/22/2021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Share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AMD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12/13/2021</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Various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29,169</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
        </w:trPr>
        <w:tc>
          <w:tcPr>
            <w:tcW w:w="4320" w:type="dxa"/>
            <w:vAlign w:val="bottom"/>
            <w:gridSpan w:val="4"/>
            <w:vMerge w:val="restart"/>
          </w:tcPr>
          <w:p>
            <w:pPr>
              <w:spacing w:after="0"/>
              <w:rPr>
                <w:sz w:val="20"/>
                <w:szCs w:val="20"/>
                <w:color w:val="auto"/>
              </w:rPr>
            </w:pPr>
            <w:r>
              <w:rPr>
                <w:rFonts w:ascii="Arial" w:cs="Arial" w:eastAsia="Arial" w:hAnsi="Arial"/>
                <w:sz w:val="18"/>
                <w:szCs w:val="18"/>
                <w:color w:val="auto"/>
                <w:w w:val="97"/>
              </w:rPr>
              <w:t>For the year ended December 31, 2020 (in thousands):</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32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40" w:type="dxa"/>
            <w:vAlign w:val="bottom"/>
            <w:gridSpan w:val="2"/>
            <w:vMerge w:val="restart"/>
          </w:tcPr>
          <w:p>
            <w:pPr>
              <w:ind w:left="20"/>
              <w:spacing w:after="0"/>
              <w:rPr>
                <w:sz w:val="20"/>
                <w:szCs w:val="20"/>
                <w:color w:val="auto"/>
              </w:rPr>
            </w:pPr>
            <w:r>
              <w:rPr>
                <w:rFonts w:ascii="Arial" w:cs="Arial" w:eastAsia="Arial" w:hAnsi="Arial"/>
                <w:sz w:val="16"/>
                <w:szCs w:val="16"/>
                <w:color w:val="auto"/>
              </w:rPr>
              <w:t>2020 Acquisitions</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4"/>
              </w:rPr>
              <w:t>Date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5"/>
              </w:rPr>
              <w:t>Acquisition Type</w:t>
            </w:r>
          </w:p>
        </w:tc>
        <w:tc>
          <w:tcPr>
            <w:tcW w:w="140" w:type="dxa"/>
            <w:vAlign w:val="bottom"/>
          </w:tcPr>
          <w:p>
            <w:pPr>
              <w:spacing w:after="0"/>
              <w:rPr>
                <w:sz w:val="23"/>
                <w:szCs w:val="2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color w:val="auto"/>
              </w:rPr>
              <w:t>Cash Paid</w:t>
            </w:r>
          </w:p>
        </w:tc>
        <w:tc>
          <w:tcPr>
            <w:tcW w:w="120" w:type="dxa"/>
            <w:vAlign w:val="bottom"/>
          </w:tcPr>
          <w:p>
            <w:pPr>
              <w:spacing w:after="0"/>
              <w:rPr>
                <w:sz w:val="23"/>
                <w:szCs w:val="2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Seller</w:t>
            </w:r>
          </w:p>
        </w:tc>
        <w:tc>
          <w:tcPr>
            <w:tcW w:w="1140" w:type="dxa"/>
            <w:vAlign w:val="bottom"/>
            <w:gridSpan w:val="3"/>
          </w:tcPr>
          <w:p>
            <w:pPr>
              <w:ind w:left="40"/>
              <w:spacing w:after="0"/>
              <w:rPr>
                <w:sz w:val="20"/>
                <w:szCs w:val="20"/>
                <w:color w:val="auto"/>
              </w:rPr>
            </w:pPr>
            <w:r>
              <w:rPr>
                <w:rFonts w:ascii="Arial" w:cs="Arial" w:eastAsia="Arial" w:hAnsi="Arial"/>
                <w:sz w:val="16"/>
                <w:szCs w:val="16"/>
                <w:color w:val="auto"/>
              </w:rPr>
              <w:t>Total Purchase</w:t>
            </w:r>
          </w:p>
        </w:tc>
        <w:tc>
          <w:tcPr>
            <w:tcW w:w="160" w:type="dxa"/>
            <w:vAlign w:val="bottom"/>
          </w:tcPr>
          <w:p>
            <w:pPr>
              <w:spacing w:after="0"/>
              <w:rPr>
                <w:sz w:val="23"/>
                <w:szCs w:val="2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23"/>
                <w:szCs w:val="23"/>
                <w:color w:val="auto"/>
              </w:rPr>
            </w:pPr>
          </w:p>
        </w:tc>
        <w:tc>
          <w:tcPr>
            <w:tcW w:w="900" w:type="dxa"/>
            <w:vAlign w:val="bottom"/>
          </w:tcPr>
          <w:p>
            <w:pPr>
              <w:jc w:val="center"/>
              <w:ind w:right="12"/>
              <w:spacing w:after="0"/>
              <w:rPr>
                <w:sz w:val="20"/>
                <w:szCs w:val="20"/>
                <w:color w:val="auto"/>
              </w:rPr>
            </w:pPr>
            <w:r>
              <w:rPr>
                <w:rFonts w:ascii="Arial" w:cs="Arial" w:eastAsia="Arial" w:hAnsi="Arial"/>
                <w:sz w:val="16"/>
                <w:szCs w:val="16"/>
                <w:color w:val="auto"/>
                <w:w w:val="92"/>
              </w:rPr>
              <w:t>Net Income</w:t>
            </w:r>
          </w:p>
        </w:tc>
        <w:tc>
          <w:tcPr>
            <w:tcW w:w="0" w:type="dxa"/>
            <w:vAlign w:val="bottom"/>
          </w:tcPr>
          <w:p>
            <w:pPr>
              <w:spacing w:after="0"/>
              <w:rPr>
                <w:sz w:val="1"/>
                <w:szCs w:val="1"/>
                <w:color w:val="auto"/>
              </w:rPr>
            </w:pPr>
          </w:p>
        </w:tc>
      </w:tr>
      <w:tr>
        <w:trPr>
          <w:trHeight w:val="209"/>
        </w:trPr>
        <w:tc>
          <w:tcPr>
            <w:tcW w:w="30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Obligations</w:t>
            </w: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Price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6"/>
                <w:szCs w:val="16"/>
                <w:color w:val="auto"/>
                <w:w w:val="94"/>
              </w:rPr>
              <w:t>(Loss)</w:t>
            </w:r>
          </w:p>
        </w:tc>
        <w:tc>
          <w:tcPr>
            <w:tcW w:w="0" w:type="dxa"/>
            <w:vAlign w:val="bottom"/>
          </w:tcPr>
          <w:p>
            <w:pPr>
              <w:spacing w:after="0"/>
              <w:rPr>
                <w:sz w:val="1"/>
                <w:szCs w:val="1"/>
                <w:color w:val="auto"/>
              </w:rPr>
            </w:pPr>
          </w:p>
        </w:tc>
      </w:tr>
      <w:tr>
        <w:trPr>
          <w:trHeight w:val="226"/>
        </w:trPr>
        <w:tc>
          <w:tcPr>
            <w:tcW w:w="2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Royals</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2/29/2020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Asset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Energy One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8/10/2020</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Storm Master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8/31/2020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ICON</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10/13/2020</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Norkote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10/26/2020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WeatherSeal</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11/16/2020</w:t>
            </w:r>
          </w:p>
        </w:tc>
        <w:tc>
          <w:tcPr>
            <w:tcW w:w="12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Various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3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color w:val="auto"/>
              </w:rPr>
              <w:t>2019 Acquisitions</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Date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5"/>
              </w:rPr>
              <w:t>Acquisition Type</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color w:val="auto"/>
              </w:rPr>
              <w:t>Cash Paid</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Seller</w:t>
            </w:r>
          </w:p>
        </w:tc>
        <w:tc>
          <w:tcPr>
            <w:tcW w:w="1140" w:type="dxa"/>
            <w:vAlign w:val="bottom"/>
            <w:gridSpan w:val="3"/>
          </w:tcPr>
          <w:p>
            <w:pPr>
              <w:ind w:left="40"/>
              <w:spacing w:after="0"/>
              <w:rPr>
                <w:sz w:val="20"/>
                <w:szCs w:val="20"/>
                <w:color w:val="auto"/>
              </w:rPr>
            </w:pPr>
            <w:r>
              <w:rPr>
                <w:rFonts w:ascii="Arial" w:cs="Arial" w:eastAsia="Arial" w:hAnsi="Arial"/>
                <w:sz w:val="16"/>
                <w:szCs w:val="16"/>
                <w:color w:val="auto"/>
              </w:rPr>
              <w:t>Total Purchase</w:t>
            </w:r>
          </w:p>
        </w:tc>
        <w:tc>
          <w:tcPr>
            <w:tcW w:w="16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6"/>
                <w:szCs w:val="16"/>
                <w:color w:val="auto"/>
              </w:rPr>
            </w:pPr>
          </w:p>
        </w:tc>
        <w:tc>
          <w:tcPr>
            <w:tcW w:w="920" w:type="dxa"/>
            <w:vAlign w:val="bottom"/>
          </w:tcPr>
          <w:p>
            <w:pPr>
              <w:jc w:val="right"/>
              <w:ind w:right="53"/>
              <w:spacing w:after="0"/>
              <w:rPr>
                <w:sz w:val="20"/>
                <w:szCs w:val="20"/>
                <w:color w:val="auto"/>
              </w:rPr>
            </w:pPr>
            <w:r>
              <w:rPr>
                <w:rFonts w:ascii="Arial" w:cs="Arial" w:eastAsia="Arial" w:hAnsi="Arial"/>
                <w:sz w:val="16"/>
                <w:szCs w:val="16"/>
                <w:color w:val="auto"/>
                <w:w w:val="92"/>
              </w:rPr>
              <w:t>Net Income</w:t>
            </w:r>
          </w:p>
        </w:tc>
        <w:tc>
          <w:tcPr>
            <w:tcW w:w="0" w:type="dxa"/>
            <w:vAlign w:val="bottom"/>
          </w:tcPr>
          <w:p>
            <w:pPr>
              <w:spacing w:after="0"/>
              <w:rPr>
                <w:sz w:val="1"/>
                <w:szCs w:val="1"/>
                <w:color w:val="auto"/>
              </w:rPr>
            </w:pPr>
          </w:p>
        </w:tc>
      </w:tr>
      <w:tr>
        <w:trPr>
          <w:trHeight w:val="209"/>
        </w:trPr>
        <w:tc>
          <w:tcPr>
            <w:tcW w:w="300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Obligations</w:t>
            </w: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Price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33"/>
              <w:spacing w:after="0"/>
              <w:rPr>
                <w:sz w:val="20"/>
                <w:szCs w:val="20"/>
                <w:color w:val="auto"/>
              </w:rPr>
            </w:pPr>
            <w:r>
              <w:rPr>
                <w:rFonts w:ascii="Arial" w:cs="Arial" w:eastAsia="Arial" w:hAnsi="Arial"/>
                <w:sz w:val="16"/>
                <w:szCs w:val="16"/>
                <w:color w:val="auto"/>
              </w:rPr>
              <w:t>(Loss)</w:t>
            </w:r>
          </w:p>
        </w:tc>
        <w:tc>
          <w:tcPr>
            <w:tcW w:w="0" w:type="dxa"/>
            <w:vAlign w:val="bottom"/>
          </w:tcPr>
          <w:p>
            <w:pPr>
              <w:spacing w:after="0"/>
              <w:rPr>
                <w:sz w:val="1"/>
                <w:szCs w:val="1"/>
                <w:color w:val="auto"/>
              </w:rPr>
            </w:pPr>
          </w:p>
        </w:tc>
      </w:tr>
      <w:tr>
        <w:trPr>
          <w:trHeight w:val="226"/>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1st State Insulation</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3/18/2019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Asset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Expert Insulation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6/24/2019</w:t>
            </w:r>
          </w:p>
        </w:tc>
        <w:tc>
          <w:tcPr>
            <w:tcW w:w="100" w:type="dxa"/>
            <w:vAlign w:val="bottom"/>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Premier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11/18/2019</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Share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8"/>
              </w:rPr>
              <w:t>Various</w:t>
            </w:r>
          </w:p>
        </w:tc>
        <w:tc>
          <w:tcPr>
            <w:tcW w:w="13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Asset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jc w:val="center"/>
        <w:ind w:right="-199"/>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Price Allocations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values of the assets acquired and liabilities assumed for the acquisitions, as well as total purchase prices and cash paid, approximated the following (in thousands):</w:t>
      </w:r>
    </w:p>
    <w:p>
      <w:pPr>
        <w:spacing w:after="0" w:line="134"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IWI</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Alert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5"/>
          </w:tcPr>
          <w:p>
            <w:pPr>
              <w:ind w:left="180"/>
              <w:spacing w:after="0"/>
              <w:rPr>
                <w:sz w:val="20"/>
                <w:szCs w:val="20"/>
                <w:color w:val="auto"/>
              </w:rPr>
            </w:pPr>
            <w:r>
              <w:rPr>
                <w:rFonts w:ascii="Arial" w:cs="Arial" w:eastAsia="Arial" w:hAnsi="Arial"/>
                <w:sz w:val="16"/>
                <w:szCs w:val="16"/>
                <w:color w:val="auto"/>
              </w:rPr>
              <w:t>Alpine</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GCP</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Five Star</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96"/>
              </w:rPr>
              <w:t>DGM</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CFI</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3"/>
          </w:tcPr>
          <w:p>
            <w:pPr>
              <w:jc w:val="right"/>
              <w:ind w:right="139"/>
              <w:spacing w:after="0"/>
              <w:rPr>
                <w:sz w:val="20"/>
                <w:szCs w:val="20"/>
                <w:color w:val="auto"/>
              </w:rPr>
            </w:pPr>
            <w:r>
              <w:rPr>
                <w:rFonts w:ascii="Arial" w:cs="Arial" w:eastAsia="Arial" w:hAnsi="Arial"/>
                <w:sz w:val="16"/>
                <w:szCs w:val="16"/>
                <w:color w:val="auto"/>
              </w:rPr>
              <w:t>AMD</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w w:val="99"/>
              </w:rPr>
              <w:t>Other</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values:</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rPr>
              <w:t>Cash</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168</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8"/>
                <w:szCs w:val="18"/>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31,660</w:t>
            </w: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7,540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11,882</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w w:val="99"/>
              </w:rPr>
              <w:t>Property and equipment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932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5,543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129,954</w:t>
            </w: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23,282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89"/>
              </w:rPr>
              <w:t>3,582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56,327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2,063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105,617</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6"/>
              </w:rPr>
              <w:t>Other non-current assets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166"/>
        </w:trPr>
        <w:tc>
          <w:tcPr>
            <w:tcW w:w="1960" w:type="dxa"/>
            <w:vAlign w:val="bottom"/>
          </w:tcPr>
          <w:p>
            <w:pPr>
              <w:ind w:left="240"/>
              <w:spacing w:after="0" w:line="166" w:lineRule="exact"/>
              <w:rPr>
                <w:sz w:val="20"/>
                <w:szCs w:val="20"/>
                <w:color w:val="auto"/>
              </w:rPr>
            </w:pPr>
            <w:r>
              <w:rPr>
                <w:rFonts w:ascii="Arial" w:cs="Arial" w:eastAsia="Arial" w:hAnsi="Arial"/>
                <w:sz w:val="16"/>
                <w:szCs w:val="16"/>
                <w:color w:val="auto"/>
              </w:rPr>
              <w:t>Accounts payable and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auto"/>
              </w:rPr>
              <w:t>(8,416)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6"/>
                <w:szCs w:val="16"/>
                <w:color w:val="auto"/>
              </w:rPr>
              <w:t>(1,184)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3"/>
            <w:vMerge w:val="restart"/>
          </w:tcPr>
          <w:p>
            <w:pPr>
              <w:ind w:left="140"/>
              <w:spacing w:after="0"/>
              <w:rPr>
                <w:sz w:val="20"/>
                <w:szCs w:val="20"/>
                <w:color w:val="auto"/>
              </w:rPr>
            </w:pPr>
            <w:r>
              <w:rPr>
                <w:rFonts w:ascii="Arial" w:cs="Arial" w:eastAsia="Arial" w:hAnsi="Arial"/>
                <w:sz w:val="16"/>
                <w:szCs w:val="16"/>
                <w:color w:val="auto"/>
                <w:w w:val="98"/>
              </w:rPr>
              <w:t>(57)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restart"/>
          </w:tcPr>
          <w:p>
            <w:pPr>
              <w:jc w:val="right"/>
              <w:ind w:right="20"/>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auto"/>
              </w:rPr>
              <w:t>(4,625)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(16,203)</w:t>
            </w:r>
          </w:p>
        </w:tc>
        <w:tc>
          <w:tcPr>
            <w:tcW w:w="0" w:type="dxa"/>
            <w:vAlign w:val="bottom"/>
          </w:tcPr>
          <w:p>
            <w:pPr>
              <w:spacing w:after="0"/>
              <w:rPr>
                <w:sz w:val="1"/>
                <w:szCs w:val="1"/>
                <w:color w:val="auto"/>
              </w:rPr>
            </w:pPr>
          </w:p>
        </w:tc>
      </w:tr>
      <w:tr>
        <w:trPr>
          <w:trHeight w:val="209"/>
        </w:trPr>
        <w:tc>
          <w:tcPr>
            <w:tcW w:w="1960" w:type="dxa"/>
            <w:vAlign w:val="bottom"/>
          </w:tcPr>
          <w:p>
            <w:pPr>
              <w:ind w:left="240"/>
              <w:spacing w:after="0"/>
              <w:rPr>
                <w:sz w:val="20"/>
                <w:szCs w:val="20"/>
                <w:color w:val="auto"/>
              </w:rPr>
            </w:pPr>
            <w:r>
              <w:rPr>
                <w:rFonts w:ascii="Arial" w:cs="Arial" w:eastAsia="Arial" w:hAnsi="Arial"/>
                <w:sz w:val="16"/>
                <w:szCs w:val="16"/>
                <w:color w:val="auto"/>
              </w:rPr>
              <w:t>other current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Deferred income tax</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(2,089)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w w:val="96"/>
              </w:rPr>
              <w:t>Other long-term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149"/>
        </w:trPr>
        <w:tc>
          <w:tcPr>
            <w:tcW w:w="1960" w:type="dxa"/>
            <w:vAlign w:val="bottom"/>
            <w:tcBorders>
              <w:top w:val="single" w:sz="8" w:color="CCEEFF"/>
            </w:tcBorders>
            <w:shd w:val="clear" w:color="auto" w:fill="CCEEFF"/>
          </w:tcPr>
          <w:p>
            <w:pPr>
              <w:ind w:left="240"/>
              <w:spacing w:after="0" w:line="148" w:lineRule="exact"/>
              <w:rPr>
                <w:sz w:val="20"/>
                <w:szCs w:val="20"/>
                <w:color w:val="auto"/>
              </w:rPr>
            </w:pPr>
            <w:r>
              <w:rPr>
                <w:rFonts w:ascii="Arial" w:cs="Arial" w:eastAsia="Arial" w:hAnsi="Arial"/>
                <w:sz w:val="16"/>
                <w:szCs w:val="16"/>
                <w:color w:val="auto"/>
              </w:rPr>
              <w:t>Fair value of assets</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acquired and purchase</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48,057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8,830</w:t>
            </w:r>
          </w:p>
        </w:tc>
        <w:tc>
          <w:tcPr>
            <w:tcW w:w="920" w:type="dxa"/>
            <w:vAlign w:val="bottom"/>
            <w:gridSpan w:val="6"/>
            <w:vMerge w:val="restart"/>
            <w:shd w:val="clear" w:color="auto" w:fill="CCEEFF"/>
          </w:tcPr>
          <w:p>
            <w:pPr>
              <w:jc w:val="right"/>
              <w:spacing w:after="0"/>
              <w:rPr>
                <w:sz w:val="20"/>
                <w:szCs w:val="20"/>
                <w:color w:val="auto"/>
              </w:rPr>
            </w:pPr>
            <w:r>
              <w:rPr>
                <w:rFonts w:ascii="Arial" w:cs="Arial" w:eastAsia="Arial" w:hAnsi="Arial"/>
                <w:sz w:val="16"/>
                <w:szCs w:val="16"/>
                <w:color w:val="auto"/>
              </w:rPr>
              <w:t>10,153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11,127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13,703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14,595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126,121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7,824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272,184</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price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20" w:type="dxa"/>
            <w:vAlign w:val="bottom"/>
            <w:gridSpan w:val="6"/>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seller obligations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2,208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1,427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6,631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1,284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29,169</w:t>
            </w:r>
          </w:p>
        </w:tc>
        <w:tc>
          <w:tcPr>
            <w:tcW w:w="0" w:type="dxa"/>
            <w:vAlign w:val="bottom"/>
          </w:tcPr>
          <w:p>
            <w:pPr>
              <w:spacing w:after="0"/>
              <w:rPr>
                <w:sz w:val="1"/>
                <w:szCs w:val="1"/>
                <w:color w:val="auto"/>
              </w:rPr>
            </w:pPr>
          </w:p>
        </w:tc>
      </w:tr>
      <w:tr>
        <w:trPr>
          <w:trHeight w:val="232"/>
        </w:trPr>
        <w:tc>
          <w:tcPr>
            <w:tcW w:w="1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Cash paid</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42,098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7,945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9,700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13,450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119,490</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6,540</w:t>
            </w:r>
          </w:p>
        </w:tc>
        <w:tc>
          <w:tcPr>
            <w:tcW w:w="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243,015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ind w:left="599"/>
              <w:spacing w:after="0"/>
              <w:rPr>
                <w:sz w:val="20"/>
                <w:szCs w:val="20"/>
                <w:color w:val="auto"/>
              </w:rPr>
            </w:pPr>
            <w:r>
              <w:rPr>
                <w:rFonts w:ascii="Arial" w:cs="Arial" w:eastAsia="Arial" w:hAnsi="Arial"/>
                <w:sz w:val="16"/>
                <w:szCs w:val="16"/>
                <w:color w:val="auto"/>
                <w:w w:val="89"/>
              </w:rPr>
              <w:t>2020</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ind w:right="199"/>
              <w:spacing w:after="0"/>
              <w:rPr>
                <w:sz w:val="20"/>
                <w:szCs w:val="20"/>
                <w:color w:val="auto"/>
              </w:rPr>
            </w:pPr>
            <w:r>
              <w:rPr>
                <w:rFonts w:ascii="Arial" w:cs="Arial" w:eastAsia="Arial" w:hAnsi="Arial"/>
                <w:sz w:val="16"/>
                <w:szCs w:val="16"/>
                <w:color w:val="auto"/>
              </w:rPr>
              <w:t>Royals</w:t>
            </w:r>
          </w:p>
        </w:tc>
        <w:tc>
          <w:tcPr>
            <w:tcW w:w="100" w:type="dxa"/>
            <w:vAlign w:val="bottom"/>
          </w:tcPr>
          <w:p>
            <w:pPr>
              <w:spacing w:after="0"/>
              <w:rPr>
                <w:sz w:val="18"/>
                <w:szCs w:val="18"/>
                <w:color w:val="auto"/>
              </w:rPr>
            </w:pPr>
          </w:p>
        </w:tc>
        <w:tc>
          <w:tcPr>
            <w:tcW w:w="1000" w:type="dxa"/>
            <w:vAlign w:val="bottom"/>
            <w:gridSpan w:val="4"/>
          </w:tcPr>
          <w:p>
            <w:pPr>
              <w:jc w:val="right"/>
              <w:ind w:right="19"/>
              <w:spacing w:after="0"/>
              <w:rPr>
                <w:sz w:val="20"/>
                <w:szCs w:val="20"/>
                <w:color w:val="auto"/>
              </w:rPr>
            </w:pPr>
            <w:r>
              <w:rPr>
                <w:rFonts w:ascii="Arial" w:cs="Arial" w:eastAsia="Arial" w:hAnsi="Arial"/>
                <w:sz w:val="16"/>
                <w:szCs w:val="16"/>
                <w:color w:val="auto"/>
              </w:rPr>
              <w:t>Energy One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6"/>
                <w:szCs w:val="16"/>
                <w:color w:val="auto"/>
                <w:w w:val="97"/>
              </w:rPr>
              <w:t>Storm Master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color w:val="auto"/>
              </w:rPr>
              <w:t>ICON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5"/>
          </w:tcPr>
          <w:p>
            <w:pPr>
              <w:ind w:left="80"/>
              <w:spacing w:after="0"/>
              <w:rPr>
                <w:sz w:val="20"/>
                <w:szCs w:val="20"/>
                <w:color w:val="auto"/>
              </w:rPr>
            </w:pPr>
            <w:r>
              <w:rPr>
                <w:rFonts w:ascii="Arial" w:cs="Arial" w:eastAsia="Arial" w:hAnsi="Arial"/>
                <w:sz w:val="16"/>
                <w:szCs w:val="16"/>
                <w:color w:val="auto"/>
              </w:rPr>
              <w:t>Norkote</w:t>
            </w:r>
          </w:p>
        </w:tc>
        <w:tc>
          <w:tcPr>
            <w:tcW w:w="1120" w:type="dxa"/>
            <w:vAlign w:val="bottom"/>
            <w:gridSpan w:val="4"/>
          </w:tcPr>
          <w:p>
            <w:pPr>
              <w:jc w:val="right"/>
              <w:ind w:right="59"/>
              <w:spacing w:after="0"/>
              <w:rPr>
                <w:sz w:val="20"/>
                <w:szCs w:val="20"/>
                <w:color w:val="auto"/>
              </w:rPr>
            </w:pPr>
            <w:r>
              <w:rPr>
                <w:rFonts w:ascii="Arial" w:cs="Arial" w:eastAsia="Arial" w:hAnsi="Arial"/>
                <w:sz w:val="16"/>
                <w:szCs w:val="16"/>
                <w:color w:val="auto"/>
              </w:rPr>
              <w:t>WeatherSeal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2,848</w:t>
            </w:r>
          </w:p>
        </w:tc>
        <w:tc>
          <w:tcPr>
            <w:tcW w:w="62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3,357</w:t>
            </w:r>
          </w:p>
        </w:tc>
        <w:tc>
          <w:tcPr>
            <w:tcW w:w="4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2,362</w:t>
            </w:r>
          </w:p>
        </w:tc>
        <w:tc>
          <w:tcPr>
            <w:tcW w:w="34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1,926</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865</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17,605</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305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2"/>
              </w:rPr>
              <w:t>444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rPr>
              <w:t>Other current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w w:val="89"/>
              </w:rPr>
              <w:t>430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w w:val="82"/>
              </w:rPr>
              <w:t>178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9"/>
              </w:rPr>
              <w:t>Property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598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2"/>
              </w:rPr>
              <w:t>584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w:t>
            </w: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rPr>
              <w:t>Intangibles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3,930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6,500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8,720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5,310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5,450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46,223</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21,305</w:t>
            </w:r>
          </w:p>
        </w:tc>
        <w:tc>
          <w:tcPr>
            <w:tcW w:w="0" w:type="dxa"/>
            <w:vAlign w:val="bottom"/>
          </w:tcPr>
          <w:p>
            <w:pPr>
              <w:spacing w:after="0"/>
              <w:rPr>
                <w:sz w:val="1"/>
                <w:szCs w:val="1"/>
                <w:color w:val="auto"/>
              </w:rPr>
            </w:pPr>
          </w:p>
        </w:tc>
      </w:tr>
      <w:tr>
        <w:trPr>
          <w:trHeight w:val="213"/>
        </w:trPr>
        <w:tc>
          <w:tcPr>
            <w:tcW w:w="1960" w:type="dxa"/>
            <w:vAlign w:val="bottom"/>
          </w:tcPr>
          <w:p>
            <w:pPr>
              <w:ind w:left="240"/>
              <w:spacing w:after="0"/>
              <w:rPr>
                <w:sz w:val="20"/>
                <w:szCs w:val="20"/>
                <w:color w:val="auto"/>
              </w:rPr>
            </w:pPr>
            <w:r>
              <w:rPr>
                <w:rFonts w:ascii="Arial" w:cs="Arial" w:eastAsia="Arial" w:hAnsi="Arial"/>
                <w:sz w:val="16"/>
                <w:szCs w:val="16"/>
                <w:color w:val="auto"/>
                <w:w w:val="96"/>
              </w:rPr>
              <w:t>Other non-current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rPr>
              <w:t>Accounts payable and</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(1,469)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(1,336)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w w:val="91"/>
              </w:rPr>
              <w:t>(86)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(4,641)</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w w:val="96"/>
              </w:rPr>
              <w:t>Other long-term liabilities</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8"/>
              </w:rPr>
              <w:t>(35)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1"/>
              </w:rPr>
              <w:t>(46)</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40"/>
              <w:spacing w:after="0" w:line="148" w:lineRule="exact"/>
              <w:rPr>
                <w:sz w:val="20"/>
                <w:szCs w:val="20"/>
                <w:color w:val="auto"/>
              </w:rPr>
            </w:pPr>
            <w:r>
              <w:rPr>
                <w:rFonts w:ascii="Arial" w:cs="Arial" w:eastAsia="Arial" w:hAnsi="Arial"/>
                <w:sz w:val="16"/>
                <w:szCs w:val="16"/>
                <w:color w:val="auto"/>
              </w:rPr>
              <w:t>Fair value of assets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acquired and purchase</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10,090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w w:val="85"/>
              </w:rPr>
              <w:t>14,791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14,336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11,151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9,244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90,532</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price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seller obligations</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1,591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2,426</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922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14,086</w:t>
            </w:r>
          </w:p>
        </w:tc>
        <w:tc>
          <w:tcPr>
            <w:tcW w:w="0" w:type="dxa"/>
            <w:vAlign w:val="bottom"/>
          </w:tcPr>
          <w:p>
            <w:pPr>
              <w:spacing w:after="0"/>
              <w:rPr>
                <w:sz w:val="1"/>
                <w:szCs w:val="1"/>
                <w:color w:val="auto"/>
              </w:rPr>
            </w:pPr>
          </w:p>
        </w:tc>
      </w:tr>
      <w:tr>
        <w:trPr>
          <w:trHeight w:val="233"/>
        </w:trPr>
        <w:tc>
          <w:tcPr>
            <w:tcW w:w="1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62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5"/>
              </w:rPr>
              <w:t>13,200</w:t>
            </w:r>
          </w:p>
        </w:tc>
        <w:tc>
          <w:tcPr>
            <w:tcW w:w="4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76" w:right="5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1st State</w:t>
            </w:r>
          </w:p>
        </w:tc>
        <w:tc>
          <w:tcPr>
            <w:tcW w:w="22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Expert</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Premier</w:t>
            </w:r>
          </w:p>
        </w:tc>
        <w:tc>
          <w:tcPr>
            <w:tcW w:w="22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2,666</w:t>
            </w:r>
          </w:p>
        </w:tc>
      </w:tr>
      <w:tr>
        <w:trPr>
          <w:trHeight w:val="229"/>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2,987</w:t>
            </w:r>
          </w:p>
        </w:tc>
      </w:tr>
      <w:tr>
        <w:trPr>
          <w:trHeight w:val="230"/>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28,041</w:t>
            </w: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22,318</w:t>
            </w:r>
          </w:p>
        </w:tc>
      </w:tr>
      <w:tr>
        <w:trPr>
          <w:trHeight w:val="229"/>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r>
      <w:tr>
        <w:trPr>
          <w:trHeight w:val="223"/>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of assets acquired and purchase price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59,583</w:t>
            </w:r>
          </w:p>
        </w:tc>
      </w:tr>
      <w:tr>
        <w:trPr>
          <w:trHeight w:val="230"/>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seller obligations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r>
      <w:tr>
        <w:trPr>
          <w:trHeight w:val="248"/>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Contingent consideration is included as “seller obligations” in the above table or within “fair value of assets acquired” if subsequently paid during the period presented. These contingent payments consist primarily of earnouts based on performance that are recorded at fair value at the time of acquisition, and/or non-compete agreements and amounts based on working capital calculations. When these payments are expected to be made over one year from the acquisition date, the contingent consideration is discounted to net present value of future payments based on a weighted average of various future forecast scenarios.</w:t>
      </w:r>
    </w:p>
    <w:p>
      <w:pPr>
        <w:spacing w:after="0" w:line="13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Further adjustments to the allocation for each acquisition still under its measurement period are expected as third-party or internal valuations are finalized, certain tax aspects of the transaction are completed, contingent consideration is settled, and customary post-closing reviews are concluded during the measurement period attributable to each individual business combination. As a result, insignificant adjustments to the fair value of assets acquired, and in some cases total purchase price, have been made to certain business combinations since the date of acquisition and future adjustments may be made through the end of each measurement period. Goodwill and intangibles per the above table may not agree to the total gross increases of these assets as shown in Note 7, Goodwill and Intangibles, during the years ended December 31, 2021, 2020 and 2019 due to minor adjustments to goodwill for the allocation of certain acquisitions still under measurement as well as other immaterial intangible assets added during the ordinary course of business. In addition, goodwill and intangibles increased during the year ended December 31, 2019 due to various small acquisitions merged into existing operations that do not appear in the above tables.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Estimates of acquired intangible assets related to the acquisitions are as follows (dollars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8"/>
                <w:szCs w:val="18"/>
                <w:color w:val="auto"/>
                <w:w w:val="91"/>
              </w:rPr>
              <w:t>Estimated Fair</w:t>
            </w: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Estimated</w:t>
            </w: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8"/>
                <w:szCs w:val="18"/>
                <w:color w:val="auto"/>
                <w:w w:val="91"/>
              </w:rPr>
              <w:t>Estimated Fair</w:t>
            </w: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Estimated</w:t>
            </w:r>
          </w:p>
        </w:tc>
        <w:tc>
          <w:tcPr>
            <w:tcW w:w="1460" w:type="dxa"/>
            <w:vAlign w:val="bottom"/>
            <w:gridSpan w:val="4"/>
            <w:vMerge w:val="restart"/>
          </w:tcPr>
          <w:p>
            <w:pPr>
              <w:jc w:val="center"/>
              <w:ind w:right="280"/>
              <w:spacing w:after="0"/>
              <w:rPr>
                <w:sz w:val="20"/>
                <w:szCs w:val="20"/>
                <w:color w:val="auto"/>
              </w:rPr>
            </w:pPr>
            <w:r>
              <w:rPr>
                <w:rFonts w:ascii="Arial" w:cs="Arial" w:eastAsia="Arial" w:hAnsi="Arial"/>
                <w:sz w:val="18"/>
                <w:szCs w:val="18"/>
                <w:color w:val="auto"/>
                <w:w w:val="91"/>
              </w:rPr>
              <w:t>Estimated Fair</w:t>
            </w: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175"/>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Acquired intangibles assets</w:t>
            </w:r>
          </w:p>
        </w:tc>
        <w:tc>
          <w:tcPr>
            <w:tcW w:w="1440" w:type="dxa"/>
            <w:vAlign w:val="bottom"/>
            <w:gridSpan w:val="4"/>
            <w:vMerge w:val="continue"/>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6"/>
              </w:rPr>
              <w:t>Useful Life</w:t>
            </w:r>
          </w:p>
        </w:tc>
        <w:tc>
          <w:tcPr>
            <w:tcW w:w="1440" w:type="dxa"/>
            <w:vAlign w:val="bottom"/>
            <w:gridSpan w:val="4"/>
            <w:vMerge w:val="continue"/>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6"/>
              </w:rPr>
              <w:t>Useful Life</w:t>
            </w:r>
          </w:p>
        </w:tc>
        <w:tc>
          <w:tcPr>
            <w:tcW w:w="1460" w:type="dxa"/>
            <w:vAlign w:val="bottom"/>
            <w:gridSpan w:val="4"/>
            <w:vMerge w:val="continue"/>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6"/>
              </w:rPr>
              <w:t>Useful Life</w:t>
            </w:r>
          </w:p>
        </w:tc>
        <w:tc>
          <w:tcPr>
            <w:tcW w:w="0" w:type="dxa"/>
            <w:vAlign w:val="bottom"/>
          </w:tcPr>
          <w:p>
            <w:pPr>
              <w:spacing w:after="0"/>
              <w:rPr>
                <w:sz w:val="1"/>
                <w:szCs w:val="1"/>
                <w:color w:val="auto"/>
              </w:rPr>
            </w:pPr>
          </w:p>
        </w:tc>
      </w:tr>
      <w:tr>
        <w:trPr>
          <w:trHeight w:val="230"/>
        </w:trPr>
        <w:tc>
          <w:tcPr>
            <w:tcW w:w="3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Value</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(yrs)</w:t>
            </w:r>
          </w:p>
        </w:tc>
        <w:tc>
          <w:tcPr>
            <w:tcW w:w="240" w:type="dxa"/>
            <w:vAlign w:val="bottom"/>
          </w:tcPr>
          <w:p>
            <w:pPr>
              <w:spacing w:after="0"/>
              <w:rPr>
                <w:sz w:val="19"/>
                <w:szCs w:val="19"/>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86"/>
              </w:rPr>
              <w:t>Value</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(yrs)</w:t>
            </w:r>
          </w:p>
        </w:tc>
        <w:tc>
          <w:tcPr>
            <w:tcW w:w="240" w:type="dxa"/>
            <w:vAlign w:val="bottom"/>
          </w:tcPr>
          <w:p>
            <w:pPr>
              <w:spacing w:after="0"/>
              <w:rPr>
                <w:sz w:val="19"/>
                <w:szCs w:val="19"/>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Value</w:t>
            </w: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4"/>
              </w:rPr>
              <w:t>(yrs)</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Backlog</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Information (unaudited)</w:t>
      </w:r>
    </w:p>
    <w:p>
      <w:pPr>
        <w:spacing w:after="0" w:line="13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unaudited pro forma information has been prepared as if the 2021 acquisitions had taken place on January 1, 2020, the 2020 acquisitions had taken place on January 1, 2019 and the 2019 acquisitions had taken place on January 1, 2018. The unaudited pro forma information is not necessarily indicative of the results that we would have achieved had the transactions actually taken place on January 1, 2020, 2019 and 2018 and the unaudited pro forma information does not purport to be indicative of future financial operating results (in thousands, except for per share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INSTALLED BUILDING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660" w:type="dxa"/>
        <w:tblCellMar>
          <w:top w:w="0" w:type="dxa"/>
          <w:left w:w="0" w:type="dxa"/>
          <w:bottom w:w="0" w:type="dxa"/>
          <w:right w:w="0" w:type="dxa"/>
        </w:tblCellMar>
      </w:tblPr>
      <w:tr>
        <w:trPr>
          <w:trHeight w:val="237"/>
        </w:trPr>
        <w:tc>
          <w:tcPr>
            <w:tcW w:w="3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9"/>
        </w:trPr>
        <w:tc>
          <w:tcPr>
            <w:tcW w:w="3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1,660,326</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76,474</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r>
    </w:tbl>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Unaudited pro forma net income reflects additional intangible asset amortization expense of $8.2 million, $18.2 million and $10.2 million for the years ended December 31, 2021, 2020 and 2019, respectively, additional interest expense of $4.1 million and $4.3 million for the years ended December 31, 2021 and 2020, respectively, as well as additional income tax expense of $3.9 million, $3.7 million and $3.0 million for the years ended December 31, 2021,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INCOME PER COMMON SHARE</w:t>
      </w:r>
    </w:p>
    <w:p>
      <w:pPr>
        <w:spacing w:after="0" w:line="14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Basic net income per common share is calculated by dividing net income by the weighted average shares outstanding during the period, without consideration for common stock equivalents.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Diluted net income per common share is calculated by adjusting weighted average shares outstanding for the dilutive effect of common stock equivalents outstanding for the period, determined using the treasury stock method. Potential common stock is included in the diluted income per common share calculation when dilutive. The dilutive effect of outstanding restricted stock awards after application of the treasury stock method as of December 31, 2021, 2020 and 2019, was 261 thousand, 213 thousand and 120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3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first quarter of 2022, our Chief Executive Officer, who is also our chief operating decision maker, changed the manner in which he reviews financial information for purposes of assessing business performance and allocating resources. In response, we are in the process of modifying our internal reporting and supporting systems to reflect these changes and are evaluating the future impact on our reporting of segments.</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February 2022, we amended and extended our ABL Credit Agreement. The ABL Amendment increased the commitment amount under the ABL Revolver to $250.0 million from $200.0 million and extended the maturity to February 17, 2027 from September 26, 2024, and permits us to further increase the commitment amount to up to $300 million. The ABL Amendment provides that the ABL Revolver will bear interest at either the base rate or term Secured Overnight Financing Rate (“Term SOFR”), at our election, plus a margin of 0.25% or 0.50% for base rate advances or 1.25% or 1.50% for Term SOFR advances (in each case based on a measure of availability under the ABL Credit Agreement). The amendment also provides us with the ability to reduce drawn and unused fees based on sustainability-linked key performance indicator targets and makes other modifications to the ABL Credit Agreement.</w:t>
      </w:r>
    </w:p>
    <w:p>
      <w:pPr>
        <w:spacing w:after="0" w:line="11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February 24, 2022, we announced that our board of directors approved a special annual dividend, payable on March 31, 2022 to stockholders of record on March 15, 2022 at a rate of 90 cents per share. In addition, we recently announced that our board of directors declared a quarterly dividend, payable on March 31, 2022 to stockholders of record on March 15, 2022 at a rate of 31.5 cents per share.</w:t>
      </w:r>
    </w:p>
    <w:p>
      <w:pPr>
        <w:spacing w:after="0" w:line="8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On February 24, 2022, we announced that our board of directors authorized an extension of our stock repurchase program through March 1, 2023 and concurrently authorized an increase in the total amount of our outstanding common stock we can purchase up to $200.0 million. For more information about our stock repurchase program, see Note 12,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ind w:right="3600"/>
        <w:spacing w:after="0" w:line="42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conducted an evaluation of our disclosure controls and procedures (as defined in Rule 13a-15(e) under the Exchange Act) as of December 31, 2021 with the participation of the Company’s principal executive officer and principal financial officer as required by Exchange Act Rule 13a-15(b). Based on that evaluation, the Company’s principal executive officer and principal financial officer concluded that, as of December 31, 2021, our disclosure controls and procedures were effective to ensure that information required to be disclosed in the reports that we file or submit under the Exchange Act is recorded, processed, summarized and reported, within the time periods specified in the SEC’s rules and forms, and includes, without limitation, controls and procedures designed to ensure that information required to be disclosed by us in the reports we file or submit under the Exchange Act is accumulated and communicated to our management, including our principal executive officer and our principal financial officer,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3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Management, under the supervision of the principal executive officer and the principal financial officer, assessed the effectiveness of our internal control over financial reporting, excluding the internal control over financial reporting at the subsidiaries listed below that we acquired during 2021 as of December 31, 2021 using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The scope of management’s assessment of the effectiveness of internal control over financial reporting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includes all of the Company’s subsidiaries except the subsidiaries listed below, which were acquired during 2021 and whose financial statements constitute the percentages of total assets and net revenue listed below of the consolidated financial statements of the Company as of and for the year ended December 31, 2021:</w:t>
      </w:r>
    </w:p>
    <w:p>
      <w:pPr>
        <w:spacing w:after="0" w:line="312"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Percentage</w:t>
            </w: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175"/>
        </w:trPr>
        <w:tc>
          <w:tcPr>
            <w:tcW w:w="3020" w:type="dxa"/>
            <w:vAlign w:val="bottom"/>
            <w:gridSpan w:val="2"/>
            <w:vMerge w:val="restart"/>
          </w:tcPr>
          <w:p>
            <w:pPr>
              <w:ind w:left="20"/>
              <w:spacing w:after="0"/>
              <w:rPr>
                <w:sz w:val="20"/>
                <w:szCs w:val="20"/>
                <w:color w:val="auto"/>
              </w:rPr>
            </w:pPr>
            <w:r>
              <w:rPr>
                <w:rFonts w:ascii="Arial" w:cs="Arial" w:eastAsia="Arial" w:hAnsi="Arial"/>
                <w:sz w:val="18"/>
                <w:szCs w:val="18"/>
                <w:color w:val="auto"/>
              </w:rPr>
              <w:t>Subsidiary</w:t>
            </w:r>
          </w:p>
        </w:tc>
        <w:tc>
          <w:tcPr>
            <w:tcW w:w="2420" w:type="dxa"/>
            <w:vAlign w:val="bottom"/>
            <w:gridSpan w:val="2"/>
            <w:vMerge w:val="restart"/>
          </w:tcPr>
          <w:p>
            <w:pPr>
              <w:ind w:left="540"/>
              <w:spacing w:after="0"/>
              <w:rPr>
                <w:sz w:val="20"/>
                <w:szCs w:val="20"/>
                <w:color w:val="auto"/>
              </w:rPr>
            </w:pPr>
            <w:r>
              <w:rPr>
                <w:rFonts w:ascii="Arial" w:cs="Arial" w:eastAsia="Arial" w:hAnsi="Arial"/>
                <w:sz w:val="18"/>
                <w:szCs w:val="18"/>
                <w:color w:val="auto"/>
              </w:rPr>
              <w:t>Acquisition Date</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of Total</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5"/>
              </w:rPr>
              <w:t>of Net</w:t>
            </w:r>
          </w:p>
        </w:tc>
        <w:tc>
          <w:tcPr>
            <w:tcW w:w="0" w:type="dxa"/>
            <w:vAlign w:val="bottom"/>
          </w:tcPr>
          <w:p>
            <w:pPr>
              <w:spacing w:after="0"/>
              <w:rPr>
                <w:sz w:val="1"/>
                <w:szCs w:val="1"/>
                <w:color w:val="auto"/>
              </w:rPr>
            </w:pPr>
          </w:p>
        </w:tc>
      </w:tr>
      <w:tr>
        <w:trPr>
          <w:trHeight w:val="230"/>
        </w:trPr>
        <w:tc>
          <w:tcPr>
            <w:tcW w:w="3020" w:type="dxa"/>
            <w:vAlign w:val="bottom"/>
            <w:gridSpan w:val="2"/>
            <w:vMerge w:val="continue"/>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Assets</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Revenue</w:t>
            </w: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Intermountain West</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Alert</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April 13, 2021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Alpine Construction</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19,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Reliable</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May 11, 2021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GCP</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7,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MT Insulation</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August 23, 2021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 Star</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13,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Mr. Insulation</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October 4, 2021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DGM</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CFI</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November 22, 2021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 2021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excluded the internal control over financial reporting at these subsidiaries from its assessment in accordance with the guidance of the staff of the SEC that an assessment of a recently acquired business may be omitted from the scope of management’s assessment of internal control over financial reporting for one year following the acquisition.</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this assessment, management has determined that our internal control over financial reporting was effective as of December 31, 2021. We have not experienced any material impact to our internal controls over financial reporting due to the</w:t>
      </w:r>
    </w:p>
    <w:p>
      <w:pPr>
        <w:sectPr>
          <w:pgSz w:w="11900" w:h="16838" w:orient="portrait"/>
          <w:cols w:equalWidth="0" w:num="1">
            <w:col w:w="11180"/>
          </w:cols>
          <w:pgMar w:left="320" w:top="1255"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type w:val="continuous"/>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COVID-19 pandemic. We are continually monitoring and assessing the COVID-19 situation to identify potential limitations on our current internal controls that would adversely impact the design and operating effectiveness of internal controls over financial reporting.</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an independent registered public accounting firm, as stated in their report, which follows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quarter ended December 31, 2021 that has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On February 24, 2022, we announced that the Board of Directors of Installed Building Products, Inc. (the “Company”) approved the appointment of Jason R. Niswonger, 49, as its Chief Administrative and Sustainability Officer, effective March 1, 2022. Mr. Niswonger was formerly the Company’s Senior Vice President, Finance and Investor Relations since March 2015. Additional biographical information is available on page 34 of our 2021 Definitive Proxy Statement filed on April 16, 2021 ("2021 Proxy Statement").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There are no arrangements or understandings between Mr. Niswonger and any other persons pursuant to which he was selected as Chief Administrative and Sustainability Officer. There are no family relationships between Mr. Niswonger and any director or executive officer of the Company and he has no direct or indirect material interest in any transaction required to be disclosed pursuant to Item 404(a) of Regulation S-K.</w:t>
      </w:r>
    </w:p>
    <w:p>
      <w:pPr>
        <w:spacing w:after="0" w:line="19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Mr. Niswonger is an at-will employee of the Company, and does not have a written employment agreement. Mr. Niswonger is eligible to participate in certain benefit and incentive programs and plans of the Company, as described in our 2021 Proxy Statement.</w:t>
      </w:r>
    </w:p>
    <w:p>
      <w:pPr>
        <w:spacing w:after="0" w:line="287" w:lineRule="exact"/>
        <w:rPr>
          <w:sz w:val="20"/>
          <w:szCs w:val="20"/>
          <w:color w:val="auto"/>
        </w:rPr>
      </w:pPr>
    </w:p>
    <w:p>
      <w:pPr>
        <w:ind w:right="5120"/>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Installed Building Products, Inc.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5"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Installed Building Products, Inc.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3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the subsidiaries listed below, which were acquired during 2021 and whose financial statements constitute the percentages of total revenues and assets listed below of the consolidated financial statements of the Company as of and for the year ended December 31, 2021.</w:t>
      </w:r>
    </w:p>
    <w:p>
      <w:pPr>
        <w:spacing w:after="0" w:line="294"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Percentage</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176"/>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rPr>
              <w:t>Subsidiary</w:t>
            </w:r>
          </w:p>
        </w:tc>
        <w:tc>
          <w:tcPr>
            <w:tcW w:w="2440" w:type="dxa"/>
            <w:vAlign w:val="bottom"/>
            <w:gridSpan w:val="2"/>
            <w:vMerge w:val="restart"/>
          </w:tcPr>
          <w:p>
            <w:pPr>
              <w:ind w:left="540"/>
              <w:spacing w:after="0"/>
              <w:rPr>
                <w:sz w:val="20"/>
                <w:szCs w:val="20"/>
                <w:color w:val="auto"/>
              </w:rPr>
            </w:pPr>
            <w:r>
              <w:rPr>
                <w:rFonts w:ascii="Arial" w:cs="Arial" w:eastAsia="Arial" w:hAnsi="Arial"/>
                <w:sz w:val="18"/>
                <w:szCs w:val="18"/>
                <w:color w:val="auto"/>
              </w:rPr>
              <w:t>Acquisition Date</w:t>
            </w: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3"/>
              </w:rPr>
              <w:t>of Total</w:t>
            </w:r>
          </w:p>
        </w:tc>
        <w:tc>
          <w:tcPr>
            <w:tcW w:w="1400" w:type="dxa"/>
            <w:vAlign w:val="bottom"/>
          </w:tcPr>
          <w:p>
            <w:pPr>
              <w:jc w:val="center"/>
              <w:spacing w:after="0" w:line="176" w:lineRule="exact"/>
              <w:rPr>
                <w:sz w:val="20"/>
                <w:szCs w:val="20"/>
                <w:color w:val="auto"/>
              </w:rPr>
            </w:pPr>
            <w:r>
              <w:rPr>
                <w:rFonts w:ascii="Arial" w:cs="Arial" w:eastAsia="Arial" w:hAnsi="Arial"/>
                <w:sz w:val="18"/>
                <w:szCs w:val="18"/>
                <w:color w:val="auto"/>
                <w:w w:val="95"/>
              </w:rPr>
              <w:t>of Net</w:t>
            </w:r>
          </w:p>
        </w:tc>
        <w:tc>
          <w:tcPr>
            <w:tcW w:w="0" w:type="dxa"/>
            <w:vAlign w:val="bottom"/>
          </w:tcPr>
          <w:p>
            <w:pPr>
              <w:spacing w:after="0"/>
              <w:rPr>
                <w:sz w:val="1"/>
                <w:szCs w:val="1"/>
                <w:color w:val="auto"/>
              </w:rPr>
            </w:pPr>
          </w:p>
        </w:tc>
      </w:tr>
      <w:tr>
        <w:trPr>
          <w:trHeight w:val="189"/>
        </w:trPr>
        <w:tc>
          <w:tcPr>
            <w:tcW w:w="3120" w:type="dxa"/>
            <w:vAlign w:val="bottom"/>
            <w:gridSpan w:val="3"/>
            <w:vMerge w:val="continue"/>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154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88"/>
              </w:rPr>
              <w:t>Assets</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85"/>
              </w:rPr>
              <w:t>Revenue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Intermountain West</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w:t>
            </w:r>
          </w:p>
        </w:tc>
        <w:tc>
          <w:tcPr>
            <w:tcW w:w="0" w:type="dxa"/>
            <w:vAlign w:val="bottom"/>
          </w:tcPr>
          <w:p>
            <w:pPr>
              <w:spacing w:after="0"/>
              <w:rPr>
                <w:sz w:val="1"/>
                <w:szCs w:val="1"/>
                <w:color w:val="auto"/>
              </w:rPr>
            </w:pPr>
          </w:p>
        </w:tc>
      </w:tr>
      <w:tr>
        <w:trPr>
          <w:trHeight w:val="229"/>
        </w:trPr>
        <w:tc>
          <w:tcPr>
            <w:tcW w:w="3120" w:type="dxa"/>
            <w:vAlign w:val="bottom"/>
            <w:gridSpan w:val="3"/>
          </w:tcPr>
          <w:p>
            <w:pPr>
              <w:spacing w:after="0"/>
              <w:rPr>
                <w:sz w:val="20"/>
                <w:szCs w:val="20"/>
                <w:color w:val="auto"/>
              </w:rPr>
            </w:pPr>
            <w:r>
              <w:rPr>
                <w:rFonts w:ascii="Arial" w:cs="Arial" w:eastAsia="Arial" w:hAnsi="Arial"/>
                <w:sz w:val="18"/>
                <w:szCs w:val="18"/>
                <w:color w:val="auto"/>
              </w:rPr>
              <w:t>Alert</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April 13,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29"/>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Alpine Construction</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19,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Reliable</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May 11,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29"/>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GCP</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7,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MT Insulation</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August 23,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30"/>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 Star</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13,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Mr. Insulation</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October 4,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0" w:type="dxa"/>
            <w:vAlign w:val="bottom"/>
          </w:tcPr>
          <w:p>
            <w:pPr>
              <w:spacing w:after="0"/>
              <w:rPr>
                <w:sz w:val="1"/>
                <w:szCs w:val="1"/>
                <w:color w:val="auto"/>
              </w:rPr>
            </w:pPr>
          </w:p>
        </w:tc>
      </w:tr>
      <w:tr>
        <w:trPr>
          <w:trHeight w:val="229"/>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DGM</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30"/>
        </w:trPr>
        <w:tc>
          <w:tcPr>
            <w:tcW w:w="3120" w:type="dxa"/>
            <w:vAlign w:val="bottom"/>
            <w:gridSpan w:val="3"/>
          </w:tcPr>
          <w:p>
            <w:pPr>
              <w:spacing w:after="0"/>
              <w:rPr>
                <w:sz w:val="20"/>
                <w:szCs w:val="20"/>
                <w:color w:val="auto"/>
              </w:rPr>
            </w:pPr>
            <w:r>
              <w:rPr>
                <w:rFonts w:ascii="Arial" w:cs="Arial" w:eastAsia="Arial" w:hAnsi="Arial"/>
                <w:sz w:val="18"/>
                <w:szCs w:val="18"/>
                <w:color w:val="auto"/>
              </w:rPr>
              <w:t>CFI</w:t>
            </w: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November 22,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30"/>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AMD</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Accordingly, our audit did not include the internal control over financial reporting of the subsidiaries listed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88" w:name="page89"/>
    <w:bookmarkEnd w:id="88"/>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3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required by this item will be set forth under the headings “Election of Directors,” “Executive Officers and Certain Significant Employees,” “Corporate Governance” and “Delinquent Section 16(a) Reports” in our definitive proxy statement for the 2022 Annual Meeting of Stockholders (“2022 Proxy Statement”) to be filed with the SEC within 120 days of the fiscal year ended December 31, 2021 and is incorporated herein by reference.</w:t>
      </w:r>
    </w:p>
    <w:p>
      <w:pPr>
        <w:spacing w:after="0" w:line="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http://investors.installedbuildingproducts.com. We will post any amendments to our code of business conduct and ethics, or waivers of its requirements, on our website.</w:t>
      </w: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headings “Executive Compensation,” “Chief Executive Pay Ratio” and “Compensation Committee Interlocks and Insider Participation” in our 2022 Proxy Statement and is incorporated herein by reference.</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as well as equity compensation plan information, will be presented in our Proxy Statement for our 2022 Annual Meeting of Stockholders, to be filed on or before April 16, 2022, and such information is incorporated herein by reference.</w:t>
      </w:r>
    </w:p>
    <w:p>
      <w:pPr>
        <w:spacing w:after="0" w:line="2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3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headings “Certain Relationships and Related-Party Transactions” and “Corporate Governance” in our 2022 Proxy Statement and is incorporated herein by reference.</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3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information required by this item will be set forth under the heading “Fees Paid to Deloitte" and "Pre-Approval of Services” in our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PART IV</w:t>
      </w:r>
    </w:p>
    <w:p>
      <w:pPr>
        <w:spacing w:after="0" w:line="3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56"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Form 10-K:</w:t>
      </w:r>
    </w:p>
    <w:p>
      <w:pPr>
        <w:spacing w:after="0" w:line="252" w:lineRule="exact"/>
        <w:rPr>
          <w:rFonts w:ascii="Arial" w:cs="Arial" w:eastAsia="Arial" w:hAnsi="Arial"/>
          <w:sz w:val="18"/>
          <w:szCs w:val="18"/>
          <w:color w:val="auto"/>
        </w:rPr>
      </w:pPr>
    </w:p>
    <w:p>
      <w:pPr>
        <w:ind w:left="1620" w:right="220" w:hanging="316"/>
        <w:spacing w:after="0" w:line="263"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the Notes to Consolidated Financial Statements and the Report of Independent Registered Public Accounting Firm (PCAOB ID No. 34) for Installed Building Products, Inc. are presented in Item 8, Financial Statements and Supplementary Data, of Part II of this Form 10-K.</w:t>
      </w:r>
    </w:p>
    <w:p>
      <w:pPr>
        <w:spacing w:after="0" w:line="129" w:lineRule="exact"/>
        <w:rPr>
          <w:rFonts w:ascii="Arial" w:cs="Arial" w:eastAsia="Arial" w:hAnsi="Arial"/>
          <w:sz w:val="18"/>
          <w:szCs w:val="18"/>
          <w:color w:val="auto"/>
        </w:rPr>
      </w:pPr>
    </w:p>
    <w:p>
      <w:pPr>
        <w:ind w:left="1620" w:right="20" w:hanging="316"/>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Financial Schedules: All financial statement schedules have been omitted because they are inapplicable, not required, or shown in the consolidated financial statements and notes in Item 8, Financial Statements and Supplementary Data, of Part II of this Form10-K.</w:t>
      </w:r>
    </w:p>
    <w:p>
      <w:pPr>
        <w:spacing w:after="0" w:line="150" w:lineRule="exact"/>
        <w:rPr>
          <w:rFonts w:ascii="Arial" w:cs="Arial" w:eastAsia="Arial" w:hAnsi="Arial"/>
          <w:sz w:val="16"/>
          <w:szCs w:val="16"/>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Exhibit</w:t>
            </w:r>
          </w:p>
        </w:tc>
        <w:tc>
          <w:tcPr>
            <w:tcW w:w="9860" w:type="dxa"/>
            <w:vAlign w:val="bottom"/>
            <w:gridSpan w:val="3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2"/>
                <w:szCs w:val="12"/>
                <w:color w:val="auto"/>
              </w:rPr>
            </w:pPr>
          </w:p>
        </w:tc>
        <w:tc>
          <w:tcPr>
            <w:tcW w:w="9860" w:type="dxa"/>
            <w:vAlign w:val="bottom"/>
            <w:gridSpan w:val="3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ind w:left="20"/>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120" w:type="dxa"/>
            <w:vAlign w:val="bottom"/>
            <w:tcBorders>
              <w:bottom w:val="single" w:sz="8" w:color="0000FF"/>
            </w:tcBorders>
            <w:gridSpan w:val="14"/>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Share Purchase Agreement, dated as of October 29, 2016, among EMPER Holdings, LLC; PREEM Holdings I, LLC; PREEM</w:t>
              </w:r>
            </w:hyperlink>
          </w:p>
        </w:tc>
        <w:tc>
          <w:tcPr>
            <w:tcW w:w="74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bottom w:val="single" w:sz="8" w:color="0000FF"/>
            </w:tcBorders>
            <w:gridSpan w:val="21"/>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Holdings II, LLC; Vikas Verma; Henry Schmueckle; Vikas Verma in his capacity as the equityholders’ representative; and Installed</w:t>
              </w:r>
            </w:hyperlink>
          </w:p>
        </w:tc>
        <w:tc>
          <w:tcPr>
            <w:tcW w:w="3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60" w:type="dxa"/>
            <w:vAlign w:val="bottom"/>
            <w:gridSpan w:val="32"/>
          </w:tcPr>
          <w:p>
            <w:pPr>
              <w:spacing w:after="0" w:line="156"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Building Products, Inc., incorporated by reference to Exhibit 2.1 to the Company’s Current Report on Form 8-K filed on October 31,</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13">
              <w:r>
                <w:rPr>
                  <w:rFonts w:ascii="Arial" w:cs="Arial" w:eastAsia="Arial" w:hAnsi="Arial"/>
                  <w:sz w:val="18"/>
                  <w:szCs w:val="18"/>
                  <w:color w:val="0000FF"/>
                  <w:w w:val="88"/>
                </w:rPr>
                <w:t>2016.</w:t>
              </w:r>
            </w:hyperlink>
          </w:p>
        </w:tc>
        <w:tc>
          <w:tcPr>
            <w:tcW w:w="30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 w:type="dxa"/>
            <w:vAlign w:val="bottom"/>
          </w:tcPr>
          <w:p>
            <w:pPr>
              <w:ind w:left="2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4"/>
              </w:rPr>
            </w:pPr>
            <w:hyperlink r:id="rId114">
              <w:r>
                <w:rPr>
                  <w:rFonts w:ascii="Arial" w:cs="Arial" w:eastAsia="Arial" w:hAnsi="Arial"/>
                  <w:sz w:val="18"/>
                  <w:szCs w:val="18"/>
                  <w:color w:val="0000FF"/>
                  <w:w w:val="94"/>
                </w:rPr>
                <w:t>Second Amended and Restated Certificate of Incorporation of Installed Building Products, Inc., incorporated by reference to Exhibit</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February 25, 2014.</w:t>
              </w:r>
            </w:hyperlink>
          </w:p>
        </w:tc>
        <w:tc>
          <w:tcPr>
            <w:tcW w:w="38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 w:type="dxa"/>
            <w:vAlign w:val="bottom"/>
          </w:tcPr>
          <w:p>
            <w:pPr>
              <w:ind w:left="2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Amended and Restated Bylaws of Installed Building Products, Inc., incorporated by reference to Exhibit 3.1 to the Company’s Current</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Report on Form 8-K filed on February 28, 2018.</w:t>
              </w:r>
            </w:hyperlink>
          </w:p>
        </w:tc>
        <w:tc>
          <w:tcPr>
            <w:tcW w:w="6220" w:type="dxa"/>
            <w:vAlign w:val="bottom"/>
            <w:tcBorders>
              <w:top w:val="single" w:sz="8" w:color="0000FF"/>
            </w:tcBorders>
            <w:gridSpan w:val="2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 w:type="dxa"/>
            <w:vAlign w:val="bottom"/>
          </w:tcPr>
          <w:p>
            <w:pPr>
              <w:ind w:left="2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Form of Common Stock Certificate of Installed Building Products, Inc., incorporated by reference to Exhibit 4.1 to the Company’s</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Registration Statement on Form S-1/A filed on January 27, 2014.</w:t>
              </w:r>
            </w:hyperlink>
          </w:p>
        </w:tc>
        <w:tc>
          <w:tcPr>
            <w:tcW w:w="47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0" w:type="dxa"/>
            <w:vAlign w:val="bottom"/>
          </w:tcPr>
          <w:p>
            <w:pPr>
              <w:ind w:left="2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Indenture, dated September 26, 2019, among Installed Building Products, Inc., the guarantors named therein and U.S. Bank National</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6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Association, as Trustee (including the Form of Note), incorporated by reference to Exhibit 4.1 to the Company’s Current Report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Form 8-K filed on September 27, 2019.</w:t>
              </w:r>
            </w:hyperlink>
          </w:p>
        </w:tc>
        <w:tc>
          <w:tcPr>
            <w:tcW w:w="65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 w:type="dxa"/>
            <w:vAlign w:val="bottom"/>
          </w:tcPr>
          <w:p>
            <w:pPr>
              <w:ind w:left="2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5"/>
              </w:rPr>
            </w:pPr>
            <w:hyperlink r:id="rId117">
              <w:r>
                <w:rPr>
                  <w:rFonts w:ascii="Arial" w:cs="Arial" w:eastAsia="Arial" w:hAnsi="Arial"/>
                  <w:sz w:val="18"/>
                  <w:szCs w:val="18"/>
                  <w:color w:val="0000FF"/>
                  <w:w w:val="95"/>
                </w:rPr>
                <w:t>Description of Installed Building Product, Inc.’s Securities Registered Pursuant to Section 12 of the Exchange Act, incorporated by</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reference to Exhibit 4.3 to the Company's Annual Report on Form 10-K filed on February 27,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Form of Amended and Restated Indemnification Agreement for directors and officers, incorporated by reference to Exhibit 10.2 to the</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Company’s Quarterly Report on Form 10-Q filed on May 7, 2021.</w:t>
              </w:r>
            </w:hyperlink>
          </w:p>
        </w:tc>
        <w:tc>
          <w:tcPr>
            <w:tcW w:w="49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5"/>
              </w:rPr>
            </w:pPr>
            <w:hyperlink r:id="rId119">
              <w:r>
                <w:rPr>
                  <w:rFonts w:ascii="Arial" w:cs="Arial" w:eastAsia="Arial" w:hAnsi="Arial"/>
                  <w:sz w:val="18"/>
                  <w:szCs w:val="18"/>
                  <w:color w:val="0000FF"/>
                  <w:w w:val="95"/>
                </w:rPr>
                <w:t>Amended and Restated Employment Agreement, dated as of April 15, 2021, by and between Installed Building Products, Inc. and</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Jeffrey W. Edwards, incorporated by reference to Exhibit 10.1 to the Company’s Quarterly Report on Form 10-Q filed on May 7,</w:t>
              </w:r>
            </w:hyperlink>
          </w:p>
        </w:tc>
        <w:tc>
          <w:tcPr>
            <w:tcW w:w="400" w:type="dxa"/>
            <w:vAlign w:val="bottom"/>
            <w:gridSpan w:val="14"/>
          </w:tcPr>
          <w:p>
            <w:pPr>
              <w:jc w:val="center"/>
              <w:spacing w:after="0" w:line="156" w:lineRule="exact"/>
              <w:rPr>
                <w:rFonts w:ascii="Arial" w:cs="Arial" w:eastAsia="Arial" w:hAnsi="Arial"/>
                <w:sz w:val="18"/>
                <w:szCs w:val="18"/>
                <w:color w:val="0000FF"/>
                <w:w w:val="79"/>
              </w:rPr>
            </w:pPr>
            <w:hyperlink r:id="rId119">
              <w:r>
                <w:rPr>
                  <w:rFonts w:ascii="Arial" w:cs="Arial" w:eastAsia="Arial" w:hAnsi="Arial"/>
                  <w:sz w:val="18"/>
                  <w:szCs w:val="18"/>
                  <w:color w:val="0000FF"/>
                  <w:w w:val="79"/>
                </w:rPr>
                <w:t>2021</w:t>
              </w:r>
            </w:hyperlink>
            <w:r>
              <w:rPr>
                <w:rFonts w:ascii="Arial" w:cs="Arial" w:eastAsia="Arial" w:hAnsi="Arial"/>
                <w:sz w:val="18"/>
                <w:szCs w:val="18"/>
                <w:color w:val="000000"/>
                <w:w w:val="79"/>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9700" w:type="dxa"/>
            <w:vAlign w:val="bottom"/>
            <w:tcBorders>
              <w:top w:val="single" w:sz="8" w:color="0000FF"/>
            </w:tcBorders>
            <w:gridSpan w:val="28"/>
          </w:tcPr>
          <w:p>
            <w:pPr>
              <w:spacing w:after="0"/>
              <w:rPr>
                <w:rFonts w:ascii="Arial" w:cs="Arial" w:eastAsia="Arial" w:hAnsi="Arial"/>
                <w:sz w:val="18"/>
                <w:szCs w:val="18"/>
                <w:color w:val="0000FF"/>
                <w:w w:val="98"/>
              </w:rPr>
            </w:pPr>
            <w:hyperlink r:id="rId120">
              <w:r>
                <w:rPr>
                  <w:rFonts w:ascii="Arial" w:cs="Arial" w:eastAsia="Arial" w:hAnsi="Arial"/>
                  <w:sz w:val="18"/>
                  <w:szCs w:val="18"/>
                  <w:color w:val="0000FF"/>
                  <w:w w:val="98"/>
                </w:rPr>
                <w:t>Installed Building Products, Inc. 2014 Omnibus Incentive Plan, incorporated by reference to Exhibit 10.21 to the Company’s</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Registration Statement on Form S-1/A filed on January 27, 2014.</w:t>
              </w:r>
            </w:hyperlink>
          </w:p>
        </w:tc>
        <w:tc>
          <w:tcPr>
            <w:tcW w:w="4280" w:type="dxa"/>
            <w:vAlign w:val="bottom"/>
            <w:tcBorders>
              <w:top w:val="single" w:sz="8" w:color="0000FF"/>
            </w:tcBorders>
            <w:gridSpan w:val="7"/>
          </w:tcPr>
          <w:p>
            <w:pPr>
              <w:spacing w:after="0"/>
              <w:rPr>
                <w:sz w:val="13"/>
                <w:szCs w:val="13"/>
                <w:color w:val="auto"/>
              </w:rPr>
            </w:pPr>
          </w:p>
        </w:tc>
        <w:tc>
          <w:tcPr>
            <w:tcW w:w="24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Amendment, dated as of February 24, 2017, to the Installed Building Products, Inc. 2014 Omnibus Incentive Plan, incorporated by</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reference to Exhibit 10.16 to the Company’s Annual Report on Form 10-K filed on February 28, 2017.</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ind w:left="20"/>
              <w:spacing w:after="0"/>
              <w:rPr>
                <w:sz w:val="20"/>
                <w:szCs w:val="20"/>
                <w:color w:val="auto"/>
              </w:rPr>
            </w:pPr>
            <w:r>
              <w:rPr>
                <w:rFonts w:ascii="Arial" w:cs="Arial" w:eastAsia="Arial" w:hAnsi="Arial"/>
                <w:sz w:val="18"/>
                <w:szCs w:val="18"/>
                <w:color w:val="auto"/>
                <w:w w:val="96"/>
              </w:rPr>
              <w:t>10.5</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Term Loan Credit Agreement, dated April 13, 2017, by and among Installed Building Products, Inc., the lenders party thereto from time</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0" w:type="dxa"/>
            <w:vAlign w:val="bottom"/>
            <w:tcBorders>
              <w:top w:val="single" w:sz="8" w:color="0000FF"/>
            </w:tcBorders>
            <w:gridSpan w:val="31"/>
          </w:tcPr>
          <w:p>
            <w:pPr>
              <w:spacing w:after="0" w:line="156" w:lineRule="exact"/>
              <w:rPr>
                <w:rFonts w:ascii="Arial" w:cs="Arial" w:eastAsia="Arial" w:hAnsi="Arial"/>
                <w:sz w:val="18"/>
                <w:szCs w:val="18"/>
                <w:color w:val="0000FF"/>
                <w:w w:val="94"/>
              </w:rPr>
            </w:pPr>
            <w:hyperlink r:id="rId122">
              <w:r>
                <w:rPr>
                  <w:rFonts w:ascii="Arial" w:cs="Arial" w:eastAsia="Arial" w:hAnsi="Arial"/>
                  <w:sz w:val="18"/>
                  <w:szCs w:val="18"/>
                  <w:color w:val="0000FF"/>
                  <w:w w:val="94"/>
                </w:rPr>
                <w:t>to time, Royal Bank of Canada, as term administrative agent, and RBC Capital Markets, UBS Securities LLC and Jefferies Finance</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LLC as joint lead arrangers and joint bookrunners, incorporated by reference to Exhibit 10.1 to the Company’s Current Report on</w:t>
              </w:r>
            </w:hyperlink>
          </w:p>
        </w:tc>
        <w:tc>
          <w:tcPr>
            <w:tcW w:w="380" w:type="dxa"/>
            <w:vAlign w:val="bottom"/>
            <w:gridSpan w:val="12"/>
          </w:tcPr>
          <w:p>
            <w:pPr>
              <w:spacing w:after="0" w:line="156" w:lineRule="exact"/>
              <w:rPr>
                <w:rFonts w:ascii="Arial" w:cs="Arial" w:eastAsia="Arial" w:hAnsi="Arial"/>
                <w:sz w:val="18"/>
                <w:szCs w:val="18"/>
                <w:color w:val="0000FF"/>
                <w:w w:val="85"/>
              </w:rPr>
            </w:pPr>
            <w:hyperlink r:id="rId122">
              <w:r>
                <w:rPr>
                  <w:rFonts w:ascii="Arial" w:cs="Arial" w:eastAsia="Arial" w:hAnsi="Arial"/>
                  <w:sz w:val="18"/>
                  <w:szCs w:val="18"/>
                  <w:color w:val="0000FF"/>
                  <w:w w:val="85"/>
                </w:rPr>
                <w:t>Form</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8-K filed on April 17, 2017.</w:t>
              </w:r>
            </w:hyperlink>
          </w:p>
        </w:tc>
        <w:tc>
          <w:tcPr>
            <w:tcW w:w="7720" w:type="dxa"/>
            <w:vAlign w:val="bottom"/>
            <w:tcBorders>
              <w:top w:val="single" w:sz="8" w:color="0000FF"/>
            </w:tcBorders>
            <w:gridSpan w:val="27"/>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0" w:type="dxa"/>
            <w:vAlign w:val="bottom"/>
          </w:tcPr>
          <w:p>
            <w:pPr>
              <w:ind w:left="20"/>
              <w:spacing w:after="0"/>
              <w:rPr>
                <w:sz w:val="20"/>
                <w:szCs w:val="20"/>
                <w:color w:val="auto"/>
              </w:rPr>
            </w:pPr>
            <w:r>
              <w:rPr>
                <w:rFonts w:ascii="Arial" w:cs="Arial" w:eastAsia="Arial" w:hAnsi="Arial"/>
                <w:sz w:val="18"/>
                <w:szCs w:val="18"/>
                <w:color w:val="auto"/>
                <w:w w:val="96"/>
              </w:rPr>
              <w:t>10.6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Credit Agreement, dated April 13, 2017, by and among Installed Building Products, Inc., the subsidiary guarantors from time to time</w:t>
              </w:r>
            </w:hyperlink>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8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r:id="rId123">
              <w:r>
                <w:rPr>
                  <w:rFonts w:ascii="Arial" w:cs="Arial" w:eastAsia="Arial" w:hAnsi="Arial"/>
                  <w:sz w:val="18"/>
                  <w:szCs w:val="18"/>
                  <w:color w:val="0000FF"/>
                  <w:w w:val="98"/>
                </w:rPr>
                <w:t>party thereto, the financial institutions from time to time party thereto, and SunTrust Bank, as issuing bank, swing bank and</w:t>
              </w:r>
            </w:hyperlink>
          </w:p>
        </w:tc>
        <w:tc>
          <w:tcPr>
            <w:tcW w:w="4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900" w:type="dxa"/>
            <w:vAlign w:val="bottom"/>
            <w:tcBorders>
              <w:top w:val="single" w:sz="8" w:color="0000FF"/>
            </w:tcBorders>
            <w:gridSpan w:val="12"/>
          </w:tcPr>
          <w:p>
            <w:pPr>
              <w:spacing w:after="0" w:line="156" w:lineRule="exact"/>
              <w:rPr>
                <w:rFonts w:ascii="Arial" w:cs="Arial" w:eastAsia="Arial" w:hAnsi="Arial"/>
                <w:sz w:val="18"/>
                <w:szCs w:val="18"/>
                <w:color w:val="0000FF"/>
                <w:w w:val="88"/>
              </w:rPr>
            </w:pPr>
            <w:hyperlink r:id="rId123">
              <w:r>
                <w:rPr>
                  <w:rFonts w:ascii="Arial" w:cs="Arial" w:eastAsia="Arial" w:hAnsi="Arial"/>
                  <w:sz w:val="18"/>
                  <w:szCs w:val="18"/>
                  <w:color w:val="0000FF"/>
                  <w:w w:val="88"/>
                </w:rPr>
                <w:t>administrative agent, with SunTrust Robinson Humphrey, Inc. as left lead arranger and bookrunner, incorporated by reference</w:t>
              </w:r>
            </w:hyperlink>
          </w:p>
        </w:tc>
        <w:tc>
          <w:tcPr>
            <w:tcW w:w="960" w:type="dxa"/>
            <w:vAlign w:val="bottom"/>
            <w:gridSpan w:val="20"/>
          </w:tcPr>
          <w:p>
            <w:pPr>
              <w:ind w:left="200"/>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23">
              <w:r>
                <w:rPr>
                  <w:rFonts w:ascii="Arial" w:cs="Arial" w:eastAsia="Arial" w:hAnsi="Arial"/>
                  <w:sz w:val="18"/>
                  <w:szCs w:val="18"/>
                  <w:color w:val="0000FF"/>
                  <w:w w:val="92"/>
                </w:rPr>
                <w:t>Exhibit 10.2 to the Company’s Current Report on Form 8-K filed on April 17, 2017.</w:t>
              </w:r>
            </w:hyperlink>
          </w:p>
        </w:tc>
        <w:tc>
          <w:tcPr>
            <w:tcW w:w="3160" w:type="dxa"/>
            <w:vAlign w:val="bottom"/>
            <w:tcBorders>
              <w:top w:val="single" w:sz="8" w:color="0000FF"/>
            </w:tcBorders>
            <w:gridSpan w:val="6"/>
          </w:tcPr>
          <w:p>
            <w:pPr>
              <w:spacing w:after="0"/>
              <w:rPr>
                <w:sz w:val="13"/>
                <w:szCs w:val="13"/>
                <w:color w:val="auto"/>
              </w:rPr>
            </w:pPr>
          </w:p>
        </w:tc>
        <w:tc>
          <w:tcPr>
            <w:tcW w:w="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80" w:type="dxa"/>
            <w:vAlign w:val="bottom"/>
          </w:tcPr>
          <w:p>
            <w:pPr>
              <w:ind w:left="20"/>
              <w:spacing w:after="0"/>
              <w:rPr>
                <w:sz w:val="20"/>
                <w:szCs w:val="20"/>
                <w:color w:val="auto"/>
              </w:rPr>
            </w:pPr>
            <w:r>
              <w:rPr>
                <w:rFonts w:ascii="Arial" w:cs="Arial" w:eastAsia="Arial" w:hAnsi="Arial"/>
                <w:sz w:val="18"/>
                <w:szCs w:val="18"/>
                <w:color w:val="auto"/>
                <w:w w:val="96"/>
              </w:rPr>
              <w:t>10.7</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60" w:type="dxa"/>
            <w:vAlign w:val="bottom"/>
            <w:gridSpan w:val="32"/>
          </w:tcPr>
          <w:p>
            <w:pPr>
              <w:spacing w:after="0"/>
              <w:rPr>
                <w:rFonts w:ascii="Arial" w:cs="Arial" w:eastAsia="Arial" w:hAnsi="Arial"/>
                <w:sz w:val="18"/>
                <w:szCs w:val="18"/>
                <w:color w:val="0000FF"/>
                <w:w w:val="95"/>
              </w:rPr>
            </w:pPr>
            <w:hyperlink r:id="rId124">
              <w:r>
                <w:rPr>
                  <w:rFonts w:ascii="Arial" w:cs="Arial" w:eastAsia="Arial" w:hAnsi="Arial"/>
                  <w:sz w:val="18"/>
                  <w:szCs w:val="18"/>
                  <w:color w:val="0000FF"/>
                  <w:w w:val="95"/>
                </w:rPr>
                <w:t>ABL/Term Loan Intercreditor Agreement, dated April 13, 2017, by and among Installed Building Products, Inc., SunTrust Bank, as</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50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ABL agent, Royal Bank of Canada, as term loan agent, and each of the agents and certain of the Company’s subsidiaries from time</w:t>
              </w:r>
            </w:hyperlink>
          </w:p>
        </w:tc>
        <w:tc>
          <w:tcPr>
            <w:tcW w:w="360" w:type="dxa"/>
            <w:vAlign w:val="bottom"/>
            <w:gridSpan w:val="11"/>
          </w:tcPr>
          <w:p>
            <w:pPr>
              <w:jc w:val="center"/>
              <w:ind w:right="240"/>
              <w:spacing w:after="0" w:line="156" w:lineRule="exact"/>
              <w:rPr>
                <w:rFonts w:ascii="Arial" w:cs="Arial" w:eastAsia="Arial" w:hAnsi="Arial"/>
                <w:sz w:val="18"/>
                <w:szCs w:val="18"/>
                <w:color w:val="0000FF"/>
                <w:w w:val="79"/>
              </w:rPr>
            </w:pPr>
            <w:hyperlink r:id="rId124">
              <w:r>
                <w:rPr>
                  <w:rFonts w:ascii="Arial" w:cs="Arial" w:eastAsia="Arial" w:hAnsi="Arial"/>
                  <w:sz w:val="18"/>
                  <w:szCs w:val="18"/>
                  <w:color w:val="0000FF"/>
                  <w:w w:val="79"/>
                </w:rPr>
                <w:t>to</w:t>
              </w:r>
            </w:hyperlink>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time party thereto, incorporated by reference to Exhibit 10.3 to the Company’s Current Report on Form 8-K filed on April 17, 2017.</w:t>
              </w:r>
            </w:hyperlink>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tcBorders>
              <w:top w:val="single" w:sz="8" w:color="0000FF"/>
            </w:tcBorders>
            <w:gridSpan w:val="6"/>
          </w:tcPr>
          <w:p>
            <w:pPr>
              <w:ind w:left="4160"/>
              <w:spacing w:after="0"/>
              <w:rPr>
                <w:sz w:val="20"/>
                <w:szCs w:val="20"/>
                <w:color w:val="auto"/>
              </w:rPr>
            </w:pPr>
            <w:r>
              <w:rPr>
                <w:rFonts w:ascii="Arial" w:cs="Arial" w:eastAsia="Arial" w:hAnsi="Arial"/>
                <w:sz w:val="18"/>
                <w:szCs w:val="18"/>
                <w:color w:val="auto"/>
              </w:rPr>
              <w:t>87</w:t>
            </w:r>
          </w:p>
        </w:tc>
        <w:tc>
          <w:tcPr>
            <w:tcW w:w="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9920" w:type="dxa"/>
            <w:vAlign w:val="bottom"/>
            <w:gridSpan w:val="45"/>
          </w:tcPr>
          <w:p>
            <w:pPr>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Term Collateral Agreement, dated April 13, 2017, among Installed Building Products, Inc., certain of its subsidiaries and Royal Bank of</w:t>
              </w:r>
            </w:hyperlink>
          </w:p>
        </w:tc>
      </w:tr>
      <w:tr>
        <w:trPr>
          <w:trHeight w:val="156"/>
        </w:trPr>
        <w:tc>
          <w:tcPr>
            <w:tcW w:w="1360" w:type="dxa"/>
            <w:vAlign w:val="bottom"/>
          </w:tcPr>
          <w:p>
            <w:pPr>
              <w:spacing w:after="0"/>
              <w:rPr>
                <w:sz w:val="13"/>
                <w:szCs w:val="13"/>
                <w:color w:val="auto"/>
              </w:rPr>
            </w:pPr>
          </w:p>
        </w:tc>
        <w:tc>
          <w:tcPr>
            <w:tcW w:w="9900" w:type="dxa"/>
            <w:vAlign w:val="bottom"/>
            <w:tcBorders>
              <w:top w:val="single" w:sz="8" w:color="0000FF"/>
            </w:tcBorders>
            <w:gridSpan w:val="44"/>
          </w:tcPr>
          <w:p>
            <w:pPr>
              <w:spacing w:after="0" w:line="156" w:lineRule="exact"/>
              <w:rPr>
                <w:rFonts w:ascii="Arial" w:cs="Arial" w:eastAsia="Arial" w:hAnsi="Arial"/>
                <w:sz w:val="18"/>
                <w:szCs w:val="18"/>
                <w:color w:val="0000FF"/>
                <w:w w:val="95"/>
              </w:rPr>
            </w:pPr>
            <w:hyperlink r:id="rId127">
              <w:r>
                <w:rPr>
                  <w:rFonts w:ascii="Arial" w:cs="Arial" w:eastAsia="Arial" w:hAnsi="Arial"/>
                  <w:sz w:val="18"/>
                  <w:szCs w:val="18"/>
                  <w:color w:val="0000FF"/>
                  <w:w w:val="95"/>
                </w:rPr>
                <w:t>Canada, as term collateral agent, incorporated by reference to Exhibit 10.4 to the Company’s Current Report on Form 8-K filed on</w:t>
              </w:r>
            </w:hyperlink>
          </w:p>
        </w:tc>
        <w:tc>
          <w:tcPr>
            <w:tcW w:w="2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April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9580" w:type="dxa"/>
            <w:vAlign w:val="bottom"/>
            <w:tcBorders>
              <w:bottom w:val="single" w:sz="8" w:color="0000FF"/>
            </w:tcBorders>
            <w:gridSpan w:val="28"/>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Security Agreement, dated April 13, 2017, among Installed Building Products, Inc., certain of its subsidiaries and SunTrust Bank, as</w:t>
              </w:r>
            </w:hyperlink>
          </w:p>
        </w:tc>
        <w:tc>
          <w:tcPr>
            <w:tcW w:w="340" w:type="dxa"/>
            <w:vAlign w:val="bottom"/>
            <w:gridSpan w:val="17"/>
          </w:tcPr>
          <w:p>
            <w:pPr>
              <w:spacing w:after="0"/>
              <w:rPr>
                <w:sz w:val="18"/>
                <w:szCs w:val="18"/>
                <w:color w:val="auto"/>
              </w:rPr>
            </w:pPr>
          </w:p>
        </w:tc>
      </w:tr>
      <w:tr>
        <w:trPr>
          <w:trHeight w:val="156"/>
        </w:trPr>
        <w:tc>
          <w:tcPr>
            <w:tcW w:w="1360" w:type="dxa"/>
            <w:vAlign w:val="bottom"/>
          </w:tcPr>
          <w:p>
            <w:pPr>
              <w:spacing w:after="0"/>
              <w:rPr>
                <w:sz w:val="13"/>
                <w:szCs w:val="13"/>
                <w:color w:val="auto"/>
              </w:rPr>
            </w:pPr>
          </w:p>
        </w:tc>
        <w:tc>
          <w:tcPr>
            <w:tcW w:w="9780" w:type="dxa"/>
            <w:vAlign w:val="bottom"/>
            <w:tcBorders>
              <w:bottom w:val="single" w:sz="8" w:color="0000FF"/>
            </w:tcBorders>
            <w:gridSpan w:val="38"/>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administrative agent, incorporated by reference to Exhibit 10.5 to the Company’s Current Report on Form 8-K filed on April 17, 2017.</w:t>
              </w:r>
            </w:hyperlink>
          </w:p>
        </w:tc>
        <w:tc>
          <w:tcPr>
            <w:tcW w:w="140" w:type="dxa"/>
            <w:vAlign w:val="bottom"/>
            <w:gridSpan w:val="7"/>
          </w:tcPr>
          <w:p>
            <w:pPr>
              <w:spacing w:after="0"/>
              <w:rPr>
                <w:sz w:val="13"/>
                <w:szCs w:val="13"/>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9920" w:type="dxa"/>
            <w:vAlign w:val="bottom"/>
            <w:gridSpan w:val="45"/>
          </w:tcPr>
          <w:p>
            <w:pPr>
              <w:spacing w:after="0"/>
              <w:rPr>
                <w:rFonts w:ascii="Arial" w:cs="Arial" w:eastAsia="Arial" w:hAnsi="Arial"/>
                <w:sz w:val="18"/>
                <w:szCs w:val="18"/>
                <w:color w:val="0000FF"/>
                <w:w w:val="93"/>
              </w:rPr>
            </w:pPr>
            <w:hyperlink r:id="rId129">
              <w:r>
                <w:rPr>
                  <w:rFonts w:ascii="Arial" w:cs="Arial" w:eastAsia="Arial" w:hAnsi="Arial"/>
                  <w:sz w:val="18"/>
                  <w:szCs w:val="18"/>
                  <w:color w:val="0000FF"/>
                  <w:w w:val="93"/>
                </w:rPr>
                <w:t>Term Guarantee Agreement, dated April 13, 2017, among certain of Installed Building Products, Inc.’s subsidiaries and Royal Bank of</w:t>
              </w:r>
            </w:hyperlink>
          </w:p>
        </w:tc>
      </w:tr>
      <w:tr>
        <w:trPr>
          <w:trHeight w:val="156"/>
        </w:trPr>
        <w:tc>
          <w:tcPr>
            <w:tcW w:w="1360" w:type="dxa"/>
            <w:vAlign w:val="bottom"/>
          </w:tcPr>
          <w:p>
            <w:pPr>
              <w:spacing w:after="0"/>
              <w:rPr>
                <w:sz w:val="13"/>
                <w:szCs w:val="13"/>
                <w:color w:val="auto"/>
              </w:rPr>
            </w:pPr>
          </w:p>
        </w:tc>
        <w:tc>
          <w:tcPr>
            <w:tcW w:w="9740" w:type="dxa"/>
            <w:vAlign w:val="bottom"/>
            <w:tcBorders>
              <w:top w:val="single" w:sz="8" w:color="0000FF"/>
            </w:tcBorders>
            <w:gridSpan w:val="36"/>
          </w:tcPr>
          <w:p>
            <w:pPr>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Canada, as term collateral agent, incorporated by reference to Exhibit 10.6 to the Company’s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April 17,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9920" w:type="dxa"/>
            <w:vAlign w:val="bottom"/>
            <w:gridSpan w:val="45"/>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Amendment No. 1, dated October 26, 2017, to Term Loan Credit Agreement by and among Installed Building Products, Inc., the other</w:t>
              </w:r>
            </w:hyperlink>
          </w:p>
        </w:tc>
      </w:tr>
      <w:tr>
        <w:trPr>
          <w:trHeight w:val="155"/>
        </w:trPr>
        <w:tc>
          <w:tcPr>
            <w:tcW w:w="136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loan parties party thereto, the participating lenders and fronting bank party thereto, Royal Bank of Canada, as administrative agent,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820" w:type="dxa"/>
            <w:vAlign w:val="bottom"/>
            <w:tcBorders>
              <w:bottom w:val="single" w:sz="8" w:color="0000FF"/>
            </w:tcBorders>
            <w:gridSpan w:val="40"/>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RBC Capital Markets, as lead arranger and bookrunner, incorporated by reference to Exhibit 10.31 to the Company’s Annual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840" w:type="dxa"/>
            <w:vAlign w:val="bottom"/>
            <w:gridSpan w:val="41"/>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Form 10-K filed on February 28,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9920" w:type="dxa"/>
            <w:vAlign w:val="bottom"/>
            <w:gridSpan w:val="45"/>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First Amendment, dated November 30, 2017, to Term Loan Credit Agreement, by and among Installed Building Products, Inc., the</w:t>
              </w:r>
            </w:hyperlink>
          </w:p>
        </w:tc>
      </w:tr>
      <w:tr>
        <w:trPr>
          <w:trHeight w:val="156"/>
        </w:trPr>
        <w:tc>
          <w:tcPr>
            <w:tcW w:w="136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other loan parties party thereto, the participating lenders and fronting bank party thereto, Royal Bank of Canada, as administrative</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920" w:type="dxa"/>
            <w:vAlign w:val="bottom"/>
            <w:gridSpan w:val="45"/>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agent, and RBC Capital Markets, as lead arranger and bookrunner, incorporated by reference to Exhibit 10.1 to the Company’s Current</w:t>
              </w:r>
            </w:hyperlink>
          </w:p>
        </w:tc>
      </w:tr>
      <w:tr>
        <w:trPr>
          <w:trHeight w:val="155"/>
        </w:trPr>
        <w:tc>
          <w:tcPr>
            <w:tcW w:w="136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Report on Form 8-K filed on December 1, 2017.</w:t>
              </w:r>
            </w:hyperlink>
          </w:p>
        </w:tc>
        <w:tc>
          <w:tcPr>
            <w:tcW w:w="628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920" w:type="dxa"/>
            <w:vAlign w:val="bottom"/>
            <w:gridSpan w:val="45"/>
          </w:tcPr>
          <w:p>
            <w:pPr>
              <w:spacing w:after="0"/>
              <w:rPr>
                <w:rFonts w:ascii="Arial" w:cs="Arial" w:eastAsia="Arial" w:hAnsi="Arial"/>
                <w:sz w:val="18"/>
                <w:szCs w:val="18"/>
                <w:color w:val="0000FF"/>
                <w:w w:val="93"/>
              </w:rPr>
            </w:pPr>
            <w:hyperlink r:id="rId132">
              <w:r>
                <w:rPr>
                  <w:rFonts w:ascii="Arial" w:cs="Arial" w:eastAsia="Arial" w:hAnsi="Arial"/>
                  <w:sz w:val="18"/>
                  <w:szCs w:val="18"/>
                  <w:color w:val="0000FF"/>
                  <w:w w:val="93"/>
                </w:rPr>
                <w:t>First Amendment, dated October 26, 2017, to the Credit Agreement among Installed Building Products, Inc., certain of its subsidiaries</w:t>
              </w:r>
            </w:hyperlink>
          </w:p>
        </w:tc>
      </w:tr>
      <w:tr>
        <w:trPr>
          <w:trHeight w:val="155"/>
        </w:trPr>
        <w:tc>
          <w:tcPr>
            <w:tcW w:w="1360" w:type="dxa"/>
            <w:vAlign w:val="bottom"/>
          </w:tcPr>
          <w:p>
            <w:pPr>
              <w:spacing w:after="0"/>
              <w:rPr>
                <w:sz w:val="13"/>
                <w:szCs w:val="13"/>
                <w:color w:val="auto"/>
              </w:rPr>
            </w:pPr>
          </w:p>
        </w:tc>
        <w:tc>
          <w:tcPr>
            <w:tcW w:w="9720" w:type="dxa"/>
            <w:vAlign w:val="bottom"/>
            <w:tcBorders>
              <w:top w:val="single" w:sz="8" w:color="0000FF"/>
            </w:tcBorders>
            <w:gridSpan w:val="35"/>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and SunTrust Bank, as administrative agent, incorporated by reference to Exhibit 10.33 to the Company’s Annual Report on Form 10-</w:t>
              </w:r>
            </w:hyperlink>
          </w:p>
        </w:tc>
        <w:tc>
          <w:tcPr>
            <w:tcW w:w="200" w:type="dxa"/>
            <w:vAlign w:val="bottom"/>
            <w:gridSpan w:val="10"/>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K</w:t>
              </w:r>
            </w:hyperlink>
          </w:p>
        </w:tc>
      </w:tr>
      <w:tr>
        <w:trPr>
          <w:trHeight w:val="155"/>
        </w:trPr>
        <w:tc>
          <w:tcPr>
            <w:tcW w:w="136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filed on February 28, 2018.</w:t>
              </w:r>
            </w:hyperlink>
          </w:p>
        </w:tc>
        <w:tc>
          <w:tcPr>
            <w:tcW w:w="7880" w:type="dxa"/>
            <w:vAlign w:val="bottom"/>
            <w:tcBorders>
              <w:top w:val="single" w:sz="8" w:color="0000FF"/>
            </w:tcBorders>
            <w:gridSpan w:val="3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9920" w:type="dxa"/>
            <w:vAlign w:val="bottom"/>
            <w:gridSpan w:val="45"/>
          </w:tcPr>
          <w:p>
            <w:pPr>
              <w:spacing w:after="0"/>
              <w:rPr>
                <w:rFonts w:ascii="Arial" w:cs="Arial" w:eastAsia="Arial" w:hAnsi="Arial"/>
                <w:sz w:val="18"/>
                <w:szCs w:val="18"/>
                <w:color w:val="0000FF"/>
                <w:w w:val="98"/>
              </w:rPr>
            </w:pPr>
            <w:hyperlink r:id="rId133">
              <w:r>
                <w:rPr>
                  <w:rFonts w:ascii="Arial" w:cs="Arial" w:eastAsia="Arial" w:hAnsi="Arial"/>
                  <w:sz w:val="18"/>
                  <w:szCs w:val="18"/>
                  <w:color w:val="0000FF"/>
                  <w:w w:val="98"/>
                </w:rPr>
                <w:t>Second Amendment, dated December 26, 2017, to the Credit Agreement among Installed Building Products, Inc., certain of its</w:t>
              </w:r>
            </w:hyperlink>
          </w:p>
        </w:tc>
      </w:tr>
      <w:tr>
        <w:trPr>
          <w:trHeight w:val="156"/>
        </w:trPr>
        <w:tc>
          <w:tcPr>
            <w:tcW w:w="1360" w:type="dxa"/>
            <w:vAlign w:val="bottom"/>
          </w:tcPr>
          <w:p>
            <w:pPr>
              <w:spacing w:after="0"/>
              <w:rPr>
                <w:sz w:val="13"/>
                <w:szCs w:val="13"/>
                <w:color w:val="auto"/>
              </w:rPr>
            </w:pPr>
          </w:p>
        </w:tc>
        <w:tc>
          <w:tcPr>
            <w:tcW w:w="916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subsidiaries and SunTrust Bank, as administrative agent, incorporated by reference to Exhibit 10.34 to the Company’s Annual</w:t>
              </w:r>
            </w:hyperlink>
          </w:p>
        </w:tc>
        <w:tc>
          <w:tcPr>
            <w:tcW w:w="760" w:type="dxa"/>
            <w:vAlign w:val="bottom"/>
            <w:gridSpan w:val="31"/>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Report</w:t>
              </w:r>
            </w:hyperlink>
          </w:p>
        </w:tc>
      </w:tr>
      <w:tr>
        <w:trPr>
          <w:trHeight w:val="156"/>
        </w:trPr>
        <w:tc>
          <w:tcPr>
            <w:tcW w:w="136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on Form 10-K filed on February 28, 2018.</w:t>
              </w:r>
            </w:hyperlink>
          </w:p>
        </w:tc>
        <w:tc>
          <w:tcPr>
            <w:tcW w:w="66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920" w:type="dxa"/>
            <w:vAlign w:val="bottom"/>
            <w:gridSpan w:val="45"/>
          </w:tcPr>
          <w:p>
            <w:pPr>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Second Amendment to Term Loan Credit Agreement, dated as of June 19, 2018, by and among Installed Building Products, Inc., the</w:t>
              </w:r>
            </w:hyperlink>
          </w:p>
        </w:tc>
      </w:tr>
      <w:tr>
        <w:trPr>
          <w:trHeight w:val="156"/>
        </w:trPr>
        <w:tc>
          <w:tcPr>
            <w:tcW w:w="136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other loan parties party thereto, the participating lenders and fronting bank party thereto, Royal Bank of Canada,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agent, and RBC Capital Markets, as joint lead arranger and joint bookrunner, incorporated by reference to Exhibit 10.1 to the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Company’s Current Report on Form 8-K filed on June 19, 2018.</w:t>
              </w:r>
            </w:hyperlink>
          </w:p>
        </w:tc>
        <w:tc>
          <w:tcPr>
            <w:tcW w:w="438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9920" w:type="dxa"/>
            <w:vAlign w:val="bottom"/>
            <w:gridSpan w:val="45"/>
          </w:tcPr>
          <w:p>
            <w:pPr>
              <w:spacing w:after="0"/>
              <w:rPr>
                <w:rFonts w:ascii="Arial" w:cs="Arial" w:eastAsia="Arial" w:hAnsi="Arial"/>
                <w:sz w:val="18"/>
                <w:szCs w:val="18"/>
                <w:color w:val="0000FF"/>
                <w:w w:val="94"/>
              </w:rPr>
            </w:pPr>
            <w:hyperlink r:id="rId135">
              <w:r>
                <w:rPr>
                  <w:rFonts w:ascii="Arial" w:cs="Arial" w:eastAsia="Arial" w:hAnsi="Arial"/>
                  <w:sz w:val="18"/>
                  <w:szCs w:val="18"/>
                  <w:color w:val="0000FF"/>
                  <w:w w:val="94"/>
                </w:rPr>
                <w:t>Third Amendment to Credit Agreement, dated as of June 19, 2018, by and among Installed Building Products, Inc., the lenders party</w:t>
              </w:r>
            </w:hyperlink>
          </w:p>
        </w:tc>
      </w:tr>
      <w:tr>
        <w:trPr>
          <w:trHeight w:val="156"/>
        </w:trPr>
        <w:tc>
          <w:tcPr>
            <w:tcW w:w="1360" w:type="dxa"/>
            <w:vAlign w:val="bottom"/>
          </w:tcPr>
          <w:p>
            <w:pPr>
              <w:spacing w:after="0"/>
              <w:rPr>
                <w:sz w:val="13"/>
                <w:szCs w:val="13"/>
                <w:color w:val="auto"/>
              </w:rPr>
            </w:pPr>
          </w:p>
        </w:tc>
        <w:tc>
          <w:tcPr>
            <w:tcW w:w="960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thereto, and SunTrust Bank, as administrative agent, incorporated by reference to Exhibit 10.2 to the Company’s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Form 8-K filed on June 19, 2018.</w:t>
              </w:r>
            </w:hyperlink>
          </w:p>
        </w:tc>
        <w:tc>
          <w:tcPr>
            <w:tcW w:w="70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9920" w:type="dxa"/>
            <w:vAlign w:val="bottom"/>
            <w:gridSpan w:val="45"/>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Restatement Agreement, dated as of December 17, 2019, among Installed Building Products, Inc., as Borrower, the Lenders party</w:t>
              </w:r>
            </w:hyperlink>
          </w:p>
        </w:tc>
      </w:tr>
      <w:tr>
        <w:trPr>
          <w:trHeight w:val="155"/>
        </w:trPr>
        <w:tc>
          <w:tcPr>
            <w:tcW w:w="13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thereto and Bank of America, N.A., as Administrative Agent, incorporated by reference to Exhibit 10.1 to the Company’s Current</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360" w:type="dxa"/>
            <w:vAlign w:val="bottom"/>
            <w:gridSpan w:val="17"/>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Report on Form 8-K filed on December 18, 2019.</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9920" w:type="dxa"/>
            <w:vAlign w:val="bottom"/>
            <w:gridSpan w:val="45"/>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First Amendment to ABL/Term Loan Intercreditor Agreement, dated as of June 19, 2018, by and among Installed Building Products,</w:t>
              </w:r>
            </w:hyperlink>
          </w:p>
        </w:tc>
      </w:tr>
      <w:tr>
        <w:trPr>
          <w:trHeight w:val="155"/>
        </w:trPr>
        <w:tc>
          <w:tcPr>
            <w:tcW w:w="1360" w:type="dxa"/>
            <w:vAlign w:val="bottom"/>
          </w:tcPr>
          <w:p>
            <w:pPr>
              <w:spacing w:after="0"/>
              <w:rPr>
                <w:sz w:val="13"/>
                <w:szCs w:val="13"/>
                <w:color w:val="auto"/>
              </w:rPr>
            </w:pPr>
          </w:p>
        </w:tc>
        <w:tc>
          <w:tcPr>
            <w:tcW w:w="962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Inc., SunTrust Bank, as ABL agent, and Royal Bank of Canada, as term loan agent, incorporated by reference to Exhibit 10.3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Company’s Current Report on Form 8-K filed on June 19, 2018.</w:t>
              </w:r>
            </w:hyperlink>
          </w:p>
        </w:tc>
        <w:tc>
          <w:tcPr>
            <w:tcW w:w="48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9920" w:type="dxa"/>
            <w:vAlign w:val="bottom"/>
            <w:gridSpan w:val="45"/>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Second Amendment to ABL/Term Loan Intercreditor Agreement, dated as of December 17, 2019, by and among Installed Building</w:t>
              </w:r>
            </w:hyperlink>
          </w:p>
        </w:tc>
      </w:tr>
      <w:tr>
        <w:trPr>
          <w:trHeight w:val="156"/>
        </w:trPr>
        <w:tc>
          <w:tcPr>
            <w:tcW w:w="136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Products, Inc., as Borrower, Bank of America, N.A., as ABL Agent, and Bank of America, N.A., as Term Loan Agent, incorporated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8"/>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by</w:t>
              </w:r>
            </w:hyperlink>
          </w:p>
        </w:tc>
      </w:tr>
      <w:tr>
        <w:trPr>
          <w:trHeight w:val="156"/>
        </w:trPr>
        <w:tc>
          <w:tcPr>
            <w:tcW w:w="1360" w:type="dxa"/>
            <w:vAlign w:val="bottom"/>
          </w:tcPr>
          <w:p>
            <w:pPr>
              <w:spacing w:after="0"/>
              <w:rPr>
                <w:sz w:val="13"/>
                <w:szCs w:val="13"/>
                <w:color w:val="auto"/>
              </w:rPr>
            </w:pPr>
          </w:p>
        </w:tc>
        <w:tc>
          <w:tcPr>
            <w:tcW w:w="98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reference to Exhibit 10.2 to the Company’s Current Report on Form 8-K filed on December 18, 2019.</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740" w:type="dxa"/>
            <w:vAlign w:val="bottom"/>
            <w:gridSpan w:val="8"/>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9920" w:type="dxa"/>
            <w:vAlign w:val="bottom"/>
            <w:gridSpan w:val="45"/>
          </w:tcPr>
          <w:p>
            <w:pPr>
              <w:spacing w:after="0"/>
              <w:rPr>
                <w:rFonts w:ascii="Arial" w:cs="Arial" w:eastAsia="Arial" w:hAnsi="Arial"/>
                <w:sz w:val="18"/>
                <w:szCs w:val="18"/>
                <w:color w:val="0000FF"/>
                <w:w w:val="97"/>
              </w:rPr>
            </w:pPr>
            <w:hyperlink r:id="rId139">
              <w:r>
                <w:rPr>
                  <w:rFonts w:ascii="Arial" w:cs="Arial" w:eastAsia="Arial" w:hAnsi="Arial"/>
                  <w:sz w:val="18"/>
                  <w:szCs w:val="18"/>
                  <w:color w:val="0000FF"/>
                  <w:w w:val="97"/>
                </w:rPr>
                <w:t>Purchase Agreement, dated as of September 16, 2019, by and among Installed Building Products, Inc., as issuer, the subsidiary</w:t>
              </w:r>
            </w:hyperlink>
          </w:p>
        </w:tc>
      </w:tr>
      <w:tr>
        <w:trPr>
          <w:trHeight w:val="155"/>
        </w:trPr>
        <w:tc>
          <w:tcPr>
            <w:tcW w:w="1360" w:type="dxa"/>
            <w:vAlign w:val="bottom"/>
          </w:tcPr>
          <w:p>
            <w:pPr>
              <w:spacing w:after="0"/>
              <w:rPr>
                <w:sz w:val="13"/>
                <w:szCs w:val="13"/>
                <w:color w:val="auto"/>
              </w:rPr>
            </w:pPr>
          </w:p>
        </w:tc>
        <w:tc>
          <w:tcPr>
            <w:tcW w:w="914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r:id="rId139">
              <w:r>
                <w:rPr>
                  <w:rFonts w:ascii="Arial" w:cs="Arial" w:eastAsia="Arial" w:hAnsi="Arial"/>
                  <w:sz w:val="18"/>
                  <w:szCs w:val="18"/>
                  <w:color w:val="0000FF"/>
                  <w:w w:val="89"/>
                </w:rPr>
                <w:t>guarantors party thereto, and BofA Securities, Inc. for itself and on behalf of several initial purchasers, incorporated by reference</w:t>
              </w:r>
            </w:hyperlink>
          </w:p>
        </w:tc>
        <w:tc>
          <w:tcPr>
            <w:tcW w:w="60" w:type="dxa"/>
            <w:vAlign w:val="bottom"/>
            <w:gridSpan w:val="2"/>
          </w:tcPr>
          <w:p>
            <w:pPr>
              <w:spacing w:after="0"/>
              <w:rPr>
                <w:sz w:val="13"/>
                <w:szCs w:val="13"/>
                <w:color w:val="auto"/>
              </w:rPr>
            </w:pPr>
          </w:p>
        </w:tc>
        <w:tc>
          <w:tcPr>
            <w:tcW w:w="720" w:type="dxa"/>
            <w:vAlign w:val="bottom"/>
            <w:gridSpan w:val="30"/>
          </w:tcPr>
          <w:p>
            <w:pPr>
              <w:ind w:left="140"/>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to</w:t>
              </w:r>
            </w:hyperlink>
          </w:p>
        </w:tc>
      </w:tr>
      <w:tr>
        <w:trPr>
          <w:trHeight w:val="156"/>
        </w:trPr>
        <w:tc>
          <w:tcPr>
            <w:tcW w:w="136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Exhibit 10.1 to the Company’s Current Report on Form 8-K filed on September 17,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740" w:type="dxa"/>
            <w:vAlign w:val="bottom"/>
            <w:gridSpan w:val="8"/>
            <w:shd w:val="clear" w:color="auto" w:fill="0000F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9920" w:type="dxa"/>
            <w:vAlign w:val="bottom"/>
            <w:gridSpan w:val="45"/>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Credit Agreement, dated September 26, 2019, among Installed Building Products, Inc., the guarantors party thereto, the lenders party</w:t>
              </w:r>
            </w:hyperlink>
          </w:p>
        </w:tc>
      </w:tr>
      <w:tr>
        <w:trPr>
          <w:trHeight w:val="156"/>
        </w:trPr>
        <w:tc>
          <w:tcPr>
            <w:tcW w:w="1360" w:type="dxa"/>
            <w:vAlign w:val="bottom"/>
          </w:tcPr>
          <w:p>
            <w:pPr>
              <w:spacing w:after="0"/>
              <w:rPr>
                <w:sz w:val="13"/>
                <w:szCs w:val="13"/>
                <w:color w:val="auto"/>
              </w:rPr>
            </w:pPr>
          </w:p>
        </w:tc>
        <w:tc>
          <w:tcPr>
            <w:tcW w:w="964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thereto and Bank of America, N.A., as issuing bank, swing bank and administrative agent, with KeyBank National Association, as 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56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syndication agent and U.S. Bank National Association, as a syndication agent, and Bank of America, N.A., as lead arranger and</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7480" w:type="dxa"/>
            <w:vAlign w:val="bottom"/>
            <w:gridSpan w:val="13"/>
            <w:shd w:val="clear" w:color="auto" w:fill="0000FF"/>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9460" w:type="dxa"/>
            <w:vAlign w:val="bottom"/>
            <w:tcBorders>
              <w:bottom w:val="single" w:sz="8" w:color="0000FF"/>
            </w:tcBorders>
            <w:gridSpan w:val="22"/>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bookrunner, incorporated by reference to Exhibit 10.1 to the Company’s Current Report on Form 8-K filed on September 27, 2019.</w:t>
              </w:r>
            </w:hyperlink>
          </w:p>
        </w:tc>
        <w:tc>
          <w:tcPr>
            <w:tcW w:w="460" w:type="dxa"/>
            <w:vAlign w:val="bottom"/>
            <w:gridSpan w:val="23"/>
          </w:tcPr>
          <w:p>
            <w:pPr>
              <w:spacing w:after="0"/>
              <w:rPr>
                <w:sz w:val="13"/>
                <w:szCs w:val="13"/>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9920" w:type="dxa"/>
            <w:vAlign w:val="bottom"/>
            <w:gridSpan w:val="45"/>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Security Agreement, dated September 26, 2019, among Installed Building Products, Inc., the other grantors party thereto and Bank of</w:t>
              </w:r>
            </w:hyperlink>
          </w:p>
        </w:tc>
      </w:tr>
      <w:tr>
        <w:trPr>
          <w:trHeight w:val="155"/>
        </w:trPr>
        <w:tc>
          <w:tcPr>
            <w:tcW w:w="136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America, N.A., as administrative agent, incorporated by reference to Exhibit 10.2 to the Company’s Current Report on Form 8-K filed</w:t>
              </w:r>
            </w:hyperlink>
          </w:p>
        </w:tc>
        <w:tc>
          <w:tcPr>
            <w:tcW w:w="20" w:type="dxa"/>
            <w:vAlign w:val="bottom"/>
            <w:tcBorders>
              <w:bottom w:val="single" w:sz="8" w:color="0000FF"/>
            </w:tcBorders>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60" w:type="dxa"/>
            <w:vAlign w:val="bottom"/>
          </w:tcPr>
          <w:p>
            <w:pPr>
              <w:spacing w:after="0"/>
              <w:rPr>
                <w:sz w:val="13"/>
                <w:szCs w:val="13"/>
                <w:color w:val="auto"/>
              </w:rPr>
            </w:pPr>
          </w:p>
        </w:tc>
        <w:tc>
          <w:tcPr>
            <w:tcW w:w="9700" w:type="dxa"/>
            <w:vAlign w:val="bottom"/>
            <w:gridSpan w:val="34"/>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on September 27, 2019.</w:t>
              </w:r>
            </w:hyperlink>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8160" w:type="dxa"/>
            <w:vAlign w:val="bottom"/>
            <w:gridSpan w:val="4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8"/>
                <w:szCs w:val="18"/>
                <w:color w:val="auto"/>
              </w:rPr>
              <w:t>10.23</w:t>
            </w:r>
          </w:p>
        </w:tc>
        <w:tc>
          <w:tcPr>
            <w:tcW w:w="9920" w:type="dxa"/>
            <w:vAlign w:val="bottom"/>
            <w:gridSpan w:val="45"/>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Term Loan Credit Agreement, dated December 14, 2021, by and among Installed Building Products, Inc., the lenders party thereto from</w:t>
              </w:r>
            </w:hyperlink>
          </w:p>
        </w:tc>
      </w:tr>
      <w:tr>
        <w:trPr>
          <w:trHeight w:val="157"/>
        </w:trPr>
        <w:tc>
          <w:tcPr>
            <w:tcW w:w="1360" w:type="dxa"/>
            <w:vAlign w:val="bottom"/>
          </w:tcPr>
          <w:p>
            <w:pPr>
              <w:spacing w:after="0"/>
              <w:rPr>
                <w:sz w:val="13"/>
                <w:szCs w:val="13"/>
                <w:color w:val="auto"/>
              </w:rPr>
            </w:pPr>
          </w:p>
        </w:tc>
        <w:tc>
          <w:tcPr>
            <w:tcW w:w="9880" w:type="dxa"/>
            <w:vAlign w:val="bottom"/>
            <w:tcBorders>
              <w:top w:val="single" w:sz="8" w:color="0000FF"/>
            </w:tcBorders>
            <w:gridSpan w:val="43"/>
          </w:tcPr>
          <w:p>
            <w:pPr>
              <w:spacing w:after="0" w:line="157" w:lineRule="exact"/>
              <w:rPr>
                <w:rFonts w:ascii="Arial" w:cs="Arial" w:eastAsia="Arial" w:hAnsi="Arial"/>
                <w:sz w:val="18"/>
                <w:szCs w:val="18"/>
                <w:u w:val="single" w:color="auto"/>
                <w:color w:val="0000FF"/>
                <w:w w:val="91"/>
              </w:rPr>
            </w:pPr>
            <w:hyperlink r:id="rId142">
              <w:r>
                <w:rPr>
                  <w:rFonts w:ascii="Arial" w:cs="Arial" w:eastAsia="Arial" w:hAnsi="Arial"/>
                  <w:sz w:val="18"/>
                  <w:szCs w:val="18"/>
                  <w:u w:val="single" w:color="auto"/>
                  <w:color w:val="0000FF"/>
                  <w:w w:val="91"/>
                </w:rPr>
                <w:t>time to time, Royal Bank to Canada, as term administrative agent and term collateral agent, and RBC Capital Markets, BofA Securities,</w:t>
              </w:r>
            </w:hyperlink>
          </w:p>
        </w:tc>
        <w:tc>
          <w:tcPr>
            <w:tcW w:w="40" w:type="dxa"/>
            <w:vAlign w:val="bottom"/>
            <w:gridSpan w:val="2"/>
          </w:tcPr>
          <w:p>
            <w:pPr>
              <w:spacing w:after="0"/>
              <w:rPr>
                <w:sz w:val="13"/>
                <w:szCs w:val="13"/>
                <w:color w:val="auto"/>
              </w:rPr>
            </w:pPr>
          </w:p>
        </w:tc>
      </w:tr>
    </w:tbl>
    <w:p>
      <w:pPr>
        <w:ind w:left="1360" w:right="40"/>
        <w:spacing w:after="0" w:line="218"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Inc. and Goldman Sachs Bank USA as joint lead arrangers and joint bookrunners and Loop Capital Markets LLC, US Bank National</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Associations, KeyBank Capital Markets Inc. and PNC Capital Markets LLC as Co-managers, incorporated by reference to Exhibit 10.1</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to the Company's Current Report on Form 8-K filed on December 14,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53" w:right="39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color w:val="auto"/>
              </w:rPr>
              <w:t>10.24</w:t>
            </w:r>
          </w:p>
        </w:tc>
        <w:tc>
          <w:tcPr>
            <w:tcW w:w="9820" w:type="dxa"/>
            <w:vAlign w:val="bottom"/>
            <w:gridSpan w:val="42"/>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Third Amendment to ABL/Term Loan Intercreditor Agreement, dated December 14, 2021, by and among Installed Building Products,</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Inc., Bank of America, N.A., as ABL agent, Royal Bank of Canada, as collateral agent and certain of the Company's subsidiaries from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720" w:type="dxa"/>
            <w:vAlign w:val="bottom"/>
            <w:tcBorders>
              <w:bottom w:val="single" w:sz="8" w:color="0000FF"/>
            </w:tcBorders>
            <w:gridSpan w:val="36"/>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time to time party thereto, incorporated by reference to Exhibit 10.3 to the Company's Current Report on Form 8-K filed on December</w:t>
              </w:r>
            </w:hyperlink>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14, 2021.</w:t>
              </w:r>
            </w:hyperlink>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10.25</w:t>
            </w:r>
          </w:p>
        </w:tc>
        <w:tc>
          <w:tcPr>
            <w:tcW w:w="9820" w:type="dxa"/>
            <w:vAlign w:val="bottom"/>
            <w:gridSpan w:val="42"/>
          </w:tcPr>
          <w:p>
            <w:pPr>
              <w:spacing w:after="0"/>
              <w:rPr>
                <w:rFonts w:ascii="Arial" w:cs="Arial" w:eastAsia="Arial" w:hAnsi="Arial"/>
                <w:sz w:val="18"/>
                <w:szCs w:val="18"/>
                <w:color w:val="0000FF"/>
                <w:w w:val="94"/>
              </w:rPr>
            </w:pPr>
            <w:hyperlink r:id="rId145">
              <w:r>
                <w:rPr>
                  <w:rFonts w:ascii="Arial" w:cs="Arial" w:eastAsia="Arial" w:hAnsi="Arial"/>
                  <w:sz w:val="18"/>
                  <w:szCs w:val="18"/>
                  <w:color w:val="0000FF"/>
                  <w:w w:val="94"/>
                </w:rPr>
                <w:t>Lien Sharing and Priority Confirmation Joinder, dated, December 14, 2021, among Installed Building Products, Inc., the guarantors</w:t>
              </w:r>
            </w:hyperlink>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20" w:type="dxa"/>
            <w:vAlign w:val="bottom"/>
            <w:gridSpan w:val="42"/>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named therein, Bank of America, N.A., as ABL agent, and Royal Bank of Canada, as collateral agent under the Term Loan Agreement,</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incorporated by reference to Exhibit 10.4 to the Company's Current Report on Form 8-K filed on December 14, 2021.</w:t>
              </w:r>
            </w:hyperlink>
          </w:p>
        </w:tc>
        <w:tc>
          <w:tcPr>
            <w:tcW w:w="12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10.26</w:t>
            </w:r>
          </w:p>
        </w:tc>
        <w:tc>
          <w:tcPr>
            <w:tcW w:w="9560" w:type="dxa"/>
            <w:vAlign w:val="bottom"/>
            <w:tcBorders>
              <w:bottom w:val="single" w:sz="8" w:color="0000FF"/>
            </w:tcBorders>
            <w:gridSpan w:val="28"/>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Term Collateral Agreement, dated December 14, 2021, among Installed Building Products, Inc., certain of its subsidiaries and Royal</w:t>
              </w:r>
            </w:hyperlink>
          </w:p>
        </w:tc>
        <w:tc>
          <w:tcPr>
            <w:tcW w:w="260" w:type="dxa"/>
            <w:vAlign w:val="bottom"/>
            <w:gridSpan w:val="14"/>
          </w:tcPr>
          <w:p>
            <w:pPr>
              <w:spacing w:after="0"/>
              <w:rPr>
                <w:sz w:val="18"/>
                <w:szCs w:val="18"/>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20" w:type="dxa"/>
            <w:vAlign w:val="bottom"/>
            <w:gridSpan w:val="42"/>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Bank of Canada, as term collateral agent</w:t>
              </w:r>
              <w:r>
                <w:rPr>
                  <w:rFonts w:ascii="Arial" w:cs="Arial" w:eastAsia="Arial" w:hAnsi="Arial"/>
                  <w:sz w:val="18"/>
                  <w:szCs w:val="18"/>
                  <w:color w:val="000000"/>
                  <w:w w:val="91"/>
                </w:rPr>
                <w:t>,</w:t>
              </w:r>
              <w:r>
                <w:rPr>
                  <w:rFonts w:ascii="Arial" w:cs="Arial" w:eastAsia="Arial" w:hAnsi="Arial"/>
                  <w:sz w:val="18"/>
                  <w:szCs w:val="18"/>
                  <w:color w:val="0000FF"/>
                  <w:w w:val="91"/>
                </w:rPr>
                <w:t xml:space="preserve"> incorporated by reference to Exhibit 10.5 to the Company’s Current Report on Form 8-K filed</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on December 14, 2021.</w:t>
              </w:r>
            </w:hyperlink>
          </w:p>
        </w:tc>
        <w:tc>
          <w:tcPr>
            <w:tcW w:w="124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gridSpan w:val="2"/>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8"/>
                <w:szCs w:val="18"/>
                <w:color w:val="auto"/>
              </w:rPr>
              <w:t>10.27</w:t>
            </w:r>
          </w:p>
        </w:tc>
        <w:tc>
          <w:tcPr>
            <w:tcW w:w="9820" w:type="dxa"/>
            <w:vAlign w:val="bottom"/>
            <w:gridSpan w:val="42"/>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Term Guarantee Agreement, dated December 14, 2021 among certain of Installed Building Products, Inc.'s subsidiaries and Royal of</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Canada, as term collateral agent</w:t>
              </w:r>
              <w:r>
                <w:rPr>
                  <w:rFonts w:ascii="Arial" w:cs="Arial" w:eastAsia="Arial" w:hAnsi="Arial"/>
                  <w:sz w:val="18"/>
                  <w:szCs w:val="18"/>
                  <w:color w:val="000000"/>
                  <w:w w:val="92"/>
                </w:rPr>
                <w:t>,</w:t>
              </w:r>
              <w:r>
                <w:rPr>
                  <w:rFonts w:ascii="Arial" w:cs="Arial" w:eastAsia="Arial" w:hAnsi="Arial"/>
                  <w:sz w:val="18"/>
                  <w:szCs w:val="18"/>
                  <w:color w:val="0000FF"/>
                  <w:w w:val="92"/>
                </w:rPr>
                <w:t xml:space="preserve"> incorporated by reference to Exhibit 10.6 to the Company’s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December 14, 2021.</w:t>
              </w:r>
            </w:hyperlink>
          </w:p>
        </w:tc>
        <w:tc>
          <w:tcPr>
            <w:tcW w:w="8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gridSpan w:val="2"/>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10.28</w:t>
            </w:r>
          </w:p>
        </w:tc>
        <w:tc>
          <w:tcPr>
            <w:tcW w:w="9820" w:type="dxa"/>
            <w:vAlign w:val="bottom"/>
            <w:gridSpan w:val="42"/>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Consent and Amendment No. 2 to Credit Agreement, dated December 14, 2021, by and among Installed Building Products, Inc., the</w:t>
              </w:r>
            </w:hyperlink>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20" w:type="dxa"/>
            <w:vAlign w:val="bottom"/>
            <w:gridSpan w:val="42"/>
          </w:tcPr>
          <w:p>
            <w:pPr>
              <w:spacing w:after="0" w:line="15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financial institutions party thereto and Bank of America N.A., as administrative agent</w:t>
              </w:r>
              <w:r>
                <w:rPr>
                  <w:rFonts w:ascii="Arial" w:cs="Arial" w:eastAsia="Arial" w:hAnsi="Arial"/>
                  <w:sz w:val="18"/>
                  <w:szCs w:val="18"/>
                  <w:color w:val="000000"/>
                  <w:w w:val="93"/>
                </w:rPr>
                <w:t>,</w:t>
              </w:r>
              <w:r>
                <w:rPr>
                  <w:rFonts w:ascii="Arial" w:cs="Arial" w:eastAsia="Arial" w:hAnsi="Arial"/>
                  <w:sz w:val="18"/>
                  <w:szCs w:val="18"/>
                  <w:color w:val="0000FF"/>
                  <w:w w:val="93"/>
                </w:rPr>
                <w:t xml:space="preserve"> incorporated by reference to Exhibit 10.7 to the</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1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Company’s Current Report on Form 8-K filed on December 14, 2021.</w:t>
              </w:r>
            </w:hyperlink>
          </w:p>
        </w:tc>
        <w:tc>
          <w:tcPr>
            <w:tcW w:w="80" w:type="dxa"/>
            <w:vAlign w:val="bottom"/>
          </w:tcPr>
          <w:p>
            <w:pPr>
              <w:spacing w:after="0"/>
              <w:rPr>
                <w:sz w:val="13"/>
                <w:szCs w:val="13"/>
                <w:color w:val="auto"/>
              </w:rPr>
            </w:pPr>
          </w:p>
        </w:tc>
        <w:tc>
          <w:tcPr>
            <w:tcW w:w="2540" w:type="dxa"/>
            <w:vAlign w:val="bottom"/>
            <w:tcBorders>
              <w:top w:val="single" w:sz="8" w:color="0000FF"/>
            </w:tcBorders>
            <w:gridSpan w:val="2"/>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10.29#</w:t>
            </w:r>
          </w:p>
        </w:tc>
        <w:tc>
          <w:tcPr>
            <w:tcW w:w="9820" w:type="dxa"/>
            <w:vAlign w:val="bottom"/>
            <w:gridSpan w:val="42"/>
          </w:tcPr>
          <w:p>
            <w:pPr>
              <w:spacing w:after="0"/>
              <w:rPr>
                <w:rFonts w:ascii="Arial" w:cs="Arial" w:eastAsia="Arial" w:hAnsi="Arial"/>
                <w:sz w:val="18"/>
                <w:szCs w:val="18"/>
                <w:color w:val="0000FF"/>
                <w:w w:val="95"/>
              </w:rPr>
            </w:pPr>
            <w:hyperlink r:id="rId149">
              <w:r>
                <w:rPr>
                  <w:rFonts w:ascii="Arial" w:cs="Arial" w:eastAsia="Arial" w:hAnsi="Arial"/>
                  <w:sz w:val="18"/>
                  <w:szCs w:val="18"/>
                  <w:color w:val="0000FF"/>
                  <w:w w:val="95"/>
                </w:rPr>
                <w:t>Retirement and General Release Agreement, dated as of July 31, 2018, by and among Installed Building Products, Inc., Installed</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Building Products, LLC, TCI Contracting, LLC and J. Michael Nixon, incorporated by reference to Exhibit 10.4 to the Company’s</w:t>
              </w:r>
            </w:hyperlink>
          </w:p>
        </w:tc>
        <w:tc>
          <w:tcPr>
            <w:tcW w:w="16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80" w:type="dxa"/>
            <w:vAlign w:val="bottom"/>
            <w:gridSpan w:val="2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Quarterly Report on Form 10-Q filed on August 3, 2018.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10.30</w:t>
            </w:r>
          </w:p>
        </w:tc>
        <w:tc>
          <w:tcPr>
            <w:tcW w:w="9820" w:type="dxa"/>
            <w:vAlign w:val="bottom"/>
            <w:gridSpan w:val="42"/>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Share Repurchase Agreement, dated November 5, 2018, by and between Installed Building Products, Inc. and PJAM IBP Holdings,</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Inc., incorporated by reference to Exhibit 10.1 to the Company’s Current Report on Form 8-K filed on November 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10.31#</w:t>
            </w:r>
          </w:p>
        </w:tc>
        <w:tc>
          <w:tcPr>
            <w:tcW w:w="9820" w:type="dxa"/>
            <w:vAlign w:val="bottom"/>
            <w:gridSpan w:val="42"/>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Form of Restricted Stock Agreement, incorporated by reference to Exhibit 10.1 to the Company’s Quarterly Report on Form 10-Q filed</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7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on May 14,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10.32#</w:t>
            </w:r>
          </w:p>
        </w:tc>
        <w:tc>
          <w:tcPr>
            <w:tcW w:w="9820" w:type="dxa"/>
            <w:vAlign w:val="bottom"/>
            <w:gridSpan w:val="42"/>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Form of Performance Share Award Agreement, incorporated by reference to Exhibit 10.4 to the Company’s Quarterly Report on Form</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70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10-Q filed on August 13, 2014.</w:t>
              </w:r>
            </w:hyperlink>
          </w:p>
        </w:tc>
        <w:tc>
          <w:tcPr>
            <w:tcW w:w="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10.33#</w:t>
            </w:r>
          </w:p>
        </w:tc>
        <w:tc>
          <w:tcPr>
            <w:tcW w:w="9820" w:type="dxa"/>
            <w:vAlign w:val="bottom"/>
            <w:gridSpan w:val="42"/>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Form of Restricted Stock Agreement for Employees, incorporated by reference to Exhibit 10.22 to the Company’s Annual Report on</w:t>
              </w:r>
            </w:hyperlink>
          </w:p>
        </w:tc>
      </w:tr>
      <w:tr>
        <w:trPr>
          <w:trHeight w:val="156"/>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5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Form 10-K filed on March 13,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60" w:type="dxa"/>
            <w:vAlign w:val="bottom"/>
            <w:gridSpan w:val="2"/>
          </w:tcPr>
          <w:p>
            <w:pPr>
              <w:spacing w:after="0"/>
              <w:rPr>
                <w:sz w:val="20"/>
                <w:szCs w:val="20"/>
                <w:color w:val="auto"/>
              </w:rPr>
            </w:pPr>
            <w:r>
              <w:rPr>
                <w:rFonts w:ascii="Arial" w:cs="Arial" w:eastAsia="Arial" w:hAnsi="Arial"/>
                <w:sz w:val="18"/>
                <w:szCs w:val="18"/>
                <w:color w:val="auto"/>
              </w:rPr>
              <w:t>10.34#</w:t>
            </w:r>
          </w:p>
        </w:tc>
        <w:tc>
          <w:tcPr>
            <w:tcW w:w="9820" w:type="dxa"/>
            <w:vAlign w:val="bottom"/>
            <w:gridSpan w:val="42"/>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Form of Restricted Stock Agreement for awards made on or after April 19, 2017, incorporated by reference to Exhibit 10.35 to the</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Company’s Quarterly Report on Form 10-Q filed on May 8, 2017.</w:t>
              </w:r>
            </w:hyperlink>
          </w:p>
        </w:tc>
        <w:tc>
          <w:tcPr>
            <w:tcW w:w="4640" w:type="dxa"/>
            <w:vAlign w:val="bottom"/>
            <w:tcBorders>
              <w:top w:val="single" w:sz="8" w:color="0000FF"/>
            </w:tcBorders>
            <w:gridSpan w:val="9"/>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8"/>
                <w:szCs w:val="18"/>
                <w:color w:val="auto"/>
              </w:rPr>
              <w:t>10.35#</w:t>
            </w:r>
          </w:p>
        </w:tc>
        <w:tc>
          <w:tcPr>
            <w:tcW w:w="9820" w:type="dxa"/>
            <w:vAlign w:val="bottom"/>
            <w:gridSpan w:val="42"/>
          </w:tcPr>
          <w:p>
            <w:pPr>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Form of Performance Share Agreement for awards made on or after April 19, 2017, incorporated by reference to Exhibit 10.36 to the</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Company’s Quarterly Report on Form 10-Q filed on May 8, 2017.</w:t>
              </w:r>
            </w:hyperlink>
          </w:p>
        </w:tc>
        <w:tc>
          <w:tcPr>
            <w:tcW w:w="4880" w:type="dxa"/>
            <w:vAlign w:val="bottom"/>
            <w:tcBorders>
              <w:top w:val="single" w:sz="8" w:color="0000FF"/>
            </w:tcBorders>
            <w:gridSpan w:val="17"/>
          </w:tcPr>
          <w:p>
            <w:pPr>
              <w:spacing w:after="0"/>
              <w:rPr>
                <w:sz w:val="13"/>
                <w:szCs w:val="13"/>
                <w:color w:val="auto"/>
              </w:rPr>
            </w:pPr>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8"/>
                <w:szCs w:val="18"/>
                <w:color w:val="auto"/>
              </w:rPr>
              <w:t>10.36#</w:t>
            </w:r>
          </w:p>
        </w:tc>
        <w:tc>
          <w:tcPr>
            <w:tcW w:w="9820" w:type="dxa"/>
            <w:vAlign w:val="bottom"/>
            <w:gridSpan w:val="42"/>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Form of Stock Award Agreement, incorporated by reference to Exhibit 10.37 to the Company’s Quarterly Report on Form 10-Q filed</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on May 8, 2017.</w:t>
              </w:r>
            </w:hyperlink>
          </w:p>
        </w:tc>
        <w:tc>
          <w:tcPr>
            <w:tcW w:w="8440" w:type="dxa"/>
            <w:vAlign w:val="bottom"/>
            <w:tcBorders>
              <w:top w:val="single" w:sz="8" w:color="0000FF"/>
            </w:tcBorders>
            <w:gridSpan w:val="30"/>
          </w:tcPr>
          <w:p>
            <w:pPr>
              <w:spacing w:after="0"/>
              <w:rPr>
                <w:sz w:val="13"/>
                <w:szCs w:val="13"/>
                <w:color w:val="auto"/>
              </w:rPr>
            </w:pPr>
          </w:p>
        </w:tc>
        <w:tc>
          <w:tcPr>
            <w:tcW w:w="14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gridSpan w:val="2"/>
          </w:tcPr>
          <w:p>
            <w:pPr>
              <w:spacing w:after="0"/>
              <w:rPr>
                <w:sz w:val="20"/>
                <w:szCs w:val="20"/>
                <w:color w:val="auto"/>
              </w:rPr>
            </w:pPr>
            <w:r>
              <w:rPr>
                <w:rFonts w:ascii="Arial" w:cs="Arial" w:eastAsia="Arial" w:hAnsi="Arial"/>
                <w:sz w:val="18"/>
                <w:szCs w:val="18"/>
                <w:color w:val="auto"/>
              </w:rPr>
              <w:t>10.37#</w:t>
            </w:r>
          </w:p>
        </w:tc>
        <w:tc>
          <w:tcPr>
            <w:tcW w:w="9820" w:type="dxa"/>
            <w:vAlign w:val="bottom"/>
            <w:gridSpan w:val="42"/>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Form of Performance-Based Cash Award Agreement, incorporated by reference to Exhibit 10.38 to the Company’s Quarterly Report on</w:t>
              </w:r>
            </w:hyperlink>
          </w:p>
        </w:tc>
      </w:tr>
      <w:tr>
        <w:trPr>
          <w:trHeight w:val="155"/>
        </w:trPr>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Form 10-Q filed on May 8, 2017.</w:t>
              </w:r>
            </w:hyperlink>
          </w:p>
        </w:tc>
        <w:tc>
          <w:tcPr>
            <w:tcW w:w="736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60" w:type="dxa"/>
            <w:vAlign w:val="bottom"/>
            <w:gridSpan w:val="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21.</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9820" w:type="dxa"/>
            <w:vAlign w:val="bottom"/>
            <w:gridSpan w:val="4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List of Subsidiaries of Installed Building Products, Inc.</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1"/>
          </w:tcPr>
          <w:p>
            <w:pPr>
              <w:spacing w:after="0" w:line="20" w:lineRule="exact"/>
              <w:rPr>
                <w:sz w:val="1"/>
                <w:szCs w:val="1"/>
                <w:color w:val="auto"/>
              </w:rPr>
            </w:pPr>
          </w:p>
        </w:tc>
      </w:tr>
      <w:tr>
        <w:trPr>
          <w:trHeight w:val="210"/>
        </w:trPr>
        <w:tc>
          <w:tcPr>
            <w:tcW w:w="1360" w:type="dxa"/>
            <w:vAlign w:val="bottom"/>
            <w:gridSpan w:val="2"/>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23.</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9820" w:type="dxa"/>
            <w:vAlign w:val="bottom"/>
            <w:gridSpan w:val="42"/>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Consent of Deloitte &amp; Touche LLP.</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1"/>
          </w:tcPr>
          <w:p>
            <w:pPr>
              <w:spacing w:after="0" w:line="20" w:lineRule="exact"/>
              <w:rPr>
                <w:sz w:val="1"/>
                <w:szCs w:val="1"/>
                <w:color w:val="auto"/>
              </w:rPr>
            </w:pPr>
          </w:p>
        </w:tc>
      </w:tr>
      <w:tr>
        <w:trPr>
          <w:trHeight w:val="210"/>
        </w:trPr>
        <w:tc>
          <w:tcPr>
            <w:tcW w:w="1360" w:type="dxa"/>
            <w:vAlign w:val="bottom"/>
            <w:gridSpan w:val="2"/>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31.</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9820" w:type="dxa"/>
            <w:vAlign w:val="bottom"/>
            <w:gridSpan w:val="42"/>
          </w:tcPr>
          <w:p>
            <w:pPr>
              <w:spacing w:after="0"/>
              <w:rPr>
                <w:rFonts w:ascii="Arial" w:cs="Arial" w:eastAsia="Arial" w:hAnsi="Arial"/>
                <w:sz w:val="18"/>
                <w:szCs w:val="18"/>
                <w:color w:val="0000FF"/>
                <w:w w:val="92"/>
              </w:rPr>
            </w:pPr>
            <w:hyperlink w:anchor="page100">
              <w:r>
                <w:rPr>
                  <w:rFonts w:ascii="Arial" w:cs="Arial" w:eastAsia="Arial" w:hAnsi="Arial"/>
                  <w:sz w:val="18"/>
                  <w:szCs w:val="18"/>
                  <w:color w:val="0000FF"/>
                  <w:w w:val="92"/>
                </w:rPr>
                <w:t>CEO Certification pursuant to Exchange Act Rule 13a-14(a), as adopted pursuant to Section 302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120" w:type="dxa"/>
            <w:vAlign w:val="bottom"/>
            <w:gridSpan w:val="22"/>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0" w:type="dxa"/>
            <w:vAlign w:val="bottom"/>
            <w:gridSpan w:val="11"/>
          </w:tcPr>
          <w:p>
            <w:pPr>
              <w:spacing w:after="0" w:line="20" w:lineRule="exact"/>
              <w:rPr>
                <w:sz w:val="1"/>
                <w:szCs w:val="1"/>
                <w:color w:val="auto"/>
              </w:rPr>
            </w:pPr>
          </w:p>
        </w:tc>
      </w:tr>
      <w:tr>
        <w:trPr>
          <w:trHeight w:val="209"/>
        </w:trPr>
        <w:tc>
          <w:tcPr>
            <w:tcW w:w="1360" w:type="dxa"/>
            <w:vAlign w:val="bottom"/>
            <w:tcBorders>
              <w:bottom w:val="single" w:sz="8" w:color="0000FF"/>
            </w:tcBorders>
            <w:gridSpan w:val="2"/>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31.</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956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CFO Certification pursuant to Exchange Act Rule 13a-14(a), as adopted pursuant to Section 302 of the Sarbanes-Oxley Act of 2002.</w:t>
              </w:r>
            </w:hyperlink>
          </w:p>
        </w:tc>
        <w:tc>
          <w:tcPr>
            <w:tcW w:w="260" w:type="dxa"/>
            <w:vAlign w:val="bottom"/>
            <w:gridSpan w:val="14"/>
          </w:tcPr>
          <w:p>
            <w:pPr>
              <w:spacing w:after="0"/>
              <w:rPr>
                <w:sz w:val="18"/>
                <w:szCs w:val="18"/>
                <w:color w:val="auto"/>
              </w:rPr>
            </w:pPr>
          </w:p>
        </w:tc>
      </w:tr>
      <w:tr>
        <w:trPr>
          <w:trHeight w:val="210"/>
        </w:trPr>
        <w:tc>
          <w:tcPr>
            <w:tcW w:w="1360" w:type="dxa"/>
            <w:vAlign w:val="bottom"/>
            <w:gridSpan w:val="2"/>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9820" w:type="dxa"/>
            <w:vAlign w:val="bottom"/>
            <w:gridSpan w:val="42"/>
          </w:tcPr>
          <w:p>
            <w:pPr>
              <w:spacing w:after="0"/>
              <w:rPr>
                <w:rFonts w:ascii="Arial" w:cs="Arial" w:eastAsia="Arial" w:hAnsi="Arial"/>
                <w:sz w:val="18"/>
                <w:szCs w:val="18"/>
                <w:color w:val="0000FF"/>
                <w:w w:val="97"/>
              </w:rPr>
            </w:pPr>
            <w:hyperlink w:anchor="page102">
              <w:r>
                <w:rPr>
                  <w:rFonts w:ascii="Arial" w:cs="Arial" w:eastAsia="Arial" w:hAnsi="Arial"/>
                  <w:sz w:val="18"/>
                  <w:szCs w:val="18"/>
                  <w:color w:val="0000FF"/>
                  <w:w w:val="97"/>
                </w:rPr>
                <w:t>CEO Certification pursuant to 18 U.S.C. Section 1350, as adopted pursuant to Section 906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120" w:type="dxa"/>
            <w:vAlign w:val="bottom"/>
            <w:gridSpan w:val="22"/>
            <w:shd w:val="clear" w:color="auto" w:fill="0000FF"/>
          </w:tcPr>
          <w:p>
            <w:pPr>
              <w:spacing w:after="0" w:line="20" w:lineRule="exact"/>
              <w:rPr>
                <w:sz w:val="1"/>
                <w:szCs w:val="1"/>
                <w:color w:val="auto"/>
              </w:rPr>
            </w:pPr>
          </w:p>
        </w:tc>
        <w:tc>
          <w:tcPr>
            <w:tcW w:w="700" w:type="dxa"/>
            <w:vAlign w:val="bottom"/>
            <w:tcBorders>
              <w:left w:val="single" w:sz="8" w:color="0000FF"/>
            </w:tcBorders>
            <w:gridSpan w:val="20"/>
          </w:tcPr>
          <w:p>
            <w:pPr>
              <w:spacing w:after="0" w:line="20" w:lineRule="exact"/>
              <w:rPr>
                <w:sz w:val="1"/>
                <w:szCs w:val="1"/>
                <w:color w:val="auto"/>
              </w:rPr>
            </w:pPr>
          </w:p>
        </w:tc>
      </w:tr>
      <w:tr>
        <w:trPr>
          <w:trHeight w:val="210"/>
        </w:trPr>
        <w:tc>
          <w:tcPr>
            <w:tcW w:w="1360" w:type="dxa"/>
            <w:vAlign w:val="bottom"/>
            <w:gridSpan w:val="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9820" w:type="dxa"/>
            <w:vAlign w:val="bottom"/>
            <w:gridSpan w:val="42"/>
          </w:tcPr>
          <w:p>
            <w:pPr>
              <w:spacing w:after="0"/>
              <w:rPr>
                <w:rFonts w:ascii="Arial" w:cs="Arial" w:eastAsia="Arial" w:hAnsi="Arial"/>
                <w:sz w:val="18"/>
                <w:szCs w:val="18"/>
                <w:color w:val="0000FF"/>
                <w:w w:val="97"/>
              </w:rPr>
            </w:pPr>
            <w:hyperlink w:anchor="page102">
              <w:r>
                <w:rPr>
                  <w:rFonts w:ascii="Arial" w:cs="Arial" w:eastAsia="Arial" w:hAnsi="Arial"/>
                  <w:sz w:val="18"/>
                  <w:szCs w:val="18"/>
                  <w:color w:val="0000FF"/>
                  <w:w w:val="97"/>
                </w:rPr>
                <w:t>CFO Certification pursuant to 18 U.S.C. Section 1350, as adopted pursuant to Section 906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120" w:type="dxa"/>
            <w:vAlign w:val="bottom"/>
            <w:gridSpan w:val="22"/>
            <w:shd w:val="clear" w:color="auto" w:fill="0000FF"/>
          </w:tcPr>
          <w:p>
            <w:pPr>
              <w:spacing w:after="0" w:line="20" w:lineRule="exact"/>
              <w:rPr>
                <w:sz w:val="1"/>
                <w:szCs w:val="1"/>
                <w:color w:val="auto"/>
              </w:rPr>
            </w:pPr>
          </w:p>
        </w:tc>
        <w:tc>
          <w:tcPr>
            <w:tcW w:w="700" w:type="dxa"/>
            <w:vAlign w:val="bottom"/>
            <w:gridSpan w:val="20"/>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9820" w:type="dxa"/>
            <w:vAlign w:val="bottom"/>
            <w:gridSpan w:val="42"/>
          </w:tcPr>
          <w:p>
            <w:pPr>
              <w:spacing w:after="0" w:line="196" w:lineRule="exact"/>
              <w:rPr>
                <w:sz w:val="20"/>
                <w:szCs w:val="20"/>
                <w:color w:val="auto"/>
              </w:rPr>
            </w:pPr>
            <w:r>
              <w:rPr>
                <w:rFonts w:ascii="Arial" w:cs="Arial" w:eastAsia="Arial" w:hAnsi="Arial"/>
                <w:sz w:val="18"/>
                <w:szCs w:val="18"/>
                <w:color w:val="auto"/>
                <w:w w:val="97"/>
              </w:rPr>
              <w:t>The following financial statements from the Company's Annual Report on Form 10-K for the period ended December 31, 2021,</w:t>
            </w:r>
          </w:p>
        </w:tc>
      </w:tr>
      <w:tr>
        <w:trPr>
          <w:trHeight w:val="175"/>
        </w:trPr>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20" w:type="dxa"/>
            <w:vAlign w:val="bottom"/>
            <w:gridSpan w:val="42"/>
          </w:tcPr>
          <w:p>
            <w:pPr>
              <w:spacing w:after="0" w:line="176" w:lineRule="exact"/>
              <w:rPr>
                <w:sz w:val="20"/>
                <w:szCs w:val="20"/>
                <w:color w:val="auto"/>
              </w:rPr>
            </w:pPr>
            <w:r>
              <w:rPr>
                <w:rFonts w:ascii="Arial" w:cs="Arial" w:eastAsia="Arial" w:hAnsi="Arial"/>
                <w:sz w:val="18"/>
                <w:szCs w:val="18"/>
                <w:color w:val="auto"/>
                <w:w w:val="93"/>
              </w:rPr>
              <w:t>formatted in inline XBRL, include: (i) Consolidated Balance Sheets, (ii) Consolidated Statements of Operations and Comprehensive</w:t>
            </w:r>
          </w:p>
        </w:tc>
      </w:tr>
      <w:tr>
        <w:trPr>
          <w:trHeight w:val="175"/>
        </w:trPr>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20" w:type="dxa"/>
            <w:vAlign w:val="bottom"/>
            <w:gridSpan w:val="42"/>
          </w:tcPr>
          <w:p>
            <w:pPr>
              <w:spacing w:after="0" w:line="176" w:lineRule="exact"/>
              <w:rPr>
                <w:sz w:val="20"/>
                <w:szCs w:val="20"/>
                <w:color w:val="auto"/>
              </w:rPr>
            </w:pPr>
            <w:r>
              <w:rPr>
                <w:rFonts w:ascii="Arial" w:cs="Arial" w:eastAsia="Arial" w:hAnsi="Arial"/>
                <w:sz w:val="18"/>
                <w:szCs w:val="18"/>
                <w:color w:val="auto"/>
                <w:w w:val="94"/>
              </w:rPr>
              <w:t>Income, (iii) Consolidated Statements of Stockholders' Equity, (iv) Consolidated Statements of Cash Flows and (v) the Notes to the</w:t>
            </w:r>
          </w:p>
        </w:tc>
      </w:tr>
      <w:tr>
        <w:trPr>
          <w:trHeight w:val="229"/>
        </w:trPr>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20" w:type="dxa"/>
            <w:vAlign w:val="bottom"/>
            <w:gridSpan w:val="42"/>
          </w:tcPr>
          <w:p>
            <w:pPr>
              <w:spacing w:after="0"/>
              <w:rPr>
                <w:sz w:val="20"/>
                <w:szCs w:val="20"/>
                <w:color w:val="auto"/>
              </w:rPr>
            </w:pPr>
            <w:r>
              <w:rPr>
                <w:rFonts w:ascii="Arial" w:cs="Arial" w:eastAsia="Arial" w:hAnsi="Arial"/>
                <w:sz w:val="18"/>
                <w:szCs w:val="18"/>
                <w:color w:val="auto"/>
              </w:rPr>
              <w:t>Consolidated Financial Statements.</w:t>
            </w: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104**</w:t>
            </w:r>
          </w:p>
        </w:tc>
        <w:tc>
          <w:tcPr>
            <w:tcW w:w="9820" w:type="dxa"/>
            <w:vAlign w:val="bottom"/>
            <w:gridSpan w:val="42"/>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with the report.</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93" w:name="page94"/>
    <w:bookmarkEnd w:id="9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13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INSTALLED BUILDING PRODUCTS, INC.</w:t>
      </w:r>
    </w:p>
    <w:p>
      <w:pPr>
        <w:spacing w:after="0" w:line="13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800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Jeffrey W. Edwards</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026" w:right="399" w:bottom="1440" w:gutter="0" w:footer="0" w:header="0"/>
        </w:sectPr>
      </w:pPr>
    </w:p>
    <w:p>
      <w:pPr>
        <w:spacing w:after="0" w:line="32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u w:val="single" w:color="auto"/>
          <w:color w:val="auto"/>
        </w:rPr>
        <w:t>Signature</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Jeffrey W. Edwards</w:t>
      </w:r>
    </w:p>
    <w:p>
      <w:pPr>
        <w:spacing w:after="0" w:line="30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Michael T. Miller</w:t>
      </w:r>
    </w:p>
    <w:p>
      <w:pPr>
        <w:spacing w:after="0" w:line="30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Todd R.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4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Todd R. Fry</w:t>
      </w:r>
    </w:p>
    <w:p>
      <w:pPr>
        <w:spacing w:after="0" w:line="13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Margot 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Margot L. Carter</w:t>
      </w:r>
    </w:p>
    <w:p>
      <w:pPr>
        <w:spacing w:after="0" w:line="13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743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Lawrence A. Hilsheimer</w:t>
      </w:r>
    </w:p>
    <w:p>
      <w:pPr>
        <w:spacing w:after="0" w:line="13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Janet 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Janet E. Jackson</w:t>
      </w:r>
    </w:p>
    <w:p>
      <w:pPr>
        <w:spacing w:after="0" w:line="13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David R. Meuse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David R. Meuse</w:t>
      </w:r>
    </w:p>
    <w:p>
      <w:pPr>
        <w:spacing w:after="0" w:line="13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Michael 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Michael H. Thomas</w:t>
      </w:r>
    </w:p>
    <w:p>
      <w:pPr>
        <w:spacing w:after="0" w:line="13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Vikas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743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Vikas Verma</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40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97"/>
              </w:rPr>
              <w:t>Title</w:t>
            </w:r>
          </w:p>
        </w:tc>
        <w:tc>
          <w:tcPr>
            <w:tcW w:w="166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President, Chief Executive Officer and</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175"/>
        </w:trPr>
        <w:tc>
          <w:tcPr>
            <w:tcW w:w="420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2"/>
              </w:rPr>
              <w:t>Chairman of the Board of Directors</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(Principal Executive Officer)</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5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Executive Vice President, Chief Financial Officer and</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175"/>
        </w:trPr>
        <w:tc>
          <w:tcPr>
            <w:tcW w:w="420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5"/>
              </w:rPr>
              <w:t>Director</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(Principal Financial Officer)</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5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Chief Accounting Officer and Treasurer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23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(Principal Accounting Officer)</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72"/>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58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58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58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58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r>
        <w:trPr>
          <w:trHeight w:val="580"/>
        </w:trPr>
        <w:tc>
          <w:tcPr>
            <w:tcW w:w="420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2"/>
              <w:spacing w:after="0"/>
              <w:rPr>
                <w:sz w:val="20"/>
                <w:szCs w:val="20"/>
                <w:color w:val="auto"/>
              </w:rPr>
            </w:pPr>
            <w:r>
              <w:rPr>
                <w:rFonts w:ascii="Arial" w:cs="Arial" w:eastAsia="Arial" w:hAnsi="Arial"/>
                <w:sz w:val="18"/>
                <w:szCs w:val="18"/>
                <w:color w:val="auto"/>
                <w:w w:val="89"/>
              </w:rPr>
              <w:t>February 24, 2022</w:t>
            </w:r>
          </w:p>
        </w:tc>
      </w:tr>
    </w:tbl>
    <w:p>
      <w:pPr>
        <w:spacing w:after="0" w:line="419" w:lineRule="exact"/>
        <w:rPr>
          <w:sz w:val="20"/>
          <w:szCs w:val="20"/>
          <w:color w:val="auto"/>
        </w:rPr>
      </w:pPr>
    </w:p>
    <w:p>
      <w:pPr>
        <w:sectPr>
          <w:pgSz w:w="11900" w:h="16838" w:orient="portrait"/>
          <w:cols w:equalWidth="0" w:num="2">
            <w:col w:w="4260" w:space="720"/>
            <w:col w:w="6200"/>
          </w:cols>
          <w:pgMar w:left="320" w:top="102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80"/>
          </w:cols>
          <w:pgMar w:left="320" w:top="1026" w:right="39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400" w:type="dxa"/>
            <w:vAlign w:val="bottom"/>
            <w:gridSpan w:val="2"/>
          </w:tcPr>
          <w:p>
            <w:pPr>
              <w:ind w:left="2880"/>
              <w:spacing w:after="0"/>
              <w:rPr>
                <w:sz w:val="20"/>
                <w:szCs w:val="20"/>
                <w:color w:val="auto"/>
              </w:rPr>
            </w:pPr>
            <w:r>
              <w:rPr>
                <w:rFonts w:ascii="Arial" w:cs="Arial" w:eastAsia="Arial" w:hAnsi="Arial"/>
                <w:sz w:val="18"/>
                <w:szCs w:val="18"/>
                <w:b w:val="1"/>
                <w:bCs w:val="1"/>
                <w:color w:val="auto"/>
              </w:rPr>
              <w:t>Significant Subsidiaries of Installed Building Products, Inc.</w:t>
            </w:r>
          </w:p>
        </w:tc>
      </w:tr>
      <w:tr>
        <w:trPr>
          <w:trHeight w:val="68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622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91"/>
        </w:trPr>
        <w:tc>
          <w:tcPr>
            <w:tcW w:w="6680" w:type="dxa"/>
            <w:vAlign w:val="bottom"/>
            <w:gridSpan w:val="2"/>
          </w:tcPr>
          <w:p>
            <w:pPr>
              <w:spacing w:after="0"/>
              <w:rPr>
                <w:sz w:val="20"/>
                <w:szCs w:val="20"/>
                <w:color w:val="auto"/>
              </w:rPr>
            </w:pPr>
            <w:r>
              <w:rPr>
                <w:rFonts w:ascii="Arial" w:cs="Arial" w:eastAsia="Arial" w:hAnsi="Arial"/>
                <w:sz w:val="18"/>
                <w:szCs w:val="18"/>
                <w:color w:val="auto"/>
              </w:rPr>
              <w:t>A+ Insulation of Kansas City,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Accurate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Accurate Insulation of Colorado,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Accurate Insulation of Delaware,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Accurate Insulation of Upper Marlboro,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Advanced Fiber,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Advanced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All Construction Services,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All in One &amp; Moore Building Systems,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Alpha Insulation &amp; Water Proofing Company</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Alpha Insulation &amp; Water Proofing Inc.</w:t>
            </w:r>
          </w:p>
        </w:tc>
        <w:tc>
          <w:tcPr>
            <w:tcW w:w="218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Alpine Insulation I,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American Insulation &amp; Energy Services,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Alabama</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Any Season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Apple Valley Insulation, a BDI Company,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Aster Contractors Holdings,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Astro Insulation of Illinois,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Baytherm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BDI Insulation of Idaho Falls, Inc.</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Idaho</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BDI Insulation of Salt Lake, LLC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Utah</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BER Energy Services,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5"/>
              </w:rPr>
              <w:t>Texas</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Big City Insulation of Idaho, Inc.</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Idaho</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Big City Insulation,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Utah</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B-Organized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Broken Drum Insulation Visalia,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Broken Drum of Bakersfield,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Builders Installed Products of Maine,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Builders Installed Products of New Hampshire,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Builders Installed Products of New York,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Builders Installed Products of Vermont,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Building Materials Finance, Inc.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C.Q. Insulation, Inc.</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CLS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Cornhusker Insulation,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Crossroads Holdings,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Division 7 8 9 Supply,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6680" w:type="dxa"/>
            <w:vAlign w:val="bottom"/>
            <w:gridSpan w:val="2"/>
          </w:tcPr>
          <w:p>
            <w:pPr>
              <w:spacing w:after="0"/>
              <w:rPr>
                <w:sz w:val="20"/>
                <w:szCs w:val="20"/>
                <w:color w:val="auto"/>
              </w:rPr>
            </w:pPr>
            <w:r>
              <w:rPr>
                <w:rFonts w:ascii="Arial" w:cs="Arial" w:eastAsia="Arial" w:hAnsi="Arial"/>
                <w:sz w:val="18"/>
                <w:szCs w:val="18"/>
                <w:color w:val="auto"/>
              </w:rPr>
              <w:t>East Coast Insulators II, LLC</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220"/>
          </w:cols>
          <w:pgMar w:left="340" w:top="1417" w:right="339" w:bottom="1440" w:gutter="0" w:footer="0" w:header="0"/>
        </w:sectPr>
      </w:pPr>
    </w:p>
    <w:bookmarkStart w:id="95" w:name="page96"/>
    <w:bookmarkEnd w:id="9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Eastern Contractor Services, Limited Liability Company</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New Jersey</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Ecologic Energy Solutions,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Edwards/Mooney &amp; Moses,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Elite Spray Foam of Las Vegas,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EMPER Holdings,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Energy Savers of Louisville,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Expert Insulation of Minnesota,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FiberClass Insulation,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First State Building Products,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Fort Wayne Urethane,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Garage Door Systems,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Gold Insulation,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Gold Star Insulation, L.P.</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Green Star Plus Insulation,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G-T-G,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90"/>
              </w:rPr>
              <w:t>South Carolina</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Gulf Coast Insulation,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Hinkle Insulation &amp; Drywall Company, Incorporated</w:t>
            </w:r>
          </w:p>
        </w:tc>
        <w:tc>
          <w:tcPr>
            <w:tcW w:w="2640" w:type="dxa"/>
            <w:vAlign w:val="bottom"/>
          </w:tcPr>
          <w:p>
            <w:pPr>
              <w:jc w:val="center"/>
              <w:ind w:left="1490"/>
              <w:spacing w:after="0"/>
              <w:rPr>
                <w:sz w:val="20"/>
                <w:szCs w:val="20"/>
                <w:color w:val="auto"/>
              </w:rPr>
            </w:pPr>
            <w:r>
              <w:rPr>
                <w:rFonts w:ascii="Arial" w:cs="Arial" w:eastAsia="Arial" w:hAnsi="Arial"/>
                <w:sz w:val="18"/>
                <w:szCs w:val="18"/>
                <w:color w:val="auto"/>
                <w:w w:val="85"/>
              </w:rPr>
              <w:t>Texas</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Horizon Electric Services,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IBHL A Holding Company,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IBHL B Holding Company,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IBHL II-A Holding Company,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IBHL II-B Holding Company,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Arctic Express,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Asset II,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Asset,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Corporation Holdings,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Exteriors, Inc.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New Jersey</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Holdings II,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Holdings,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Legacy Glass &amp; Supply,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Logistics,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of Mansfield,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of Oklahoma,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of San Antonio,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of Toledo,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Texas Assets I,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Texas Assets II,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IBP Texas Assets III,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Installed Building Products - Panhandle,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Installed Building Products – Panhandle, LLC</w:t>
            </w:r>
          </w:p>
        </w:tc>
        <w:tc>
          <w:tcPr>
            <w:tcW w:w="2640" w:type="dxa"/>
            <w:vAlign w:val="bottom"/>
          </w:tcPr>
          <w:p>
            <w:pPr>
              <w:jc w:val="center"/>
              <w:ind w:left="1470"/>
              <w:spacing w:after="0"/>
              <w:rPr>
                <w:sz w:val="20"/>
                <w:szCs w:val="20"/>
                <w:color w:val="auto"/>
              </w:rPr>
            </w:pPr>
            <w:r>
              <w:rPr>
                <w:rFonts w:ascii="Arial" w:cs="Arial" w:eastAsia="Arial" w:hAnsi="Arial"/>
                <w:sz w:val="18"/>
                <w:szCs w:val="18"/>
                <w:color w:val="auto"/>
                <w:w w:val="89"/>
              </w:rPr>
              <w:t>Delaware</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Installed Building Products - Portland, LLC</w:t>
            </w:r>
          </w:p>
        </w:tc>
        <w:tc>
          <w:tcPr>
            <w:tcW w:w="2640" w:type="dxa"/>
            <w:vAlign w:val="bottom"/>
          </w:tcPr>
          <w:p>
            <w:pPr>
              <w:jc w:val="center"/>
              <w:ind w:left="1490"/>
              <w:spacing w:after="0"/>
              <w:rPr>
                <w:sz w:val="20"/>
                <w:szCs w:val="20"/>
                <w:color w:val="auto"/>
              </w:rPr>
            </w:pPr>
            <w:r>
              <w:rPr>
                <w:rFonts w:ascii="Arial" w:cs="Arial" w:eastAsia="Arial" w:hAnsi="Arial"/>
                <w:sz w:val="18"/>
                <w:szCs w:val="18"/>
                <w:color w:val="auto"/>
                <w:w w:val="89"/>
              </w:rPr>
              <w:t>Oregon</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Installed Building Products – Portland, LLC</w:t>
            </w:r>
          </w:p>
        </w:tc>
        <w:tc>
          <w:tcPr>
            <w:tcW w:w="2640" w:type="dxa"/>
            <w:vAlign w:val="bottom"/>
          </w:tcPr>
          <w:p>
            <w:pPr>
              <w:jc w:val="center"/>
              <w:ind w:left="1490"/>
              <w:spacing w:after="0"/>
              <w:rPr>
                <w:sz w:val="20"/>
                <w:szCs w:val="20"/>
                <w:color w:val="auto"/>
              </w:rPr>
            </w:pPr>
            <w:r>
              <w:rPr>
                <w:rFonts w:ascii="Arial" w:cs="Arial" w:eastAsia="Arial" w:hAnsi="Arial"/>
                <w:sz w:val="18"/>
                <w:szCs w:val="18"/>
                <w:color w:val="auto"/>
                <w:w w:val="89"/>
              </w:rPr>
              <w:t>Oregon</w:t>
            </w:r>
          </w:p>
        </w:tc>
      </w:tr>
    </w:tbl>
    <w:p>
      <w:pPr>
        <w:sectPr>
          <w:pgSz w:w="11900" w:h="16838" w:orient="portrait"/>
          <w:cols w:equalWidth="0" w:num="1">
            <w:col w:w="10119"/>
          </w:cols>
          <w:pgMar w:left="340" w:top="1440" w:right="1440" w:bottom="1440" w:gutter="0" w:footer="0" w:header="0"/>
        </w:sectPr>
      </w:pPr>
    </w:p>
    <w:bookmarkStart w:id="96" w:name="page97"/>
    <w:bookmarkEnd w:id="96"/>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II,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Fort Myers,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Houston,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Jacksonville,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Maine,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Miami,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Tampa,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Utah,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of West Palm,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Products,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Installed Building Solutions II,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Insulation Northwest,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Insulation Wholesale Supply,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90"/>
              </w:rPr>
              <w:t>Nevada</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InsulVail,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93"/>
              </w:rPr>
              <w:t>Colorado</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Key Insulation of Austin,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Key Insulation of San Antonio,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Lakeside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Layman Brothers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LKS Transportation,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Loveday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M&amp;D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MAP Installed Building Products of Sagamore,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MAP Installed Building Products of Seekonk,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Marv’s Insulation, Inc.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8"/>
              </w:rPr>
              <w:t>Idaho</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Metro Home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Mid South Construction and Building Products, Inc.</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0"/>
              </w:rPr>
              <w:t>Georgia</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Mid-Atlantic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MIG Building Systems of East Syracuse,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MIG Building Systems,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Momper Insulation of Crown Point,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Momper Insulation of Elkhart,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Momper Insulation of Fort Wayne,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Norkote of Washington,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Northwest Insulation,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OJ Insulation Holdings, Inc.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OJ Insulation, L.P.</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89"/>
              </w:rPr>
              <w:t>Delaware</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Pacific Partners Insulation North, a BDI Company, LLC</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0"/>
              </w:rPr>
              <w:t>Washington</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Pacific Partners Insulation South, a BDI Company, LLC</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90"/>
              </w:rPr>
              <w:t>Washington</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Parker Insulation and Building Products, LLC</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5"/>
              </w:rPr>
              <w:t>Texas</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PEG, LLC</w:t>
            </w:r>
          </w:p>
        </w:tc>
        <w:tc>
          <w:tcPr>
            <w:tcW w:w="2500" w:type="dxa"/>
            <w:vAlign w:val="bottom"/>
          </w:tcPr>
          <w:p>
            <w:pPr>
              <w:jc w:val="center"/>
              <w:ind w:left="1550"/>
              <w:spacing w:after="0"/>
              <w:rPr>
                <w:sz w:val="20"/>
                <w:szCs w:val="20"/>
                <w:color w:val="auto"/>
              </w:rPr>
            </w:pPr>
            <w:r>
              <w:rPr>
                <w:rFonts w:ascii="Arial" w:cs="Arial" w:eastAsia="Arial" w:hAnsi="Arial"/>
                <w:sz w:val="18"/>
                <w:szCs w:val="18"/>
                <w:color w:val="auto"/>
                <w:w w:val="85"/>
              </w:rPr>
              <w:t>Texas</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Premier Building Supply SLC,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94"/>
              </w:rPr>
              <w:t>Utah</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Premier Building Supply, LLC</w:t>
            </w:r>
          </w:p>
        </w:tc>
        <w:tc>
          <w:tcPr>
            <w:tcW w:w="2500" w:type="dxa"/>
            <w:vAlign w:val="bottom"/>
          </w:tcPr>
          <w:p>
            <w:pPr>
              <w:jc w:val="center"/>
              <w:ind w:left="1530"/>
              <w:spacing w:after="0"/>
              <w:rPr>
                <w:sz w:val="20"/>
                <w:szCs w:val="20"/>
                <w:color w:val="auto"/>
              </w:rPr>
            </w:pPr>
            <w:r>
              <w:rPr>
                <w:rFonts w:ascii="Arial" w:cs="Arial" w:eastAsia="Arial" w:hAnsi="Arial"/>
                <w:sz w:val="18"/>
                <w:szCs w:val="18"/>
                <w:color w:val="auto"/>
                <w:w w:val="94"/>
              </w:rPr>
              <w:t>Utah</w:t>
            </w:r>
          </w:p>
        </w:tc>
      </w:tr>
    </w:tbl>
    <w:p>
      <w:pPr>
        <w:sectPr>
          <w:pgSz w:w="11900" w:h="16838" w:orient="portrait"/>
          <w:cols w:equalWidth="0" w:num="1">
            <w:col w:w="10119"/>
          </w:cols>
          <w:pgMar w:left="340" w:top="1440" w:right="1440" w:bottom="1440" w:gutter="0" w:footer="0" w:header="0"/>
        </w:sectPr>
      </w:pPr>
    </w:p>
    <w:bookmarkStart w:id="97" w:name="page98"/>
    <w:bookmarkEnd w:id="9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RaJan,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94"/>
              </w:rPr>
              <w:t>Ohio</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Rocket Insulation,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Rockford Insulation,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Royals Commercial of Maryland,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SCE of Chicago,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Sierra Insulation Contractors II,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Southern Insulators,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Spec 7 Insulation Co.,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93"/>
              </w:rPr>
              <w:t>Colorado</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Suburban Insulation, Inc.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Pennsylvania</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Superior Insulation Services,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Superior Insulation,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of Charleston,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of Hilton Head,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of Kentucky,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of Memphis,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of Nashville,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of the Gulf,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TCI Contracting, LLC</w:t>
            </w:r>
          </w:p>
        </w:tc>
        <w:tc>
          <w:tcPr>
            <w:tcW w:w="3280" w:type="dxa"/>
            <w:vAlign w:val="bottom"/>
          </w:tcPr>
          <w:p>
            <w:pPr>
              <w:jc w:val="center"/>
              <w:ind w:left="2130"/>
              <w:spacing w:after="0"/>
              <w:rPr>
                <w:sz w:val="20"/>
                <w:szCs w:val="20"/>
                <w:color w:val="auto"/>
              </w:rPr>
            </w:pPr>
            <w:r>
              <w:rPr>
                <w:rFonts w:ascii="Arial" w:cs="Arial" w:eastAsia="Arial" w:hAnsi="Arial"/>
                <w:sz w:val="18"/>
                <w:szCs w:val="18"/>
                <w:color w:val="auto"/>
                <w:w w:val="90"/>
              </w:rPr>
              <w:t>Georgia</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Thermal Control Insulation,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94"/>
              </w:rPr>
              <w:t>Ohio</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Therm-Con of Tennessee,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Tidewater Insulators,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Town Building Systems,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Trademark Roofing Company, Inc.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93"/>
              </w:rPr>
              <w:t>North Carolina</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Trademark Seamless Gutter Co., Inc.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93"/>
              </w:rPr>
              <w:t>North Carolina</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Trilok Industries, Inc.</w:t>
            </w:r>
          </w:p>
        </w:tc>
        <w:tc>
          <w:tcPr>
            <w:tcW w:w="3280" w:type="dxa"/>
            <w:vAlign w:val="bottom"/>
          </w:tcPr>
          <w:p>
            <w:pPr>
              <w:jc w:val="center"/>
              <w:ind w:left="2130"/>
              <w:spacing w:after="0"/>
              <w:rPr>
                <w:sz w:val="20"/>
                <w:szCs w:val="20"/>
                <w:color w:val="auto"/>
              </w:rPr>
            </w:pPr>
            <w:r>
              <w:rPr>
                <w:rFonts w:ascii="Arial" w:cs="Arial" w:eastAsia="Arial" w:hAnsi="Arial"/>
                <w:sz w:val="18"/>
                <w:szCs w:val="18"/>
                <w:color w:val="auto"/>
                <w:w w:val="90"/>
              </w:rPr>
              <w:t>Georgia</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U.S. Insulation Corp.</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92"/>
              </w:rPr>
              <w:t>Connecticut</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Water-Tite Company,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WeatherSeal Company, LLC</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9"/>
              </w:rPr>
              <w:t>Delaware</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Wilson Insulation Company, LLC</w:t>
            </w:r>
          </w:p>
        </w:tc>
        <w:tc>
          <w:tcPr>
            <w:tcW w:w="3280" w:type="dxa"/>
            <w:vAlign w:val="bottom"/>
          </w:tcPr>
          <w:p>
            <w:pPr>
              <w:jc w:val="center"/>
              <w:ind w:left="2130"/>
              <w:spacing w:after="0"/>
              <w:rPr>
                <w:sz w:val="20"/>
                <w:szCs w:val="20"/>
                <w:color w:val="auto"/>
              </w:rPr>
            </w:pPr>
            <w:r>
              <w:rPr>
                <w:rFonts w:ascii="Arial" w:cs="Arial" w:eastAsia="Arial" w:hAnsi="Arial"/>
                <w:sz w:val="18"/>
                <w:szCs w:val="18"/>
                <w:color w:val="auto"/>
                <w:w w:val="90"/>
              </w:rPr>
              <w:t>Georgia</w:t>
            </w:r>
          </w:p>
        </w:tc>
      </w:tr>
    </w:tbl>
    <w:p>
      <w:pPr>
        <w:sectPr>
          <w:pgSz w:w="11900" w:h="16838" w:orient="portrait"/>
          <w:cols w:equalWidth="0" w:num="1">
            <w:col w:w="10119"/>
          </w:cols>
          <w:pgMar w:left="340" w:top="144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We consent to the incorporation by reference in Registration Statement No. 333-195107 on Form S-8 of our reports dated February 24, 2022, relating to the consolidated financial statements of Installed Building Products, Inc., and the effectiveness of Installed Building Products, Inc.’s internal control over financial reporting, appearing in this Annual Report on Form 10-K of Installed Building Products, Inc. for the year ended December 31, 2021.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43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13a-14(a) or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Edwards,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Installed Building Products,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80" w:hanging="324"/>
        <w:spacing w:after="0" w:line="263" w:lineRule="auto"/>
        <w:tabs>
          <w:tab w:leader="none" w:pos="9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324"/>
        <w:spacing w:after="0" w:line="342" w:lineRule="auto"/>
        <w:tabs>
          <w:tab w:leader="none" w:pos="97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24, 2022</w:t>
            </w:r>
          </w:p>
        </w:tc>
        <w:tc>
          <w:tcPr>
            <w:tcW w:w="7360" w:type="dxa"/>
            <w:vAlign w:val="bottom"/>
            <w:gridSpan w:val="2"/>
          </w:tcPr>
          <w:p>
            <w:pPr>
              <w:ind w:left="2060"/>
              <w:spacing w:after="0"/>
              <w:rPr>
                <w:sz w:val="20"/>
                <w:szCs w:val="20"/>
                <w:color w:val="auto"/>
              </w:rPr>
            </w:pPr>
            <w:r>
              <w:rPr>
                <w:rFonts w:ascii="Arial" w:cs="Arial" w:eastAsia="Arial" w:hAnsi="Arial"/>
                <w:sz w:val="18"/>
                <w:szCs w:val="18"/>
                <w:color w:val="auto"/>
              </w:rPr>
              <w:t>By:  /s/ Jeffrey W. Edwards</w:t>
            </w:r>
          </w:p>
        </w:tc>
      </w:tr>
      <w:tr>
        <w:trPr>
          <w:trHeight w:val="222"/>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Jeffrey W. Edwards</w:t>
            </w:r>
          </w:p>
        </w:tc>
      </w:tr>
      <w:tr>
        <w:trPr>
          <w:trHeight w:val="230"/>
        </w:trPr>
        <w:tc>
          <w:tcPr>
            <w:tcW w:w="3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13a-14(a) or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Miller,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Installed Building Products,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right="100" w:hanging="324"/>
        <w:spacing w:after="0" w:line="263" w:lineRule="auto"/>
        <w:tabs>
          <w:tab w:leader="none" w:pos="9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9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February 24, 2022</w:t>
            </w:r>
          </w:p>
        </w:tc>
        <w:tc>
          <w:tcPr>
            <w:tcW w:w="7380" w:type="dxa"/>
            <w:vAlign w:val="bottom"/>
            <w:gridSpan w:val="2"/>
          </w:tcPr>
          <w:p>
            <w:pPr>
              <w:ind w:left="2060"/>
              <w:spacing w:after="0"/>
              <w:rPr>
                <w:sz w:val="20"/>
                <w:szCs w:val="20"/>
                <w:color w:val="auto"/>
              </w:rPr>
            </w:pPr>
            <w:r>
              <w:rPr>
                <w:rFonts w:ascii="Arial" w:cs="Arial" w:eastAsia="Arial" w:hAnsi="Arial"/>
                <w:sz w:val="18"/>
                <w:szCs w:val="18"/>
                <w:color w:val="auto"/>
              </w:rPr>
              <w:t>By:  /s/ Michael T. Miller</w:t>
            </w:r>
          </w:p>
        </w:tc>
      </w:tr>
      <w:tr>
        <w:trPr>
          <w:trHeight w:val="222"/>
        </w:trPr>
        <w:tc>
          <w:tcPr>
            <w:tcW w:w="38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T. Miller</w:t>
            </w:r>
          </w:p>
        </w:tc>
      </w:tr>
      <w:tr>
        <w:trPr>
          <w:trHeight w:val="230"/>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13a-14(b) or 15d-14(b)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Installed Building Products, Inc. Annual Report on Form 10-K for the year ended December 31, 2021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Jeffrey W. Edwards, the President and Chief Executive Officer, of Installed Building Products, Inc., certifies that, to the best of his knowledge: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Installed Building Products,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Dated: February 24, 2022</w:t>
            </w:r>
          </w:p>
        </w:tc>
        <w:tc>
          <w:tcPr>
            <w:tcW w:w="7280" w:type="dxa"/>
            <w:vAlign w:val="bottom"/>
            <w:gridSpan w:val="2"/>
          </w:tcPr>
          <w:p>
            <w:pPr>
              <w:ind w:left="2060"/>
              <w:spacing w:after="0"/>
              <w:rPr>
                <w:sz w:val="20"/>
                <w:szCs w:val="20"/>
                <w:color w:val="auto"/>
              </w:rPr>
            </w:pPr>
            <w:r>
              <w:rPr>
                <w:rFonts w:ascii="Arial" w:cs="Arial" w:eastAsia="Arial" w:hAnsi="Arial"/>
                <w:sz w:val="18"/>
                <w:szCs w:val="18"/>
                <w:color w:val="auto"/>
              </w:rPr>
              <w:t>By:   /s/ Jeffrey W. Edwards</w:t>
            </w:r>
          </w:p>
        </w:tc>
      </w:tr>
      <w:tr>
        <w:trPr>
          <w:trHeight w:val="222"/>
        </w:trPr>
        <w:tc>
          <w:tcPr>
            <w:tcW w:w="39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Jeffrey W. Edwards</w:t>
            </w:r>
          </w:p>
        </w:tc>
      </w:tr>
      <w:tr>
        <w:trPr>
          <w:trHeight w:val="230"/>
        </w:trPr>
        <w:tc>
          <w:tcPr>
            <w:tcW w:w="3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INSTALLED BUILDING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Required by Rule 13a-14(b) or 15d-14(b)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Installed Building Products, Inc. Annual Report on Form 10-K for the year ended December 31, 2021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Michael T. Miller, the Executive Vice President and Chief Financial Officer, of Installed Building Products, Inc., certifies that, to the best of his knowledge:</w:t>
      </w:r>
    </w:p>
    <w:p>
      <w:pPr>
        <w:spacing w:after="0" w:line="24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Installed Building Products, Inc.</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Dated: February 24, 2022</w:t>
            </w:r>
          </w:p>
        </w:tc>
        <w:tc>
          <w:tcPr>
            <w:tcW w:w="7280" w:type="dxa"/>
            <w:vAlign w:val="bottom"/>
            <w:gridSpan w:val="2"/>
          </w:tcPr>
          <w:p>
            <w:pPr>
              <w:ind w:left="2040"/>
              <w:spacing w:after="0"/>
              <w:rPr>
                <w:sz w:val="20"/>
                <w:szCs w:val="20"/>
                <w:color w:val="auto"/>
              </w:rPr>
            </w:pPr>
            <w:r>
              <w:rPr>
                <w:rFonts w:ascii="Arial" w:cs="Arial" w:eastAsia="Arial" w:hAnsi="Arial"/>
                <w:sz w:val="18"/>
                <w:szCs w:val="18"/>
                <w:color w:val="auto"/>
              </w:rPr>
              <w:t>By:   /s/ Michael T. Miller</w:t>
            </w:r>
          </w:p>
        </w:tc>
      </w:tr>
      <w:tr>
        <w:trPr>
          <w:trHeight w:val="222"/>
        </w:trPr>
        <w:tc>
          <w:tcPr>
            <w:tcW w:w="3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T. Miller</w:t>
            </w:r>
          </w:p>
        </w:tc>
      </w:tr>
      <w:tr>
        <w:trPr>
          <w:trHeight w:val="230"/>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43"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13" Type="http://schemas.openxmlformats.org/officeDocument/2006/relationships/hyperlink" Target="https://www.sec.gov/Archives/edgar/data/1580905/000119312516752345/d249771dex21.htm" TargetMode="External"/><Relationship Id="rId114" Type="http://schemas.openxmlformats.org/officeDocument/2006/relationships/hyperlink" Target="https://www.sec.gov/Archives/edgar/data/1580905/000119312518063835/d529088dex31.htm" TargetMode="External"/><Relationship Id="rId115" Type="http://schemas.openxmlformats.org/officeDocument/2006/relationships/hyperlink" Target="https://www.sec.gov/Archives/edgar/data/1580905/000119312514021873/d614029dex41.htm" TargetMode="External"/><Relationship Id="rId116" Type="http://schemas.openxmlformats.org/officeDocument/2006/relationships/hyperlink" Target="https://www.sec.gov/Archives/edgar/data/1580905/000119312519256450/d808735dex41.htm" TargetMode="External"/><Relationship Id="rId117" Type="http://schemas.openxmlformats.org/officeDocument/2006/relationships/hyperlink" Target="https://www.sec.gov/Archives/edgar/data/1580905/000119312520052757/d853980dex43.htm" TargetMode="External"/><Relationship Id="rId118" Type="http://schemas.openxmlformats.org/officeDocument/2006/relationships/hyperlink" Target="https://www.sec.gov/Archives/edgar/data/1580905/000158090521000001/ibp-20210331xex101.htm" TargetMode="External"/><Relationship Id="rId119" Type="http://schemas.openxmlformats.org/officeDocument/2006/relationships/hyperlink" Target="https://www.sec.gov/Archives/edgar/data/1580905/000158090521000001/ibp-2021x0331xex102.htm" TargetMode="External"/><Relationship Id="rId120" Type="http://schemas.openxmlformats.org/officeDocument/2006/relationships/hyperlink" Target="https://www.sec.gov/Archives/edgar/data/1580905/000119312514021873/d614029dex1021.htm" TargetMode="External"/><Relationship Id="rId121" Type="http://schemas.openxmlformats.org/officeDocument/2006/relationships/hyperlink" Target="https://www.sec.gov/Archives/edgar/data/1580905/000119312517062227/d310839dex1016.htm" TargetMode="External"/><Relationship Id="rId122" Type="http://schemas.openxmlformats.org/officeDocument/2006/relationships/hyperlink" Target="https://www.sec.gov/Archives/edgar/data/1580905/000119312517125174/d308593dex101.htm" TargetMode="External"/><Relationship Id="rId123" Type="http://schemas.openxmlformats.org/officeDocument/2006/relationships/hyperlink" Target="https://www.sec.gov/Archives/edgar/data/1580905/000119312517125174/d308593dex102.htm" TargetMode="External"/><Relationship Id="rId124" Type="http://schemas.openxmlformats.org/officeDocument/2006/relationships/hyperlink" Target="https://www.sec.gov/Archives/edgar/data/1580905/000119312517125174/d308593dex103.htm" TargetMode="External"/><Relationship Id="rId127" Type="http://schemas.openxmlformats.org/officeDocument/2006/relationships/hyperlink" Target="https://www.sec.gov/Archives/edgar/data/1580905/000119312517125174/d308593dex104.htm" TargetMode="External"/><Relationship Id="rId128" Type="http://schemas.openxmlformats.org/officeDocument/2006/relationships/hyperlink" Target="https://www.sec.gov/Archives/edgar/data/1580905/000119312517125174/d308593dex105.htm" TargetMode="External"/><Relationship Id="rId129" Type="http://schemas.openxmlformats.org/officeDocument/2006/relationships/hyperlink" Target="https://www.sec.gov/Archives/edgar/data/1580905/000119312517125174/d308593dex106.htm" TargetMode="External"/><Relationship Id="rId130" Type="http://schemas.openxmlformats.org/officeDocument/2006/relationships/hyperlink" Target="https://www.sec.gov/Archives/edgar/data/1580905/000119312518064142/d519411dex1031.htm" TargetMode="External"/><Relationship Id="rId131" Type="http://schemas.openxmlformats.org/officeDocument/2006/relationships/hyperlink" Target="https://www.sec.gov/Archives/edgar/data/1580905/000119312517358896/d500394dex101.htm" TargetMode="External"/><Relationship Id="rId132" Type="http://schemas.openxmlformats.org/officeDocument/2006/relationships/hyperlink" Target="https://www.sec.gov/Archives/edgar/data/1580905/000119312518064142/d519411dex1033.htm" TargetMode="External"/><Relationship Id="rId133" Type="http://schemas.openxmlformats.org/officeDocument/2006/relationships/hyperlink" Target="https://www.sec.gov/Archives/edgar/data/1580905/000119312518064142/d519411dex1034.htm" TargetMode="External"/><Relationship Id="rId134" Type="http://schemas.openxmlformats.org/officeDocument/2006/relationships/hyperlink" Target="https://www.sec.gov/Archives/edgar/data/1580905/000119312518196996/d761929dex101.htm" TargetMode="External"/><Relationship Id="rId135" Type="http://schemas.openxmlformats.org/officeDocument/2006/relationships/hyperlink" Target="https://www.sec.gov/Archives/edgar/data/1580905/000119312518196996/d761929dex102.htm" TargetMode="External"/><Relationship Id="rId136" Type="http://schemas.openxmlformats.org/officeDocument/2006/relationships/hyperlink" Target="https://www.sec.gov/Archives/edgar/data/1580905/000119312519316791/d825363dex101.htm" TargetMode="External"/><Relationship Id="rId137" Type="http://schemas.openxmlformats.org/officeDocument/2006/relationships/hyperlink" Target="https://www.sec.gov/Archives/edgar/data/1580905/000119312518196996/d761929dex103.htm" TargetMode="External"/><Relationship Id="rId138" Type="http://schemas.openxmlformats.org/officeDocument/2006/relationships/hyperlink" Target="https://www.sec.gov/Archives/edgar/data/1580905/000119312519316791/d825363dex102.htm" TargetMode="External"/><Relationship Id="rId139" Type="http://schemas.openxmlformats.org/officeDocument/2006/relationships/hyperlink" Target="https://www.sec.gov/Archives/edgar/data/1580905/000119312519246279/d770196dex101.htm" TargetMode="External"/><Relationship Id="rId140" Type="http://schemas.openxmlformats.org/officeDocument/2006/relationships/hyperlink" Target="https://www.sec.gov/Archives/edgar/data/1580905/000119312519256450/d808735dex101.htm" TargetMode="External"/><Relationship Id="rId141" Type="http://schemas.openxmlformats.org/officeDocument/2006/relationships/hyperlink" Target="https://www.sec.gov/Archives/edgar/data/1580905/000119312519256450/d808735dex102.htm" TargetMode="External"/><Relationship Id="rId142" Type="http://schemas.openxmlformats.org/officeDocument/2006/relationships/hyperlink" Target="https://www.sec.gov/Archives/edgar/data/1580905/000119312521356941/d218385dex101.htm" TargetMode="External"/><Relationship Id="rId144" Type="http://schemas.openxmlformats.org/officeDocument/2006/relationships/hyperlink" Target="https://www.sec.gov/Archives/edgar/data/1580905/000119312521356941/d218385dex103.htm" TargetMode="External"/><Relationship Id="rId145" Type="http://schemas.openxmlformats.org/officeDocument/2006/relationships/hyperlink" Target="https://www.sec.gov/Archives/edgar/data/1580905/000119312521356941/d218385dex104.htm" TargetMode="External"/><Relationship Id="rId146" Type="http://schemas.openxmlformats.org/officeDocument/2006/relationships/hyperlink" Target="https://www.sec.gov/Archives/edgar/data/1580905/000119312521356941/d218385dex105.htm" TargetMode="External"/><Relationship Id="rId147" Type="http://schemas.openxmlformats.org/officeDocument/2006/relationships/hyperlink" Target="https://www.sec.gov/Archives/edgar/data/1580905/000119312521356941/d218385dex106.htm" TargetMode="External"/><Relationship Id="rId148" Type="http://schemas.openxmlformats.org/officeDocument/2006/relationships/hyperlink" Target="https://www.sec.gov/Archives/edgar/data/1580905/000119312521356941/d218385dex107.htm" TargetMode="External"/><Relationship Id="rId149" Type="http://schemas.openxmlformats.org/officeDocument/2006/relationships/hyperlink" Target="https://www.sec.gov/Archives/edgar/data/1580905/000119312518237455/d603602dex104.htm" TargetMode="External"/><Relationship Id="rId150" Type="http://schemas.openxmlformats.org/officeDocument/2006/relationships/hyperlink" Target="https://www.sec.gov/Archives/edgar/data/1580905/000119312518317773/d647806dex101.htm" TargetMode="External"/><Relationship Id="rId151" Type="http://schemas.openxmlformats.org/officeDocument/2006/relationships/hyperlink" Target="https://www.sec.gov/Archives/edgar/data/1580905/000119312514199045/d697084dex101.htm" TargetMode="External"/><Relationship Id="rId152" Type="http://schemas.openxmlformats.org/officeDocument/2006/relationships/hyperlink" Target="https://www.sec.gov/Archives/edgar/data/1580905/000119312514308395/d745101dex104.htm" TargetMode="External"/><Relationship Id="rId153" Type="http://schemas.openxmlformats.org/officeDocument/2006/relationships/hyperlink" Target="https://www.sec.gov/Archives/edgar/data/1580905/000119312515090717/d846579dex1022.htm" TargetMode="External"/><Relationship Id="rId154" Type="http://schemas.openxmlformats.org/officeDocument/2006/relationships/hyperlink" Target="https://www.sec.gov/Archives/edgar/data/1580905/000119312517162572/d212147dex1035.htm" TargetMode="External"/><Relationship Id="rId155" Type="http://schemas.openxmlformats.org/officeDocument/2006/relationships/hyperlink" Target="https://www.sec.gov/Archives/edgar/data/1580905/000119312517162572/d212147dex1036.htm" TargetMode="External"/><Relationship Id="rId156" Type="http://schemas.openxmlformats.org/officeDocument/2006/relationships/hyperlink" Target="https://www.sec.gov/Archives/edgar/data/1580905/000119312517162572/d212147dex1037.htm" TargetMode="External"/><Relationship Id="rId157" Type="http://schemas.openxmlformats.org/officeDocument/2006/relationships/hyperlink" Target="https://www.sec.gov/Archives/edgar/data/1580905/000119312517162572/d212147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2022-02-24T14:39:14Z</dcterms:created>
  <dcterms:modified xsi:type="dcterms:W3CDTF">2022-02-24T14:39:14Z</dcterms:modified>
</cp:coreProperties>
</file>