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w:t>
      </w: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January 25, 2016</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Installed Building Products,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001-36307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45-3707650</w:t>
      </w:r>
    </w:p>
    <w:p>
      <w:pPr>
        <w:spacing w:after="0" w:line="31" w:lineRule="exact"/>
        <w:rPr>
          <w:sz w:val="24"/>
          <w:szCs w:val="24"/>
          <w:color w:val="auto"/>
        </w:rPr>
      </w:pPr>
    </w:p>
    <w:p>
      <w:pPr>
        <w:sectPr>
          <w:pgSz w:w="11900" w:h="16838" w:orient="portrait"/>
          <w:cols w:equalWidth="0" w:num="3">
            <w:col w:w="4740" w:space="720"/>
            <w:col w:w="2980" w:space="720"/>
            <w:col w:w="2220"/>
          </w:cols>
          <w:pgMar w:left="240" w:top="368" w:right="279" w:bottom="1440" w:gutter="0" w:footer="0" w:header="0"/>
          <w:type w:val="continuous"/>
        </w:sectPr>
      </w:pPr>
    </w:p>
    <w:p>
      <w:pPr>
        <w:spacing w:after="0" w:line="12" w:lineRule="exact"/>
        <w:rPr>
          <w:sz w:val="24"/>
          <w:szCs w:val="24"/>
          <w:color w:val="auto"/>
        </w:rPr>
      </w:pPr>
    </w:p>
    <w:p>
      <w:pPr>
        <w:jc w:val="center"/>
        <w:ind w:right="840"/>
        <w:spacing w:after="0"/>
        <w:rPr>
          <w:sz w:val="20"/>
          <w:szCs w:val="20"/>
          <w:color w:val="auto"/>
        </w:rPr>
      </w:pPr>
      <w:r>
        <w:rPr>
          <w:rFonts w:ascii="Arial" w:cs="Arial" w:eastAsia="Arial" w:hAnsi="Arial"/>
          <w:sz w:val="13"/>
          <w:szCs w:val="13"/>
          <w:b w:val="1"/>
          <w:bCs w:val="1"/>
          <w:color w:val="auto"/>
        </w:rPr>
        <w:t>(State or other jurisdiction</w:t>
      </w: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jc w:val="center"/>
        <w:ind w:right="194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jc w:val="center"/>
        <w:ind w:right="1080"/>
        <w:spacing w:after="0"/>
        <w:rPr>
          <w:sz w:val="20"/>
          <w:szCs w:val="20"/>
          <w:color w:val="auto"/>
        </w:rPr>
      </w:pPr>
      <w:r>
        <w:rPr>
          <w:rFonts w:ascii="Arial" w:cs="Arial" w:eastAsia="Arial" w:hAnsi="Arial"/>
          <w:sz w:val="13"/>
          <w:szCs w:val="13"/>
          <w:b w:val="1"/>
          <w:bCs w:val="1"/>
          <w:color w:val="auto"/>
        </w:rPr>
        <w:t>identification number)</w:t>
      </w:r>
    </w:p>
    <w:p>
      <w:pPr>
        <w:spacing w:after="0" w:line="203" w:lineRule="exact"/>
        <w:rPr>
          <w:sz w:val="24"/>
          <w:szCs w:val="24"/>
          <w:color w:val="auto"/>
        </w:rPr>
      </w:pPr>
    </w:p>
    <w:p>
      <w:pPr>
        <w:sectPr>
          <w:pgSz w:w="11900" w:h="16838" w:orient="portrait"/>
          <w:cols w:equalWidth="0" w:num="3">
            <w:col w:w="4720" w:space="720"/>
            <w:col w:w="2740" w:space="720"/>
            <w:col w:w="2480"/>
          </w:cols>
          <w:pgMar w:left="240" w:top="368" w:right="279" w:bottom="1440" w:gutter="0" w:footer="0" w:header="0"/>
          <w:type w:val="continuous"/>
        </w:sectPr>
      </w:pPr>
    </w:p>
    <w:p>
      <w:pPr>
        <w:ind w:left="4520"/>
        <w:spacing w:after="0"/>
        <w:rPr>
          <w:sz w:val="20"/>
          <w:szCs w:val="20"/>
          <w:color w:val="auto"/>
        </w:rPr>
      </w:pPr>
      <w:r>
        <w:rPr>
          <w:rFonts w:ascii="Arial" w:cs="Arial" w:eastAsia="Arial" w:hAnsi="Arial"/>
          <w:sz w:val="18"/>
          <w:szCs w:val="18"/>
          <w:b w:val="1"/>
          <w:bCs w:val="1"/>
          <w:color w:val="auto"/>
        </w:rPr>
        <w:t>495 South High Street, Suite 50</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Columbus, Ohio 43215</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(614) 221-3399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January 25, 2016, the Company issued a press release announcing the completion of its acquisition of Key Green Builder Services, LLC d/b/a Key Insulation. A copy of the press release is furnished as Exhibit 99.1 to this report.</w:t>
      </w:r>
    </w:p>
    <w:p>
      <w:pPr>
        <w:spacing w:after="0" w:line="17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information contained in this Item 7.01, including Exhibit 99.1 attached hereto, is being furnished and shall not be deemed to be “filed” for the purposes of Section 18 of the Securities Exchange Act of 1934, as amended, or otherwise subject to the liabilities of that Section. Furthermore, the information contained in this Item 7.01, including Exhibit 99.1 attached hereto, shall not be deemed to be incorporated by reference into any registration statement or other document filed with the Securities and Exchange Commission, except as shall be expressly set forth by specific reference in such filing.</w:t>
      </w:r>
    </w:p>
    <w:p>
      <w:pPr>
        <w:spacing w:after="0" w:line="2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Installed Building Products, Inc. dated January 25, 2016</w:t>
      </w:r>
    </w:p>
    <w:p>
      <w:pPr>
        <w:sectPr>
          <w:pgSz w:w="11900" w:h="16838" w:orient="portrait"/>
          <w:cols w:equalWidth="0" w:num="1">
            <w:col w:w="11300"/>
          </w:cols>
          <w:pgMar w:left="240" w:top="270" w:right="35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INSTALLED BUILDING PRODUCTS,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January 25, 2016</w:t>
      </w:r>
      <w:r>
        <w:rPr>
          <w:sz w:val="20"/>
          <w:szCs w:val="20"/>
          <w:color w:val="auto"/>
        </w:rPr>
        <w:tab/>
      </w:r>
      <w:r>
        <w:rPr>
          <w:rFonts w:ascii="Arial" w:cs="Arial" w:eastAsia="Arial" w:hAnsi="Arial"/>
          <w:sz w:val="17"/>
          <w:szCs w:val="17"/>
          <w:color w:val="auto"/>
        </w:rPr>
        <w:t>By:  /s/ Michael 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00"/>
          </w:cols>
          <w:pgMar w:left="240" w:top="270" w:right="85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Installed Building Products, Inc. dated January 25, 2016</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063625" cy="540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362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INSTALLED BUILDING PRODUCTS ANNOUNCES THE ACQUISITION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GREEN BUILDER SERVICES BASED IN AUSTIN AND SAN ANTONIO, TEXAS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Acquisition Adds Approximately $11.8 Million of Annualized Revenue –</w:t>
      </w:r>
    </w:p>
    <w:p>
      <w:pPr>
        <w:spacing w:after="0" w:line="225"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Columbus, Ohio, January 25, 2016. </w:t>
      </w:r>
      <w:r>
        <w:rPr>
          <w:rFonts w:ascii="Arial" w:cs="Arial" w:eastAsia="Arial" w:hAnsi="Arial"/>
          <w:sz w:val="16"/>
          <w:szCs w:val="16"/>
          <w:color w:val="auto"/>
        </w:rPr>
        <w:t>Installed Building Products, Inc. (the “Company” or “IBP”) (NYSE: IBP), an industry-leading installer of insulation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complementary building products, announced today the acquisition of Key Green Builder Services, LLC d/b/a Key Insulation. Key was founded in 2000 and provides installation services primarily to single family residential customers in the Austin and San Antonio, Texas markets. Products include spray foam and cellulose insulation, and closet and garage storage systems. In addition, Key Insulation provides energy rating services through a related entity.</w:t>
      </w:r>
    </w:p>
    <w:p>
      <w:pPr>
        <w:spacing w:after="0" w:line="15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pleased to announce our first acquisition of the year with trailing twelve month sales of approximately $11.8 million,” stated Jeff Edwards, Chairman and Chief Executive Officer. “Austin and San Antonio are strong housing markets and this acquisition further strengthens our market share within these compelling markets. Our pipeline of acquisition opportunities remains solid for 2016 after making nine acquisitions representing nearly $110 million of revenue in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Installed Building Products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Installed Building Products, Inc. is the nation’s second largest insulation installer for the residential new construction market and is also a diversified installer of complementary building products, including garage doors, rain gutters, shower doors, closet shelving and mirrors, throughout the United States. The Company manages all aspects of the installation process for its customers, including direct purchases of materials from national manufacturers, supply of materials to job sites and quality installation. The Company offers its portfolio of services for new and existing single-family and multi-family residential and commercial building projects from its national network of branch locations.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contains forward-looking statements within the meaning of the federal securities laws, including with respect to the demand for our services, expansion of our national footprint, our ability to capitalize on the new home construction recovery, our ability to strengthen our market position, our ability to pursue value-enhancing acquisitions, our ability to improve profitability and expectations for demand for our services for the remainder of 2016. Forward-looking statements may generally be identified by the use of words such as “anticipate,” “believe,” “expect,” “intends,” “plan,” and “will” or, in each case, their negative, or other variations or comparable terminology. These forward-looking statements include all matters that are not historical facts. By their nature, forward-looking statements involve risks and uncertainties because they relate to events and depend on circumstances that may or may not occur in the future. Any forward-looking statements that we make herein and in any future reports and statements are not guarantees of future performance, and actual results may differ materially from those expressed in or suggested by such forward-looking statements as a result of various factors, including, without limitation, the factors discussed in the “Risk Factors” section of the Company’s Annual Report on Form 10-K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year ended December 31, 2014, as the same may be updated from time to time in our subsequent filings with the Securities and Exchange Commission. Any forward-looking statement made by the Company in this press release speaks only as of the date hereof. New risks and uncertainties arise from time to time, and it is impossible for the Company to predict these events or how they may affect it. The Company has no obligation, and does not intend, to update any forward-looking statements after the date hereof, except as required by federal securities 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614-221-9944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investorrelations@installed.net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sectPr>
      <w:pgSz w:w="11900" w:h="16838" w:orient="portrait"/>
      <w:cols w:equalWidth="0" w:num="1">
        <w:col w:w="11260"/>
      </w:cols>
      <w:pgMar w:left="24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2019-12-08T23:28:51Z</dcterms:created>
  <dcterms:modified xsi:type="dcterms:W3CDTF">2019-12-08T23:28:51Z</dcterms:modified>
</cp:coreProperties>
</file>